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1D90" w:rsidRPr="00063354" w:rsidRDefault="00EE65DE" w:rsidP="00531D90">
      <w:pPr>
        <w:rPr>
          <w:rFonts w:ascii="Arial" w:hAnsi="Arial" w:cs="Arial"/>
          <w:b/>
        </w:rPr>
      </w:pPr>
      <w:r w:rsidRPr="00EE65DE">
        <w:rPr>
          <w:rFonts w:ascii="Arial" w:hAnsi="Arial" w:cs="Arial"/>
          <w:b/>
        </w:rPr>
        <w:t>Cohort 02.19</w:t>
      </w:r>
      <w:r>
        <w:rPr>
          <w:rFonts w:ascii="Arial" w:hAnsi="Arial" w:cs="Arial"/>
          <w:b/>
        </w:rPr>
        <w:t xml:space="preserve"> </w:t>
      </w:r>
      <w:r w:rsidR="00531D90" w:rsidRPr="00063354">
        <w:rPr>
          <w:rFonts w:ascii="Arial" w:hAnsi="Arial" w:cs="Arial"/>
          <w:b/>
        </w:rPr>
        <w:t>PCDA Assignment 2</w:t>
      </w:r>
    </w:p>
    <w:p w:rsidR="00531D90" w:rsidRPr="00063354" w:rsidRDefault="00531D90" w:rsidP="00531D90">
      <w:pPr>
        <w:rPr>
          <w:rFonts w:ascii="Arial" w:hAnsi="Arial" w:cs="Arial"/>
          <w:b/>
        </w:rPr>
      </w:pPr>
      <w:r w:rsidRPr="00063354">
        <w:rPr>
          <w:rFonts w:ascii="Arial" w:hAnsi="Arial" w:cs="Arial"/>
          <w:b/>
        </w:rPr>
        <w:t>Jessica Thomas</w:t>
      </w:r>
    </w:p>
    <w:p w:rsidR="00531D90" w:rsidRPr="00063354" w:rsidRDefault="00531D90" w:rsidP="00531D90">
      <w:pPr>
        <w:rPr>
          <w:rFonts w:ascii="Arial" w:hAnsi="Arial" w:cs="Arial"/>
          <w:b/>
        </w:rPr>
      </w:pPr>
      <w:r w:rsidRPr="00063354">
        <w:rPr>
          <w:rFonts w:ascii="Arial" w:hAnsi="Arial" w:cs="Arial"/>
          <w:b/>
        </w:rPr>
        <w:t>1910648</w:t>
      </w:r>
    </w:p>
    <w:p w:rsidR="00531D90" w:rsidRPr="00063354" w:rsidRDefault="00531D90" w:rsidP="00531D90">
      <w:pPr>
        <w:rPr>
          <w:rFonts w:ascii="Arial" w:hAnsi="Arial" w:cs="Arial"/>
        </w:rPr>
      </w:pPr>
    </w:p>
    <w:p w:rsidR="00531D90" w:rsidRPr="00063354" w:rsidRDefault="00531D90" w:rsidP="00531D90">
      <w:pPr>
        <w:rPr>
          <w:rFonts w:ascii="Arial" w:hAnsi="Arial" w:cs="Arial"/>
          <w:b/>
        </w:rPr>
      </w:pPr>
      <w:r w:rsidRPr="00063354">
        <w:rPr>
          <w:rFonts w:ascii="Arial" w:hAnsi="Arial" w:cs="Arial"/>
          <w:b/>
        </w:rPr>
        <w:t xml:space="preserve">Task 1 </w:t>
      </w:r>
    </w:p>
    <w:p w:rsidR="00531D90" w:rsidRPr="00063354" w:rsidRDefault="00531D90" w:rsidP="00972285">
      <w:pPr>
        <w:spacing w:line="360" w:lineRule="auto"/>
        <w:jc w:val="both"/>
        <w:rPr>
          <w:rFonts w:ascii="Arial" w:hAnsi="Arial" w:cs="Arial"/>
        </w:rPr>
      </w:pPr>
      <w:r w:rsidRPr="00063354">
        <w:rPr>
          <w:rFonts w:ascii="Arial" w:hAnsi="Arial" w:cs="Arial"/>
        </w:rPr>
        <w:t xml:space="preserve">“The police service would cease to function without the active support of the communities it serves” (College of Policing, 2013) and key events throughout British history have highlighted this. This essay discusses how these key events have had a damaging effect on the willingness of communities to engage with the police whilst evaluating the role of community policing in fostering and maintaining community cohesion and discussing the key principles to achieving effective community engagement. </w:t>
      </w:r>
    </w:p>
    <w:p w:rsidR="00531D90" w:rsidRPr="00063354" w:rsidRDefault="00531D90" w:rsidP="00972285">
      <w:pPr>
        <w:spacing w:line="360" w:lineRule="auto"/>
        <w:jc w:val="both"/>
        <w:rPr>
          <w:rFonts w:ascii="Arial" w:hAnsi="Arial" w:cs="Arial"/>
        </w:rPr>
      </w:pPr>
      <w:r w:rsidRPr="00063354">
        <w:rPr>
          <w:rFonts w:ascii="Arial" w:hAnsi="Arial" w:cs="Arial"/>
        </w:rPr>
        <w:t>Over the years, there have been a number of high profile incidents that have led to the public’s mistrust in the Police, which in turn has damaged the willingness of certain communities wanting to engage with the police. In the 1980s, majority of police officers were white males and didn’t represent the communities that they policed. Institutional racism within the Police led to the misuse of stop search powers amongst ethnic minority groups and on 10 April 1981, rumours of Police brutality against a black man erupted long standing tensions between BAME communities and the police. Heated crowds gathered and protested and an arrest the following night sparked off rioting in the streets of Brixton, South London “resulting in London's worst 20th Century disorder” (Davey, 2011). The riots lasted for 3 days, more than 300 people were injured and the estimated cost of damage was 7.5 million pounds (BBC, 2021</w:t>
      </w:r>
      <w:r w:rsidR="00442ABA">
        <w:rPr>
          <w:rFonts w:ascii="Arial" w:hAnsi="Arial" w:cs="Arial"/>
        </w:rPr>
        <w:t>a</w:t>
      </w:r>
      <w:r w:rsidRPr="00063354">
        <w:rPr>
          <w:rFonts w:ascii="Arial" w:hAnsi="Arial" w:cs="Arial"/>
        </w:rPr>
        <w:t xml:space="preserve">). Following the riots, Lord Scarman complied a report which found that the police were not being held accountable for their actions and proposed a number of recommendations to improve the quality of policing within ethnic minority communities, including extensive changes to Police training and recruitment (Dabydeen, Gilmore, &amp; Jones, 2007). </w:t>
      </w:r>
    </w:p>
    <w:p w:rsidR="00531D90" w:rsidRPr="00063354" w:rsidRDefault="00531D90" w:rsidP="00972285">
      <w:pPr>
        <w:spacing w:line="360" w:lineRule="auto"/>
        <w:jc w:val="both"/>
        <w:rPr>
          <w:rFonts w:ascii="Arial" w:hAnsi="Arial" w:cs="Arial"/>
        </w:rPr>
      </w:pPr>
      <w:r w:rsidRPr="00063354">
        <w:rPr>
          <w:rFonts w:ascii="Arial" w:hAnsi="Arial" w:cs="Arial"/>
        </w:rPr>
        <w:t xml:space="preserve">Following the Scarman report, the Police and Criminal Evidence Act 1984 (PACE) “was introduced as a response to a growing perception that the public had lost all confidence in the criminal justice system” (LawTeacher, 2019). The PACE codes of practice are intended to regulate police powers whilst protecting the rights of the public (GOV.UK, 2020) and have been praised as being “one of the most significant developments in modern policing” (Coliandris, 2014). However, despite the recommendations made within the Scarman report and the introduction of PACE, the Police investigation into the murder of Stephen Lawrence in 1993 triggered further uproar within the black community. Stephen Lawrence was an 18 year old black male who was stabbed to death in a racial attack in South London. More than four years following Stephen’s death, it was announced that an inquiry into the Police </w:t>
      </w:r>
      <w:r w:rsidRPr="00063354">
        <w:rPr>
          <w:rFonts w:ascii="Arial" w:hAnsi="Arial" w:cs="Arial"/>
        </w:rPr>
        <w:lastRenderedPageBreak/>
        <w:t>investigation would be conducted (BBC, 1997). The inquiry was led by Sir William Macpherson, who concluded that the investigation into Stephen Lawrence’s murder had been “marred by a combination of professional incompetence, institutional racism and a failure of leadership” (Quinn, 2019). Both the Scarman report and the MacPherson report have been referred to as turning points in British history and fundamental to the way in which we now approach issues of race (Neal, 2003). However, twenty years on from the MacPherson report “there still remains persistent and stark disproportionality in the use of police power and in wider criminal justice outcomes” (Muir, 2020). Only recently we have seen the brutal murder of George Floyd, a black man who was killed by a police officer in Minneapolis. The tragic death of George Floyd highlighted wider injustices around the world and caused the public to question why the people who are meant to protect them are committing murder (Muir, 2020).</w:t>
      </w:r>
    </w:p>
    <w:p w:rsidR="00531D90" w:rsidRPr="00063354" w:rsidRDefault="00531D90" w:rsidP="00972285">
      <w:pPr>
        <w:spacing w:line="360" w:lineRule="auto"/>
        <w:jc w:val="both"/>
        <w:rPr>
          <w:rFonts w:ascii="Arial" w:hAnsi="Arial" w:cs="Arial"/>
        </w:rPr>
      </w:pPr>
      <w:r w:rsidRPr="00063354">
        <w:rPr>
          <w:rFonts w:ascii="Arial" w:hAnsi="Arial" w:cs="Arial"/>
        </w:rPr>
        <w:t xml:space="preserve">Research suggests that officer’s behaviour when communicating with members of the public can help reduce crime and has the potential to stimulate higher levels of respect for the law (College of Policing, 2013) However, this cannot be achieved without community cohesion. “A cohesive community is one where there is a common vision and a sense of belonging for all communities and the diversity of people’s different backgrounds and circumstances is appreciated and positively valued” (Local Government Association, 2004). It is community policing’s role to achieve community cohesion through effective community engagement. Community engagement is the process of allowing communities to participate in policing and enables them to identify and enforce solutions to local problems (College of Policing, 2013). The College of Policing (2013) highlighted the importance of community engagement, as it can increase the public’s perception of safety and their confidence in the Police, which will benefit the Police’s ability to tackle crime and antisocial behaviour. As stated previously, incidents such as the Brixton Riots and the Stephen Lawrence case, have highlighted the issues community alienation caused for policing. The risks associated with ineffective engagement include, the loss of public confidence in the police, increased vulnerabilities around threat, risk and harm, with individuals being less reliant on the Police for help and “unrealistic public expectations regarding policing services” (College of Policing, 2013). </w:t>
      </w:r>
    </w:p>
    <w:p w:rsidR="00531D90" w:rsidRPr="00063354" w:rsidRDefault="00531D90" w:rsidP="00972285">
      <w:pPr>
        <w:spacing w:line="360" w:lineRule="auto"/>
        <w:jc w:val="both"/>
        <w:rPr>
          <w:rFonts w:ascii="Arial" w:hAnsi="Arial" w:cs="Arial"/>
        </w:rPr>
      </w:pPr>
      <w:r w:rsidRPr="00063354">
        <w:rPr>
          <w:rFonts w:ascii="Arial" w:hAnsi="Arial" w:cs="Arial"/>
        </w:rPr>
        <w:t xml:space="preserve">The general principles to achieving effective community development were noted in the Crew Regeneration Wales Guide to Effective Community Engagement. The principles “create an ethical and moral structure around community-based practice which other professions can derive considerable benefit from in the way they approach community engagement” (Crew Regeneration Wales, 2021). The first principle explained within the guide and needed to achieve effective community development is social justice. Building upon social justice within a community allows a fair and equal society, where human rights are upheld. The second two principles are self-determination and working and learning together. Both these principles </w:t>
      </w:r>
      <w:r w:rsidRPr="00063354">
        <w:rPr>
          <w:rFonts w:ascii="Arial" w:hAnsi="Arial" w:cs="Arial"/>
        </w:rPr>
        <w:lastRenderedPageBreak/>
        <w:t xml:space="preserve">encourage members of a community to share knowledge and experience to help generate desired changes. Another principle is, sustainable communities. This principle promotes communities to advance their resources and independence whilst upholding its links to the wider society.  The last two principles needed to achieve effective community development are participation and reflective practice. Participation stimulates the right for all individuals within a community to be active participants in any decisions or processes that affect their community and reflective practice encourages members of a community to form their future decisions from past experiences (Crew Regeneration Wales, 2021). Implementing these principles when looking to improve community engagement can help alter the publics negative pre-existing opinions of the Police. Subsequently increasing institutional trust and enhancing police legitimacy. </w:t>
      </w:r>
    </w:p>
    <w:p w:rsidR="00531D90" w:rsidRPr="00063354" w:rsidRDefault="00531D90" w:rsidP="00972285">
      <w:pPr>
        <w:spacing w:line="360" w:lineRule="auto"/>
        <w:jc w:val="both"/>
        <w:rPr>
          <w:rFonts w:ascii="Arial" w:hAnsi="Arial" w:cs="Arial"/>
        </w:rPr>
      </w:pPr>
      <w:r w:rsidRPr="00063354">
        <w:rPr>
          <w:rFonts w:ascii="Arial" w:hAnsi="Arial" w:cs="Arial"/>
        </w:rPr>
        <w:t>To conclude, I believe the impact poor policing within a community has on public perceptions, should not be underestimated. Key incidents such as the Brixton riots, the murder of Stephen Lawrence and more recently the murder of George Floyd have all highlighted the consequences of this. Without the role of community policing in fostering and maintaining community cohesion we would continue to see the public’s distrust of the police, ultimately hindering the Police’s ability to effectively support and protect their communities.</w:t>
      </w:r>
    </w:p>
    <w:p w:rsidR="004019B8" w:rsidRPr="00063354" w:rsidRDefault="00531D90" w:rsidP="00972285">
      <w:pPr>
        <w:spacing w:line="360" w:lineRule="auto"/>
        <w:jc w:val="both"/>
        <w:rPr>
          <w:rFonts w:ascii="Arial" w:hAnsi="Arial" w:cs="Arial"/>
        </w:rPr>
      </w:pPr>
      <w:r w:rsidRPr="00063354">
        <w:rPr>
          <w:rFonts w:ascii="Arial" w:hAnsi="Arial" w:cs="Arial"/>
        </w:rPr>
        <w:t>1099 words.</w:t>
      </w:r>
    </w:p>
    <w:p w:rsidR="00531D90" w:rsidRDefault="00531D90" w:rsidP="00531D90"/>
    <w:p w:rsidR="00531D90" w:rsidRDefault="00531D90" w:rsidP="00531D90"/>
    <w:p w:rsidR="00611437" w:rsidRDefault="00611437" w:rsidP="00531D90">
      <w:pPr>
        <w:rPr>
          <w:b/>
        </w:rPr>
      </w:pPr>
    </w:p>
    <w:p w:rsidR="00972285" w:rsidRDefault="00972285" w:rsidP="00531D90">
      <w:pPr>
        <w:rPr>
          <w:rFonts w:ascii="Arial" w:hAnsi="Arial" w:cs="Arial"/>
          <w:b/>
        </w:rPr>
      </w:pPr>
    </w:p>
    <w:p w:rsidR="00972285" w:rsidRDefault="00972285" w:rsidP="00531D90">
      <w:pPr>
        <w:rPr>
          <w:rFonts w:ascii="Arial" w:hAnsi="Arial" w:cs="Arial"/>
          <w:b/>
        </w:rPr>
      </w:pPr>
    </w:p>
    <w:p w:rsidR="00972285" w:rsidRDefault="00972285" w:rsidP="00531D90">
      <w:pPr>
        <w:rPr>
          <w:rFonts w:ascii="Arial" w:hAnsi="Arial" w:cs="Arial"/>
          <w:b/>
        </w:rPr>
      </w:pPr>
    </w:p>
    <w:p w:rsidR="00972285" w:rsidRDefault="00972285" w:rsidP="00531D90">
      <w:pPr>
        <w:rPr>
          <w:rFonts w:ascii="Arial" w:hAnsi="Arial" w:cs="Arial"/>
          <w:b/>
        </w:rPr>
      </w:pPr>
    </w:p>
    <w:p w:rsidR="00972285" w:rsidRDefault="00972285" w:rsidP="00531D90">
      <w:pPr>
        <w:rPr>
          <w:rFonts w:ascii="Arial" w:hAnsi="Arial" w:cs="Arial"/>
          <w:b/>
        </w:rPr>
      </w:pPr>
    </w:p>
    <w:p w:rsidR="00972285" w:rsidRDefault="00972285" w:rsidP="00531D90">
      <w:pPr>
        <w:rPr>
          <w:rFonts w:ascii="Arial" w:hAnsi="Arial" w:cs="Arial"/>
          <w:b/>
        </w:rPr>
      </w:pPr>
    </w:p>
    <w:p w:rsidR="00972285" w:rsidRDefault="00972285" w:rsidP="00531D90">
      <w:pPr>
        <w:rPr>
          <w:rFonts w:ascii="Arial" w:hAnsi="Arial" w:cs="Arial"/>
          <w:b/>
        </w:rPr>
      </w:pPr>
    </w:p>
    <w:p w:rsidR="00972285" w:rsidRDefault="00972285" w:rsidP="00531D90">
      <w:pPr>
        <w:rPr>
          <w:rFonts w:ascii="Arial" w:hAnsi="Arial" w:cs="Arial"/>
          <w:b/>
        </w:rPr>
      </w:pPr>
    </w:p>
    <w:p w:rsidR="00972285" w:rsidRDefault="00972285" w:rsidP="00531D90">
      <w:pPr>
        <w:rPr>
          <w:rFonts w:ascii="Arial" w:hAnsi="Arial" w:cs="Arial"/>
          <w:b/>
        </w:rPr>
      </w:pPr>
    </w:p>
    <w:p w:rsidR="00972285" w:rsidRDefault="00972285" w:rsidP="00531D90">
      <w:pPr>
        <w:rPr>
          <w:rFonts w:ascii="Arial" w:hAnsi="Arial" w:cs="Arial"/>
          <w:b/>
        </w:rPr>
      </w:pPr>
    </w:p>
    <w:p w:rsidR="00972285" w:rsidRDefault="00972285" w:rsidP="00531D90">
      <w:pPr>
        <w:rPr>
          <w:rFonts w:ascii="Arial" w:hAnsi="Arial" w:cs="Arial"/>
          <w:b/>
        </w:rPr>
      </w:pPr>
    </w:p>
    <w:p w:rsidR="00972285" w:rsidRDefault="00972285" w:rsidP="00531D90">
      <w:pPr>
        <w:rPr>
          <w:rFonts w:ascii="Arial" w:hAnsi="Arial" w:cs="Arial"/>
          <w:b/>
        </w:rPr>
      </w:pPr>
    </w:p>
    <w:p w:rsidR="00063354" w:rsidRDefault="00063354" w:rsidP="00531D90">
      <w:pPr>
        <w:rPr>
          <w:rFonts w:ascii="Arial" w:hAnsi="Arial" w:cs="Arial"/>
          <w:b/>
        </w:rPr>
      </w:pPr>
      <w:r w:rsidRPr="00063354">
        <w:rPr>
          <w:rFonts w:ascii="Arial" w:hAnsi="Arial" w:cs="Arial"/>
          <w:b/>
        </w:rPr>
        <w:lastRenderedPageBreak/>
        <w:t>Task 2</w:t>
      </w:r>
    </w:p>
    <w:p w:rsidR="00063354" w:rsidRPr="00063354" w:rsidRDefault="00063354" w:rsidP="00972285">
      <w:pPr>
        <w:spacing w:line="360" w:lineRule="auto"/>
        <w:jc w:val="both"/>
        <w:rPr>
          <w:rFonts w:ascii="Arial" w:hAnsi="Arial" w:cs="Arial"/>
        </w:rPr>
      </w:pPr>
      <w:r w:rsidRPr="00063354">
        <w:rPr>
          <w:rFonts w:ascii="Arial" w:hAnsi="Arial" w:cs="Arial"/>
        </w:rPr>
        <w:t>Understanding sociology and criminology can benefit operational policing by allowing officers to have a greater understanding as to why crime occurs. It can also help police offices understand what works in relation to tackling crime and other issues such as repeat victimisation. Many researchers have developed policing models and crime prevention theories, in relation to crime and victimisation, which this essay will be discussing the strengths and weaknesses of. This essay is also going to be discussing analytical products provided by intelligence specialists during the course of an investigation.</w:t>
      </w:r>
    </w:p>
    <w:p w:rsidR="00063354" w:rsidRPr="00063354" w:rsidRDefault="00063354" w:rsidP="00972285">
      <w:pPr>
        <w:spacing w:line="360" w:lineRule="auto"/>
        <w:jc w:val="both"/>
        <w:rPr>
          <w:rFonts w:ascii="Arial" w:hAnsi="Arial" w:cs="Arial"/>
        </w:rPr>
      </w:pPr>
      <w:r w:rsidRPr="00063354">
        <w:rPr>
          <w:rFonts w:ascii="Arial" w:hAnsi="Arial" w:cs="Arial"/>
        </w:rPr>
        <w:t>Policing models in relation to crime and victimisation have developed over the years. Braga and Weisburd (2006) discussed that during the 1980s and 1990s American policing began to improve their performance and innovation in response to the rising crime rates and growing public dissatisfaction. This resulted in new initiatives and policing models to form and develop, including hot spots policing, evidence based policing, broken window policing and problem orientated policing. Hot spots policing was first explored in the Minneapolis Hot Spots Experiment and is a policing strategy that does not demand the Police to change their current strategies but to put more focus into areas where crime is clustered (Braga &amp; Weisburd, 2006). Hots spots policing is based on the idea that crime is not evenly distributed within an area but clustered in small locations and by focusing resources in hot spots can reduce and prevent overall crime levels in a wider geographic area. Overall, “evidence suggests that hot spots policing has reduced crime” (College of Policing, 2017). The broken windows theory is another model of policing which was first discussed by Kelling and Wilson in (1982). Kelling and Wilson suggested that obvious signs of crime and anti-social behaviour, creates an environment that encourages further crime and disorder and explained this by using the analogy of unattended broken window (Childress, 2016). The theory ultimately seeks to direct the police away from standard police practices and suggests that focusing on tackling low level crimes can reduce the likelihood of serious crimes occurring. Similar to the hot spots policing approach, broken windows policing is straightforward and appeals to law enforcement practitioners as it allows “traditional tactics to be deployed in new ways with the promise of considerably greater results” (Braga &amp; Weisburd, 2006). There is however, many critics to the broken windows theory, especially in North America. Childress (2016) discusses that in cities where broken window policing has been implemented there is little evidence to suggest it has worked. Childress highlights that broken window policing is a flawed theory and has resulted in aggressive over-policing. The theory itself focuses on disorder however, disorder is perceived differently by each individual (Childress, 2016). Overall both of these policing models, along with evidence based policing and problem orientated policing, have brought fundamental changes to the business of policing (Braga &amp; Weisburd, 2006).</w:t>
      </w:r>
    </w:p>
    <w:p w:rsidR="00063354" w:rsidRPr="00063354" w:rsidRDefault="00063354" w:rsidP="00972285">
      <w:pPr>
        <w:spacing w:line="360" w:lineRule="auto"/>
        <w:jc w:val="both"/>
        <w:rPr>
          <w:rFonts w:ascii="Arial" w:hAnsi="Arial" w:cs="Arial"/>
        </w:rPr>
      </w:pPr>
      <w:r w:rsidRPr="00063354">
        <w:rPr>
          <w:rFonts w:ascii="Arial" w:hAnsi="Arial" w:cs="Arial"/>
        </w:rPr>
        <w:lastRenderedPageBreak/>
        <w:t>Over the last 20 years crime has decreased rapidly. Crime figures suggest that crime has changed over time which means crime prevention theories must to, change and evolve. The Modern Crime Prevention Strategy 2016 recognises this and has identified six key drivers of crime and set out proposals to mitigate and prevent these areas of crime where possible. These six key drivers of crime are opportunity, character, profit, drugs, alcohol and the effectiveness of the criminal justice system. The strategies overall intention is to control these six drivers of crime and “to make crime harder to commit, less appealing for criminals and more unlikely in certain communities or situations” (Home Office, 2016). Another crime prevention theory is Crime Prevention through Environmental Design (CPTED), which was first populated by sociologist and criminologist, C. Ray Jeffery (1971). The CPTED approach focuses on the extent to which the built environment and its surrounding natural environment impact crime and how these features, if changed can reduce crime. The principles which form the basis of the CPTED approach vary depending on the author however Armitage (2016) discussed in her report five principles. These are physical security, surveillance, movement control, management and maintenance and defensible space. Overall CPTED focuses on making subtle changes to the design of an area and emphasises on designing out the risk before crime problems have a chance to emerge (Armitage, 2016).</w:t>
      </w:r>
    </w:p>
    <w:p w:rsidR="00063354" w:rsidRPr="00063354" w:rsidRDefault="00063354" w:rsidP="00972285">
      <w:pPr>
        <w:spacing w:line="360" w:lineRule="auto"/>
        <w:jc w:val="both"/>
        <w:rPr>
          <w:rFonts w:ascii="Arial" w:hAnsi="Arial" w:cs="Arial"/>
        </w:rPr>
      </w:pPr>
      <w:r w:rsidRPr="00063354">
        <w:rPr>
          <w:rFonts w:ascii="Arial" w:hAnsi="Arial" w:cs="Arial"/>
        </w:rPr>
        <w:t xml:space="preserve">As well as policing models and crime prevention theories, analytical products provided by intelligence specialists can help law enforcement agencies understand, tackle and prevent crime. Analysts, Researchers, Intelligence managers and financial investigators are all intelligence specialists that carry out different roles in the management, analysis and dissemination of intelligence. It is the analysists role to analyse the intelligence and the National Intelligence model (NIM) suggests that this can be undertaken within four main areas. These include problem profiling, subject profiling, tactical assessment and strategic assessment. Problem profiling would include for example, identifying crime hot spots. Subject profiling refers to the analysis of suspected criminals and their associates, by building up an understanding of criminal networks. Tactical assessment involves the management support function undertaken by an analyst and strategic assessment, which is usually undertaken by a senior analyst, predicts the likelihood of further developments in criminal activity. Crime trend analysis is extremely effective in identifying patterns of crime and can also determine whether the volume of crime is decreasing or increasing. It can assist investigators to identify these patterns early, ensuring future responses are managed and can also assist in linking offences of a similar crime pattern (Bryant &amp; Bryant, 2019). Overall, the knowledge and skills a criminal intelligence analyst can bring to a criminal investigation are hugely beneficial (UNODC, 2011). </w:t>
      </w:r>
    </w:p>
    <w:p w:rsidR="00063354" w:rsidRPr="00063354" w:rsidRDefault="00063354" w:rsidP="00972285">
      <w:pPr>
        <w:spacing w:line="360" w:lineRule="auto"/>
        <w:jc w:val="both"/>
        <w:rPr>
          <w:rFonts w:ascii="Arial" w:hAnsi="Arial" w:cs="Arial"/>
        </w:rPr>
      </w:pPr>
      <w:r w:rsidRPr="00063354">
        <w:rPr>
          <w:rFonts w:ascii="Arial" w:hAnsi="Arial" w:cs="Arial"/>
        </w:rPr>
        <w:t xml:space="preserve">To conclude, many policing models, theories and strategies have brought fundamental change to policing and have proved to be effective in reducing and tackling crime. Models, theories </w:t>
      </w:r>
      <w:r w:rsidRPr="00063354">
        <w:rPr>
          <w:rFonts w:ascii="Arial" w:hAnsi="Arial" w:cs="Arial"/>
        </w:rPr>
        <w:lastRenderedPageBreak/>
        <w:t>and strategies cannot provide the answer as to why crime occurs but can certainly assist in developing a better understanding of it. Intelligence specialists are vital in any criminal investigation and when utilised well can be a major asset in identifying new lines of enquiry. Crime trend analysis allows Police and other law enforcement agencies to have a clearer insight into criminal networks, crime hot spots and allows them to predict and react more effectively to crime, ultimately giving the Police and other law enforcement agencies the upper hand in tackling and preventing crime and disorder.</w:t>
      </w:r>
    </w:p>
    <w:p w:rsidR="00063354" w:rsidRDefault="00063354" w:rsidP="00972285">
      <w:pPr>
        <w:spacing w:line="360" w:lineRule="auto"/>
        <w:jc w:val="both"/>
        <w:rPr>
          <w:rFonts w:ascii="Arial" w:hAnsi="Arial" w:cs="Arial"/>
        </w:rPr>
      </w:pPr>
      <w:r w:rsidRPr="00063354">
        <w:rPr>
          <w:rFonts w:ascii="Arial" w:hAnsi="Arial" w:cs="Arial"/>
        </w:rPr>
        <w:t>1049 words.</w:t>
      </w:r>
    </w:p>
    <w:p w:rsidR="00063354" w:rsidRDefault="00063354" w:rsidP="00063354">
      <w:pPr>
        <w:jc w:val="both"/>
        <w:rPr>
          <w:rFonts w:ascii="Arial" w:hAnsi="Arial" w:cs="Arial"/>
        </w:rPr>
      </w:pPr>
    </w:p>
    <w:p w:rsidR="00063354" w:rsidRDefault="00063354" w:rsidP="00063354">
      <w:pPr>
        <w:jc w:val="both"/>
        <w:rPr>
          <w:rFonts w:ascii="Arial" w:hAnsi="Arial" w:cs="Arial"/>
        </w:rPr>
      </w:pPr>
    </w:p>
    <w:p w:rsidR="00641645" w:rsidRDefault="00641645" w:rsidP="00063354">
      <w:pPr>
        <w:jc w:val="both"/>
        <w:rPr>
          <w:rFonts w:ascii="Arial" w:hAnsi="Arial" w:cs="Arial"/>
        </w:rPr>
      </w:pPr>
    </w:p>
    <w:p w:rsidR="00641645" w:rsidRDefault="00641645" w:rsidP="00063354">
      <w:pPr>
        <w:jc w:val="both"/>
        <w:rPr>
          <w:rFonts w:ascii="Arial" w:hAnsi="Arial" w:cs="Arial"/>
        </w:rPr>
      </w:pPr>
    </w:p>
    <w:p w:rsidR="00641645" w:rsidRDefault="00641645" w:rsidP="00063354">
      <w:pPr>
        <w:jc w:val="both"/>
        <w:rPr>
          <w:rFonts w:ascii="Arial" w:hAnsi="Arial" w:cs="Arial"/>
        </w:rPr>
      </w:pPr>
    </w:p>
    <w:p w:rsidR="00641645" w:rsidRDefault="00641645" w:rsidP="00063354">
      <w:pPr>
        <w:jc w:val="both"/>
        <w:rPr>
          <w:rFonts w:ascii="Arial" w:hAnsi="Arial" w:cs="Arial"/>
        </w:rPr>
      </w:pPr>
    </w:p>
    <w:p w:rsidR="00641645" w:rsidRDefault="00641645" w:rsidP="00063354">
      <w:pPr>
        <w:jc w:val="both"/>
        <w:rPr>
          <w:rFonts w:ascii="Arial" w:hAnsi="Arial" w:cs="Arial"/>
        </w:rPr>
      </w:pPr>
    </w:p>
    <w:p w:rsidR="00641645" w:rsidRDefault="00641645" w:rsidP="00063354">
      <w:pPr>
        <w:jc w:val="both"/>
        <w:rPr>
          <w:rFonts w:ascii="Arial" w:hAnsi="Arial" w:cs="Arial"/>
        </w:rPr>
      </w:pPr>
    </w:p>
    <w:p w:rsidR="00972285" w:rsidRDefault="00972285" w:rsidP="00063354">
      <w:pPr>
        <w:jc w:val="both"/>
        <w:rPr>
          <w:rFonts w:ascii="Arial" w:hAnsi="Arial" w:cs="Arial"/>
        </w:rPr>
      </w:pPr>
    </w:p>
    <w:p w:rsidR="00972285" w:rsidRDefault="00972285" w:rsidP="00063354">
      <w:pPr>
        <w:jc w:val="both"/>
        <w:rPr>
          <w:rFonts w:ascii="Arial" w:hAnsi="Arial" w:cs="Arial"/>
        </w:rPr>
      </w:pPr>
    </w:p>
    <w:p w:rsidR="00972285" w:rsidRDefault="00972285" w:rsidP="00063354">
      <w:pPr>
        <w:jc w:val="both"/>
        <w:rPr>
          <w:rFonts w:ascii="Arial" w:hAnsi="Arial" w:cs="Arial"/>
        </w:rPr>
      </w:pPr>
    </w:p>
    <w:p w:rsidR="00972285" w:rsidRDefault="00972285" w:rsidP="00063354">
      <w:pPr>
        <w:jc w:val="both"/>
        <w:rPr>
          <w:rFonts w:ascii="Arial" w:hAnsi="Arial" w:cs="Arial"/>
        </w:rPr>
      </w:pPr>
    </w:p>
    <w:p w:rsidR="00972285" w:rsidRDefault="00972285" w:rsidP="00063354">
      <w:pPr>
        <w:jc w:val="both"/>
        <w:rPr>
          <w:rFonts w:ascii="Arial" w:hAnsi="Arial" w:cs="Arial"/>
        </w:rPr>
      </w:pPr>
    </w:p>
    <w:p w:rsidR="00972285" w:rsidRDefault="00972285" w:rsidP="00063354">
      <w:pPr>
        <w:jc w:val="both"/>
        <w:rPr>
          <w:rFonts w:ascii="Arial" w:hAnsi="Arial" w:cs="Arial"/>
        </w:rPr>
      </w:pPr>
    </w:p>
    <w:p w:rsidR="00972285" w:rsidRDefault="00972285" w:rsidP="00063354">
      <w:pPr>
        <w:jc w:val="both"/>
        <w:rPr>
          <w:rFonts w:ascii="Arial" w:hAnsi="Arial" w:cs="Arial"/>
        </w:rPr>
      </w:pPr>
    </w:p>
    <w:p w:rsidR="00972285" w:rsidRDefault="00972285" w:rsidP="00063354">
      <w:pPr>
        <w:jc w:val="both"/>
        <w:rPr>
          <w:rFonts w:ascii="Arial" w:hAnsi="Arial" w:cs="Arial"/>
        </w:rPr>
      </w:pPr>
    </w:p>
    <w:p w:rsidR="00972285" w:rsidRDefault="00972285" w:rsidP="00063354">
      <w:pPr>
        <w:jc w:val="both"/>
        <w:rPr>
          <w:rFonts w:ascii="Arial" w:hAnsi="Arial" w:cs="Arial"/>
        </w:rPr>
      </w:pPr>
    </w:p>
    <w:p w:rsidR="00972285" w:rsidRDefault="00972285" w:rsidP="00063354">
      <w:pPr>
        <w:jc w:val="both"/>
        <w:rPr>
          <w:rFonts w:ascii="Arial" w:hAnsi="Arial" w:cs="Arial"/>
        </w:rPr>
      </w:pPr>
    </w:p>
    <w:p w:rsidR="00972285" w:rsidRDefault="00972285" w:rsidP="00063354">
      <w:pPr>
        <w:jc w:val="both"/>
        <w:rPr>
          <w:rFonts w:ascii="Arial" w:hAnsi="Arial" w:cs="Arial"/>
        </w:rPr>
      </w:pPr>
    </w:p>
    <w:p w:rsidR="00972285" w:rsidRDefault="00972285" w:rsidP="00063354">
      <w:pPr>
        <w:jc w:val="both"/>
        <w:rPr>
          <w:rFonts w:ascii="Arial" w:hAnsi="Arial" w:cs="Arial"/>
        </w:rPr>
      </w:pPr>
    </w:p>
    <w:p w:rsidR="00972285" w:rsidRDefault="00972285" w:rsidP="00063354">
      <w:pPr>
        <w:jc w:val="both"/>
        <w:rPr>
          <w:rFonts w:ascii="Arial" w:hAnsi="Arial" w:cs="Arial"/>
        </w:rPr>
      </w:pPr>
    </w:p>
    <w:p w:rsidR="00641645" w:rsidRDefault="00641645" w:rsidP="00063354">
      <w:pPr>
        <w:jc w:val="both"/>
        <w:rPr>
          <w:rFonts w:ascii="Arial" w:hAnsi="Arial" w:cs="Arial"/>
        </w:rPr>
      </w:pPr>
    </w:p>
    <w:p w:rsidR="00641645" w:rsidRDefault="00641645" w:rsidP="00063354">
      <w:pPr>
        <w:jc w:val="both"/>
        <w:rPr>
          <w:rFonts w:ascii="Arial" w:hAnsi="Arial" w:cs="Arial"/>
        </w:rPr>
      </w:pPr>
    </w:p>
    <w:p w:rsidR="00611437" w:rsidRDefault="00611437" w:rsidP="00063354">
      <w:pPr>
        <w:rPr>
          <w:rFonts w:ascii="Arial" w:hAnsi="Arial" w:cs="Arial"/>
        </w:rPr>
      </w:pPr>
    </w:p>
    <w:p w:rsidR="004019B8" w:rsidRDefault="004019B8" w:rsidP="00063354">
      <w:pPr>
        <w:rPr>
          <w:rFonts w:ascii="Arial" w:hAnsi="Arial" w:cs="Arial"/>
          <w:b/>
        </w:rPr>
      </w:pPr>
      <w:r w:rsidRPr="004019B8">
        <w:rPr>
          <w:rFonts w:ascii="Arial" w:hAnsi="Arial" w:cs="Arial"/>
          <w:b/>
        </w:rPr>
        <w:lastRenderedPageBreak/>
        <w:t xml:space="preserve">Task 3 </w:t>
      </w:r>
    </w:p>
    <w:p w:rsidR="004019B8" w:rsidRPr="004019B8" w:rsidRDefault="004019B8" w:rsidP="00972285">
      <w:pPr>
        <w:spacing w:line="360" w:lineRule="auto"/>
        <w:jc w:val="both"/>
        <w:rPr>
          <w:rFonts w:ascii="Arial" w:hAnsi="Arial" w:cs="Arial"/>
        </w:rPr>
      </w:pPr>
      <w:r w:rsidRPr="004019B8">
        <w:rPr>
          <w:rFonts w:ascii="Arial" w:hAnsi="Arial" w:cs="Arial"/>
        </w:rPr>
        <w:t>Over the years policing has faced many challenges and is often affected by a number of significant changes. Policing is currently at its greatest demand with a constant change in crime and extremely low amount of resources. There are many key issues relating to the complexity and challenges of operational policing, which this essay is going to discuss. This essay is also going to be reviewing examples of critical and major incidents and discussing the role of the Police within a joint emergency services operation to establish best practice.</w:t>
      </w:r>
    </w:p>
    <w:p w:rsidR="004019B8" w:rsidRPr="004019B8" w:rsidRDefault="004019B8" w:rsidP="00972285">
      <w:pPr>
        <w:spacing w:line="360" w:lineRule="auto"/>
        <w:jc w:val="both"/>
        <w:rPr>
          <w:rFonts w:ascii="Arial" w:hAnsi="Arial" w:cs="Arial"/>
        </w:rPr>
      </w:pPr>
      <w:r w:rsidRPr="004019B8">
        <w:rPr>
          <w:rFonts w:ascii="Arial" w:hAnsi="Arial" w:cs="Arial"/>
        </w:rPr>
        <w:t>There are many challenges to operational policing, the public’s perception of the Police being one of the biggest. Recent events such as</w:t>
      </w:r>
      <w:r>
        <w:rPr>
          <w:rFonts w:ascii="Arial" w:hAnsi="Arial" w:cs="Arial"/>
        </w:rPr>
        <w:t xml:space="preserve"> the death of Sarah Everard has</w:t>
      </w:r>
      <w:r w:rsidRPr="004019B8">
        <w:rPr>
          <w:rFonts w:ascii="Arial" w:hAnsi="Arial" w:cs="Arial"/>
        </w:rPr>
        <w:t xml:space="preserve"> highlighted the public’s current poor perception of the police and confirmed the presence of an ‘us versus them’ culture between the public and the Police. Sarah Everard was 33-year-old female who went missing whilst walking home in Clapham, South London. Her body was found a week later in woodland in Kent and a serving Metropolitan Police officer, PC Wayne Couzens was charged with kidnap and murder (BBC, 2021</w:t>
      </w:r>
      <w:r w:rsidR="00442ABA">
        <w:rPr>
          <w:rFonts w:ascii="Arial" w:hAnsi="Arial" w:cs="Arial"/>
        </w:rPr>
        <w:t>b</w:t>
      </w:r>
      <w:r w:rsidRPr="004019B8">
        <w:rPr>
          <w:rFonts w:ascii="Arial" w:hAnsi="Arial" w:cs="Arial"/>
        </w:rPr>
        <w:t>). Following Sarah’s death a vigil was held at Clapham common. However, when the Police believed the gathering had become unsafe due to the COVID-19 regulations that were in place, they decided to disperse the crowds, which led to the arrests of several people (Bowden, 2021). The days following the vigil, images of Police officers dispersing crowds and arresting females emerged and did not showcase the Police in a good light, causing already dire relations between the public and the police to worsen. Other incidents that have also contributed the public’s poor perception of the police include the murder of George Floyd in Minneapolis and the more recently the ‘Kill the Bill’ protests in Bristol. All these incidents have been highly publicised and have had a serious effect on police-community relations. “Police–community relations refers to the ongoing and changing relationship between the police and the communities they serve. When there are poor police–community relations, the police typically lack a basic understanding of community problems, goals, and desires” (Ross, 2012).</w:t>
      </w:r>
    </w:p>
    <w:p w:rsidR="004019B8" w:rsidRPr="004019B8" w:rsidRDefault="004019B8" w:rsidP="00972285">
      <w:pPr>
        <w:spacing w:line="360" w:lineRule="auto"/>
        <w:jc w:val="both"/>
        <w:rPr>
          <w:rFonts w:ascii="Arial" w:hAnsi="Arial" w:cs="Arial"/>
        </w:rPr>
      </w:pPr>
      <w:r w:rsidRPr="004019B8">
        <w:rPr>
          <w:rFonts w:ascii="Arial" w:hAnsi="Arial" w:cs="Arial"/>
        </w:rPr>
        <w:t xml:space="preserve">In recent years operational policing has </w:t>
      </w:r>
      <w:r>
        <w:rPr>
          <w:rFonts w:ascii="Arial" w:hAnsi="Arial" w:cs="Arial"/>
        </w:rPr>
        <w:t xml:space="preserve">also </w:t>
      </w:r>
      <w:r w:rsidRPr="004019B8">
        <w:rPr>
          <w:rFonts w:ascii="Arial" w:hAnsi="Arial" w:cs="Arial"/>
        </w:rPr>
        <w:t xml:space="preserve">been challenged with the reducing number of police officers. Between March 2010 and March 2019 the number of Police officers in England and Wales fell by 20,600 down to 123,200 officers. This drop represents a 14% fall of Police officers (Full Fact, 2019) and despite the government’s recent recruitment campaign, the number of frontline officers are still not </w:t>
      </w:r>
      <w:r w:rsidRPr="00611437">
        <w:rPr>
          <w:rFonts w:ascii="Arial" w:hAnsi="Arial" w:cs="Arial"/>
        </w:rPr>
        <w:t>what they were 10 years ago. This has caused the Police to become extremely overstretched and forced to adapt to the growing demand, ultimately reducing frontline Police officers visibly present in our communities. In addition</w:t>
      </w:r>
      <w:r w:rsidRPr="004019B8">
        <w:rPr>
          <w:rFonts w:ascii="Arial" w:hAnsi="Arial" w:cs="Arial"/>
        </w:rPr>
        <w:t xml:space="preserve"> to the current demand of the Police, Police officers today are also expected to deal with incidents that do not necessarily relate to crime and fulfil the role of other professional services (Institute for Government, 2021). This in itself is a challenge as Police officers are not always sufficiently </w:t>
      </w:r>
      <w:r w:rsidRPr="004019B8">
        <w:rPr>
          <w:rFonts w:ascii="Arial" w:hAnsi="Arial" w:cs="Arial"/>
        </w:rPr>
        <w:lastRenderedPageBreak/>
        <w:t>trained to deal with incidents they are sometimes faced with. This not only uses up vital resources that are already lacking but puts officers in a position that may be better dealt with by other professional services.</w:t>
      </w:r>
    </w:p>
    <w:p w:rsidR="004019B8" w:rsidRPr="004019B8" w:rsidRDefault="004019B8" w:rsidP="00972285">
      <w:pPr>
        <w:spacing w:line="360" w:lineRule="auto"/>
        <w:jc w:val="both"/>
        <w:rPr>
          <w:rFonts w:ascii="Arial" w:hAnsi="Arial" w:cs="Arial"/>
        </w:rPr>
      </w:pPr>
      <w:r w:rsidRPr="004019B8">
        <w:rPr>
          <w:rFonts w:ascii="Arial" w:hAnsi="Arial" w:cs="Arial"/>
        </w:rPr>
        <w:t>“A critical incident is defined as any incident where the effectiveness of the police response is likely to have a significant impact on the confidence of the victim, their family and/or the community” (Bryant &amp; Bryant, 2019). Critical incidents are managed through three rank command structure of gold, silver and bronze to assist chief officers in determining the appropriate command response (NPIA, 2011). When dealing with a critical incident, effective communication between partner agencies is necessary to ensure that important information is not overlooked. The importance of this was highlighted during the inquiry into Victoria Climbie’s death. Victoria Climbie, was an 8 year old child who was tortured to death by her great-aunt and her boyfriend. Her death led to a public inquiry chaired by Lord Laming who stated, “The suffering and death of Victoria was a gross failure of the system and was inexcusable” (Laming, 2003). As a result of the inquiry, major changes in child protection policies in the United Kingdom came into existence. The effective management of critical incidents is vital for the restoration of public confidence.</w:t>
      </w:r>
    </w:p>
    <w:p w:rsidR="004019B8" w:rsidRPr="004019B8" w:rsidRDefault="004019B8" w:rsidP="00972285">
      <w:pPr>
        <w:spacing w:line="360" w:lineRule="auto"/>
        <w:jc w:val="both"/>
        <w:rPr>
          <w:rFonts w:ascii="Arial" w:hAnsi="Arial" w:cs="Arial"/>
        </w:rPr>
      </w:pPr>
      <w:r w:rsidRPr="004019B8">
        <w:rPr>
          <w:rFonts w:ascii="Arial" w:hAnsi="Arial" w:cs="Arial"/>
        </w:rPr>
        <w:t>This also applies to major incidents. Bryant and Bryant (2019) defined a major incident as, “an emergency that requires the implementation of special arrangements by one or more of the emergency services, the NHS, or local authority. It is likely to involve serious harm, damage, security risk, disruption or risk to human life or welfare”. The main role of the Police during the initial phases of a major incident will include coordinating the emergency response and preservation of life (Home Office, 2018). An example of a major incident was the Manchester arena bombing, where on the 22nd May 2017, a male detonated a home-made bomb in the foyer of Manchester arena as crowds were leaving an Ariana Grande performance, killing 22 people and injuring 116 (BBC, 2017). Only recently an inquiry into the 2017 incident was held, during which, Deputy Chief Constable Ian Pilling of Greater Manchester Police (GMP) apologised for the failings by GMP during the emergency services response to the 2017 incident. In particular the failure to establish effective inter-service communications with other emergency services during the early stages of the incident and failure to carry out the basic functions of Joint Emergency Services Interoperability Principles (JESIP), which ultimately had a considerable impact on the multiagency response to the incident (Glover, 2021). The JESIP was established to ensure that initial multiagency response to all incidents are more organised, structured and practiced (JESIP, 2021). “It developed procedures which allow a shared risk assessment to be made, whilst taking into account that each organisation will have its own operational focus during an incident” (Bryant &amp; Bryant, 2019).</w:t>
      </w:r>
    </w:p>
    <w:p w:rsidR="004019B8" w:rsidRPr="004019B8" w:rsidRDefault="004019B8" w:rsidP="00972285">
      <w:pPr>
        <w:spacing w:line="360" w:lineRule="auto"/>
        <w:jc w:val="both"/>
        <w:rPr>
          <w:rFonts w:ascii="Arial" w:hAnsi="Arial" w:cs="Arial"/>
        </w:rPr>
      </w:pPr>
      <w:r w:rsidRPr="004019B8">
        <w:rPr>
          <w:rFonts w:ascii="Arial" w:hAnsi="Arial" w:cs="Arial"/>
        </w:rPr>
        <w:lastRenderedPageBreak/>
        <w:t>To conclude, operational policing is a challenging role with</w:t>
      </w:r>
      <w:r w:rsidR="001A53B4">
        <w:rPr>
          <w:rFonts w:ascii="Arial" w:hAnsi="Arial" w:cs="Arial"/>
        </w:rPr>
        <w:t xml:space="preserve">out </w:t>
      </w:r>
      <w:r w:rsidRPr="004019B8">
        <w:rPr>
          <w:rFonts w:ascii="Arial" w:hAnsi="Arial" w:cs="Arial"/>
        </w:rPr>
        <w:t>the added complexity of public relations, lack of re</w:t>
      </w:r>
      <w:r w:rsidR="001A53B4">
        <w:rPr>
          <w:rFonts w:ascii="Arial" w:hAnsi="Arial" w:cs="Arial"/>
        </w:rPr>
        <w:t>sources</w:t>
      </w:r>
      <w:r w:rsidRPr="004019B8">
        <w:rPr>
          <w:rFonts w:ascii="Arial" w:hAnsi="Arial" w:cs="Arial"/>
        </w:rPr>
        <w:t xml:space="preserve"> and adopting new roles that don’t necessarily involve crime. Additionally, a great deal can be learnt from past critical and major incidents. Ultimately the main lesson that can be learnt from the examples of critical and major incidents discussed is the importance of communication between partner agencies. This essa</w:t>
      </w:r>
      <w:r>
        <w:rPr>
          <w:rFonts w:ascii="Arial" w:hAnsi="Arial" w:cs="Arial"/>
        </w:rPr>
        <w:t xml:space="preserve">y highlights the importance of </w:t>
      </w:r>
      <w:r w:rsidRPr="004019B8">
        <w:rPr>
          <w:rFonts w:ascii="Arial" w:hAnsi="Arial" w:cs="Arial"/>
        </w:rPr>
        <w:t>the Police coordinating the emergency phase o</w:t>
      </w:r>
      <w:r w:rsidR="001A53B4">
        <w:rPr>
          <w:rFonts w:ascii="Arial" w:hAnsi="Arial" w:cs="Arial"/>
        </w:rPr>
        <w:t xml:space="preserve">f critical and major incidents, as well as </w:t>
      </w:r>
      <w:r w:rsidRPr="004019B8">
        <w:rPr>
          <w:rFonts w:ascii="Arial" w:hAnsi="Arial" w:cs="Arial"/>
        </w:rPr>
        <w:t>following the basi</w:t>
      </w:r>
      <w:r w:rsidR="001A53B4">
        <w:rPr>
          <w:rFonts w:ascii="Arial" w:hAnsi="Arial" w:cs="Arial"/>
        </w:rPr>
        <w:t>c principles of JESIP, which allow</w:t>
      </w:r>
      <w:r w:rsidRPr="004019B8">
        <w:rPr>
          <w:rFonts w:ascii="Arial" w:hAnsi="Arial" w:cs="Arial"/>
        </w:rPr>
        <w:t xml:space="preserve"> all emergency services to work cohesively </w:t>
      </w:r>
      <w:r w:rsidR="001A53B4">
        <w:rPr>
          <w:rFonts w:ascii="Arial" w:hAnsi="Arial" w:cs="Arial"/>
        </w:rPr>
        <w:t xml:space="preserve">and </w:t>
      </w:r>
      <w:r w:rsidRPr="004019B8">
        <w:rPr>
          <w:rFonts w:ascii="Arial" w:hAnsi="Arial" w:cs="Arial"/>
        </w:rPr>
        <w:t>to the best standar</w:t>
      </w:r>
      <w:r w:rsidR="001A53B4">
        <w:rPr>
          <w:rFonts w:ascii="Arial" w:hAnsi="Arial" w:cs="Arial"/>
        </w:rPr>
        <w:t xml:space="preserve">d, minimising the impact of an </w:t>
      </w:r>
      <w:r w:rsidRPr="004019B8">
        <w:rPr>
          <w:rFonts w:ascii="Arial" w:hAnsi="Arial" w:cs="Arial"/>
        </w:rPr>
        <w:t>incident.</w:t>
      </w:r>
    </w:p>
    <w:p w:rsidR="00063354" w:rsidRDefault="001A53B4" w:rsidP="00972285">
      <w:pPr>
        <w:spacing w:line="360" w:lineRule="auto"/>
        <w:jc w:val="both"/>
        <w:rPr>
          <w:rFonts w:ascii="Arial" w:hAnsi="Arial" w:cs="Arial"/>
        </w:rPr>
      </w:pPr>
      <w:r>
        <w:rPr>
          <w:rFonts w:ascii="Arial" w:hAnsi="Arial" w:cs="Arial"/>
        </w:rPr>
        <w:t>1098 words.</w:t>
      </w:r>
    </w:p>
    <w:p w:rsidR="001A53B4" w:rsidRDefault="001A53B4" w:rsidP="00063354">
      <w:pPr>
        <w:rPr>
          <w:rFonts w:ascii="Arial" w:hAnsi="Arial" w:cs="Arial"/>
        </w:rPr>
      </w:pPr>
    </w:p>
    <w:p w:rsidR="001A53B4" w:rsidRDefault="001A53B4" w:rsidP="00063354">
      <w:pPr>
        <w:rPr>
          <w:rFonts w:ascii="Arial" w:hAnsi="Arial" w:cs="Arial"/>
          <w:b/>
        </w:rPr>
      </w:pPr>
    </w:p>
    <w:p w:rsidR="001A53B4" w:rsidRDefault="001A53B4" w:rsidP="00063354">
      <w:pPr>
        <w:rPr>
          <w:rFonts w:ascii="Arial" w:hAnsi="Arial" w:cs="Arial"/>
          <w:b/>
        </w:rPr>
      </w:pPr>
    </w:p>
    <w:p w:rsidR="00611437" w:rsidRDefault="00611437" w:rsidP="001A53B4">
      <w:pPr>
        <w:rPr>
          <w:rFonts w:ascii="Arial" w:hAnsi="Arial" w:cs="Arial"/>
        </w:rPr>
      </w:pPr>
    </w:p>
    <w:p w:rsidR="00611437" w:rsidRDefault="00611437" w:rsidP="001A53B4">
      <w:pPr>
        <w:rPr>
          <w:rFonts w:ascii="Arial" w:hAnsi="Arial" w:cs="Arial"/>
        </w:rPr>
      </w:pPr>
    </w:p>
    <w:p w:rsidR="00611437" w:rsidRDefault="00611437" w:rsidP="001A53B4">
      <w:pPr>
        <w:rPr>
          <w:rFonts w:ascii="Arial" w:hAnsi="Arial" w:cs="Arial"/>
        </w:rPr>
      </w:pPr>
    </w:p>
    <w:p w:rsidR="00972285" w:rsidRDefault="00972285" w:rsidP="001A53B4">
      <w:pPr>
        <w:rPr>
          <w:rFonts w:ascii="Arial" w:hAnsi="Arial" w:cs="Arial"/>
        </w:rPr>
      </w:pPr>
    </w:p>
    <w:p w:rsidR="00972285" w:rsidRDefault="00972285" w:rsidP="001A53B4">
      <w:pPr>
        <w:rPr>
          <w:rFonts w:ascii="Arial" w:hAnsi="Arial" w:cs="Arial"/>
        </w:rPr>
      </w:pPr>
    </w:p>
    <w:p w:rsidR="00972285" w:rsidRDefault="00972285" w:rsidP="001A53B4">
      <w:pPr>
        <w:rPr>
          <w:rFonts w:ascii="Arial" w:hAnsi="Arial" w:cs="Arial"/>
        </w:rPr>
      </w:pPr>
    </w:p>
    <w:p w:rsidR="00972285" w:rsidRDefault="00972285" w:rsidP="001A53B4">
      <w:pPr>
        <w:rPr>
          <w:rFonts w:ascii="Arial" w:hAnsi="Arial" w:cs="Arial"/>
        </w:rPr>
      </w:pPr>
    </w:p>
    <w:p w:rsidR="00972285" w:rsidRDefault="00972285" w:rsidP="001A53B4">
      <w:pPr>
        <w:rPr>
          <w:rFonts w:ascii="Arial" w:hAnsi="Arial" w:cs="Arial"/>
        </w:rPr>
      </w:pPr>
    </w:p>
    <w:p w:rsidR="00972285" w:rsidRDefault="00972285" w:rsidP="001A53B4">
      <w:pPr>
        <w:rPr>
          <w:rFonts w:ascii="Arial" w:hAnsi="Arial" w:cs="Arial"/>
        </w:rPr>
      </w:pPr>
    </w:p>
    <w:p w:rsidR="00972285" w:rsidRDefault="00972285" w:rsidP="001A53B4">
      <w:pPr>
        <w:rPr>
          <w:rFonts w:ascii="Arial" w:hAnsi="Arial" w:cs="Arial"/>
        </w:rPr>
      </w:pPr>
    </w:p>
    <w:p w:rsidR="00972285" w:rsidRDefault="00972285" w:rsidP="001A53B4">
      <w:pPr>
        <w:rPr>
          <w:rFonts w:ascii="Arial" w:hAnsi="Arial" w:cs="Arial"/>
        </w:rPr>
      </w:pPr>
    </w:p>
    <w:p w:rsidR="00972285" w:rsidRDefault="00972285" w:rsidP="001A53B4">
      <w:pPr>
        <w:rPr>
          <w:rFonts w:ascii="Arial" w:hAnsi="Arial" w:cs="Arial"/>
        </w:rPr>
      </w:pPr>
    </w:p>
    <w:p w:rsidR="00972285" w:rsidRDefault="00972285" w:rsidP="001A53B4">
      <w:pPr>
        <w:rPr>
          <w:rFonts w:ascii="Arial" w:hAnsi="Arial" w:cs="Arial"/>
        </w:rPr>
      </w:pPr>
    </w:p>
    <w:p w:rsidR="00972285" w:rsidRDefault="00972285" w:rsidP="001A53B4">
      <w:pPr>
        <w:rPr>
          <w:rFonts w:ascii="Arial" w:hAnsi="Arial" w:cs="Arial"/>
        </w:rPr>
      </w:pPr>
    </w:p>
    <w:p w:rsidR="00972285" w:rsidRDefault="00972285" w:rsidP="001A53B4">
      <w:pPr>
        <w:rPr>
          <w:rFonts w:ascii="Arial" w:hAnsi="Arial" w:cs="Arial"/>
        </w:rPr>
      </w:pPr>
    </w:p>
    <w:p w:rsidR="00972285" w:rsidRDefault="00972285" w:rsidP="001A53B4">
      <w:pPr>
        <w:rPr>
          <w:rFonts w:ascii="Arial" w:hAnsi="Arial" w:cs="Arial"/>
        </w:rPr>
      </w:pPr>
    </w:p>
    <w:p w:rsidR="00972285" w:rsidRDefault="00972285" w:rsidP="001A53B4">
      <w:pPr>
        <w:rPr>
          <w:rFonts w:ascii="Arial" w:hAnsi="Arial" w:cs="Arial"/>
        </w:rPr>
      </w:pPr>
    </w:p>
    <w:p w:rsidR="00611437" w:rsidRDefault="00611437" w:rsidP="001A53B4">
      <w:pPr>
        <w:rPr>
          <w:rFonts w:ascii="Arial" w:hAnsi="Arial" w:cs="Arial"/>
        </w:rPr>
      </w:pPr>
    </w:p>
    <w:p w:rsidR="00611437" w:rsidRDefault="00611437" w:rsidP="001A53B4">
      <w:pPr>
        <w:rPr>
          <w:rFonts w:ascii="Arial" w:hAnsi="Arial" w:cs="Arial"/>
        </w:rPr>
      </w:pPr>
    </w:p>
    <w:p w:rsidR="00611437" w:rsidRDefault="00611437" w:rsidP="001A53B4">
      <w:pPr>
        <w:rPr>
          <w:rFonts w:ascii="Arial" w:hAnsi="Arial" w:cs="Arial"/>
        </w:rPr>
      </w:pPr>
    </w:p>
    <w:p w:rsidR="00611437" w:rsidRDefault="00611437" w:rsidP="00611437">
      <w:pPr>
        <w:rPr>
          <w:rFonts w:ascii="Arial" w:hAnsi="Arial" w:cs="Arial"/>
        </w:rPr>
      </w:pPr>
    </w:p>
    <w:p w:rsidR="00611437" w:rsidRPr="00611437" w:rsidRDefault="00611437" w:rsidP="00611437">
      <w:pPr>
        <w:rPr>
          <w:rFonts w:ascii="Arial" w:hAnsi="Arial" w:cs="Arial"/>
          <w:b/>
        </w:rPr>
      </w:pPr>
      <w:r w:rsidRPr="00611437">
        <w:rPr>
          <w:rFonts w:ascii="Arial" w:hAnsi="Arial" w:cs="Arial"/>
          <w:b/>
        </w:rPr>
        <w:lastRenderedPageBreak/>
        <w:t xml:space="preserve">Task 4 </w:t>
      </w:r>
    </w:p>
    <w:p w:rsidR="00611437" w:rsidRPr="00611437" w:rsidRDefault="00611437" w:rsidP="00972285">
      <w:pPr>
        <w:spacing w:line="360" w:lineRule="auto"/>
        <w:jc w:val="both"/>
        <w:rPr>
          <w:rFonts w:ascii="Arial" w:hAnsi="Arial" w:cs="Arial"/>
        </w:rPr>
      </w:pPr>
      <w:r w:rsidRPr="00611437">
        <w:rPr>
          <w:rFonts w:ascii="Arial" w:hAnsi="Arial" w:cs="Arial"/>
        </w:rPr>
        <w:t xml:space="preserve">“Terrorism is a complex and ever-changing phenomenon” (Baker, 2012). It does not have one singular definition but is defined by the Crown Prosecution Service (2017) as “the use or threat of action, designed to influence any international government organisation or to intimidate the public. It must also be for the purpose of advancing a political, religious, racial or ideological cause”. This essay analyses the links between terrorism and other forms of criminality as well as discussing how policing the roads can assist a counter terrorism investigation. </w:t>
      </w:r>
    </w:p>
    <w:p w:rsidR="00611437" w:rsidRPr="00611437" w:rsidRDefault="00611437" w:rsidP="00972285">
      <w:pPr>
        <w:spacing w:line="360" w:lineRule="auto"/>
        <w:jc w:val="both"/>
        <w:rPr>
          <w:rFonts w:ascii="Arial" w:hAnsi="Arial" w:cs="Arial"/>
        </w:rPr>
      </w:pPr>
      <w:r w:rsidRPr="00611437">
        <w:rPr>
          <w:rFonts w:ascii="Arial" w:hAnsi="Arial" w:cs="Arial"/>
        </w:rPr>
        <w:t xml:space="preserve">Terrorist groups, like all organisations need funds to finance their operations. The cost of each individual terrorist operations can vary and although the cost of some may be relatively inexpensive, terrorist organisations require much larger budgets to function. As an example, the 2003 Madrid terrorist attack cost between 10,000 dollars and 50,000 dollars, whereas the 9/11 terrorism attack cost between 350,000 dollars and 500,000 dollars (Freeman, 2011). Generally terrorist groups fund these operations through other forms of criminality, one of the most common being drug trafficking. The connection between drugs and terrorism was first noted in the 1980s, when terrorist groups in Latin America, the Middle East and Asia were involved in the cultivation, manufacture and trafficking of drugs (Basra, 2019). In recent years we have seen terrorist organisations such as the PKK in Turkey and the FARC in Colombia heavily involved in the drug trade (Freeman, 2011). The Kurdistan Workers’ Party (PKK) is a terrorist organisation that has been operating since 1978 (Karaca, 2010) and are more commonly involved in the distribution and transit of drugs as opposed to being involved in the cultivation and selling of drugs. The PKK is known for trafficking heroin from Southwest Asia into Europe and it is estimated that “80 percent of the drugs in Europe have some connection to the PKK” (Freeman, 2011). </w:t>
      </w:r>
    </w:p>
    <w:p w:rsidR="00611437" w:rsidRPr="00611437" w:rsidRDefault="00611437" w:rsidP="00972285">
      <w:pPr>
        <w:spacing w:line="360" w:lineRule="auto"/>
        <w:jc w:val="both"/>
        <w:rPr>
          <w:rFonts w:ascii="Arial" w:hAnsi="Arial" w:cs="Arial"/>
        </w:rPr>
      </w:pPr>
      <w:r w:rsidRPr="00611437">
        <w:rPr>
          <w:rFonts w:ascii="Arial" w:hAnsi="Arial" w:cs="Arial"/>
        </w:rPr>
        <w:t xml:space="preserve">Drug trafficking is also a vital source of income for the Revolutionary Armed Forces of Colombia (FARC) and is used to buy weapons, uniform and recruit new members (Otis, 2014). It is estimated that the FARC earn approximately 1.1 billion dollars annually from the drug trade (Pachio, 2012). As well as the FARC, the Taliban in Afghanistan also fund their operations through drug trafficking. “Afghanistan is the world’s largest producer of opium poppy” (Azami, 2018), which is used to produce heroin. The Taliban control the majority of opium poppy growing in Afghanistan and profit between 70 million dollars and 400 million dollars annually from the opium trade (Freeman, 2011). Other forms of criminality that terrorist groups will often carry out to acquire funds, are kidnapping and human trafficking. Terrorist groups, including the FARC in Colombia, will kidnap powerful officials or wealthy businessmen and hold them for ransom. This is one of the most profitable sources of income for terrorists groups as the ransoms paid, in return for the kidnapped individual, can cost millions of dollars (Freeman, 2011). Terrorist groups also engage in human trafficking. The PKK, for example, is </w:t>
      </w:r>
      <w:r w:rsidRPr="00611437">
        <w:rPr>
          <w:rFonts w:ascii="Arial" w:hAnsi="Arial" w:cs="Arial"/>
        </w:rPr>
        <w:lastRenderedPageBreak/>
        <w:t>heavily involved in the trafficking of people from Iraq and other countries in Asia into Europe. It is estimated that the PKK will received between 2000 and 3000 euros for each individual they have trafficked (Freeman, 2011). Terrorists groups are also known for utilising human trafficking as a driver for recruitment (Huckerby, 2019).</w:t>
      </w:r>
    </w:p>
    <w:p w:rsidR="00611437" w:rsidRPr="00611437" w:rsidRDefault="00611437" w:rsidP="00972285">
      <w:pPr>
        <w:spacing w:line="360" w:lineRule="auto"/>
        <w:jc w:val="both"/>
        <w:rPr>
          <w:rFonts w:ascii="Arial" w:hAnsi="Arial" w:cs="Arial"/>
        </w:rPr>
      </w:pPr>
      <w:r w:rsidRPr="00611437">
        <w:rPr>
          <w:rFonts w:ascii="Arial" w:hAnsi="Arial" w:cs="Arial"/>
        </w:rPr>
        <w:t xml:space="preserve">There are many operations in place to disrupt terrorism and effective policing the roads can massively assist with this. The road network is the utilized for a significant amount of criminal activity. Like everyone else criminals and terrorist groups will use the road networks to facilitate crime or terrorist activities. By adopting proactive and intelligence led partnership approaches the Police are able to disrupt criminality on the road including terrorist activity. Modern day technology has allowed the Police and other law enforcement agencies to gather information and intelligence to identify terrorist groups operating in the United Kingdom (UK). Automatic Number Plate Recognition (ANPR) technology is used by Police and other law enforcement agencies in the UK to “detect, deter and disrupt criminality at a local, force, regional and national level” (NPCC, 2021). ANPR technology has proven to be effective in tracing criminals, such as terrorists, using the road network as it can identify vehicles and match them against predetermined indices or flags (College of Policing, 2021). When a vehicle passes an ANPR camera, the camera will read the vehicle’s registration and instantly check it against database records (NPCC, 2021). A record of all vehicles are stored in the National ANPR Data Centre (NADC) and retained for two years, meaning ANPR read records can be accessed at a later date for investigative purposes. There are approximately 20 billion read records held at one time (NPCC, 2016). </w:t>
      </w:r>
    </w:p>
    <w:p w:rsidR="00611437" w:rsidRPr="00611437" w:rsidRDefault="00611437" w:rsidP="00972285">
      <w:pPr>
        <w:spacing w:line="360" w:lineRule="auto"/>
        <w:jc w:val="both"/>
        <w:rPr>
          <w:rFonts w:ascii="Arial" w:hAnsi="Arial" w:cs="Arial"/>
        </w:rPr>
      </w:pPr>
      <w:r w:rsidRPr="00611437">
        <w:rPr>
          <w:rFonts w:ascii="Arial" w:hAnsi="Arial" w:cs="Arial"/>
        </w:rPr>
        <w:t xml:space="preserve">ANPR technology is an integral part of Counter-Terrorism as it can trace the movements of terrorists and identify suspicious patterns and behaviour. Transport is massively important for terrorist activity. “ANPR cameras can provide real-time information as well as historic analysis that allows for identification and investigation of potential threats prior to any criminal actions being carried out” (MAV, 2021). The advancement of technology and ANPR Cameras has strengthened the defences of UK borders as well as cities and other potential terrorist targets. Due to the extent and range of potential terrorist targets, ANPR cameras are set up in a variety of locations all over the UK, including the borders, government buildings, ports, roads leading into city centres, toll bridges, airports and inner cities (MAV, 2021). As discussed above, many terrorist groups generate their money through drug trafficking. Having ANPR cameras in these locations are vital, as it allows the Police and other law enforcement agencies to generate and gather intelligence on terrorist groups trafficking drugs in and out of the UK. ANPR cameras also allow the Police and other law enforcement agencies to use ANPR intelligence with other sources of data such as CCTV or facial recognition systems, to identify the drivers or </w:t>
      </w:r>
      <w:r w:rsidRPr="00611437">
        <w:rPr>
          <w:rFonts w:ascii="Arial" w:hAnsi="Arial" w:cs="Arial"/>
        </w:rPr>
        <w:lastRenderedPageBreak/>
        <w:t>passengers of vehicles and build intelligence on criminal networks. For this reason, ANPR is an efficient investigative resource (NPIA, 2009).</w:t>
      </w:r>
    </w:p>
    <w:p w:rsidR="00611437" w:rsidRPr="00611437" w:rsidRDefault="00611437" w:rsidP="00972285">
      <w:pPr>
        <w:spacing w:line="360" w:lineRule="auto"/>
        <w:jc w:val="both"/>
        <w:rPr>
          <w:rFonts w:ascii="Arial" w:hAnsi="Arial" w:cs="Arial"/>
        </w:rPr>
      </w:pPr>
      <w:r w:rsidRPr="00611437">
        <w:rPr>
          <w:rFonts w:ascii="Arial" w:hAnsi="Arial" w:cs="Arial"/>
        </w:rPr>
        <w:t>To conclude, terrorism and other forms of criminality coincide one another. Many terrorists groups will commit crime, including drug trafficking and human trafficking, to fund their operations, purchase weapons and recruit new members. The threat of terrorism is very real and effective use of ANPR technology allows the Police and other law enforcement agencies to gather intelligence on terrorist groups that are using the road networks to facilitate crime. Ultimately, effective policing of the roads is imperative to the police having an upper hand in protecting the UK from the threat of terrorism.</w:t>
      </w:r>
    </w:p>
    <w:p w:rsidR="00611437" w:rsidRDefault="00611437" w:rsidP="00972285">
      <w:pPr>
        <w:spacing w:line="360" w:lineRule="auto"/>
        <w:jc w:val="both"/>
        <w:rPr>
          <w:rFonts w:ascii="Arial" w:hAnsi="Arial" w:cs="Arial"/>
        </w:rPr>
      </w:pPr>
      <w:r w:rsidRPr="00611437">
        <w:rPr>
          <w:rFonts w:ascii="Arial" w:hAnsi="Arial" w:cs="Arial"/>
        </w:rPr>
        <w:t>1100 words.</w:t>
      </w:r>
    </w:p>
    <w:p w:rsidR="00611437" w:rsidRDefault="00611437" w:rsidP="00611437">
      <w:pPr>
        <w:rPr>
          <w:rFonts w:ascii="Arial" w:hAnsi="Arial" w:cs="Arial"/>
        </w:rPr>
      </w:pPr>
    </w:p>
    <w:p w:rsidR="00611437" w:rsidRDefault="00611437" w:rsidP="00611437">
      <w:pPr>
        <w:rPr>
          <w:rFonts w:ascii="Arial" w:hAnsi="Arial" w:cs="Arial"/>
        </w:rPr>
      </w:pPr>
    </w:p>
    <w:p w:rsidR="00611437" w:rsidRDefault="00611437" w:rsidP="00611437">
      <w:pPr>
        <w:rPr>
          <w:rFonts w:ascii="Arial" w:hAnsi="Arial" w:cs="Arial"/>
        </w:rPr>
      </w:pPr>
    </w:p>
    <w:p w:rsidR="00611437" w:rsidRDefault="00611437" w:rsidP="00611437">
      <w:pPr>
        <w:rPr>
          <w:rFonts w:ascii="Arial" w:hAnsi="Arial" w:cs="Arial"/>
        </w:rPr>
      </w:pPr>
    </w:p>
    <w:p w:rsidR="00611437" w:rsidRDefault="00611437" w:rsidP="00611437">
      <w:pPr>
        <w:rPr>
          <w:rFonts w:ascii="Arial" w:hAnsi="Arial" w:cs="Arial"/>
        </w:rPr>
      </w:pPr>
    </w:p>
    <w:p w:rsidR="00611437" w:rsidRDefault="00611437" w:rsidP="00611437">
      <w:pPr>
        <w:rPr>
          <w:rFonts w:ascii="Arial" w:hAnsi="Arial" w:cs="Arial"/>
        </w:rPr>
      </w:pPr>
    </w:p>
    <w:p w:rsidR="00611437" w:rsidRDefault="00611437" w:rsidP="00611437">
      <w:pPr>
        <w:rPr>
          <w:rFonts w:ascii="Arial" w:hAnsi="Arial" w:cs="Arial"/>
        </w:rPr>
      </w:pPr>
    </w:p>
    <w:p w:rsidR="00972285" w:rsidRDefault="00972285" w:rsidP="00611437">
      <w:pPr>
        <w:rPr>
          <w:rFonts w:ascii="Arial" w:hAnsi="Arial" w:cs="Arial"/>
        </w:rPr>
      </w:pPr>
    </w:p>
    <w:p w:rsidR="00972285" w:rsidRDefault="00972285" w:rsidP="00611437">
      <w:pPr>
        <w:rPr>
          <w:rFonts w:ascii="Arial" w:hAnsi="Arial" w:cs="Arial"/>
        </w:rPr>
      </w:pPr>
    </w:p>
    <w:p w:rsidR="00972285" w:rsidRDefault="00972285" w:rsidP="00611437">
      <w:pPr>
        <w:rPr>
          <w:rFonts w:ascii="Arial" w:hAnsi="Arial" w:cs="Arial"/>
        </w:rPr>
      </w:pPr>
    </w:p>
    <w:p w:rsidR="00972285" w:rsidRDefault="00972285" w:rsidP="00611437">
      <w:pPr>
        <w:rPr>
          <w:rFonts w:ascii="Arial" w:hAnsi="Arial" w:cs="Arial"/>
        </w:rPr>
      </w:pPr>
    </w:p>
    <w:p w:rsidR="00972285" w:rsidRDefault="00972285" w:rsidP="00611437">
      <w:pPr>
        <w:rPr>
          <w:rFonts w:ascii="Arial" w:hAnsi="Arial" w:cs="Arial"/>
        </w:rPr>
      </w:pPr>
    </w:p>
    <w:p w:rsidR="00972285" w:rsidRDefault="00972285" w:rsidP="00611437">
      <w:pPr>
        <w:rPr>
          <w:rFonts w:ascii="Arial" w:hAnsi="Arial" w:cs="Arial"/>
        </w:rPr>
      </w:pPr>
    </w:p>
    <w:p w:rsidR="00972285" w:rsidRDefault="00972285" w:rsidP="00611437">
      <w:pPr>
        <w:rPr>
          <w:rFonts w:ascii="Arial" w:hAnsi="Arial" w:cs="Arial"/>
        </w:rPr>
      </w:pPr>
    </w:p>
    <w:p w:rsidR="00972285" w:rsidRDefault="00972285" w:rsidP="00611437">
      <w:pPr>
        <w:rPr>
          <w:rFonts w:ascii="Arial" w:hAnsi="Arial" w:cs="Arial"/>
        </w:rPr>
      </w:pPr>
    </w:p>
    <w:p w:rsidR="00972285" w:rsidRDefault="00972285" w:rsidP="00611437">
      <w:pPr>
        <w:rPr>
          <w:rFonts w:ascii="Arial" w:hAnsi="Arial" w:cs="Arial"/>
        </w:rPr>
      </w:pPr>
    </w:p>
    <w:p w:rsidR="00972285" w:rsidRDefault="00972285" w:rsidP="00611437">
      <w:pPr>
        <w:rPr>
          <w:rFonts w:ascii="Arial" w:hAnsi="Arial" w:cs="Arial"/>
        </w:rPr>
      </w:pPr>
    </w:p>
    <w:p w:rsidR="00972285" w:rsidRDefault="00972285" w:rsidP="00611437">
      <w:pPr>
        <w:rPr>
          <w:rFonts w:ascii="Arial" w:hAnsi="Arial" w:cs="Arial"/>
        </w:rPr>
      </w:pPr>
    </w:p>
    <w:p w:rsidR="00972285" w:rsidRDefault="00972285" w:rsidP="00611437">
      <w:pPr>
        <w:rPr>
          <w:rFonts w:ascii="Arial" w:hAnsi="Arial" w:cs="Arial"/>
        </w:rPr>
      </w:pPr>
    </w:p>
    <w:p w:rsidR="00611437" w:rsidRDefault="00611437" w:rsidP="00611437">
      <w:pPr>
        <w:rPr>
          <w:rFonts w:ascii="Arial" w:hAnsi="Arial" w:cs="Arial"/>
        </w:rPr>
      </w:pPr>
    </w:p>
    <w:p w:rsidR="00611437" w:rsidRPr="00611437" w:rsidRDefault="00611437" w:rsidP="00611437">
      <w:pPr>
        <w:rPr>
          <w:rFonts w:ascii="Arial" w:hAnsi="Arial" w:cs="Arial"/>
          <w:b/>
        </w:rPr>
      </w:pPr>
    </w:p>
    <w:p w:rsidR="00A55197" w:rsidRDefault="00A55197" w:rsidP="00611437">
      <w:pPr>
        <w:rPr>
          <w:rFonts w:ascii="Arial" w:hAnsi="Arial" w:cs="Arial"/>
        </w:rPr>
      </w:pPr>
    </w:p>
    <w:p w:rsidR="00F82C23" w:rsidRDefault="00F82C23" w:rsidP="00611437">
      <w:pPr>
        <w:rPr>
          <w:rFonts w:ascii="Arial" w:hAnsi="Arial" w:cs="Arial"/>
          <w:b/>
        </w:rPr>
      </w:pPr>
      <w:r w:rsidRPr="00F82C23">
        <w:rPr>
          <w:rFonts w:ascii="Arial" w:hAnsi="Arial" w:cs="Arial"/>
          <w:b/>
        </w:rPr>
        <w:lastRenderedPageBreak/>
        <w:t xml:space="preserve">Bibliography </w:t>
      </w:r>
      <w:bookmarkStart w:id="0" w:name="_GoBack"/>
      <w:bookmarkEnd w:id="0"/>
    </w:p>
    <w:p w:rsidR="00F82C23" w:rsidRDefault="00F82C23" w:rsidP="00611437">
      <w:pPr>
        <w:rPr>
          <w:rFonts w:ascii="Arial" w:hAnsi="Arial" w:cs="Arial"/>
          <w:b/>
        </w:rPr>
      </w:pPr>
    </w:p>
    <w:p w:rsidR="00A55197" w:rsidRPr="00611437" w:rsidRDefault="00A55197" w:rsidP="00611437">
      <w:pPr>
        <w:rPr>
          <w:rFonts w:ascii="Arial" w:hAnsi="Arial" w:cs="Arial"/>
        </w:rPr>
      </w:pPr>
      <w:r w:rsidRPr="00611437">
        <w:rPr>
          <w:rFonts w:ascii="Arial" w:hAnsi="Arial" w:cs="Arial"/>
        </w:rPr>
        <w:t xml:space="preserve">Armitage, R. (2016). Crime Prevention through Environmental Design. </w:t>
      </w:r>
    </w:p>
    <w:p w:rsidR="00A55197" w:rsidRPr="00611437" w:rsidRDefault="00A55197" w:rsidP="00611437">
      <w:pPr>
        <w:rPr>
          <w:rFonts w:ascii="Arial" w:hAnsi="Arial" w:cs="Arial"/>
        </w:rPr>
      </w:pPr>
      <w:r w:rsidRPr="00611437">
        <w:rPr>
          <w:rFonts w:ascii="Arial" w:hAnsi="Arial" w:cs="Arial"/>
        </w:rPr>
        <w:t xml:space="preserve">Azami, D. (2018). </w:t>
      </w:r>
      <w:r w:rsidRPr="00611437">
        <w:rPr>
          <w:rFonts w:ascii="Arial" w:hAnsi="Arial" w:cs="Arial"/>
          <w:i/>
        </w:rPr>
        <w:t>Afghanistan: How does the Taliban make money?</w:t>
      </w:r>
      <w:r w:rsidRPr="00611437">
        <w:rPr>
          <w:rFonts w:ascii="Arial" w:hAnsi="Arial" w:cs="Arial"/>
        </w:rPr>
        <w:t xml:space="preserve"> BBC News: https://www.bbc.co.uk/news/world-46554097</w:t>
      </w:r>
    </w:p>
    <w:p w:rsidR="00A55197" w:rsidRPr="00611437" w:rsidRDefault="00A55197" w:rsidP="00611437">
      <w:pPr>
        <w:rPr>
          <w:rFonts w:ascii="Arial" w:hAnsi="Arial" w:cs="Arial"/>
        </w:rPr>
      </w:pPr>
      <w:r w:rsidRPr="00611437">
        <w:rPr>
          <w:rFonts w:ascii="Arial" w:hAnsi="Arial" w:cs="Arial"/>
        </w:rPr>
        <w:t xml:space="preserve">Baker, E. (2012). Forecasting Terrorism: The Need for a More Systematic Approach. </w:t>
      </w:r>
      <w:r w:rsidRPr="00611437">
        <w:rPr>
          <w:rFonts w:ascii="Arial" w:hAnsi="Arial" w:cs="Arial"/>
          <w:i/>
        </w:rPr>
        <w:t>Journal of Strategic Security,</w:t>
      </w:r>
      <w:r w:rsidRPr="00611437">
        <w:rPr>
          <w:rFonts w:ascii="Arial" w:hAnsi="Arial" w:cs="Arial"/>
        </w:rPr>
        <w:t xml:space="preserve"> 69-84.</w:t>
      </w:r>
    </w:p>
    <w:p w:rsidR="00A55197" w:rsidRPr="00611437" w:rsidRDefault="00A55197" w:rsidP="00611437">
      <w:pPr>
        <w:rPr>
          <w:rFonts w:ascii="Arial" w:hAnsi="Arial" w:cs="Arial"/>
        </w:rPr>
      </w:pPr>
      <w:r w:rsidRPr="00611437">
        <w:rPr>
          <w:rFonts w:ascii="Arial" w:hAnsi="Arial" w:cs="Arial"/>
        </w:rPr>
        <w:t xml:space="preserve">Basra, R. (2019). </w:t>
      </w:r>
      <w:r w:rsidRPr="00611437">
        <w:rPr>
          <w:rFonts w:ascii="Arial" w:hAnsi="Arial" w:cs="Arial"/>
          <w:i/>
        </w:rPr>
        <w:t>Drugs and Terrorism: The Overlaps in Europe</w:t>
      </w:r>
      <w:r w:rsidRPr="00611437">
        <w:rPr>
          <w:rFonts w:ascii="Arial" w:hAnsi="Arial" w:cs="Arial"/>
        </w:rPr>
        <w:t>. European Monitoring Centre for Drugs and Drug Addiction (EMCDDA).</w:t>
      </w:r>
    </w:p>
    <w:p w:rsidR="00A55197" w:rsidRPr="00611437" w:rsidRDefault="00A55197" w:rsidP="00611437">
      <w:pPr>
        <w:rPr>
          <w:rFonts w:ascii="Arial" w:hAnsi="Arial" w:cs="Arial"/>
        </w:rPr>
      </w:pPr>
      <w:r w:rsidRPr="00611437">
        <w:rPr>
          <w:rFonts w:ascii="Arial" w:hAnsi="Arial" w:cs="Arial"/>
        </w:rPr>
        <w:t>BBC. (1997). Straw Announces Inquiry into Lawrence Murder. BBC News: http://www.bbc.co.uk/news/special/politics97/news/07/0731/lawrence.shtml</w:t>
      </w:r>
    </w:p>
    <w:p w:rsidR="00A55197" w:rsidRPr="00611437" w:rsidRDefault="00A55197" w:rsidP="00611437">
      <w:pPr>
        <w:rPr>
          <w:rFonts w:ascii="Arial" w:hAnsi="Arial" w:cs="Arial"/>
        </w:rPr>
      </w:pPr>
      <w:r w:rsidRPr="00611437">
        <w:rPr>
          <w:rFonts w:ascii="Arial" w:hAnsi="Arial" w:cs="Arial"/>
        </w:rPr>
        <w:t>BBC. (2017). Manchester attack: What we know so far.  BBC News: https://www.bbc.co.uk/news/uk-england-manchester-40008389</w:t>
      </w:r>
    </w:p>
    <w:p w:rsidR="00A55197" w:rsidRPr="00611437" w:rsidRDefault="00A55197" w:rsidP="00611437">
      <w:pPr>
        <w:rPr>
          <w:rFonts w:ascii="Arial" w:hAnsi="Arial" w:cs="Arial"/>
        </w:rPr>
      </w:pPr>
      <w:r w:rsidRPr="00611437">
        <w:rPr>
          <w:rFonts w:ascii="Arial" w:hAnsi="Arial" w:cs="Arial"/>
        </w:rPr>
        <w:t>BBC. (2021</w:t>
      </w:r>
      <w:r w:rsidR="00442ABA">
        <w:rPr>
          <w:rFonts w:ascii="Arial" w:hAnsi="Arial" w:cs="Arial"/>
        </w:rPr>
        <w:t>a</w:t>
      </w:r>
      <w:r w:rsidRPr="00611437">
        <w:rPr>
          <w:rFonts w:ascii="Arial" w:hAnsi="Arial" w:cs="Arial"/>
        </w:rPr>
        <w:t>). Brixton riots 1981: What happened 40 years ago in London? BBC: https://www.bbc.co.uk/newsround/50035769</w:t>
      </w:r>
    </w:p>
    <w:p w:rsidR="00A55197" w:rsidRPr="00611437" w:rsidRDefault="00A55197" w:rsidP="00611437">
      <w:pPr>
        <w:rPr>
          <w:rFonts w:ascii="Arial" w:hAnsi="Arial" w:cs="Arial"/>
        </w:rPr>
      </w:pPr>
      <w:r w:rsidRPr="00611437">
        <w:rPr>
          <w:rFonts w:ascii="Arial" w:hAnsi="Arial" w:cs="Arial"/>
        </w:rPr>
        <w:t>BBC. (2021</w:t>
      </w:r>
      <w:r w:rsidR="00442ABA">
        <w:rPr>
          <w:rFonts w:ascii="Arial" w:hAnsi="Arial" w:cs="Arial"/>
        </w:rPr>
        <w:t>b</w:t>
      </w:r>
      <w:r w:rsidRPr="00611437">
        <w:rPr>
          <w:rFonts w:ascii="Arial" w:hAnsi="Arial" w:cs="Arial"/>
        </w:rPr>
        <w:t>). Sarah Everard: Wayne Couzens admits rape and kidnap. BBC News: https://www.bbc.co.uk/news/uk-england-57399170</w:t>
      </w:r>
    </w:p>
    <w:p w:rsidR="00A55197" w:rsidRPr="00611437" w:rsidRDefault="00A55197" w:rsidP="00611437">
      <w:pPr>
        <w:rPr>
          <w:rFonts w:ascii="Arial" w:hAnsi="Arial" w:cs="Arial"/>
        </w:rPr>
      </w:pPr>
      <w:r w:rsidRPr="00611437">
        <w:rPr>
          <w:rFonts w:ascii="Arial" w:hAnsi="Arial" w:cs="Arial"/>
        </w:rPr>
        <w:t>Bowden, G. (2021). Sarah Everard vigil: 'All I wanted was to stand with other women'. BBC News: https://www.bbc.co.uk/news/uk-56402418</w:t>
      </w:r>
    </w:p>
    <w:p w:rsidR="00A55197" w:rsidRPr="00611437" w:rsidRDefault="00A55197" w:rsidP="00611437">
      <w:pPr>
        <w:rPr>
          <w:rFonts w:ascii="Arial" w:hAnsi="Arial" w:cs="Arial"/>
        </w:rPr>
      </w:pPr>
      <w:r w:rsidRPr="00611437">
        <w:rPr>
          <w:rFonts w:ascii="Arial" w:hAnsi="Arial" w:cs="Arial"/>
        </w:rPr>
        <w:t xml:space="preserve">Braga, A. A., &amp; Weisburd, D. L. (2006). Police Innovation and Crime Prevention: Lessons Learned from Police Research over the Past 20 Years. </w:t>
      </w:r>
    </w:p>
    <w:p w:rsidR="00A55197" w:rsidRPr="00611437" w:rsidRDefault="00A55197" w:rsidP="00611437">
      <w:pPr>
        <w:rPr>
          <w:rFonts w:ascii="Arial" w:hAnsi="Arial" w:cs="Arial"/>
        </w:rPr>
      </w:pPr>
      <w:r w:rsidRPr="00611437">
        <w:rPr>
          <w:rFonts w:ascii="Arial" w:hAnsi="Arial" w:cs="Arial"/>
        </w:rPr>
        <w:t>Bryant, R., &amp; Bryant, S. (2019). Blackstone's Handbook for Policing Students. Oxford: Oxford University Press.</w:t>
      </w:r>
    </w:p>
    <w:p w:rsidR="00A55197" w:rsidRPr="00611437" w:rsidRDefault="00A55197" w:rsidP="00611437">
      <w:pPr>
        <w:rPr>
          <w:rFonts w:ascii="Arial" w:hAnsi="Arial" w:cs="Arial"/>
        </w:rPr>
      </w:pPr>
      <w:r w:rsidRPr="00611437">
        <w:rPr>
          <w:rFonts w:ascii="Arial" w:hAnsi="Arial" w:cs="Arial"/>
        </w:rPr>
        <w:t>Childress, S. (2016). The Problem with Broken Windows Policing. Frontline: https://www.pbs.org/wgbh/frontline/article/the-problem-with-broken-windows-policing/</w:t>
      </w:r>
    </w:p>
    <w:p w:rsidR="00A55197" w:rsidRPr="00611437" w:rsidRDefault="00A55197" w:rsidP="00611437">
      <w:pPr>
        <w:rPr>
          <w:rFonts w:ascii="Arial" w:hAnsi="Arial" w:cs="Arial"/>
        </w:rPr>
      </w:pPr>
      <w:r w:rsidRPr="00611437">
        <w:rPr>
          <w:rFonts w:ascii="Arial" w:hAnsi="Arial" w:cs="Arial"/>
        </w:rPr>
        <w:t>Coliandris, G. (2014). Zander on PACE: The Police and Criminal Evidence Act 1984, 6th Edition. The Police Journal, 139.</w:t>
      </w:r>
    </w:p>
    <w:p w:rsidR="00A55197" w:rsidRPr="00611437" w:rsidRDefault="00A55197" w:rsidP="00611437">
      <w:pPr>
        <w:rPr>
          <w:rFonts w:ascii="Arial" w:hAnsi="Arial" w:cs="Arial"/>
        </w:rPr>
      </w:pPr>
      <w:r w:rsidRPr="00611437">
        <w:rPr>
          <w:rFonts w:ascii="Arial" w:hAnsi="Arial" w:cs="Arial"/>
        </w:rPr>
        <w:t>College of Policing. (2013). Engagement and Communication. College of Policing: https://www.app.college.police.uk/app-content/engagement-and-communication/engaging-with-communities/</w:t>
      </w:r>
    </w:p>
    <w:p w:rsidR="00A55197" w:rsidRPr="00611437" w:rsidRDefault="00A55197" w:rsidP="00611437">
      <w:pPr>
        <w:rPr>
          <w:rFonts w:ascii="Arial" w:hAnsi="Arial" w:cs="Arial"/>
        </w:rPr>
      </w:pPr>
      <w:r w:rsidRPr="00611437">
        <w:rPr>
          <w:rFonts w:ascii="Arial" w:hAnsi="Arial" w:cs="Arial"/>
        </w:rPr>
        <w:t>College of Policing. (2017). Hot spots policing. College of Policing What Works: https://whatworks.college.police.uk/toolkit/Pages/Intervention.aspx?InterventionID=46</w:t>
      </w:r>
    </w:p>
    <w:p w:rsidR="00A55197" w:rsidRPr="00611437" w:rsidRDefault="00A55197" w:rsidP="00611437">
      <w:pPr>
        <w:rPr>
          <w:rFonts w:ascii="Arial" w:hAnsi="Arial" w:cs="Arial"/>
        </w:rPr>
      </w:pPr>
      <w:r w:rsidRPr="00611437">
        <w:rPr>
          <w:rFonts w:ascii="Arial" w:hAnsi="Arial" w:cs="Arial"/>
        </w:rPr>
        <w:t xml:space="preserve">College of Policing. (2021). </w:t>
      </w:r>
      <w:r w:rsidRPr="00611437">
        <w:rPr>
          <w:rFonts w:ascii="Arial" w:hAnsi="Arial" w:cs="Arial"/>
          <w:i/>
        </w:rPr>
        <w:t>Roads Policing Disrupting criminality.</w:t>
      </w:r>
      <w:r w:rsidRPr="00611437">
        <w:rPr>
          <w:rFonts w:ascii="Arial" w:hAnsi="Arial" w:cs="Arial"/>
        </w:rPr>
        <w:t xml:space="preserve"> College of Policing: https://www.app.college.police.uk/app-content/road-policing-2/disrupting-criminality/</w:t>
      </w:r>
    </w:p>
    <w:p w:rsidR="00A55197" w:rsidRPr="00611437" w:rsidRDefault="00A55197" w:rsidP="00611437">
      <w:pPr>
        <w:rPr>
          <w:rFonts w:ascii="Arial" w:hAnsi="Arial" w:cs="Arial"/>
        </w:rPr>
      </w:pPr>
      <w:r w:rsidRPr="00611437">
        <w:rPr>
          <w:rFonts w:ascii="Arial" w:hAnsi="Arial" w:cs="Arial"/>
        </w:rPr>
        <w:t xml:space="preserve">CPS. (2017). </w:t>
      </w:r>
      <w:r w:rsidRPr="00611437">
        <w:rPr>
          <w:rFonts w:ascii="Arial" w:hAnsi="Arial" w:cs="Arial"/>
          <w:i/>
        </w:rPr>
        <w:t>Terrorism</w:t>
      </w:r>
      <w:r w:rsidRPr="00611437">
        <w:rPr>
          <w:rFonts w:ascii="Arial" w:hAnsi="Arial" w:cs="Arial"/>
        </w:rPr>
        <w:t>. Crown Prosecution Service (CPS): https://www.cps.gov.uk/crime-info/terrorism</w:t>
      </w:r>
    </w:p>
    <w:p w:rsidR="00A55197" w:rsidRPr="00611437" w:rsidRDefault="00A55197" w:rsidP="00611437">
      <w:pPr>
        <w:rPr>
          <w:rFonts w:ascii="Arial" w:hAnsi="Arial" w:cs="Arial"/>
        </w:rPr>
      </w:pPr>
      <w:r w:rsidRPr="00611437">
        <w:rPr>
          <w:rFonts w:ascii="Arial" w:hAnsi="Arial" w:cs="Arial"/>
        </w:rPr>
        <w:t>Crew Regeneration Wales. (2021). A Guide to Effective Community Engagement. Crew Regeneration Wales: http://www.regenwales.org/upload/pdf/071415111717A%20Guide%20to%20Effective%20Community%20Engagement.pdf</w:t>
      </w:r>
    </w:p>
    <w:p w:rsidR="00A55197" w:rsidRPr="00611437" w:rsidRDefault="00DB524E" w:rsidP="00611437">
      <w:pPr>
        <w:rPr>
          <w:rFonts w:ascii="Arial" w:hAnsi="Arial" w:cs="Arial"/>
        </w:rPr>
      </w:pPr>
      <w:r>
        <w:rPr>
          <w:rFonts w:ascii="Arial" w:hAnsi="Arial" w:cs="Arial"/>
        </w:rPr>
        <w:lastRenderedPageBreak/>
        <w:t>Dabydeen, D., Gilmore, J.</w:t>
      </w:r>
      <w:r w:rsidR="00A55197" w:rsidRPr="00611437">
        <w:rPr>
          <w:rFonts w:ascii="Arial" w:hAnsi="Arial" w:cs="Arial"/>
        </w:rPr>
        <w:t xml:space="preserve"> &amp; Jones, C. (2007). The Oxford Companion to Black British History. Oxford University Press.</w:t>
      </w:r>
    </w:p>
    <w:p w:rsidR="00A55197" w:rsidRPr="00611437" w:rsidRDefault="00A55197" w:rsidP="00611437">
      <w:pPr>
        <w:rPr>
          <w:rFonts w:ascii="Arial" w:hAnsi="Arial" w:cs="Arial"/>
        </w:rPr>
      </w:pPr>
      <w:r w:rsidRPr="00611437">
        <w:rPr>
          <w:rFonts w:ascii="Arial" w:hAnsi="Arial" w:cs="Arial"/>
        </w:rPr>
        <w:t>Davey, E. (2011). Brixton riots 30 years on: What has changed? BBC News: https://www.bbc.co.uk/news/uk-england-london-13004915</w:t>
      </w:r>
    </w:p>
    <w:p w:rsidR="00A55197" w:rsidRPr="00611437" w:rsidRDefault="00A55197" w:rsidP="00611437">
      <w:pPr>
        <w:rPr>
          <w:rFonts w:ascii="Arial" w:hAnsi="Arial" w:cs="Arial"/>
        </w:rPr>
      </w:pPr>
      <w:r w:rsidRPr="00611437">
        <w:rPr>
          <w:rFonts w:ascii="Arial" w:hAnsi="Arial" w:cs="Arial"/>
        </w:rPr>
        <w:t xml:space="preserve">Freeman, M. (2011). The sources of terrorist financing: Theory and typology. </w:t>
      </w:r>
      <w:r w:rsidRPr="00611437">
        <w:rPr>
          <w:rFonts w:ascii="Arial" w:hAnsi="Arial" w:cs="Arial"/>
          <w:i/>
        </w:rPr>
        <w:t>Studies in Conflict &amp; Terrorism</w:t>
      </w:r>
      <w:r w:rsidRPr="00611437">
        <w:rPr>
          <w:rFonts w:ascii="Arial" w:hAnsi="Arial" w:cs="Arial"/>
        </w:rPr>
        <w:t>, 461-475.</w:t>
      </w:r>
    </w:p>
    <w:p w:rsidR="00A55197" w:rsidRPr="00611437" w:rsidRDefault="00A55197" w:rsidP="00611437">
      <w:pPr>
        <w:rPr>
          <w:rFonts w:ascii="Arial" w:hAnsi="Arial" w:cs="Arial"/>
        </w:rPr>
      </w:pPr>
      <w:r w:rsidRPr="00611437">
        <w:rPr>
          <w:rFonts w:ascii="Arial" w:hAnsi="Arial" w:cs="Arial"/>
        </w:rPr>
        <w:t>Full Fact. (2019). Police officer numbers in England and Wales. Full Fact: https://fullfact.org/crime/police-numbers/</w:t>
      </w:r>
    </w:p>
    <w:p w:rsidR="00A55197" w:rsidRPr="00611437" w:rsidRDefault="00A55197" w:rsidP="00611437">
      <w:pPr>
        <w:rPr>
          <w:rFonts w:ascii="Arial" w:hAnsi="Arial" w:cs="Arial"/>
        </w:rPr>
      </w:pPr>
      <w:r w:rsidRPr="00611437">
        <w:rPr>
          <w:rFonts w:ascii="Arial" w:hAnsi="Arial" w:cs="Arial"/>
        </w:rPr>
        <w:t>Glover, E. (2021). Police Chief Apologises for ‘Unacceptable’ Failings in Manchester Arena Bomb Response. Independent: https://www.independent.co.uk/news/uk/home-news/manchester-bomb-police-ian-pilling-b1880829.html</w:t>
      </w:r>
    </w:p>
    <w:p w:rsidR="00A55197" w:rsidRPr="00611437" w:rsidRDefault="00A55197" w:rsidP="00611437">
      <w:pPr>
        <w:rPr>
          <w:rFonts w:ascii="Arial" w:hAnsi="Arial" w:cs="Arial"/>
        </w:rPr>
      </w:pPr>
      <w:r w:rsidRPr="00611437">
        <w:rPr>
          <w:rFonts w:ascii="Arial" w:hAnsi="Arial" w:cs="Arial"/>
        </w:rPr>
        <w:t>GOV.UK. (2020). Police and Criminal Evidence Act</w:t>
      </w:r>
      <w:r>
        <w:rPr>
          <w:rFonts w:ascii="Arial" w:hAnsi="Arial" w:cs="Arial"/>
        </w:rPr>
        <w:t xml:space="preserve"> 1984 (PACE) codes of practice. </w:t>
      </w:r>
      <w:r w:rsidRPr="00611437">
        <w:rPr>
          <w:rFonts w:ascii="Arial" w:hAnsi="Arial" w:cs="Arial"/>
        </w:rPr>
        <w:t>GOV.UK: https://www.gov.uk/guidance/police-and-criminal-evidence-act-1984-pace-codes-of-practice</w:t>
      </w:r>
    </w:p>
    <w:p w:rsidR="00A55197" w:rsidRPr="00611437" w:rsidRDefault="00A55197" w:rsidP="00611437">
      <w:pPr>
        <w:rPr>
          <w:rFonts w:ascii="Arial" w:hAnsi="Arial" w:cs="Arial"/>
        </w:rPr>
      </w:pPr>
      <w:r w:rsidRPr="00611437">
        <w:rPr>
          <w:rFonts w:ascii="Arial" w:hAnsi="Arial" w:cs="Arial"/>
        </w:rPr>
        <w:t>Home Office. (2016). Modern Crime Prevention Strategy. London: Home Office.</w:t>
      </w:r>
    </w:p>
    <w:p w:rsidR="00A55197" w:rsidRPr="00611437" w:rsidRDefault="00A55197" w:rsidP="00611437">
      <w:pPr>
        <w:rPr>
          <w:rFonts w:ascii="Arial" w:hAnsi="Arial" w:cs="Arial"/>
        </w:rPr>
      </w:pPr>
      <w:r w:rsidRPr="00611437">
        <w:rPr>
          <w:rFonts w:ascii="Arial" w:hAnsi="Arial" w:cs="Arial"/>
        </w:rPr>
        <w:t>Home Office. (2018). Critical Incident Management. https://assets.publishing.service.gov.uk/government/uploads/system/uploads/attachment_data/file/736743/critical-incident-management-v12.0ext.pdf.</w:t>
      </w:r>
    </w:p>
    <w:p w:rsidR="00A55197" w:rsidRPr="00611437" w:rsidRDefault="00A55197" w:rsidP="00611437">
      <w:pPr>
        <w:rPr>
          <w:rFonts w:ascii="Arial" w:hAnsi="Arial" w:cs="Arial"/>
        </w:rPr>
      </w:pPr>
      <w:r w:rsidRPr="00611437">
        <w:rPr>
          <w:rFonts w:ascii="Arial" w:hAnsi="Arial" w:cs="Arial"/>
        </w:rPr>
        <w:t xml:space="preserve">Huckerby, J. (2019). </w:t>
      </w:r>
      <w:r w:rsidRPr="00611437">
        <w:rPr>
          <w:rFonts w:ascii="Arial" w:hAnsi="Arial" w:cs="Arial"/>
          <w:i/>
        </w:rPr>
        <w:t>When Human Trafficking and Terrorism Connect: Dangers and Dilemmas</w:t>
      </w:r>
      <w:r w:rsidRPr="00611437">
        <w:rPr>
          <w:rFonts w:ascii="Arial" w:hAnsi="Arial" w:cs="Arial"/>
        </w:rPr>
        <w:t>. Just Security: https://www.justsecurity.org/62658/human-trafficking-terrorism-connect-dangers-dilemmas/</w:t>
      </w:r>
    </w:p>
    <w:p w:rsidR="00A55197" w:rsidRPr="00611437" w:rsidRDefault="00A55197" w:rsidP="00611437">
      <w:pPr>
        <w:rPr>
          <w:rFonts w:ascii="Arial" w:hAnsi="Arial" w:cs="Arial"/>
        </w:rPr>
      </w:pPr>
      <w:r w:rsidRPr="00611437">
        <w:rPr>
          <w:rFonts w:ascii="Arial" w:hAnsi="Arial" w:cs="Arial"/>
        </w:rPr>
        <w:t>Institute for Government. (2021). Police Performance Tracker 2019. Institute for Government: https://www.instituteforgovernment.org.uk/publication/performance-tracker-2019/police</w:t>
      </w:r>
    </w:p>
    <w:p w:rsidR="00A55197" w:rsidRPr="00611437" w:rsidRDefault="00A55197" w:rsidP="00611437">
      <w:pPr>
        <w:rPr>
          <w:rFonts w:ascii="Arial" w:hAnsi="Arial" w:cs="Arial"/>
        </w:rPr>
      </w:pPr>
      <w:r w:rsidRPr="00611437">
        <w:rPr>
          <w:rFonts w:ascii="Arial" w:hAnsi="Arial" w:cs="Arial"/>
        </w:rPr>
        <w:t>Jeffery, C. R. (1971). Crime Prevention Through Environmental Design. Beverly Hills: Sage Publications.</w:t>
      </w:r>
    </w:p>
    <w:p w:rsidR="00A55197" w:rsidRPr="00611437" w:rsidRDefault="00A55197" w:rsidP="00611437">
      <w:pPr>
        <w:rPr>
          <w:rFonts w:ascii="Arial" w:hAnsi="Arial" w:cs="Arial"/>
        </w:rPr>
      </w:pPr>
      <w:r w:rsidRPr="00611437">
        <w:rPr>
          <w:rFonts w:ascii="Arial" w:hAnsi="Arial" w:cs="Arial"/>
        </w:rPr>
        <w:t>JESIP. (2021). Why do we need JESIP? Joint Emergency Services Interoperability Programme (JESIP): https://www.jesip.org.uk/why-do-we-need-jesip</w:t>
      </w:r>
    </w:p>
    <w:p w:rsidR="00A55197" w:rsidRPr="00611437" w:rsidRDefault="00A55197" w:rsidP="00611437">
      <w:pPr>
        <w:rPr>
          <w:rFonts w:ascii="Arial" w:hAnsi="Arial" w:cs="Arial"/>
        </w:rPr>
      </w:pPr>
      <w:r w:rsidRPr="00611437">
        <w:rPr>
          <w:rFonts w:ascii="Arial" w:hAnsi="Arial" w:cs="Arial"/>
        </w:rPr>
        <w:t xml:space="preserve">Karaca, A. (2010). </w:t>
      </w:r>
      <w:r w:rsidRPr="00611437">
        <w:rPr>
          <w:rFonts w:ascii="Arial" w:hAnsi="Arial" w:cs="Arial"/>
          <w:i/>
        </w:rPr>
        <w:t>Disrupting Terrorist Networks: An Analysis of the PPK Terrorist Organization</w:t>
      </w:r>
      <w:r w:rsidRPr="00611437">
        <w:rPr>
          <w:rFonts w:ascii="Arial" w:hAnsi="Arial" w:cs="Arial"/>
        </w:rPr>
        <w:t>. Monterey, California.</w:t>
      </w:r>
    </w:p>
    <w:p w:rsidR="00A55197" w:rsidRPr="00611437" w:rsidRDefault="00A55197" w:rsidP="00611437">
      <w:pPr>
        <w:rPr>
          <w:rFonts w:ascii="Arial" w:hAnsi="Arial" w:cs="Arial"/>
        </w:rPr>
      </w:pPr>
      <w:r w:rsidRPr="00611437">
        <w:rPr>
          <w:rFonts w:ascii="Arial" w:hAnsi="Arial" w:cs="Arial"/>
        </w:rPr>
        <w:t>Kelling, G., &amp; Wilson, J. (1982). Broken Windows The police and neighbourhood safety. The Atlantic: https://www.theatlantic.com/magazine/archive/1982/03/broken-windows/304465/</w:t>
      </w:r>
    </w:p>
    <w:p w:rsidR="00A55197" w:rsidRPr="00611437" w:rsidRDefault="00A55197" w:rsidP="00611437">
      <w:pPr>
        <w:rPr>
          <w:rFonts w:ascii="Arial" w:hAnsi="Arial" w:cs="Arial"/>
        </w:rPr>
      </w:pPr>
      <w:r w:rsidRPr="00611437">
        <w:rPr>
          <w:rFonts w:ascii="Arial" w:hAnsi="Arial" w:cs="Arial"/>
        </w:rPr>
        <w:t xml:space="preserve">Laming, H. (2003). The Victoria Climbie Inquiry. </w:t>
      </w:r>
    </w:p>
    <w:p w:rsidR="00A55197" w:rsidRPr="00611437" w:rsidRDefault="00A55197" w:rsidP="00611437">
      <w:pPr>
        <w:rPr>
          <w:rFonts w:ascii="Arial" w:hAnsi="Arial" w:cs="Arial"/>
        </w:rPr>
      </w:pPr>
      <w:r w:rsidRPr="00611437">
        <w:rPr>
          <w:rFonts w:ascii="Arial" w:hAnsi="Arial" w:cs="Arial"/>
        </w:rPr>
        <w:t>LawTeacher. (2019). Police and Criminal Evidence Act 1984. LawTeacher: https://www.lawteacher.net/acts/police-and-criminal-evidence-act.php</w:t>
      </w:r>
    </w:p>
    <w:p w:rsidR="00A55197" w:rsidRPr="00611437" w:rsidRDefault="00A55197" w:rsidP="00611437">
      <w:pPr>
        <w:rPr>
          <w:rFonts w:ascii="Arial" w:hAnsi="Arial" w:cs="Arial"/>
        </w:rPr>
      </w:pPr>
      <w:r w:rsidRPr="00611437">
        <w:rPr>
          <w:rFonts w:ascii="Arial" w:hAnsi="Arial" w:cs="Arial"/>
        </w:rPr>
        <w:t>Local Government Association. (2004). Community Cohesion – an action guide. London: LGA Publications.</w:t>
      </w:r>
    </w:p>
    <w:p w:rsidR="00A55197" w:rsidRPr="00611437" w:rsidRDefault="00A55197" w:rsidP="00611437">
      <w:pPr>
        <w:rPr>
          <w:rFonts w:ascii="Arial" w:hAnsi="Arial" w:cs="Arial"/>
        </w:rPr>
      </w:pPr>
      <w:r w:rsidRPr="00611437">
        <w:rPr>
          <w:rFonts w:ascii="Arial" w:hAnsi="Arial" w:cs="Arial"/>
        </w:rPr>
        <w:t xml:space="preserve">MAV. (2021). </w:t>
      </w:r>
      <w:r w:rsidRPr="00611437">
        <w:rPr>
          <w:rFonts w:ascii="Arial" w:hAnsi="Arial" w:cs="Arial"/>
          <w:i/>
        </w:rPr>
        <w:t>Counter Terrorism.</w:t>
      </w:r>
      <w:r w:rsidRPr="00611437">
        <w:rPr>
          <w:rFonts w:ascii="Arial" w:hAnsi="Arial" w:cs="Arial"/>
        </w:rPr>
        <w:t xml:space="preserve"> MAV Systems: https://www.anprcameras.com/anpr-solutions/police-security/counter-terrorism/</w:t>
      </w:r>
    </w:p>
    <w:p w:rsidR="00A55197" w:rsidRPr="00611437" w:rsidRDefault="00A55197" w:rsidP="00611437">
      <w:pPr>
        <w:rPr>
          <w:rFonts w:ascii="Arial" w:hAnsi="Arial" w:cs="Arial"/>
        </w:rPr>
      </w:pPr>
      <w:r w:rsidRPr="00611437">
        <w:rPr>
          <w:rFonts w:ascii="Arial" w:hAnsi="Arial" w:cs="Arial"/>
        </w:rPr>
        <w:lastRenderedPageBreak/>
        <w:t>Muir, R. (2020). Out of the darkness: policing and the death of George Floyd. The Police Foundation: https://www.police-foundation.org.uk/2020/06/policing-and-the-death-of-george-floyd/</w:t>
      </w:r>
    </w:p>
    <w:p w:rsidR="00A55197" w:rsidRPr="00611437" w:rsidRDefault="00A55197" w:rsidP="00611437">
      <w:pPr>
        <w:rPr>
          <w:rFonts w:ascii="Arial" w:hAnsi="Arial" w:cs="Arial"/>
        </w:rPr>
      </w:pPr>
      <w:r w:rsidRPr="00611437">
        <w:rPr>
          <w:rFonts w:ascii="Arial" w:hAnsi="Arial" w:cs="Arial"/>
        </w:rPr>
        <w:t>Neal, S. (2003). The Scarman Report, the Macpherson Report and the Media: How Newspapers Respond to Race-centred Social Policy Interventions. Journal of Social Policy.</w:t>
      </w:r>
    </w:p>
    <w:p w:rsidR="00A55197" w:rsidRPr="00611437" w:rsidRDefault="00A55197" w:rsidP="00611437">
      <w:pPr>
        <w:rPr>
          <w:rFonts w:ascii="Arial" w:hAnsi="Arial" w:cs="Arial"/>
        </w:rPr>
      </w:pPr>
      <w:r w:rsidRPr="00611437">
        <w:rPr>
          <w:rFonts w:ascii="Arial" w:hAnsi="Arial" w:cs="Arial"/>
        </w:rPr>
        <w:t xml:space="preserve">NPCC. (2016). </w:t>
      </w:r>
      <w:r w:rsidRPr="00611437">
        <w:rPr>
          <w:rFonts w:ascii="Arial" w:hAnsi="Arial" w:cs="Arial"/>
          <w:i/>
        </w:rPr>
        <w:t>Automatic Number Plate Recognition (ANPR).</w:t>
      </w:r>
      <w:r w:rsidRPr="00611437">
        <w:rPr>
          <w:rFonts w:ascii="Arial" w:hAnsi="Arial" w:cs="Arial"/>
        </w:rPr>
        <w:t xml:space="preserve"> National Police Chief's Council (NPCC): https://www.npcc.police.uk/documents/ANPR%20Factsheet.pdf</w:t>
      </w:r>
    </w:p>
    <w:p w:rsidR="00A55197" w:rsidRPr="00611437" w:rsidRDefault="00A55197" w:rsidP="00611437">
      <w:pPr>
        <w:rPr>
          <w:rFonts w:ascii="Arial" w:hAnsi="Arial" w:cs="Arial"/>
        </w:rPr>
      </w:pPr>
      <w:r w:rsidRPr="00611437">
        <w:rPr>
          <w:rFonts w:ascii="Arial" w:hAnsi="Arial" w:cs="Arial"/>
        </w:rPr>
        <w:t xml:space="preserve">NPCC. (2021). </w:t>
      </w:r>
      <w:r w:rsidRPr="00611437">
        <w:rPr>
          <w:rFonts w:ascii="Arial" w:hAnsi="Arial" w:cs="Arial"/>
          <w:i/>
        </w:rPr>
        <w:t>Automatic Number Plate Recognition (ANPR).</w:t>
      </w:r>
      <w:r w:rsidRPr="00611437">
        <w:rPr>
          <w:rFonts w:ascii="Arial" w:hAnsi="Arial" w:cs="Arial"/>
        </w:rPr>
        <w:t xml:space="preserve"> National Police Chief's Council (NPCC): https://www.npcc.police.uk/FreedomofInformation/ANPR.aspx</w:t>
      </w:r>
    </w:p>
    <w:p w:rsidR="00A55197" w:rsidRPr="00611437" w:rsidRDefault="00A55197" w:rsidP="00611437">
      <w:pPr>
        <w:rPr>
          <w:rFonts w:ascii="Arial" w:hAnsi="Arial" w:cs="Arial"/>
        </w:rPr>
      </w:pPr>
      <w:r w:rsidRPr="00611437">
        <w:rPr>
          <w:rFonts w:ascii="Arial" w:hAnsi="Arial" w:cs="Arial"/>
        </w:rPr>
        <w:t xml:space="preserve">NPIA. (2009). </w:t>
      </w:r>
      <w:r w:rsidRPr="00611437">
        <w:rPr>
          <w:rFonts w:ascii="Arial" w:hAnsi="Arial" w:cs="Arial"/>
          <w:i/>
        </w:rPr>
        <w:t>Practice Advice on the Management and Use of Automatic Number Plate Recognition</w:t>
      </w:r>
      <w:r w:rsidRPr="00611437">
        <w:rPr>
          <w:rFonts w:ascii="Arial" w:hAnsi="Arial" w:cs="Arial"/>
        </w:rPr>
        <w:t>. National Policing Improvement Agency.</w:t>
      </w:r>
    </w:p>
    <w:p w:rsidR="00A55197" w:rsidRPr="00611437" w:rsidRDefault="00A55197" w:rsidP="00611437">
      <w:pPr>
        <w:rPr>
          <w:rFonts w:ascii="Arial" w:hAnsi="Arial" w:cs="Arial"/>
        </w:rPr>
      </w:pPr>
      <w:r w:rsidRPr="00611437">
        <w:rPr>
          <w:rFonts w:ascii="Arial" w:hAnsi="Arial" w:cs="Arial"/>
        </w:rPr>
        <w:t>NPIA. (2011). Practice Advice on Critical Incident Management. National Policing Improvement Agency (NPIA).</w:t>
      </w:r>
    </w:p>
    <w:p w:rsidR="00A55197" w:rsidRPr="00611437" w:rsidRDefault="00A55197" w:rsidP="00611437">
      <w:pPr>
        <w:rPr>
          <w:rFonts w:ascii="Arial" w:hAnsi="Arial" w:cs="Arial"/>
        </w:rPr>
      </w:pPr>
      <w:r w:rsidRPr="00611437">
        <w:rPr>
          <w:rFonts w:ascii="Arial" w:hAnsi="Arial" w:cs="Arial"/>
        </w:rPr>
        <w:t xml:space="preserve">Otis, J. (2014). </w:t>
      </w:r>
      <w:r w:rsidRPr="00611437">
        <w:rPr>
          <w:rFonts w:ascii="Arial" w:hAnsi="Arial" w:cs="Arial"/>
          <w:i/>
        </w:rPr>
        <w:t>The FARC and Colombia’s Illegal Drug Trade</w:t>
      </w:r>
      <w:r w:rsidRPr="00611437">
        <w:rPr>
          <w:rFonts w:ascii="Arial" w:hAnsi="Arial" w:cs="Arial"/>
        </w:rPr>
        <w:t>. Wilson Center.</w:t>
      </w:r>
    </w:p>
    <w:p w:rsidR="00A55197" w:rsidRPr="00611437" w:rsidRDefault="00A55197" w:rsidP="00611437">
      <w:pPr>
        <w:rPr>
          <w:rFonts w:ascii="Arial" w:hAnsi="Arial" w:cs="Arial"/>
        </w:rPr>
      </w:pPr>
      <w:r w:rsidRPr="00611437">
        <w:rPr>
          <w:rFonts w:ascii="Arial" w:hAnsi="Arial" w:cs="Arial"/>
        </w:rPr>
        <w:t xml:space="preserve">Pachio, E. (2012). </w:t>
      </w:r>
      <w:r w:rsidRPr="00611437">
        <w:rPr>
          <w:rFonts w:ascii="Arial" w:hAnsi="Arial" w:cs="Arial"/>
          <w:i/>
        </w:rPr>
        <w:t>70% of FARC Assets Held Outside Colombia</w:t>
      </w:r>
      <w:r w:rsidRPr="00611437">
        <w:rPr>
          <w:rFonts w:ascii="Arial" w:hAnsi="Arial" w:cs="Arial"/>
        </w:rPr>
        <w:t>. Insight Crime: https://insightcrime.org/news/analysis/70-of-farc-assets-held-outside-colombia/</w:t>
      </w:r>
    </w:p>
    <w:p w:rsidR="00A55197" w:rsidRDefault="00A55197" w:rsidP="00611437">
      <w:pPr>
        <w:rPr>
          <w:rFonts w:ascii="Arial" w:hAnsi="Arial" w:cs="Arial"/>
        </w:rPr>
      </w:pPr>
      <w:r w:rsidRPr="00611437">
        <w:rPr>
          <w:rFonts w:ascii="Arial" w:hAnsi="Arial" w:cs="Arial"/>
        </w:rPr>
        <w:t>Quinn, B. (2019). Macpherson report: what was it and what impact did it have? The Guardian: https://www.theguardian.com/uk-news/2019/feb/22/macpherson-report-what-was-it-and-what-impact-did-it-have</w:t>
      </w:r>
    </w:p>
    <w:p w:rsidR="00A55197" w:rsidRDefault="00A55197" w:rsidP="00611437">
      <w:pPr>
        <w:rPr>
          <w:rFonts w:ascii="Arial" w:hAnsi="Arial" w:cs="Arial"/>
        </w:rPr>
      </w:pPr>
      <w:r w:rsidRPr="00611437">
        <w:rPr>
          <w:rFonts w:ascii="Arial" w:hAnsi="Arial" w:cs="Arial"/>
        </w:rPr>
        <w:t>Ross, J. (2012). Policing Issues: Challenges and Controversies. In Chapter 8 Poor Police Community Relations (p. 117). Jones &amp; Bartlett Learning.</w:t>
      </w:r>
    </w:p>
    <w:p w:rsidR="00A55197" w:rsidRDefault="00A55197" w:rsidP="00611437">
      <w:pPr>
        <w:rPr>
          <w:rFonts w:ascii="Arial" w:hAnsi="Arial" w:cs="Arial"/>
        </w:rPr>
      </w:pPr>
      <w:r w:rsidRPr="00611437">
        <w:rPr>
          <w:rFonts w:ascii="Arial" w:hAnsi="Arial" w:cs="Arial"/>
        </w:rPr>
        <w:t>UNODC. (2011). Criminal Intelligence Manual for Analysts. New York: United Nations Office on Drugs and Crime. https://www.unodc.org/documents/organized-crime/Law-Enforcement/Criminal_Intelligence_for_Analysts.pdf</w:t>
      </w:r>
    </w:p>
    <w:p w:rsidR="00611437" w:rsidRPr="001A53B4" w:rsidRDefault="00611437" w:rsidP="00611437">
      <w:pPr>
        <w:rPr>
          <w:rFonts w:ascii="Arial" w:hAnsi="Arial" w:cs="Arial"/>
        </w:rPr>
      </w:pPr>
    </w:p>
    <w:p w:rsidR="001A53B4" w:rsidRPr="001A53B4" w:rsidRDefault="001A53B4" w:rsidP="00063354">
      <w:pPr>
        <w:rPr>
          <w:rFonts w:ascii="Arial" w:hAnsi="Arial" w:cs="Arial"/>
        </w:rPr>
      </w:pPr>
    </w:p>
    <w:p w:rsidR="001A53B4" w:rsidRPr="001A53B4" w:rsidRDefault="001A53B4" w:rsidP="00063354">
      <w:pPr>
        <w:rPr>
          <w:rFonts w:ascii="Arial" w:hAnsi="Arial" w:cs="Arial"/>
          <w:b/>
        </w:rPr>
      </w:pPr>
    </w:p>
    <w:p w:rsidR="00531D90" w:rsidRDefault="00531D90" w:rsidP="00063354">
      <w:pPr>
        <w:ind w:firstLine="720"/>
      </w:pPr>
    </w:p>
    <w:p w:rsidR="00063354" w:rsidRDefault="00063354" w:rsidP="00063354">
      <w:pPr>
        <w:ind w:firstLine="720"/>
      </w:pPr>
    </w:p>
    <w:p w:rsidR="00063354" w:rsidRDefault="00063354" w:rsidP="00063354">
      <w:pPr>
        <w:ind w:firstLine="720"/>
      </w:pPr>
    </w:p>
    <w:p w:rsidR="00063354" w:rsidRPr="00063354" w:rsidRDefault="00063354" w:rsidP="00063354">
      <w:pPr>
        <w:ind w:firstLine="720"/>
      </w:pPr>
    </w:p>
    <w:sectPr w:rsidR="00063354" w:rsidRPr="00063354" w:rsidSect="00531D9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24E" w:rsidRDefault="00DB524E" w:rsidP="00531D90">
      <w:pPr>
        <w:spacing w:after="0" w:line="240" w:lineRule="auto"/>
      </w:pPr>
      <w:r>
        <w:separator/>
      </w:r>
    </w:p>
  </w:endnote>
  <w:endnote w:type="continuationSeparator" w:id="0">
    <w:p w:rsidR="00DB524E" w:rsidRDefault="00DB524E" w:rsidP="00531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24E" w:rsidRDefault="005E028E" w:rsidP="005E028E">
    <w:pPr>
      <w:pStyle w:val="Footer"/>
      <w:rPr>
        <w:color w:val="000000"/>
        <w:sz w:val="17"/>
      </w:rPr>
    </w:pPr>
    <w:bookmarkStart w:id="3" w:name="TITUS1FooterEvenPages"/>
    <w:r>
      <w:rPr>
        <w:color w:val="000000"/>
        <w:sz w:val="17"/>
      </w:rPr>
      <w:t> </w:t>
    </w:r>
  </w:p>
  <w:bookmarkEnd w:id="3"/>
  <w:p w:rsidR="00DB524E" w:rsidRDefault="00DB524E" w:rsidP="00063354">
    <w:pPr>
      <w:pStyle w:val="Footer"/>
    </w:pPr>
  </w:p>
  <w:p w:rsidR="00DB524E" w:rsidRDefault="00DB52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24E" w:rsidRDefault="005E028E" w:rsidP="005E028E">
    <w:pPr>
      <w:pStyle w:val="Footer"/>
      <w:rPr>
        <w:color w:val="000000"/>
        <w:sz w:val="17"/>
      </w:rPr>
    </w:pPr>
    <w:bookmarkStart w:id="4" w:name="TITUS1FooterPrimary"/>
    <w:r>
      <w:rPr>
        <w:color w:val="000000"/>
        <w:sz w:val="17"/>
      </w:rPr>
      <w:t> </w:t>
    </w:r>
  </w:p>
  <w:bookmarkEnd w:id="4"/>
  <w:p w:rsidR="00DB524E" w:rsidRDefault="00DB52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24E" w:rsidRDefault="005E028E" w:rsidP="005E028E">
    <w:pPr>
      <w:pStyle w:val="Footer"/>
      <w:rPr>
        <w:color w:val="000000"/>
        <w:sz w:val="17"/>
      </w:rPr>
    </w:pPr>
    <w:bookmarkStart w:id="6" w:name="TITUS1FooterFirstPage"/>
    <w:r>
      <w:rPr>
        <w:color w:val="000000"/>
        <w:sz w:val="17"/>
      </w:rPr>
      <w:t> </w:t>
    </w:r>
  </w:p>
  <w:bookmarkEnd w:id="6"/>
  <w:p w:rsidR="00DB524E" w:rsidRDefault="00DB5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24E" w:rsidRDefault="00DB524E" w:rsidP="00531D90">
      <w:pPr>
        <w:spacing w:after="0" w:line="240" w:lineRule="auto"/>
      </w:pPr>
      <w:r>
        <w:separator/>
      </w:r>
    </w:p>
  </w:footnote>
  <w:footnote w:type="continuationSeparator" w:id="0">
    <w:p w:rsidR="00DB524E" w:rsidRDefault="00DB524E" w:rsidP="00531D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24E" w:rsidRDefault="005E028E" w:rsidP="005E028E">
    <w:pPr>
      <w:pStyle w:val="Header"/>
      <w:rPr>
        <w:color w:val="000000"/>
        <w:sz w:val="17"/>
      </w:rPr>
    </w:pPr>
    <w:bookmarkStart w:id="1" w:name="TITUS1HeaderEvenPages"/>
    <w:r>
      <w:rPr>
        <w:color w:val="000000"/>
        <w:sz w:val="17"/>
      </w:rPr>
      <w:t> </w:t>
    </w:r>
  </w:p>
  <w:bookmarkEnd w:id="1"/>
  <w:p w:rsidR="00DB524E" w:rsidRDefault="00DB524E" w:rsidP="00063354">
    <w:pPr>
      <w:pStyle w:val="Header"/>
    </w:pPr>
  </w:p>
  <w:p w:rsidR="00DB524E" w:rsidRDefault="00DB52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24E" w:rsidRDefault="005E028E" w:rsidP="005E028E">
    <w:pPr>
      <w:pStyle w:val="Header"/>
      <w:rPr>
        <w:color w:val="000000"/>
        <w:sz w:val="17"/>
      </w:rPr>
    </w:pPr>
    <w:bookmarkStart w:id="2" w:name="TITUS1HeaderPrimary"/>
    <w:r>
      <w:rPr>
        <w:color w:val="000000"/>
        <w:sz w:val="17"/>
      </w:rPr>
      <w:t> </w:t>
    </w:r>
  </w:p>
  <w:bookmarkEnd w:id="2"/>
  <w:p w:rsidR="00DB524E" w:rsidRDefault="00DB52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24E" w:rsidRDefault="005E028E" w:rsidP="005E028E">
    <w:pPr>
      <w:pStyle w:val="Header"/>
      <w:rPr>
        <w:color w:val="000000"/>
        <w:sz w:val="17"/>
      </w:rPr>
    </w:pPr>
    <w:bookmarkStart w:id="5" w:name="TITUS1HeaderFirstPage"/>
    <w:r>
      <w:rPr>
        <w:color w:val="000000"/>
        <w:sz w:val="17"/>
      </w:rPr>
      <w:t> </w:t>
    </w:r>
  </w:p>
  <w:bookmarkEnd w:id="5"/>
  <w:p w:rsidR="00DB524E" w:rsidRDefault="00DB52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D90"/>
    <w:rsid w:val="00063354"/>
    <w:rsid w:val="001A53B4"/>
    <w:rsid w:val="001E41DD"/>
    <w:rsid w:val="004019B8"/>
    <w:rsid w:val="00442ABA"/>
    <w:rsid w:val="00531D90"/>
    <w:rsid w:val="005A5B95"/>
    <w:rsid w:val="005E028E"/>
    <w:rsid w:val="00611437"/>
    <w:rsid w:val="00641645"/>
    <w:rsid w:val="006E3F63"/>
    <w:rsid w:val="007910B4"/>
    <w:rsid w:val="00852624"/>
    <w:rsid w:val="00972285"/>
    <w:rsid w:val="00A55197"/>
    <w:rsid w:val="00B7181B"/>
    <w:rsid w:val="00DB524E"/>
    <w:rsid w:val="00EE65DE"/>
    <w:rsid w:val="00F82C23"/>
    <w:rsid w:val="00F83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0EE50"/>
  <w15:chartTrackingRefBased/>
  <w15:docId w15:val="{BA89C33C-2793-4CA9-B8F9-216B124E9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1D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D90"/>
  </w:style>
  <w:style w:type="paragraph" w:styleId="Footer">
    <w:name w:val="footer"/>
    <w:basedOn w:val="Normal"/>
    <w:link w:val="FooterChar"/>
    <w:uiPriority w:val="99"/>
    <w:unhideWhenUsed/>
    <w:rsid w:val="00531D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D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1D44A-EFBB-4B32-8E52-5397D3D03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15</Pages>
  <Words>5265</Words>
  <Characters>30015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Thomas,Jessica swp6578</dc:creator>
  <cp:keywords/>
  <dc:description/>
  <cp:lastModifiedBy>Thomas,Jessica swp6578</cp:lastModifiedBy>
  <cp:revision>15</cp:revision>
  <dcterms:created xsi:type="dcterms:W3CDTF">2021-07-06T22:06:00Z</dcterms:created>
  <dcterms:modified xsi:type="dcterms:W3CDTF">2021-07-12T19:06:00Z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766e8a1e-e572-41c3-be22-111dbc15132f</vt:lpwstr>
  </property>
  <property fmtid="{D5CDD505-2E9C-101B-9397-08002B2CF9AE}" pid="3" name="Classification">
    <vt:lpwstr>OFFICIAL</vt:lpwstr>
  </property>
  <property fmtid="{D5CDD505-2E9C-101B-9397-08002B2CF9AE}" pid="4" name="Visibility">
    <vt:lpwstr>NOT VISIBLE</vt:lpwstr>
  </property>
</Properties>
</file>