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4CD2ACB" w14:textId="61744E76" w:rsidR="00D02CA8" w:rsidRDefault="00D02CA8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Module: </w:t>
      </w:r>
      <w:r w:rsidRPr="00D02CA8">
        <w:rPr>
          <w:rFonts w:ascii="Arial" w:hAnsi="Arial" w:cs="Arial"/>
          <w:b/>
          <w:bCs/>
          <w:sz w:val="22"/>
          <w:szCs w:val="22"/>
        </w:rPr>
        <w:t>Empowering the Older Person</w:t>
      </w:r>
    </w:p>
    <w:p w14:paraId="388BF0A9" w14:textId="6AC0B133" w:rsidR="00D02CA8" w:rsidRPr="00D02CA8" w:rsidRDefault="00D02CA8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 xml:space="preserve">Module code: </w:t>
      </w:r>
      <w:r w:rsidRPr="00D02CA8">
        <w:rPr>
          <w:rFonts w:ascii="Arial" w:hAnsi="Arial" w:cs="Arial"/>
          <w:b/>
          <w:bCs/>
          <w:sz w:val="22"/>
          <w:szCs w:val="22"/>
        </w:rPr>
        <w:t>BMHP6027</w:t>
      </w:r>
      <w:r>
        <w:rPr>
          <w:rFonts w:ascii="Arial" w:hAnsi="Arial" w:cs="Arial"/>
          <w:b/>
          <w:bCs/>
          <w:sz w:val="22"/>
          <w:szCs w:val="22"/>
        </w:rPr>
        <w:t>_BIRM</w:t>
      </w:r>
      <w:r w:rsidRPr="00D02CA8">
        <w:rPr>
          <w:rFonts w:ascii="Arial" w:hAnsi="Arial" w:cs="Arial"/>
          <w:b/>
          <w:bCs/>
          <w:sz w:val="22"/>
          <w:szCs w:val="22"/>
        </w:rPr>
        <w:t xml:space="preserve"> </w:t>
      </w:r>
    </w:p>
    <w:p w14:paraId="66E792D3" w14:textId="45F30286" w:rsidR="00D02CA8" w:rsidRDefault="00D02CA8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02CA8">
        <w:rPr>
          <w:rFonts w:ascii="Arial" w:hAnsi="Arial" w:cs="Arial"/>
          <w:b/>
          <w:bCs/>
          <w:sz w:val="22"/>
          <w:szCs w:val="22"/>
        </w:rPr>
        <w:t>Component 2: Debate / Discussion</w:t>
      </w:r>
      <w:r w:rsidRPr="00D02CA8">
        <w:rPr>
          <w:rFonts w:ascii="Arial" w:hAnsi="Arial" w:cs="Arial"/>
          <w:b/>
          <w:bCs/>
          <w:sz w:val="22"/>
          <w:szCs w:val="22"/>
        </w:rPr>
        <w:br/>
        <w:t>Debate Topic: Technology Does More to Enhance than Hinder the Independence and Quality of Life of Older Adults</w:t>
      </w:r>
    </w:p>
    <w:p w14:paraId="5005237F" w14:textId="053159C8" w:rsidR="004A5860" w:rsidRPr="00D02CA8" w:rsidRDefault="004A5860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4A5860">
        <w:rPr>
          <w:rFonts w:ascii="Arial" w:hAnsi="Arial" w:cs="Arial"/>
          <w:b/>
          <w:bCs/>
          <w:sz w:val="22"/>
          <w:szCs w:val="22"/>
        </w:rPr>
        <w:t>Position: For the Proposition</w:t>
      </w:r>
    </w:p>
    <w:p w14:paraId="205A9EAD" w14:textId="50F1889F" w:rsidR="00D02CA8" w:rsidRPr="00D02CA8" w:rsidRDefault="009F140D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02CA8">
        <w:rPr>
          <w:rFonts w:ascii="Arial" w:hAnsi="Arial" w:cs="Arial"/>
          <w:b/>
          <w:bCs/>
          <w:sz w:val="22"/>
          <w:szCs w:val="22"/>
        </w:rPr>
        <w:t xml:space="preserve">Student name: </w:t>
      </w:r>
      <w:r w:rsidRPr="00D02CA8">
        <w:rPr>
          <w:rFonts w:ascii="Arial" w:hAnsi="Arial" w:cs="Arial"/>
          <w:b/>
          <w:bCs/>
          <w:sz w:val="22"/>
          <w:szCs w:val="22"/>
        </w:rPr>
        <w:t>Salma Begu</w:t>
      </w:r>
      <w:r w:rsidR="00D02CA8" w:rsidRPr="00D02CA8">
        <w:rPr>
          <w:rFonts w:ascii="Arial" w:hAnsi="Arial" w:cs="Arial"/>
          <w:b/>
          <w:bCs/>
          <w:sz w:val="22"/>
          <w:szCs w:val="22"/>
        </w:rPr>
        <w:t>m</w:t>
      </w:r>
    </w:p>
    <w:p w14:paraId="20C5910E" w14:textId="7D5AE36A" w:rsidR="00D02CA8" w:rsidRPr="00D02CA8" w:rsidRDefault="00D02CA8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02CA8">
        <w:rPr>
          <w:rFonts w:ascii="Arial" w:hAnsi="Arial" w:cs="Arial"/>
          <w:b/>
          <w:bCs/>
          <w:sz w:val="22"/>
          <w:szCs w:val="22"/>
        </w:rPr>
        <w:t>Student number: 2310090</w:t>
      </w:r>
    </w:p>
    <w:p w14:paraId="364B506E" w14:textId="6547BFC8" w:rsidR="009F140D" w:rsidRDefault="00D02CA8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 w:rsidRPr="00D02CA8">
        <w:rPr>
          <w:rFonts w:ascii="Arial" w:hAnsi="Arial" w:cs="Arial"/>
          <w:b/>
          <w:bCs/>
          <w:sz w:val="22"/>
          <w:szCs w:val="22"/>
        </w:rPr>
        <w:t>Lecturer name: Dr Kennedy Obohwemu</w:t>
      </w:r>
    </w:p>
    <w:p w14:paraId="5D593721" w14:textId="0EEB845B" w:rsidR="00D02CA8" w:rsidRDefault="00D02CA8" w:rsidP="00D02CA8">
      <w:pPr>
        <w:spacing w:line="360" w:lineRule="auto"/>
        <w:jc w:val="center"/>
        <w:rPr>
          <w:rFonts w:ascii="Arial" w:hAnsi="Arial" w:cs="Arial"/>
          <w:b/>
          <w:bCs/>
          <w:sz w:val="22"/>
          <w:szCs w:val="22"/>
        </w:rPr>
      </w:pPr>
      <w:r>
        <w:rPr>
          <w:rFonts w:ascii="Arial" w:hAnsi="Arial" w:cs="Arial"/>
          <w:b/>
          <w:bCs/>
          <w:sz w:val="22"/>
          <w:szCs w:val="22"/>
        </w:rPr>
        <w:t>Date: 10 July 2026</w:t>
      </w:r>
    </w:p>
    <w:p w14:paraId="56EC6FDF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79878265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16B88498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ACA6E2F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251FE0E5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7674132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3E317453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15B3B1D7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681C5DAB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45200EB7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52FC05DA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303F596C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51F38A1B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10EC941D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574A11EA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029D8820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5A247BBA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7E025F20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242CBF21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029A52D8" w14:textId="77777777" w:rsidR="00D02CA8" w:rsidRDefault="00D02CA8" w:rsidP="00D02CA8">
      <w:pPr>
        <w:spacing w:line="240" w:lineRule="auto"/>
        <w:rPr>
          <w:rFonts w:ascii="Arial" w:hAnsi="Arial" w:cs="Arial"/>
          <w:b/>
          <w:bCs/>
          <w:sz w:val="22"/>
          <w:szCs w:val="22"/>
        </w:rPr>
      </w:pPr>
    </w:p>
    <w:p w14:paraId="5E1A8C54" w14:textId="77777777" w:rsidR="003327EB" w:rsidRDefault="003327EB" w:rsidP="009F140D">
      <w:pPr>
        <w:spacing w:line="360" w:lineRule="auto"/>
        <w:rPr>
          <w:rFonts w:ascii="Arial" w:hAnsi="Arial" w:cs="Arial"/>
          <w:b/>
          <w:bCs/>
          <w:sz w:val="22"/>
          <w:szCs w:val="22"/>
        </w:rPr>
      </w:pPr>
    </w:p>
    <w:p w14:paraId="1B336EF1" w14:textId="1F8C22AA" w:rsidR="006D0846" w:rsidRPr="006D0846" w:rsidRDefault="009F140D" w:rsidP="009F140D">
      <w:pPr>
        <w:spacing w:line="360" w:lineRule="auto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lastRenderedPageBreak/>
        <w:t>Reference List</w:t>
      </w:r>
    </w:p>
    <w:p w14:paraId="1F33C8D4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Care Act 2014, c.23. Available at: </w:t>
      </w:r>
      <w:hyperlink r:id="rId4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.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legislation.gov.uk/ukpga/2014/23/contents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20AC261D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Chen, Y.R.R. and Schulz, P.J. (2016) ‘The effect of information communication technology interventions on reducing social isolation in the elderly: a systematic review’, </w:t>
      </w:r>
      <w:r w:rsidRPr="006D0846">
        <w:rPr>
          <w:rFonts w:ascii="Arial" w:hAnsi="Arial" w:cs="Arial"/>
          <w:i/>
          <w:iCs/>
          <w:sz w:val="22"/>
          <w:szCs w:val="22"/>
        </w:rPr>
        <w:t>Journal of Medical Internet Research</w:t>
      </w:r>
      <w:r w:rsidRPr="006D0846">
        <w:rPr>
          <w:rFonts w:ascii="Arial" w:hAnsi="Arial" w:cs="Arial"/>
          <w:sz w:val="22"/>
          <w:szCs w:val="22"/>
        </w:rPr>
        <w:t>, 18(1), e18. doi: 10.2196/jmir.4596.</w:t>
      </w:r>
    </w:p>
    <w:p w14:paraId="073EE9C0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Cimperman, M., Makovec Brenčič, M. and Trkman, P. (2016) ‘Analysing older users’ home telehealth services acceptance behaviour: applying an extended UTAUT model’, </w:t>
      </w:r>
      <w:r w:rsidRPr="006D084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6D0846">
        <w:rPr>
          <w:rFonts w:ascii="Arial" w:hAnsi="Arial" w:cs="Arial"/>
          <w:sz w:val="22"/>
          <w:szCs w:val="22"/>
        </w:rPr>
        <w:t>, 90, pp. 22–31. doi: 10.1016/j.ijmedinf.2016.03.002.</w:t>
      </w:r>
    </w:p>
    <w:p w14:paraId="139A1B9B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Czaja, S.J., Charness, N., Fisk, A.D., Hertzog, C., Nair, S.N., Rogers, W.A. and Sharit, J. (2006) ‘Factors predicting the use of technology: findings from the Center for Research and Education on Aging and Technology Enhancement’, </w:t>
      </w:r>
      <w:r w:rsidRPr="006D0846">
        <w:rPr>
          <w:rFonts w:ascii="Arial" w:hAnsi="Arial" w:cs="Arial"/>
          <w:i/>
          <w:iCs/>
          <w:sz w:val="22"/>
          <w:szCs w:val="22"/>
        </w:rPr>
        <w:t>Psychology and Aging</w:t>
      </w:r>
      <w:r w:rsidRPr="006D0846">
        <w:rPr>
          <w:rFonts w:ascii="Arial" w:hAnsi="Arial" w:cs="Arial"/>
          <w:sz w:val="22"/>
          <w:szCs w:val="22"/>
        </w:rPr>
        <w:t>, 21(2), pp. 333–352. doi: 10.1037/0882-7974.21.2.333.</w:t>
      </w:r>
    </w:p>
    <w:p w14:paraId="1A21CD45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Data Protection Act 2018, c.12. Available at: </w:t>
      </w:r>
      <w:hyperlink r:id="rId5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https://www.legislation.gov.uk/ukpga/2018/12/cont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e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nts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1DCCA03E" w14:textId="69D95635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Department of Health and Social Care (2021) </w:t>
      </w:r>
      <w:r w:rsidRPr="006D0846">
        <w:rPr>
          <w:rFonts w:ascii="Arial" w:hAnsi="Arial" w:cs="Arial"/>
          <w:i/>
          <w:iCs/>
          <w:sz w:val="22"/>
          <w:szCs w:val="22"/>
        </w:rPr>
        <w:t>People at the Heart of Care: adult social care reform white paper</w:t>
      </w:r>
      <w:r w:rsidRPr="006D0846">
        <w:rPr>
          <w:rFonts w:ascii="Arial" w:hAnsi="Arial" w:cs="Arial"/>
          <w:sz w:val="22"/>
          <w:szCs w:val="22"/>
        </w:rPr>
        <w:t xml:space="preserve">. London: Department of Health and Social Care. Available at: </w:t>
      </w:r>
      <w:hyperlink r:id="rId6" w:history="1">
        <w:r w:rsidR="004A5860" w:rsidRPr="00B600D7">
          <w:rPr>
            <w:rStyle w:val="Hyperlink"/>
            <w:rFonts w:ascii="Arial" w:hAnsi="Arial" w:cs="Arial"/>
            <w:sz w:val="22"/>
            <w:szCs w:val="22"/>
          </w:rPr>
          <w:t>https://www.gov.uk/government/publications/people-at-the-heart-of-care-adult-social-care-reform-white-paper</w:t>
        </w:r>
      </w:hyperlink>
      <w:r w:rsidR="004A5860">
        <w:rPr>
          <w:rFonts w:ascii="Arial" w:hAnsi="Arial" w:cs="Arial"/>
          <w:sz w:val="22"/>
          <w:szCs w:val="22"/>
        </w:rPr>
        <w:t xml:space="preserve"> </w:t>
      </w:r>
      <w:r w:rsidRPr="006D0846">
        <w:rPr>
          <w:rFonts w:ascii="Arial" w:hAnsi="Arial" w:cs="Arial"/>
          <w:sz w:val="22"/>
          <w:szCs w:val="22"/>
        </w:rPr>
        <w:t xml:space="preserve">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4E2C2BA3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Equality Act 2010, c.15. Available at: </w:t>
      </w:r>
      <w:hyperlink r:id="rId7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: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//www.legislation.gov.uk/ukpga/2010/15/contents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0F92E023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Greenhalgh, T., Shaw, S., Wherton, J., Vijayaraghavan, S., Morris, J., Bhattacharya, S., Hanson, P., Campbell-Richards, D., Ramoutar, S., Collard, A. and Hodkinson, I. (2018) ‘Real-world implementation of video outpatient consultations at macro, meso and micro levels: mixed-method study’, </w:t>
      </w:r>
      <w:r w:rsidRPr="006D0846">
        <w:rPr>
          <w:rFonts w:ascii="Arial" w:hAnsi="Arial" w:cs="Arial"/>
          <w:i/>
          <w:iCs/>
          <w:sz w:val="22"/>
          <w:szCs w:val="22"/>
        </w:rPr>
        <w:t>Journal of Medical Internet Research</w:t>
      </w:r>
      <w:r w:rsidRPr="006D0846">
        <w:rPr>
          <w:rFonts w:ascii="Arial" w:hAnsi="Arial" w:cs="Arial"/>
          <w:sz w:val="22"/>
          <w:szCs w:val="22"/>
        </w:rPr>
        <w:t>, 20(4), e150. doi: 10.2196/jmir.9897.</w:t>
      </w:r>
    </w:p>
    <w:p w14:paraId="10AD62FA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Havighurst, R.J. (1961) ‘Successful aging’, </w:t>
      </w:r>
      <w:r w:rsidRPr="006D0846">
        <w:rPr>
          <w:rFonts w:ascii="Arial" w:hAnsi="Arial" w:cs="Arial"/>
          <w:i/>
          <w:iCs/>
          <w:sz w:val="22"/>
          <w:szCs w:val="22"/>
        </w:rPr>
        <w:t>The Gerontologist</w:t>
      </w:r>
      <w:r w:rsidRPr="006D0846">
        <w:rPr>
          <w:rFonts w:ascii="Arial" w:hAnsi="Arial" w:cs="Arial"/>
          <w:sz w:val="22"/>
          <w:szCs w:val="22"/>
        </w:rPr>
        <w:t>, 1(1), pp. 8–13. doi: 10.1093/geront/1.1.8.</w:t>
      </w:r>
    </w:p>
    <w:p w14:paraId="66BAD680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Heart, T. and Kalderon, E. (2013) ‘Older adults: are they ready to adopt health-related ICT?’, </w:t>
      </w:r>
      <w:r w:rsidRPr="006D084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6D0846">
        <w:rPr>
          <w:rFonts w:ascii="Arial" w:hAnsi="Arial" w:cs="Arial"/>
          <w:sz w:val="22"/>
          <w:szCs w:val="22"/>
        </w:rPr>
        <w:t>, 82(11), pp. e209–e231. doi: 10.1016/j.ijmedinf.2011.03.002.</w:t>
      </w:r>
    </w:p>
    <w:p w14:paraId="28C3E9DB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lastRenderedPageBreak/>
        <w:t xml:space="preserve">Human Rights Act 1998, c.42. Available at: </w:t>
      </w:r>
      <w:hyperlink r:id="rId8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https://www.legislation.gov.uk/ukpga/1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9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98/42/contents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7EEF4BF9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Information Commissioner’s Office (n.d.) </w:t>
      </w:r>
      <w:r w:rsidRPr="006D0846">
        <w:rPr>
          <w:rFonts w:ascii="Arial" w:hAnsi="Arial" w:cs="Arial"/>
          <w:i/>
          <w:iCs/>
          <w:sz w:val="22"/>
          <w:szCs w:val="22"/>
        </w:rPr>
        <w:t>A guide to the UK General Data Protection Regulation (UK GDPR)</w:t>
      </w:r>
      <w:r w:rsidRPr="006D0846">
        <w:rPr>
          <w:rFonts w:ascii="Arial" w:hAnsi="Arial" w:cs="Arial"/>
          <w:sz w:val="22"/>
          <w:szCs w:val="22"/>
        </w:rPr>
        <w:t xml:space="preserve">. Available at: </w:t>
      </w:r>
      <w:hyperlink r:id="rId9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https://ico.org.uk/for-organisations/uk-gdpr-guida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n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ce-and-resources/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3D42925B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Kampmeijer, R., Pavlova, M., Tambor, M., Golinowska, S. and Groot, W. (2016) ‘The use of e-health and m-health tools in health promotion and primary prevention among older adults: a systematic literature review’, </w:t>
      </w:r>
      <w:r w:rsidRPr="006D0846">
        <w:rPr>
          <w:rFonts w:ascii="Arial" w:hAnsi="Arial" w:cs="Arial"/>
          <w:i/>
          <w:iCs/>
          <w:sz w:val="22"/>
          <w:szCs w:val="22"/>
        </w:rPr>
        <w:t>BMC Health Services Research</w:t>
      </w:r>
      <w:r w:rsidRPr="006D0846">
        <w:rPr>
          <w:rFonts w:ascii="Arial" w:hAnsi="Arial" w:cs="Arial"/>
          <w:sz w:val="22"/>
          <w:szCs w:val="22"/>
        </w:rPr>
        <w:t>, 16(Suppl. 5), article 290. doi: 10.1186/s12913-016-1522-3.</w:t>
      </w:r>
    </w:p>
    <w:p w14:paraId="3DF5937C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Kruse, C.S., Krowski, N., Rodriguez, B., Tran, L., Vela, J. and Brooks, M. (2017) ‘Telehealth and patient satisfaction: a systematic review and narrative analysis’, </w:t>
      </w:r>
      <w:r w:rsidRPr="006D0846">
        <w:rPr>
          <w:rFonts w:ascii="Arial" w:hAnsi="Arial" w:cs="Arial"/>
          <w:i/>
          <w:iCs/>
          <w:sz w:val="22"/>
          <w:szCs w:val="22"/>
        </w:rPr>
        <w:t>BMJ Open</w:t>
      </w:r>
      <w:r w:rsidRPr="006D0846">
        <w:rPr>
          <w:rFonts w:ascii="Arial" w:hAnsi="Arial" w:cs="Arial"/>
          <w:sz w:val="22"/>
          <w:szCs w:val="22"/>
        </w:rPr>
        <w:t>, 7(8), e016242. doi: 10.1136/bmjopen-2017-016242.</w:t>
      </w:r>
    </w:p>
    <w:p w14:paraId="1127E181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Leff, B., Burton, L., Mader, S.L., Naughton, B., Burl, J., Inouye, S.K., Greenough, W.B., Guido, S., Langston, C., Frick, K.D., Steinwachs, D. and Burton, J.R. (2005) ‘Hospital at home: feasibility and outcomes of a programme to provide hospital-level care at home for acutely ill older patients’, </w:t>
      </w:r>
      <w:r w:rsidRPr="006D0846">
        <w:rPr>
          <w:rFonts w:ascii="Arial" w:hAnsi="Arial" w:cs="Arial"/>
          <w:i/>
          <w:iCs/>
          <w:sz w:val="22"/>
          <w:szCs w:val="22"/>
        </w:rPr>
        <w:t>Annals of Internal Medicine</w:t>
      </w:r>
      <w:r w:rsidRPr="006D0846">
        <w:rPr>
          <w:rFonts w:ascii="Arial" w:hAnsi="Arial" w:cs="Arial"/>
          <w:sz w:val="22"/>
          <w:szCs w:val="22"/>
        </w:rPr>
        <w:t>, 143(11), pp. 798–808. doi: 10.7326/0003-4819-143-11-200512060-00008.</w:t>
      </w:r>
    </w:p>
    <w:p w14:paraId="4202C317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Matthew-Maich, N., Harris, L., Ploeg, J., Markle-Reid, M., Valaitis, R., Ibrahim, S., Gafni, A. and Isaacs, S. (2016) ‘Designing, implementing and evaluating mobile health technologies for managing chronic conditions in older adults: a scoping review’, </w:t>
      </w:r>
      <w:r w:rsidRPr="006D0846">
        <w:rPr>
          <w:rFonts w:ascii="Arial" w:hAnsi="Arial" w:cs="Arial"/>
          <w:i/>
          <w:iCs/>
          <w:sz w:val="22"/>
          <w:szCs w:val="22"/>
        </w:rPr>
        <w:t>JMIR mHealth and uHealth</w:t>
      </w:r>
      <w:r w:rsidRPr="006D0846">
        <w:rPr>
          <w:rFonts w:ascii="Arial" w:hAnsi="Arial" w:cs="Arial"/>
          <w:sz w:val="22"/>
          <w:szCs w:val="22"/>
        </w:rPr>
        <w:t>, 4(2), e29. doi: 10.2196/mhealth.5127.</w:t>
      </w:r>
    </w:p>
    <w:p w14:paraId="7F033027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National Institute for Health and Care Excellence (2015) </w:t>
      </w:r>
      <w:r w:rsidRPr="006D0846">
        <w:rPr>
          <w:rFonts w:ascii="Arial" w:hAnsi="Arial" w:cs="Arial"/>
          <w:i/>
          <w:iCs/>
          <w:sz w:val="22"/>
          <w:szCs w:val="22"/>
        </w:rPr>
        <w:t>Older people with social care needs and multiple long-term conditions</w:t>
      </w:r>
      <w:r w:rsidRPr="006D0846">
        <w:rPr>
          <w:rFonts w:ascii="Arial" w:hAnsi="Arial" w:cs="Arial"/>
          <w:sz w:val="22"/>
          <w:szCs w:val="22"/>
        </w:rPr>
        <w:t xml:space="preserve">. NICE guideline NG22. Available at: </w:t>
      </w:r>
      <w:hyperlink r:id="rId10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https://www.nice.org.uk/guidance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/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ng22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385B5077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National Institute for Health and Care Excellence (2021) </w:t>
      </w:r>
      <w:r w:rsidRPr="006D0846">
        <w:rPr>
          <w:rFonts w:ascii="Arial" w:hAnsi="Arial" w:cs="Arial"/>
          <w:i/>
          <w:iCs/>
          <w:sz w:val="22"/>
          <w:szCs w:val="22"/>
        </w:rPr>
        <w:t>Shared decision making</w:t>
      </w:r>
      <w:r w:rsidRPr="006D0846">
        <w:rPr>
          <w:rFonts w:ascii="Arial" w:hAnsi="Arial" w:cs="Arial"/>
          <w:sz w:val="22"/>
          <w:szCs w:val="22"/>
        </w:rPr>
        <w:t xml:space="preserve">. NICE guideline NG197. Available at: </w:t>
      </w:r>
      <w:hyperlink r:id="rId11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https://www.nice.org.uk/guidance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/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ng197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222AA84B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NHS England (2019) </w:t>
      </w:r>
      <w:r w:rsidRPr="006D0846">
        <w:rPr>
          <w:rFonts w:ascii="Arial" w:hAnsi="Arial" w:cs="Arial"/>
          <w:i/>
          <w:iCs/>
          <w:sz w:val="22"/>
          <w:szCs w:val="22"/>
        </w:rPr>
        <w:t>The NHS Long Term Plan</w:t>
      </w:r>
      <w:r w:rsidRPr="006D0846">
        <w:rPr>
          <w:rFonts w:ascii="Arial" w:hAnsi="Arial" w:cs="Arial"/>
          <w:sz w:val="22"/>
          <w:szCs w:val="22"/>
        </w:rPr>
        <w:t xml:space="preserve">. London: NHS England. Available at: </w:t>
      </w:r>
      <w:hyperlink r:id="rId12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https://www.longtermplan.nhs.uk/publication/nhs-long-term-pla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n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/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59870E86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NHS England (2023) </w:t>
      </w:r>
      <w:r w:rsidRPr="006D0846">
        <w:rPr>
          <w:rFonts w:ascii="Arial" w:hAnsi="Arial" w:cs="Arial"/>
          <w:i/>
          <w:iCs/>
          <w:sz w:val="22"/>
          <w:szCs w:val="22"/>
        </w:rPr>
        <w:t>NHS App reaches record users on fifth anniversary</w:t>
      </w:r>
      <w:r w:rsidRPr="006D0846">
        <w:rPr>
          <w:rFonts w:ascii="Arial" w:hAnsi="Arial" w:cs="Arial"/>
          <w:sz w:val="22"/>
          <w:szCs w:val="22"/>
        </w:rPr>
        <w:t xml:space="preserve">. London: NHS England. Available at: </w:t>
      </w:r>
      <w:hyperlink r:id="rId13" w:tgtFrame="_new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https://www.england.nhs.uk/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2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023/12/nhs-app-reaches-record-users-on-fifth-anniversary/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2D451D3F" w14:textId="390DF689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lastRenderedPageBreak/>
        <w:t xml:space="preserve">NHS England (2024) </w:t>
      </w:r>
      <w:r w:rsidRPr="006D0846">
        <w:rPr>
          <w:rFonts w:ascii="Arial" w:hAnsi="Arial" w:cs="Arial"/>
          <w:i/>
          <w:iCs/>
          <w:sz w:val="22"/>
          <w:szCs w:val="22"/>
        </w:rPr>
        <w:t>Virtual wards operational framework</w:t>
      </w:r>
      <w:r w:rsidRPr="006D0846">
        <w:rPr>
          <w:rFonts w:ascii="Arial" w:hAnsi="Arial" w:cs="Arial"/>
          <w:sz w:val="22"/>
          <w:szCs w:val="22"/>
        </w:rPr>
        <w:t xml:space="preserve">. London: NHS England. Available at: </w:t>
      </w:r>
      <w:hyperlink r:id="rId14" w:history="1">
        <w:r w:rsidR="004A5860" w:rsidRPr="00B600D7">
          <w:rPr>
            <w:rStyle w:val="Hyperlink"/>
            <w:rFonts w:ascii="Arial" w:hAnsi="Arial" w:cs="Arial"/>
            <w:sz w:val="22"/>
            <w:szCs w:val="22"/>
          </w:rPr>
          <w:t>https://www.england.nhs.uk/long-read/virtual-wards-operational-framework/</w:t>
        </w:r>
      </w:hyperlink>
      <w:r w:rsidR="004A5860">
        <w:rPr>
          <w:rFonts w:ascii="Arial" w:hAnsi="Arial" w:cs="Arial"/>
          <w:sz w:val="22"/>
          <w:szCs w:val="22"/>
        </w:rPr>
        <w:t xml:space="preserve"> </w:t>
      </w:r>
      <w:r w:rsidRPr="006D0846">
        <w:rPr>
          <w:rFonts w:ascii="Arial" w:hAnsi="Arial" w:cs="Arial"/>
          <w:sz w:val="22"/>
          <w:szCs w:val="22"/>
        </w:rPr>
        <w:t xml:space="preserve">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4F7FC94F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Office for National Statistics (2023) </w:t>
      </w:r>
      <w:r w:rsidRPr="006D0846">
        <w:rPr>
          <w:rFonts w:ascii="Arial" w:hAnsi="Arial" w:cs="Arial"/>
          <w:i/>
          <w:iCs/>
          <w:sz w:val="22"/>
          <w:szCs w:val="22"/>
        </w:rPr>
        <w:t>Profile of the older population living in England and Wales in 2021 and changes since 2011</w:t>
      </w:r>
      <w:r w:rsidRPr="006D0846">
        <w:rPr>
          <w:rFonts w:ascii="Arial" w:hAnsi="Arial" w:cs="Arial"/>
          <w:sz w:val="22"/>
          <w:szCs w:val="22"/>
        </w:rPr>
        <w:t>. Newport: Office for National Statistics. Available at:</w:t>
      </w:r>
      <w:r w:rsidRPr="006D0846">
        <w:rPr>
          <w:rFonts w:ascii="Arial" w:hAnsi="Arial" w:cs="Arial"/>
          <w:sz w:val="22"/>
          <w:szCs w:val="22"/>
        </w:rPr>
        <w:t xml:space="preserve"> </w:t>
      </w:r>
      <w:hyperlink r:id="rId15" w:history="1">
        <w:r w:rsidRPr="006D0846">
          <w:rPr>
            <w:rStyle w:val="Hyperlink"/>
            <w:rFonts w:ascii="Arial" w:hAnsi="Arial" w:cs="Arial"/>
            <w:sz w:val="22"/>
            <w:szCs w:val="22"/>
          </w:rPr>
          <w:t>https://www.ons.gov.uk/peoplepopulationandcommunity/birthsdeathsandmarriages/ageing/articles/profileoftheolderpopulationlivinginenglan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d</w:t>
        </w:r>
        <w:r w:rsidRPr="006D0846">
          <w:rPr>
            <w:rStyle w:val="Hyperlink"/>
            <w:rFonts w:ascii="Arial" w:hAnsi="Arial" w:cs="Arial"/>
            <w:sz w:val="22"/>
            <w:szCs w:val="22"/>
          </w:rPr>
          <w:t>andwalesin2021andchangessince2011/2023-04-03</w:t>
        </w:r>
      </w:hyperlink>
      <w:r w:rsidRPr="006D0846">
        <w:rPr>
          <w:rFonts w:ascii="Arial" w:hAnsi="Arial" w:cs="Arial"/>
          <w:sz w:val="22"/>
          <w:szCs w:val="22"/>
        </w:rPr>
        <w:t xml:space="preserve"> (Accessed: </w:t>
      </w:r>
      <w:r w:rsidRPr="006D0846">
        <w:rPr>
          <w:rFonts w:ascii="Arial" w:hAnsi="Arial" w:cs="Arial"/>
          <w:sz w:val="22"/>
          <w:szCs w:val="22"/>
        </w:rPr>
        <w:t>3</w:t>
      </w:r>
      <w:r w:rsidRPr="006D0846">
        <w:rPr>
          <w:rFonts w:ascii="Arial" w:hAnsi="Arial" w:cs="Arial"/>
          <w:sz w:val="22"/>
          <w:szCs w:val="22"/>
        </w:rPr>
        <w:t xml:space="preserve"> July 2026).</w:t>
      </w:r>
    </w:p>
    <w:p w14:paraId="745ACA37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Peek, S.T.M., Wouters, E.J.M., van Hoof, J., Luijkx, K.G., Boeije, H.R. and Vrijhoef, H.J.M. (2014) ‘Factors influencing acceptance of technology for aging in place: a systematic review’, </w:t>
      </w:r>
      <w:r w:rsidRPr="006D084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6D0846">
        <w:rPr>
          <w:rFonts w:ascii="Arial" w:hAnsi="Arial" w:cs="Arial"/>
          <w:sz w:val="22"/>
          <w:szCs w:val="22"/>
        </w:rPr>
        <w:t>, 83(4), pp. 235–248. doi: 10.1016/j.ijmedinf.2014.01.004.</w:t>
      </w:r>
    </w:p>
    <w:p w14:paraId="5A0C9D1C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Shepperd, S., Iliffe, S., Doll, H.A., Clarke, M.J., Kalra, L., Wilson, A.D. and Gonçalves-Bradley, D.C. (2016) ‘Admission avoidance hospital at home’, </w:t>
      </w:r>
      <w:r w:rsidRPr="006D0846">
        <w:rPr>
          <w:rFonts w:ascii="Arial" w:hAnsi="Arial" w:cs="Arial"/>
          <w:i/>
          <w:iCs/>
          <w:sz w:val="22"/>
          <w:szCs w:val="22"/>
        </w:rPr>
        <w:t>Cochrane Database of Systematic Reviews</w:t>
      </w:r>
      <w:r w:rsidRPr="006D0846">
        <w:rPr>
          <w:rFonts w:ascii="Arial" w:hAnsi="Arial" w:cs="Arial"/>
          <w:sz w:val="22"/>
          <w:szCs w:val="22"/>
        </w:rPr>
        <w:t>, 9, CD007491. doi: 10.1002/14651858.CD007491.pub2.</w:t>
      </w:r>
    </w:p>
    <w:p w14:paraId="30F42233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Vaportzis, E., Clausen, M.G. and Gow, A.J. (2017) ‘Older adults’ perceptions of technology and barriers to interacting with tablet computers: a focus group study’, </w:t>
      </w:r>
      <w:r w:rsidRPr="006D0846">
        <w:rPr>
          <w:rFonts w:ascii="Arial" w:hAnsi="Arial" w:cs="Arial"/>
          <w:i/>
          <w:iCs/>
          <w:sz w:val="22"/>
          <w:szCs w:val="22"/>
        </w:rPr>
        <w:t>Frontiers in Psychology</w:t>
      </w:r>
      <w:r w:rsidRPr="006D0846">
        <w:rPr>
          <w:rFonts w:ascii="Arial" w:hAnsi="Arial" w:cs="Arial"/>
          <w:sz w:val="22"/>
          <w:szCs w:val="22"/>
        </w:rPr>
        <w:t>, 8, article 1682. doi: 10.3389/fpsyg.2017.01682.</w:t>
      </w:r>
    </w:p>
    <w:p w14:paraId="20D0CF01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Wildenbos, G.A., Peute, L. and Jaspers, M. (2018) ‘Aging barriers influencing mobile health usability for older adults: a literature-based framework’, </w:t>
      </w:r>
      <w:r w:rsidRPr="006D084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6D0846">
        <w:rPr>
          <w:rFonts w:ascii="Arial" w:hAnsi="Arial" w:cs="Arial"/>
          <w:sz w:val="22"/>
          <w:szCs w:val="22"/>
        </w:rPr>
        <w:t>, 114, pp. 66–75. doi: 10.1016/j.ijmedinf.2018.03.012.</w:t>
      </w:r>
    </w:p>
    <w:p w14:paraId="05A20FFD" w14:textId="77777777" w:rsidR="006D0846" w:rsidRPr="006D0846" w:rsidRDefault="006D0846" w:rsidP="009F140D">
      <w:pPr>
        <w:spacing w:line="360" w:lineRule="auto"/>
        <w:rPr>
          <w:rFonts w:ascii="Arial" w:hAnsi="Arial" w:cs="Arial"/>
          <w:sz w:val="22"/>
          <w:szCs w:val="22"/>
        </w:rPr>
      </w:pPr>
      <w:r w:rsidRPr="006D0846">
        <w:rPr>
          <w:rFonts w:ascii="Arial" w:hAnsi="Arial" w:cs="Arial"/>
          <w:sz w:val="22"/>
          <w:szCs w:val="22"/>
        </w:rPr>
        <w:t xml:space="preserve">Yusif, S., Soar, J. and Hafeez-Baig, A. (2016) ‘Older people, assistive technologies and the barriers to adoption: a systematic review’, </w:t>
      </w:r>
      <w:r w:rsidRPr="006D0846">
        <w:rPr>
          <w:rFonts w:ascii="Arial" w:hAnsi="Arial" w:cs="Arial"/>
          <w:i/>
          <w:iCs/>
          <w:sz w:val="22"/>
          <w:szCs w:val="22"/>
        </w:rPr>
        <w:t>International Journal of Medical Informatics</w:t>
      </w:r>
      <w:r w:rsidRPr="006D0846">
        <w:rPr>
          <w:rFonts w:ascii="Arial" w:hAnsi="Arial" w:cs="Arial"/>
          <w:sz w:val="22"/>
          <w:szCs w:val="22"/>
        </w:rPr>
        <w:t>, 94, pp. 112–116. doi: 10.1016/j.ijmedinf.2016.07.004.</w:t>
      </w:r>
    </w:p>
    <w:sectPr w:rsidR="006D0846" w:rsidRPr="006D084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C12DF"/>
    <w:rsid w:val="003327EB"/>
    <w:rsid w:val="004A5860"/>
    <w:rsid w:val="004C12DF"/>
    <w:rsid w:val="00553F80"/>
    <w:rsid w:val="006D0846"/>
    <w:rsid w:val="009F140D"/>
    <w:rsid w:val="00D02CA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900C329"/>
  <w15:chartTrackingRefBased/>
  <w15:docId w15:val="{2DD60778-B8F7-4C67-964F-FCFB296AC04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4C12DF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4C12DF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4C12DF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4C12DF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4C12DF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4C12DF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4C12DF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4C12DF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4C12DF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4C12DF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4C12DF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4C12DF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4C12DF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4C12DF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4C12DF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4C12DF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4C12DF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4C12DF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4C12D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4C12D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4C12DF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4C12DF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4C12DF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4C12DF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4C12DF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4C12DF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4C12DF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4C12DF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4C12DF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4C12DF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4C12DF"/>
    <w:rPr>
      <w:color w:val="605E5C"/>
      <w:shd w:val="clear" w:color="auto" w:fill="E1DFDD"/>
    </w:rPr>
  </w:style>
  <w:style w:type="character" w:styleId="FollowedHyperlink">
    <w:name w:val="FollowedHyperlink"/>
    <w:basedOn w:val="DefaultParagraphFont"/>
    <w:uiPriority w:val="99"/>
    <w:semiHidden/>
    <w:unhideWhenUsed/>
    <w:rsid w:val="004A5860"/>
    <w:rPr>
      <w:color w:val="96607D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legislation.gov.uk/ukpga/1998/42/contents" TargetMode="External"/><Relationship Id="rId13" Type="http://schemas.openxmlformats.org/officeDocument/2006/relationships/hyperlink" Target="https://www.england.nhs.uk/2023/12/nhs-app-reaches-record-users-on-fifth-anniversary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www.legislation.gov.uk/ukpga/2010/15/contents" TargetMode="External"/><Relationship Id="rId12" Type="http://schemas.openxmlformats.org/officeDocument/2006/relationships/hyperlink" Target="https://www.longtermplan.nhs.uk/publication/nhs-long-term-plan/" TargetMode="External"/><Relationship Id="rId17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fontTable" Target="fontTable.xml"/><Relationship Id="rId1" Type="http://schemas.openxmlformats.org/officeDocument/2006/relationships/styles" Target="styles.xml"/><Relationship Id="rId6" Type="http://schemas.openxmlformats.org/officeDocument/2006/relationships/hyperlink" Target="https://www.gov.uk/government/publications/people-at-the-heart-of-care-adult-social-care-reform-white-paper" TargetMode="External"/><Relationship Id="rId11" Type="http://schemas.openxmlformats.org/officeDocument/2006/relationships/hyperlink" Target="https://www.nice.org.uk/guidance/ng197" TargetMode="External"/><Relationship Id="rId5" Type="http://schemas.openxmlformats.org/officeDocument/2006/relationships/hyperlink" Target="https://www.legislation.gov.uk/ukpga/2018/12/contents" TargetMode="External"/><Relationship Id="rId15" Type="http://schemas.openxmlformats.org/officeDocument/2006/relationships/hyperlink" Target="https://www.ons.gov.uk/peoplepopulationandcommunity/birthsdeathsandmarriages/ageing/articles/profileoftheolderpopulationlivinginenglandandwalesin2021andchangessince2011/2023-04-03" TargetMode="External"/><Relationship Id="rId10" Type="http://schemas.openxmlformats.org/officeDocument/2006/relationships/hyperlink" Target="https://www.nice.org.uk/guidance/ng22" TargetMode="External"/><Relationship Id="rId4" Type="http://schemas.openxmlformats.org/officeDocument/2006/relationships/hyperlink" Target="https://www.legislation.gov.uk/ukpga/2014/23/contents" TargetMode="External"/><Relationship Id="rId9" Type="http://schemas.openxmlformats.org/officeDocument/2006/relationships/hyperlink" Target="https://ico.org.uk/for-organisations/uk-gdpr-guidance-and-resources/" TargetMode="External"/><Relationship Id="rId14" Type="http://schemas.openxmlformats.org/officeDocument/2006/relationships/hyperlink" Target="https://www.england.nhs.uk/long-read/virtual-wards-operational-framework/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4</Pages>
  <Words>1173</Words>
  <Characters>6692</Characters>
  <Application>Microsoft Office Word</Application>
  <DocSecurity>0</DocSecurity>
  <Lines>55</Lines>
  <Paragraphs>15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Salma Begum</dc:creator>
  <cp:keywords/>
  <dc:description/>
  <cp:lastModifiedBy>Salma Begum</cp:lastModifiedBy>
  <cp:revision>2</cp:revision>
  <dcterms:created xsi:type="dcterms:W3CDTF">2026-07-10T10:35:00Z</dcterms:created>
  <dcterms:modified xsi:type="dcterms:W3CDTF">2026-07-10T11:31:00Z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b836a302-2218-4837-9a63-42c9e923c541</vt:lpwstr>
  </property>
</Properties>
</file>