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83580529"/>
        <w:docPartObj>
          <w:docPartGallery w:val="Cover Pages"/>
          <w:docPartUnique/>
        </w:docPartObj>
      </w:sdtPr>
      <w:sdtContent>
        <w:p w14:paraId="039C37DB" w14:textId="3BAF8A58" w:rsidR="0098186E" w:rsidRDefault="000650B2">
          <w:r>
            <w:rPr>
              <w:noProof/>
            </w:rPr>
            <w:drawing>
              <wp:inline distT="0" distB="0" distL="0" distR="0" wp14:anchorId="7D868B91" wp14:editId="64877565">
                <wp:extent cx="2386965" cy="949960"/>
                <wp:effectExtent l="0" t="0" r="0" b="0"/>
                <wp:docPr id="1036277651" name="Picture 6"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6965" cy="949960"/>
                        </a:xfrm>
                        <a:prstGeom prst="rect">
                          <a:avLst/>
                        </a:prstGeom>
                        <a:noFill/>
                        <a:ln>
                          <a:noFill/>
                        </a:ln>
                      </pic:spPr>
                    </pic:pic>
                  </a:graphicData>
                </a:graphic>
              </wp:inline>
            </w:drawing>
          </w:r>
        </w:p>
        <w:p w14:paraId="6D2E72BF" w14:textId="250572CD" w:rsidR="000650B2" w:rsidRDefault="00000000" w:rsidP="000650B2"/>
      </w:sdtContent>
    </w:sdt>
    <w:p w14:paraId="343F287D" w14:textId="77777777" w:rsidR="000650B2" w:rsidRDefault="000650B2" w:rsidP="000650B2"/>
    <w:p w14:paraId="228160CC" w14:textId="77777777" w:rsidR="000650B2" w:rsidRDefault="000650B2" w:rsidP="000650B2"/>
    <w:p w14:paraId="2387A668" w14:textId="77777777" w:rsidR="000650B2" w:rsidRDefault="000650B2" w:rsidP="000650B2"/>
    <w:p w14:paraId="6BE45716" w14:textId="77777777" w:rsidR="007F352A" w:rsidRDefault="007F352A" w:rsidP="007F352A">
      <w:pPr>
        <w:spacing w:line="480" w:lineRule="auto"/>
        <w:jc w:val="both"/>
        <w:rPr>
          <w:rFonts w:ascii="Arial" w:hAnsi="Arial" w:cs="Arial"/>
          <w:sz w:val="24"/>
          <w:szCs w:val="24"/>
        </w:rPr>
      </w:pPr>
    </w:p>
    <w:p w14:paraId="655B3572" w14:textId="5B04531B" w:rsidR="000650B2" w:rsidRPr="00BB4027" w:rsidRDefault="000650B2" w:rsidP="007F352A">
      <w:pPr>
        <w:spacing w:line="480" w:lineRule="auto"/>
        <w:jc w:val="both"/>
        <w:rPr>
          <w:rFonts w:ascii="Arial" w:hAnsi="Arial" w:cs="Arial"/>
          <w:sz w:val="24"/>
          <w:szCs w:val="24"/>
          <w:lang w:val="pt-PT"/>
        </w:rPr>
      </w:pPr>
      <w:r w:rsidRPr="00BB4027">
        <w:rPr>
          <w:rFonts w:ascii="Arial" w:hAnsi="Arial" w:cs="Arial"/>
          <w:sz w:val="24"/>
          <w:szCs w:val="24"/>
          <w:lang w:val="pt-PT"/>
        </w:rPr>
        <w:t xml:space="preserve">Student </w:t>
      </w:r>
      <w:r w:rsidR="007F352A" w:rsidRPr="00BB4027">
        <w:rPr>
          <w:rFonts w:ascii="Arial" w:hAnsi="Arial" w:cs="Arial"/>
          <w:sz w:val="24"/>
          <w:szCs w:val="24"/>
          <w:lang w:val="pt-PT"/>
        </w:rPr>
        <w:t>N</w:t>
      </w:r>
      <w:r w:rsidRPr="00BB4027">
        <w:rPr>
          <w:rFonts w:ascii="Arial" w:hAnsi="Arial" w:cs="Arial"/>
          <w:sz w:val="24"/>
          <w:szCs w:val="24"/>
          <w:lang w:val="pt-PT"/>
        </w:rPr>
        <w:t xml:space="preserve">ame: </w:t>
      </w:r>
      <w:r w:rsidR="00BB4027" w:rsidRPr="00BB4027">
        <w:rPr>
          <w:rFonts w:ascii="Arial" w:hAnsi="Arial" w:cs="Arial"/>
          <w:sz w:val="24"/>
          <w:szCs w:val="24"/>
          <w:lang w:val="pt-PT"/>
        </w:rPr>
        <w:t>Bruno da Cruz Pereira</w:t>
      </w:r>
      <w:r w:rsidRPr="00BB4027">
        <w:rPr>
          <w:rFonts w:ascii="Arial" w:hAnsi="Arial" w:cs="Arial"/>
          <w:sz w:val="24"/>
          <w:szCs w:val="24"/>
          <w:lang w:val="pt-PT"/>
        </w:rPr>
        <w:t xml:space="preserve"> </w:t>
      </w:r>
    </w:p>
    <w:p w14:paraId="2B72363C" w14:textId="6517A06F" w:rsidR="000650B2" w:rsidRPr="007F352A" w:rsidRDefault="000650B2" w:rsidP="007F352A">
      <w:pPr>
        <w:spacing w:line="480" w:lineRule="auto"/>
        <w:jc w:val="both"/>
        <w:rPr>
          <w:rFonts w:ascii="Arial" w:hAnsi="Arial" w:cs="Arial"/>
          <w:sz w:val="24"/>
          <w:szCs w:val="24"/>
        </w:rPr>
      </w:pPr>
      <w:r w:rsidRPr="007F352A">
        <w:rPr>
          <w:rFonts w:ascii="Arial" w:hAnsi="Arial" w:cs="Arial"/>
          <w:sz w:val="24"/>
          <w:szCs w:val="24"/>
        </w:rPr>
        <w:t>Student ID:</w:t>
      </w:r>
      <w:r w:rsidR="00B00DB9">
        <w:rPr>
          <w:rFonts w:ascii="Arial" w:hAnsi="Arial" w:cs="Arial"/>
          <w:sz w:val="24"/>
          <w:szCs w:val="24"/>
        </w:rPr>
        <w:t xml:space="preserve"> 2210506</w:t>
      </w:r>
    </w:p>
    <w:p w14:paraId="5C44FE40" w14:textId="332C00F3" w:rsidR="000650B2" w:rsidRPr="00BB4027" w:rsidRDefault="000650B2" w:rsidP="007F352A">
      <w:pPr>
        <w:spacing w:line="480" w:lineRule="auto"/>
        <w:jc w:val="both"/>
        <w:rPr>
          <w:rFonts w:ascii="Arial" w:hAnsi="Arial" w:cs="Arial"/>
          <w:sz w:val="24"/>
          <w:szCs w:val="24"/>
        </w:rPr>
      </w:pPr>
      <w:r w:rsidRPr="00BB4027">
        <w:rPr>
          <w:rFonts w:ascii="Arial" w:hAnsi="Arial" w:cs="Arial"/>
          <w:sz w:val="24"/>
          <w:szCs w:val="24"/>
        </w:rPr>
        <w:t xml:space="preserve">Module </w:t>
      </w:r>
      <w:r w:rsidR="007F352A" w:rsidRPr="00BB4027">
        <w:rPr>
          <w:rFonts w:ascii="Arial" w:hAnsi="Arial" w:cs="Arial"/>
          <w:sz w:val="24"/>
          <w:szCs w:val="24"/>
        </w:rPr>
        <w:t>N</w:t>
      </w:r>
      <w:r w:rsidRPr="00BB4027">
        <w:rPr>
          <w:rFonts w:ascii="Arial" w:hAnsi="Arial" w:cs="Arial"/>
          <w:sz w:val="24"/>
          <w:szCs w:val="24"/>
        </w:rPr>
        <w:t>ame:</w:t>
      </w:r>
      <w:r w:rsidR="00BB4027" w:rsidRPr="00BB4027">
        <w:rPr>
          <w:rFonts w:ascii="Arial" w:hAnsi="Arial" w:cs="Arial"/>
          <w:sz w:val="24"/>
          <w:szCs w:val="24"/>
        </w:rPr>
        <w:t xml:space="preserve"> Introduction to Pu</w:t>
      </w:r>
      <w:r w:rsidR="00BB4027">
        <w:rPr>
          <w:rFonts w:ascii="Arial" w:hAnsi="Arial" w:cs="Arial"/>
          <w:sz w:val="24"/>
          <w:szCs w:val="24"/>
        </w:rPr>
        <w:t>blic Health</w:t>
      </w:r>
    </w:p>
    <w:p w14:paraId="66B714D6" w14:textId="4DA15CB7" w:rsidR="000650B2" w:rsidRPr="003F7834" w:rsidRDefault="000650B2" w:rsidP="007F352A">
      <w:pPr>
        <w:spacing w:line="480" w:lineRule="auto"/>
        <w:jc w:val="both"/>
        <w:rPr>
          <w:rFonts w:ascii="Arial" w:hAnsi="Arial" w:cs="Arial"/>
          <w:sz w:val="24"/>
          <w:szCs w:val="24"/>
        </w:rPr>
      </w:pPr>
      <w:r w:rsidRPr="003F7834">
        <w:rPr>
          <w:rFonts w:ascii="Arial" w:hAnsi="Arial" w:cs="Arial"/>
          <w:sz w:val="24"/>
          <w:szCs w:val="24"/>
        </w:rPr>
        <w:t xml:space="preserve">Module </w:t>
      </w:r>
      <w:r w:rsidR="007F352A" w:rsidRPr="003F7834">
        <w:rPr>
          <w:rFonts w:ascii="Arial" w:hAnsi="Arial" w:cs="Arial"/>
          <w:sz w:val="24"/>
          <w:szCs w:val="24"/>
        </w:rPr>
        <w:t>C</w:t>
      </w:r>
      <w:r w:rsidRPr="003F7834">
        <w:rPr>
          <w:rFonts w:ascii="Arial" w:hAnsi="Arial" w:cs="Arial"/>
          <w:sz w:val="24"/>
          <w:szCs w:val="24"/>
        </w:rPr>
        <w:t>ode:</w:t>
      </w:r>
      <w:r w:rsidR="00BB4027" w:rsidRPr="003F7834">
        <w:rPr>
          <w:rFonts w:ascii="Arial" w:hAnsi="Arial" w:cs="Arial"/>
          <w:sz w:val="24"/>
          <w:szCs w:val="24"/>
        </w:rPr>
        <w:t xml:space="preserve"> LCHS4008</w:t>
      </w:r>
    </w:p>
    <w:p w14:paraId="63181EEF" w14:textId="6D15D7E8" w:rsidR="000650B2" w:rsidRPr="003F7834" w:rsidRDefault="00B00DB9" w:rsidP="00BB4027">
      <w:pPr>
        <w:tabs>
          <w:tab w:val="right" w:pos="9026"/>
        </w:tabs>
        <w:spacing w:line="480" w:lineRule="auto"/>
        <w:jc w:val="both"/>
        <w:rPr>
          <w:rFonts w:ascii="Arial" w:hAnsi="Arial" w:cs="Arial"/>
          <w:sz w:val="24"/>
          <w:szCs w:val="24"/>
        </w:rPr>
      </w:pPr>
      <w:r w:rsidRPr="003F7834">
        <w:rPr>
          <w:rFonts w:ascii="Arial" w:hAnsi="Arial" w:cs="Arial"/>
          <w:sz w:val="24"/>
          <w:szCs w:val="24"/>
        </w:rPr>
        <w:t>Lecture</w:t>
      </w:r>
      <w:r w:rsidR="000650B2" w:rsidRPr="003F7834">
        <w:rPr>
          <w:rFonts w:ascii="Arial" w:hAnsi="Arial" w:cs="Arial"/>
          <w:sz w:val="24"/>
          <w:szCs w:val="24"/>
        </w:rPr>
        <w:t xml:space="preserve"> </w:t>
      </w:r>
      <w:r w:rsidR="007F352A" w:rsidRPr="003F7834">
        <w:rPr>
          <w:rFonts w:ascii="Arial" w:hAnsi="Arial" w:cs="Arial"/>
          <w:sz w:val="24"/>
          <w:szCs w:val="24"/>
        </w:rPr>
        <w:t>N</w:t>
      </w:r>
      <w:r w:rsidR="000650B2" w:rsidRPr="003F7834">
        <w:rPr>
          <w:rFonts w:ascii="Arial" w:hAnsi="Arial" w:cs="Arial"/>
          <w:sz w:val="24"/>
          <w:szCs w:val="24"/>
        </w:rPr>
        <w:t xml:space="preserve">ame: </w:t>
      </w:r>
      <w:r w:rsidR="003F7834">
        <w:rPr>
          <w:rFonts w:ascii="Arial" w:hAnsi="Arial" w:cs="Arial"/>
          <w:sz w:val="28"/>
          <w:szCs w:val="28"/>
          <w:shd w:val="clear" w:color="auto" w:fill="FFFFFF"/>
        </w:rPr>
        <w:t>Dr Patronella Ganza</w:t>
      </w:r>
      <w:r w:rsidR="00BB4027" w:rsidRPr="003F7834">
        <w:rPr>
          <w:rFonts w:ascii="Arial" w:hAnsi="Arial" w:cs="Arial"/>
          <w:sz w:val="24"/>
          <w:szCs w:val="24"/>
        </w:rPr>
        <w:tab/>
      </w:r>
    </w:p>
    <w:p w14:paraId="656727BE" w14:textId="76FEABD4" w:rsidR="0098186E" w:rsidRPr="007F352A" w:rsidRDefault="000650B2" w:rsidP="007F352A">
      <w:pPr>
        <w:spacing w:line="480" w:lineRule="auto"/>
        <w:jc w:val="both"/>
        <w:rPr>
          <w:rFonts w:ascii="Arial" w:hAnsi="Arial" w:cs="Arial"/>
          <w:sz w:val="22"/>
          <w:szCs w:val="22"/>
        </w:rPr>
      </w:pPr>
      <w:r w:rsidRPr="007F352A">
        <w:rPr>
          <w:rFonts w:ascii="Arial" w:hAnsi="Arial" w:cs="Arial"/>
          <w:sz w:val="24"/>
          <w:szCs w:val="24"/>
        </w:rPr>
        <w:t xml:space="preserve">Submission </w:t>
      </w:r>
      <w:r w:rsidR="007F352A">
        <w:rPr>
          <w:rFonts w:ascii="Arial" w:hAnsi="Arial" w:cs="Arial"/>
          <w:sz w:val="24"/>
          <w:szCs w:val="24"/>
        </w:rPr>
        <w:t>D</w:t>
      </w:r>
      <w:r w:rsidRPr="007F352A">
        <w:rPr>
          <w:rFonts w:ascii="Arial" w:hAnsi="Arial" w:cs="Arial"/>
          <w:sz w:val="24"/>
          <w:szCs w:val="24"/>
        </w:rPr>
        <w:t>ate:</w:t>
      </w:r>
      <w:r w:rsidR="00BB4027">
        <w:rPr>
          <w:rFonts w:ascii="Arial" w:hAnsi="Arial" w:cs="Arial"/>
          <w:sz w:val="24"/>
          <w:szCs w:val="24"/>
        </w:rPr>
        <w:t xml:space="preserve"> 13/07/2026</w:t>
      </w:r>
    </w:p>
    <w:p w14:paraId="68DDB869" w14:textId="6D2C41F7" w:rsidR="00E65EA0" w:rsidRPr="007F352A" w:rsidRDefault="00E65EA0" w:rsidP="007F352A">
      <w:pPr>
        <w:jc w:val="both"/>
        <w:rPr>
          <w:rFonts w:ascii="Arial" w:hAnsi="Arial" w:cs="Arial"/>
        </w:rPr>
      </w:pPr>
    </w:p>
    <w:p w14:paraId="3A25A178" w14:textId="3326B9B6" w:rsidR="007F352A" w:rsidRPr="007F352A" w:rsidRDefault="00E65EA0" w:rsidP="007F352A">
      <w:pPr>
        <w:pStyle w:val="NormalWeb"/>
        <w:spacing w:line="360" w:lineRule="auto"/>
        <w:jc w:val="both"/>
        <w:rPr>
          <w:rFonts w:ascii="Arial" w:hAnsi="Arial" w:cs="Arial"/>
          <w:b/>
          <w:bCs/>
          <w:color w:val="000000"/>
          <w:sz w:val="27"/>
          <w:szCs w:val="27"/>
        </w:rPr>
      </w:pPr>
      <w:r w:rsidRPr="007F352A">
        <w:rPr>
          <w:rFonts w:ascii="Arial" w:hAnsi="Arial" w:cs="Arial"/>
        </w:rPr>
        <w:br w:type="page"/>
      </w:r>
      <w:r w:rsidR="007F352A" w:rsidRPr="007F352A">
        <w:rPr>
          <w:rFonts w:ascii="Arial" w:hAnsi="Arial" w:cs="Arial"/>
          <w:b/>
          <w:bCs/>
          <w:color w:val="000000"/>
          <w:sz w:val="27"/>
          <w:szCs w:val="27"/>
        </w:rPr>
        <w:lastRenderedPageBreak/>
        <w:t>Question: What are the main approaches and strategies that could be used to monitor prostate cancer</w:t>
      </w:r>
      <w:r w:rsidR="003F7834">
        <w:rPr>
          <w:rFonts w:ascii="Arial" w:hAnsi="Arial" w:cs="Arial"/>
          <w:b/>
          <w:bCs/>
          <w:color w:val="000000"/>
          <w:sz w:val="27"/>
          <w:szCs w:val="27"/>
        </w:rPr>
        <w:t>.</w:t>
      </w:r>
    </w:p>
    <w:p w14:paraId="50B057E7" w14:textId="77777777" w:rsidR="007F352A" w:rsidRPr="007F352A" w:rsidRDefault="007F352A" w:rsidP="007F352A">
      <w:pPr>
        <w:pStyle w:val="NormalWeb"/>
        <w:jc w:val="both"/>
        <w:rPr>
          <w:rFonts w:ascii="Arial" w:hAnsi="Arial" w:cs="Arial"/>
          <w:b/>
          <w:bCs/>
          <w:i/>
          <w:iCs/>
          <w:color w:val="000000"/>
          <w:sz w:val="27"/>
          <w:szCs w:val="27"/>
        </w:rPr>
      </w:pPr>
      <w:r w:rsidRPr="007F352A">
        <w:rPr>
          <w:rFonts w:ascii="Arial" w:hAnsi="Arial" w:cs="Arial"/>
          <w:b/>
          <w:bCs/>
          <w:i/>
          <w:iCs/>
          <w:color w:val="000000"/>
          <w:sz w:val="27"/>
          <w:szCs w:val="27"/>
        </w:rPr>
        <w:t>Keeping an eye on PSA</w:t>
      </w:r>
    </w:p>
    <w:p w14:paraId="1829148F"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For nearly all prostate cancer surveillance, the first blood test is called Prostate-Specific Antigen (PSA). A protein produced by the prostate, and its concentration increases with the presence of prostate cancer. This will be reviewed on a regular basis for Mr Brown, approximately every couple of months. The team are not only interested in the number but in how fast it is changing. If PSA levels increase rapidly, it means that the cancer is growing faster. If PSA continues to rise after treatment, this is likely to indicate that the cancer has become resistant to the treatment and therefore something needs to be done (NICE, 2019).</w:t>
      </w:r>
    </w:p>
    <w:p w14:paraId="7B066B0B"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However, PSA has its drawbacks. The PSA is never used on its own, as some men's cancer activity is very high, but their PSA remains relatively low. It always has to be part of an overall picture.</w:t>
      </w:r>
    </w:p>
    <w:p w14:paraId="40456E92" w14:textId="77777777" w:rsidR="007F352A" w:rsidRPr="007F352A" w:rsidRDefault="007F352A" w:rsidP="007F352A">
      <w:pPr>
        <w:pStyle w:val="NormalWeb"/>
        <w:jc w:val="both"/>
        <w:rPr>
          <w:rFonts w:ascii="Arial" w:hAnsi="Arial" w:cs="Arial"/>
          <w:b/>
          <w:bCs/>
          <w:i/>
          <w:iCs/>
          <w:color w:val="000000"/>
          <w:sz w:val="27"/>
          <w:szCs w:val="27"/>
        </w:rPr>
      </w:pPr>
      <w:r w:rsidRPr="007F352A">
        <w:rPr>
          <w:rFonts w:ascii="Arial" w:hAnsi="Arial" w:cs="Arial"/>
          <w:b/>
          <w:bCs/>
          <w:i/>
          <w:iCs/>
          <w:color w:val="000000"/>
          <w:sz w:val="27"/>
          <w:szCs w:val="27"/>
        </w:rPr>
        <w:t>Scans</w:t>
      </w:r>
    </w:p>
    <w:p w14:paraId="42AFAE55"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Mr Brown will also have regular scans as well as blood tests to monitor what is going on in his body. There are several types, all of which provide different information:</w:t>
      </w:r>
    </w:p>
    <w:p w14:paraId="68BFBDCE"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 MRI generates very detailed images of the prostate and surrounding tissue. The PROMIS trial demonstrated that it is highly accurate in detecting the cancer that really requires treatment, in comparison with a standard biopsy (Ahmed et al., 2017).</w:t>
      </w:r>
    </w:p>
    <w:p w14:paraId="1EE17A41"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 CT scans provide a more comprehensive overview and examine the lymph nodes and abdominal and pelvic organs for the presence of any cancer spread.</w:t>
      </w:r>
    </w:p>
    <w:p w14:paraId="4B1BD11A"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 Mr Brown is particularly interested in bone scans because prostate cancer can often spread to the bones. The radioactive tracer is injected into a small amount and it will make bone areas that may be involved in cancer stand out. These scans are performed periodically to see if there are any changes (NHS England, 2018).</w:t>
      </w:r>
    </w:p>
    <w:p w14:paraId="0531A2D9" w14:textId="3027FD0B"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 xml:space="preserve">The newer option (PSMA PET-CT) has come onto the NHS. Sensitive enough to detect even small cancer deposits, it is much more sensitive than </w:t>
      </w:r>
      <w:r w:rsidRPr="007F352A">
        <w:rPr>
          <w:rFonts w:ascii="Arial" w:hAnsi="Arial" w:cs="Arial"/>
          <w:color w:val="000000"/>
          <w:sz w:val="27"/>
          <w:szCs w:val="27"/>
        </w:rPr>
        <w:lastRenderedPageBreak/>
        <w:t>older scans. It has been approved by NICE in 2022 after the pro</w:t>
      </w:r>
      <w:r>
        <w:rPr>
          <w:rFonts w:ascii="Arial" w:hAnsi="Arial" w:cs="Arial"/>
          <w:color w:val="000000"/>
          <w:sz w:val="27"/>
          <w:szCs w:val="27"/>
        </w:rPr>
        <w:t xml:space="preserve"> </w:t>
      </w:r>
      <w:r w:rsidRPr="007F352A">
        <w:rPr>
          <w:rFonts w:ascii="Arial" w:hAnsi="Arial" w:cs="Arial"/>
          <w:color w:val="000000"/>
          <w:sz w:val="27"/>
          <w:szCs w:val="27"/>
        </w:rPr>
        <w:t>PSMA trial (Hofman et al., 2020).</w:t>
      </w:r>
    </w:p>
    <w:p w14:paraId="5C410E7C" w14:textId="77777777" w:rsidR="007F352A" w:rsidRPr="007F352A" w:rsidRDefault="007F352A" w:rsidP="007F352A">
      <w:pPr>
        <w:pStyle w:val="NormalWeb"/>
        <w:jc w:val="both"/>
        <w:rPr>
          <w:rFonts w:ascii="Arial" w:hAnsi="Arial" w:cs="Arial"/>
          <w:b/>
          <w:bCs/>
          <w:i/>
          <w:iCs/>
          <w:color w:val="000000"/>
          <w:sz w:val="27"/>
          <w:szCs w:val="27"/>
        </w:rPr>
      </w:pPr>
      <w:r w:rsidRPr="007F352A">
        <w:rPr>
          <w:rFonts w:ascii="Arial" w:hAnsi="Arial" w:cs="Arial"/>
          <w:b/>
          <w:bCs/>
          <w:i/>
          <w:iCs/>
          <w:color w:val="000000"/>
          <w:sz w:val="27"/>
          <w:szCs w:val="27"/>
        </w:rPr>
        <w:t>Watching his symptoms</w:t>
      </w:r>
    </w:p>
    <w:p w14:paraId="46D598F7"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Mr Brown's urinary symptoms are monitored over time using a simple questionnaire that asks a series of questions about the toilet visits and the stream of urine, known as the IPSS. It only takes a couple minutes to fill out and provides clarity on the team's point of view on whether things are improving or deteriorating. The doctor will also perform a brief physical exam to feel the prostate directly, which may be able to detect changes that aren't apparent from blood tests.</w:t>
      </w:r>
    </w:p>
    <w:p w14:paraId="0B5A277B"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Also, the question arises, how is Mr Brown doing day-to-day? They use a short scale, known as the ECOG Performance Status, to measure this. It is important because it allows the team to determine what the treatment is likely to be for him and if his overall health is deteriorating.</w:t>
      </w:r>
    </w:p>
    <w:p w14:paraId="1CA954CE" w14:textId="77777777" w:rsidR="007F352A" w:rsidRPr="007F352A" w:rsidRDefault="007F352A" w:rsidP="007F352A">
      <w:pPr>
        <w:pStyle w:val="NormalWeb"/>
        <w:jc w:val="both"/>
        <w:rPr>
          <w:rFonts w:ascii="Arial" w:hAnsi="Arial" w:cs="Arial"/>
          <w:b/>
          <w:bCs/>
          <w:i/>
          <w:iCs/>
          <w:color w:val="000000"/>
          <w:sz w:val="27"/>
          <w:szCs w:val="27"/>
        </w:rPr>
      </w:pPr>
      <w:r w:rsidRPr="007F352A">
        <w:rPr>
          <w:rFonts w:ascii="Arial" w:hAnsi="Arial" w:cs="Arial"/>
          <w:b/>
          <w:bCs/>
          <w:i/>
          <w:iCs/>
          <w:color w:val="000000"/>
          <w:sz w:val="27"/>
          <w:szCs w:val="27"/>
        </w:rPr>
        <w:t>Other blood tests worth knowing about</w:t>
      </w:r>
    </w:p>
    <w:p w14:paraId="27272261"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In addition to PSA, a few other measurements are made. Regular checks of kidney and liver function are carried out as some treatments could impact these organs. His T level will also be checked once treatment with hormones begins, since that's the purpose of the treatment: to get his T level down as low as possible. In addition to the bone scans, a chemical marker, known as ALP, can be used to help identify bone involvement when it is elevated.</w:t>
      </w:r>
    </w:p>
    <w:p w14:paraId="235E97EA"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There is also a novel method referred to as "liquid biopsy" that can detect very small pieces of cancer DNA in a blood draw. It can show if the cancer is getting resistance to treatment, without taking samples of tissue (Wyatt et al., 2017). Although a relatively new technique, it is developing rapidly.</w:t>
      </w:r>
    </w:p>
    <w:p w14:paraId="7EF6BA14" w14:textId="77777777" w:rsidR="007F352A" w:rsidRPr="007F352A" w:rsidRDefault="007F352A" w:rsidP="007F352A">
      <w:pPr>
        <w:pStyle w:val="NormalWeb"/>
        <w:jc w:val="both"/>
        <w:rPr>
          <w:rFonts w:ascii="Arial" w:hAnsi="Arial" w:cs="Arial"/>
          <w:b/>
          <w:bCs/>
          <w:i/>
          <w:iCs/>
          <w:color w:val="000000"/>
          <w:sz w:val="27"/>
          <w:szCs w:val="27"/>
        </w:rPr>
      </w:pPr>
      <w:r w:rsidRPr="007F352A">
        <w:rPr>
          <w:rFonts w:ascii="Arial" w:hAnsi="Arial" w:cs="Arial"/>
          <w:b/>
          <w:bCs/>
          <w:i/>
          <w:iCs/>
          <w:color w:val="000000"/>
          <w:sz w:val="27"/>
          <w:szCs w:val="27"/>
        </w:rPr>
        <w:t>The team and Mr Brown's own experience</w:t>
      </w:r>
    </w:p>
    <w:p w14:paraId="5A4D9BCF"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All these data, blood tests, scans, scores of symptoms, are brought together at regular meetings of Mr Brown's multi-disciplinary team. This is true for his urologist, oncologist, radiologist, specialist nurse and palliative care doctor. They consider the whole situation, instead of acting alone without consulting others.</w:t>
      </w:r>
    </w:p>
    <w:p w14:paraId="6E5F287E" w14:textId="77777777" w:rsidR="007F352A" w:rsidRPr="007F352A" w:rsidRDefault="007F352A" w:rsidP="007F352A">
      <w:pPr>
        <w:pStyle w:val="NormalWeb"/>
        <w:jc w:val="both"/>
        <w:rPr>
          <w:rFonts w:ascii="Arial" w:hAnsi="Arial" w:cs="Arial"/>
          <w:color w:val="000000"/>
          <w:sz w:val="27"/>
          <w:szCs w:val="27"/>
        </w:rPr>
      </w:pPr>
      <w:r w:rsidRPr="007F352A">
        <w:rPr>
          <w:rFonts w:ascii="Arial" w:hAnsi="Arial" w:cs="Arial"/>
          <w:color w:val="000000"/>
          <w:sz w:val="27"/>
          <w:szCs w:val="27"/>
        </w:rPr>
        <w:t xml:space="preserve">What Mr Brown tells us is also important. At Stage 4, the quality of life is as important as the test result. His feelings, side effects that he experiences and his priorities to his day-to-day life are formally recorded in questionnaires and are considered when planning his care. This is part of the standard cancer </w:t>
      </w:r>
      <w:r w:rsidRPr="007F352A">
        <w:rPr>
          <w:rFonts w:ascii="Arial" w:hAnsi="Arial" w:cs="Arial"/>
          <w:color w:val="000000"/>
          <w:sz w:val="27"/>
          <w:szCs w:val="27"/>
        </w:rPr>
        <w:lastRenderedPageBreak/>
        <w:t>treatment and was included in NHS England's Long Term Plan (NHS England, 2019).</w:t>
      </w:r>
    </w:p>
    <w:p w14:paraId="550D602D" w14:textId="77777777" w:rsidR="007F352A" w:rsidRDefault="007F352A" w:rsidP="007F352A">
      <w:pPr>
        <w:pStyle w:val="NormalWeb"/>
        <w:jc w:val="both"/>
        <w:rPr>
          <w:rFonts w:ascii="Arial" w:hAnsi="Arial" w:cs="Arial"/>
          <w:color w:val="000000"/>
          <w:sz w:val="27"/>
          <w:szCs w:val="27"/>
        </w:rPr>
      </w:pPr>
    </w:p>
    <w:p w14:paraId="53A150E0" w14:textId="7EEFEABD" w:rsidR="007F352A" w:rsidRPr="007F352A" w:rsidRDefault="007F352A" w:rsidP="007F352A">
      <w:pPr>
        <w:pStyle w:val="NormalWeb"/>
        <w:jc w:val="both"/>
        <w:rPr>
          <w:rFonts w:ascii="Arial" w:hAnsi="Arial" w:cs="Arial"/>
          <w:b/>
          <w:bCs/>
          <w:i/>
          <w:iCs/>
          <w:color w:val="000000"/>
          <w:sz w:val="27"/>
          <w:szCs w:val="27"/>
        </w:rPr>
      </w:pPr>
      <w:r w:rsidRPr="007F352A">
        <w:rPr>
          <w:rFonts w:ascii="Arial" w:hAnsi="Arial" w:cs="Arial"/>
          <w:b/>
          <w:bCs/>
          <w:i/>
          <w:iCs/>
          <w:color w:val="000000"/>
          <w:sz w:val="27"/>
          <w:szCs w:val="27"/>
        </w:rPr>
        <w:t>References</w:t>
      </w:r>
    </w:p>
    <w:p w14:paraId="6EA878D0" w14:textId="14864ACA" w:rsidR="007F352A" w:rsidRPr="007F352A" w:rsidRDefault="007F352A" w:rsidP="007F352A">
      <w:pPr>
        <w:pStyle w:val="NormalWeb"/>
        <w:jc w:val="both"/>
        <w:rPr>
          <w:rFonts w:ascii="Arial" w:hAnsi="Arial" w:cs="Arial"/>
          <w:color w:val="000000"/>
          <w:sz w:val="22"/>
          <w:szCs w:val="22"/>
          <w:lang w:val="fr-FR"/>
        </w:rPr>
      </w:pPr>
      <w:r w:rsidRPr="007F352A">
        <w:rPr>
          <w:rFonts w:ascii="Arial" w:hAnsi="Arial" w:cs="Arial"/>
          <w:color w:val="000000"/>
          <w:sz w:val="22"/>
          <w:szCs w:val="22"/>
        </w:rPr>
        <w:t xml:space="preserve">Ahmed, H.U. et al. (2017) “Diagnostic accuracy of multi-parametric MRI and TRUS biopsy in prostate cancer (PROMIS): a paired validating confirmatory study,” Lancet, 389(10071), pp. 815–822. </w:t>
      </w:r>
      <w:r w:rsidRPr="007F352A">
        <w:rPr>
          <w:rFonts w:ascii="Arial" w:hAnsi="Arial" w:cs="Arial"/>
          <w:color w:val="000000"/>
          <w:sz w:val="22"/>
          <w:szCs w:val="22"/>
          <w:lang w:val="fr-FR"/>
        </w:rPr>
        <w:t>Avalable at: https://doi.org/10.1016/S0140-6736(16)32401-1.</w:t>
      </w:r>
    </w:p>
    <w:p w14:paraId="502FC2CA" w14:textId="4E04F4FA" w:rsidR="007F352A" w:rsidRPr="007F352A" w:rsidRDefault="007F352A" w:rsidP="007F352A">
      <w:pPr>
        <w:pStyle w:val="NormalWeb"/>
        <w:jc w:val="both"/>
        <w:rPr>
          <w:rFonts w:ascii="Arial" w:hAnsi="Arial" w:cs="Arial"/>
          <w:color w:val="000000"/>
          <w:sz w:val="22"/>
          <w:szCs w:val="22"/>
        </w:rPr>
      </w:pPr>
      <w:r w:rsidRPr="007F352A">
        <w:rPr>
          <w:rFonts w:ascii="Arial" w:hAnsi="Arial" w:cs="Arial"/>
          <w:color w:val="000000"/>
          <w:sz w:val="22"/>
          <w:szCs w:val="22"/>
          <w:lang w:val="fr-FR"/>
        </w:rPr>
        <w:t xml:space="preserve">Hofman, M.S. et al. </w:t>
      </w:r>
      <w:r w:rsidRPr="007F352A">
        <w:rPr>
          <w:rFonts w:ascii="Arial" w:hAnsi="Arial" w:cs="Arial"/>
          <w:color w:val="000000"/>
          <w:sz w:val="22"/>
          <w:szCs w:val="22"/>
        </w:rPr>
        <w:t>(2020) “Prostate-specific membrane antigen PET-CT in patients with high-risk prostate cancer before curative-intent surgery or radiotherapy (pro</w:t>
      </w:r>
      <w:r>
        <w:rPr>
          <w:rFonts w:ascii="Arial" w:hAnsi="Arial" w:cs="Arial"/>
          <w:color w:val="000000"/>
          <w:sz w:val="22"/>
          <w:szCs w:val="22"/>
        </w:rPr>
        <w:t xml:space="preserve"> </w:t>
      </w:r>
      <w:r w:rsidRPr="007F352A">
        <w:rPr>
          <w:rFonts w:ascii="Arial" w:hAnsi="Arial" w:cs="Arial"/>
          <w:color w:val="000000"/>
          <w:sz w:val="22"/>
          <w:szCs w:val="22"/>
        </w:rPr>
        <w:t>PSMA): a prospective, randomised, multicentre study,” Lancet, 395(10231), pp. 1208–1216. Available at: https://doi.org/10.1016/S0140-6736(20)30314-7.</w:t>
      </w:r>
    </w:p>
    <w:p w14:paraId="5350A9B5" w14:textId="77777777" w:rsidR="007F352A" w:rsidRPr="007F352A" w:rsidRDefault="007F352A" w:rsidP="007F352A">
      <w:pPr>
        <w:pStyle w:val="NormalWeb"/>
        <w:jc w:val="both"/>
        <w:rPr>
          <w:rFonts w:ascii="Arial" w:hAnsi="Arial" w:cs="Arial"/>
          <w:color w:val="000000"/>
          <w:sz w:val="22"/>
          <w:szCs w:val="22"/>
        </w:rPr>
      </w:pPr>
      <w:r w:rsidRPr="007F352A">
        <w:rPr>
          <w:rFonts w:ascii="Arial" w:hAnsi="Arial" w:cs="Arial"/>
          <w:color w:val="000000"/>
          <w:sz w:val="22"/>
          <w:szCs w:val="22"/>
        </w:rPr>
        <w:t>NHS England (2018) Guidelines for the Management of Prostate Cancer: West Midlands Expert Advisory Group for Urological Cancer, NHS England. Available at: https://www.england.nhs.uk/mids-east/wp-content/uploads/sites/7/2018/05/guidelines-for-the-management-of-prostate-cancer.pdf (Accessed: June 28, 2026).</w:t>
      </w:r>
    </w:p>
    <w:p w14:paraId="588B54ED" w14:textId="77777777" w:rsidR="007F352A" w:rsidRPr="007F352A" w:rsidRDefault="007F352A" w:rsidP="007F352A">
      <w:pPr>
        <w:pStyle w:val="NormalWeb"/>
        <w:jc w:val="both"/>
        <w:rPr>
          <w:rFonts w:ascii="Arial" w:hAnsi="Arial" w:cs="Arial"/>
          <w:color w:val="000000"/>
          <w:sz w:val="22"/>
          <w:szCs w:val="22"/>
        </w:rPr>
      </w:pPr>
      <w:r w:rsidRPr="007F352A">
        <w:rPr>
          <w:rFonts w:ascii="Arial" w:hAnsi="Arial" w:cs="Arial"/>
          <w:color w:val="000000"/>
          <w:sz w:val="22"/>
          <w:szCs w:val="22"/>
        </w:rPr>
        <w:t>NHS England (2019) The NHS Long Term Plan, NHS England. Available at: https://webarchive.nationalarchives.gov.uk/ukgwa/20250506042016/https://www.longtermplan.nhs.uk/publication/nhs-long-term-plan/ (Accessed: June 28, 2026).</w:t>
      </w:r>
    </w:p>
    <w:p w14:paraId="7445EF92" w14:textId="77777777" w:rsidR="007F352A" w:rsidRPr="007F352A" w:rsidRDefault="007F352A" w:rsidP="007F352A">
      <w:pPr>
        <w:pStyle w:val="NormalWeb"/>
        <w:jc w:val="both"/>
        <w:rPr>
          <w:rFonts w:ascii="Arial" w:hAnsi="Arial" w:cs="Arial"/>
          <w:color w:val="000000"/>
          <w:sz w:val="22"/>
          <w:szCs w:val="22"/>
        </w:rPr>
      </w:pPr>
      <w:r w:rsidRPr="007F352A">
        <w:rPr>
          <w:rFonts w:ascii="Arial" w:hAnsi="Arial" w:cs="Arial"/>
          <w:color w:val="000000"/>
          <w:sz w:val="22"/>
          <w:szCs w:val="22"/>
        </w:rPr>
        <w:t>(NICE) (2019) Prostate cancer: diagnosis and management, NICE. Available at: https://www.nice.org.uk/guidance/ng131 (Accessed: June 28, 2026).</w:t>
      </w:r>
    </w:p>
    <w:p w14:paraId="3A04AE53" w14:textId="3A178DFE" w:rsidR="007F352A" w:rsidRPr="007F352A" w:rsidRDefault="007F352A" w:rsidP="007F352A">
      <w:pPr>
        <w:pStyle w:val="NormalWeb"/>
        <w:jc w:val="both"/>
        <w:rPr>
          <w:rFonts w:ascii="Arial" w:hAnsi="Arial" w:cs="Arial"/>
          <w:color w:val="000000"/>
          <w:sz w:val="22"/>
          <w:szCs w:val="22"/>
        </w:rPr>
      </w:pPr>
      <w:r w:rsidRPr="007F352A">
        <w:rPr>
          <w:rFonts w:ascii="Arial" w:hAnsi="Arial" w:cs="Arial"/>
          <w:color w:val="000000"/>
          <w:sz w:val="22"/>
          <w:szCs w:val="22"/>
        </w:rPr>
        <w:t xml:space="preserve">Wyatt, A.W. et al. (2017) “Concordance of circulating </w:t>
      </w:r>
      <w:r w:rsidR="00AF1485" w:rsidRPr="007F352A">
        <w:rPr>
          <w:rFonts w:ascii="Arial" w:hAnsi="Arial" w:cs="Arial"/>
          <w:color w:val="000000"/>
          <w:sz w:val="22"/>
          <w:szCs w:val="22"/>
        </w:rPr>
        <w:t>tumour</w:t>
      </w:r>
      <w:r w:rsidRPr="007F352A">
        <w:rPr>
          <w:rFonts w:ascii="Arial" w:hAnsi="Arial" w:cs="Arial"/>
          <w:color w:val="000000"/>
          <w:sz w:val="22"/>
          <w:szCs w:val="22"/>
        </w:rPr>
        <w:t xml:space="preserve"> DNA and matched metastatic tissue biopsy in prostate cancer,” Journal of the National Cancer Institute, 109(12), pp. 78–86. Available at: https://doi.org/10.1093/jnci/djx118.</w:t>
      </w:r>
    </w:p>
    <w:p w14:paraId="10B68BDD" w14:textId="60A06A69" w:rsidR="007F352A" w:rsidRPr="007F352A" w:rsidRDefault="007F352A" w:rsidP="007F352A">
      <w:pPr>
        <w:jc w:val="both"/>
        <w:rPr>
          <w:rFonts w:ascii="Arial" w:hAnsi="Arial" w:cs="Arial"/>
          <w:sz w:val="22"/>
          <w:szCs w:val="22"/>
        </w:rPr>
      </w:pPr>
    </w:p>
    <w:sectPr w:rsidR="007F352A" w:rsidRPr="007F352A" w:rsidSect="007F352A">
      <w:pgSz w:w="11906" w:h="16838" w:code="9"/>
      <w:pgMar w:top="1440" w:right="1440" w:bottom="1440" w:left="1440" w:header="706" w:footer="706"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00E7B" w14:textId="77777777" w:rsidR="00A23369" w:rsidRDefault="00A23369" w:rsidP="00E65EA0">
      <w:r>
        <w:separator/>
      </w:r>
    </w:p>
  </w:endnote>
  <w:endnote w:type="continuationSeparator" w:id="0">
    <w:p w14:paraId="438F1281" w14:textId="77777777" w:rsidR="00A23369" w:rsidRDefault="00A23369" w:rsidP="00E65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E46D7" w14:textId="77777777" w:rsidR="00A23369" w:rsidRDefault="00A23369" w:rsidP="00E65EA0">
      <w:r>
        <w:separator/>
      </w:r>
    </w:p>
  </w:footnote>
  <w:footnote w:type="continuationSeparator" w:id="0">
    <w:p w14:paraId="69A7C999" w14:textId="77777777" w:rsidR="00A23369" w:rsidRDefault="00A23369" w:rsidP="00E65E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97D98"/>
    <w:multiLevelType w:val="hybridMultilevel"/>
    <w:tmpl w:val="9A7ADCB4"/>
    <w:lvl w:ilvl="0" w:tplc="689A45AC">
      <w:start w:val="1"/>
      <w:numFmt w:val="bullet"/>
      <w:lvlText w:val="●"/>
      <w:lvlJc w:val="left"/>
      <w:pPr>
        <w:ind w:left="720" w:hanging="360"/>
      </w:pPr>
    </w:lvl>
    <w:lvl w:ilvl="1" w:tplc="641E58B8">
      <w:start w:val="1"/>
      <w:numFmt w:val="bullet"/>
      <w:lvlText w:val="○"/>
      <w:lvlJc w:val="left"/>
      <w:pPr>
        <w:ind w:left="1440" w:hanging="360"/>
      </w:pPr>
    </w:lvl>
    <w:lvl w:ilvl="2" w:tplc="131092F8">
      <w:start w:val="1"/>
      <w:numFmt w:val="bullet"/>
      <w:lvlText w:val="■"/>
      <w:lvlJc w:val="left"/>
      <w:pPr>
        <w:ind w:left="2160" w:hanging="360"/>
      </w:pPr>
    </w:lvl>
    <w:lvl w:ilvl="3" w:tplc="D8A6FE3A">
      <w:start w:val="1"/>
      <w:numFmt w:val="bullet"/>
      <w:lvlText w:val="●"/>
      <w:lvlJc w:val="left"/>
      <w:pPr>
        <w:ind w:left="2880" w:hanging="360"/>
      </w:pPr>
    </w:lvl>
    <w:lvl w:ilvl="4" w:tplc="BB229D3E">
      <w:start w:val="1"/>
      <w:numFmt w:val="bullet"/>
      <w:lvlText w:val="○"/>
      <w:lvlJc w:val="left"/>
      <w:pPr>
        <w:ind w:left="3600" w:hanging="360"/>
      </w:pPr>
    </w:lvl>
    <w:lvl w:ilvl="5" w:tplc="CE763874">
      <w:start w:val="1"/>
      <w:numFmt w:val="bullet"/>
      <w:lvlText w:val="■"/>
      <w:lvlJc w:val="left"/>
      <w:pPr>
        <w:ind w:left="4320" w:hanging="360"/>
      </w:pPr>
    </w:lvl>
    <w:lvl w:ilvl="6" w:tplc="23AA7B84">
      <w:start w:val="1"/>
      <w:numFmt w:val="bullet"/>
      <w:lvlText w:val="●"/>
      <w:lvlJc w:val="left"/>
      <w:pPr>
        <w:ind w:left="5040" w:hanging="360"/>
      </w:pPr>
    </w:lvl>
    <w:lvl w:ilvl="7" w:tplc="FB7205F6">
      <w:start w:val="1"/>
      <w:numFmt w:val="bullet"/>
      <w:lvlText w:val="●"/>
      <w:lvlJc w:val="left"/>
      <w:pPr>
        <w:ind w:left="5760" w:hanging="360"/>
      </w:pPr>
    </w:lvl>
    <w:lvl w:ilvl="8" w:tplc="2E6A145E">
      <w:start w:val="1"/>
      <w:numFmt w:val="bullet"/>
      <w:lvlText w:val="●"/>
      <w:lvlJc w:val="left"/>
      <w:pPr>
        <w:ind w:left="6480" w:hanging="360"/>
      </w:pPr>
    </w:lvl>
  </w:abstractNum>
  <w:abstractNum w:abstractNumId="1" w15:restartNumberingAfterBreak="0">
    <w:nsid w:val="63946738"/>
    <w:multiLevelType w:val="hybridMultilevel"/>
    <w:tmpl w:val="32123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3762092">
    <w:abstractNumId w:val="0"/>
    <w:lvlOverride w:ilvl="0">
      <w:startOverride w:val="1"/>
    </w:lvlOverride>
  </w:num>
  <w:num w:numId="2" w16cid:durableId="114954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F19"/>
    <w:rsid w:val="000650B2"/>
    <w:rsid w:val="00123C9F"/>
    <w:rsid w:val="001C101C"/>
    <w:rsid w:val="00252705"/>
    <w:rsid w:val="002C7EC2"/>
    <w:rsid w:val="00334E7F"/>
    <w:rsid w:val="00380514"/>
    <w:rsid w:val="003F1228"/>
    <w:rsid w:val="003F7834"/>
    <w:rsid w:val="00405773"/>
    <w:rsid w:val="004202DD"/>
    <w:rsid w:val="004C0EFE"/>
    <w:rsid w:val="004F1AB0"/>
    <w:rsid w:val="005242A5"/>
    <w:rsid w:val="0053173A"/>
    <w:rsid w:val="00542B26"/>
    <w:rsid w:val="0057594B"/>
    <w:rsid w:val="005C3F19"/>
    <w:rsid w:val="005D6631"/>
    <w:rsid w:val="00630D70"/>
    <w:rsid w:val="00631080"/>
    <w:rsid w:val="006A6B61"/>
    <w:rsid w:val="00705AFC"/>
    <w:rsid w:val="00780355"/>
    <w:rsid w:val="007A1F8C"/>
    <w:rsid w:val="007A71A4"/>
    <w:rsid w:val="007F352A"/>
    <w:rsid w:val="008470F9"/>
    <w:rsid w:val="00857BBC"/>
    <w:rsid w:val="00867E6A"/>
    <w:rsid w:val="008D4C09"/>
    <w:rsid w:val="008F5058"/>
    <w:rsid w:val="00915C0A"/>
    <w:rsid w:val="00923824"/>
    <w:rsid w:val="0098186E"/>
    <w:rsid w:val="009E7A81"/>
    <w:rsid w:val="009F4758"/>
    <w:rsid w:val="00A23369"/>
    <w:rsid w:val="00A3060D"/>
    <w:rsid w:val="00A56EDB"/>
    <w:rsid w:val="00A74990"/>
    <w:rsid w:val="00AE5332"/>
    <w:rsid w:val="00AF1485"/>
    <w:rsid w:val="00B00DB9"/>
    <w:rsid w:val="00BB4027"/>
    <w:rsid w:val="00BD0F54"/>
    <w:rsid w:val="00BE1A6E"/>
    <w:rsid w:val="00BF12AD"/>
    <w:rsid w:val="00C543DA"/>
    <w:rsid w:val="00C54A32"/>
    <w:rsid w:val="00D52427"/>
    <w:rsid w:val="00DC5EB8"/>
    <w:rsid w:val="00DC61A8"/>
    <w:rsid w:val="00E115FA"/>
    <w:rsid w:val="00E65EA0"/>
    <w:rsid w:val="00F200B9"/>
    <w:rsid w:val="00F22778"/>
    <w:rsid w:val="00F67448"/>
    <w:rsid w:val="00F74EDD"/>
    <w:rsid w:val="00FF4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BB4DB"/>
  <w15:docId w15:val="{8A050E65-99B3-45F8-BCD4-AFD58DF6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8D4C09"/>
    <w:pPr>
      <w:jc w:val="both"/>
      <w:outlineLvl w:val="0"/>
    </w:pPr>
    <w:rPr>
      <w:rFonts w:ascii="Times New Roman" w:hAnsi="Times New Roman"/>
      <w:b/>
      <w:color w:val="000000" w:themeColor="text1"/>
      <w:sz w:val="32"/>
      <w:szCs w:val="32"/>
    </w:rPr>
  </w:style>
  <w:style w:type="paragraph" w:styleId="Heading2">
    <w:name w:val="heading 2"/>
    <w:uiPriority w:val="9"/>
    <w:unhideWhenUsed/>
    <w:qFormat/>
    <w:rsid w:val="009F4758"/>
    <w:pPr>
      <w:spacing w:line="360" w:lineRule="auto"/>
      <w:jc w:val="both"/>
      <w:outlineLvl w:val="1"/>
    </w:pPr>
    <w:rPr>
      <w:rFonts w:ascii="Times New Roman" w:hAnsi="Times New Roman"/>
      <w:b/>
      <w:color w:val="000000" w:themeColor="text1"/>
      <w:sz w:val="28"/>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agcmg">
    <w:name w:val="a_gcmg"/>
    <w:basedOn w:val="DefaultParagraphFont"/>
    <w:rsid w:val="00BD0F54"/>
  </w:style>
  <w:style w:type="paragraph" w:customStyle="1" w:styleId="cvgsua">
    <w:name w:val="cvgsua"/>
    <w:basedOn w:val="Normal"/>
    <w:rsid w:val="00BD0F54"/>
    <w:pPr>
      <w:spacing w:before="100" w:beforeAutospacing="1" w:after="100" w:afterAutospacing="1"/>
    </w:pPr>
    <w:rPr>
      <w:rFonts w:ascii="Times New Roman" w:eastAsia="Times New Roman" w:hAnsi="Times New Roman" w:cs="Times New Roman"/>
      <w:sz w:val="24"/>
      <w:szCs w:val="24"/>
    </w:rPr>
  </w:style>
  <w:style w:type="paragraph" w:styleId="NoSpacing">
    <w:name w:val="No Spacing"/>
    <w:link w:val="NoSpacingChar"/>
    <w:uiPriority w:val="1"/>
    <w:qFormat/>
    <w:rsid w:val="0098186E"/>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8186E"/>
    <w:rPr>
      <w:rFonts w:asciiTheme="minorHAnsi" w:eastAsiaTheme="minorEastAsia" w:hAnsiTheme="minorHAnsi" w:cstheme="minorBidi"/>
      <w:sz w:val="22"/>
      <w:szCs w:val="22"/>
    </w:rPr>
  </w:style>
  <w:style w:type="paragraph" w:styleId="NormalWeb">
    <w:name w:val="Normal (Web)"/>
    <w:basedOn w:val="Normal"/>
    <w:uiPriority w:val="99"/>
    <w:unhideWhenUsed/>
    <w:rsid w:val="00BF12AD"/>
    <w:pPr>
      <w:spacing w:before="100" w:beforeAutospacing="1" w:after="100" w:afterAutospacing="1"/>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E65EA0"/>
    <w:pPr>
      <w:keepNext/>
      <w:keepLines/>
      <w:spacing w:before="240" w:line="259" w:lineRule="auto"/>
      <w:jc w:val="left"/>
      <w:outlineLvl w:val="9"/>
    </w:pPr>
    <w:rPr>
      <w:rFonts w:asciiTheme="majorHAnsi" w:eastAsiaTheme="majorEastAsia" w:hAnsiTheme="majorHAnsi" w:cstheme="majorBidi"/>
      <w:b w:val="0"/>
      <w:color w:val="0F4761" w:themeColor="accent1" w:themeShade="BF"/>
    </w:rPr>
  </w:style>
  <w:style w:type="paragraph" w:styleId="TOC1">
    <w:name w:val="toc 1"/>
    <w:basedOn w:val="Normal"/>
    <w:next w:val="Normal"/>
    <w:autoRedefine/>
    <w:uiPriority w:val="39"/>
    <w:unhideWhenUsed/>
    <w:rsid w:val="00E65EA0"/>
    <w:pPr>
      <w:spacing w:after="100"/>
    </w:pPr>
  </w:style>
  <w:style w:type="paragraph" w:styleId="TOC2">
    <w:name w:val="toc 2"/>
    <w:basedOn w:val="Normal"/>
    <w:next w:val="Normal"/>
    <w:autoRedefine/>
    <w:uiPriority w:val="39"/>
    <w:unhideWhenUsed/>
    <w:rsid w:val="00E65EA0"/>
    <w:pPr>
      <w:spacing w:after="100"/>
      <w:ind w:left="200"/>
    </w:pPr>
  </w:style>
  <w:style w:type="paragraph" w:styleId="Header">
    <w:name w:val="header"/>
    <w:basedOn w:val="Normal"/>
    <w:link w:val="HeaderChar"/>
    <w:uiPriority w:val="99"/>
    <w:unhideWhenUsed/>
    <w:rsid w:val="00E65EA0"/>
    <w:pPr>
      <w:tabs>
        <w:tab w:val="center" w:pos="4513"/>
        <w:tab w:val="right" w:pos="9026"/>
      </w:tabs>
    </w:pPr>
  </w:style>
  <w:style w:type="character" w:customStyle="1" w:styleId="HeaderChar">
    <w:name w:val="Header Char"/>
    <w:basedOn w:val="DefaultParagraphFont"/>
    <w:link w:val="Header"/>
    <w:uiPriority w:val="99"/>
    <w:rsid w:val="00E65EA0"/>
  </w:style>
  <w:style w:type="paragraph" w:styleId="Footer">
    <w:name w:val="footer"/>
    <w:basedOn w:val="Normal"/>
    <w:link w:val="FooterChar"/>
    <w:uiPriority w:val="99"/>
    <w:unhideWhenUsed/>
    <w:rsid w:val="00E65EA0"/>
    <w:pPr>
      <w:tabs>
        <w:tab w:val="center" w:pos="4513"/>
        <w:tab w:val="right" w:pos="9026"/>
      </w:tabs>
    </w:pPr>
  </w:style>
  <w:style w:type="character" w:customStyle="1" w:styleId="FooterChar">
    <w:name w:val="Footer Char"/>
    <w:basedOn w:val="DefaultParagraphFont"/>
    <w:link w:val="Footer"/>
    <w:uiPriority w:val="99"/>
    <w:rsid w:val="00E65EA0"/>
  </w:style>
  <w:style w:type="character" w:styleId="UnresolvedMention">
    <w:name w:val="Unresolved Mention"/>
    <w:basedOn w:val="DefaultParagraphFont"/>
    <w:uiPriority w:val="99"/>
    <w:semiHidden/>
    <w:unhideWhenUsed/>
    <w:rsid w:val="001C101C"/>
    <w:rPr>
      <w:color w:val="605E5C"/>
      <w:shd w:val="clear" w:color="auto" w:fill="E1DFDD"/>
    </w:rPr>
  </w:style>
  <w:style w:type="character" w:styleId="Strong">
    <w:name w:val="Strong"/>
    <w:basedOn w:val="DefaultParagraphFont"/>
    <w:uiPriority w:val="22"/>
    <w:qFormat/>
    <w:rsid w:val="009238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EB403-A8DE-4361-805D-413DB136A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Bruno Da Cruz Pereira (2210506)</cp:lastModifiedBy>
  <cp:revision>5</cp:revision>
  <dcterms:created xsi:type="dcterms:W3CDTF">2026-07-12T23:03:00Z</dcterms:created>
  <dcterms:modified xsi:type="dcterms:W3CDTF">2026-07-13T09:05:00Z</dcterms:modified>
</cp:coreProperties>
</file>