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4868827"/>
        <w:docPartObj>
          <w:docPartGallery w:val="Cover Pages"/>
          <w:docPartUnique/>
        </w:docPartObj>
      </w:sdtPr>
      <w:sdtEndPr>
        <w:rPr>
          <w:sz w:val="36"/>
          <w:szCs w:val="36"/>
        </w:rPr>
      </w:sdtEndPr>
      <w:sdtContent>
        <w:p w14:paraId="72345C6F" w14:textId="3FC53667" w:rsidR="00A624EF" w:rsidRDefault="00A624EF">
          <w:r>
            <w:rPr>
              <w:noProof/>
            </w:rPr>
            <mc:AlternateContent>
              <mc:Choice Requires="wpg">
                <w:drawing>
                  <wp:anchor distT="0" distB="0" distL="114300" distR="114300" simplePos="0" relativeHeight="251662336" behindDoc="0" locked="0" layoutInCell="1" allowOverlap="1" wp14:anchorId="5DCB0C5A" wp14:editId="51A5C6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CE4EE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C160C8" wp14:editId="18AABA2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BBD6DC" w14:textId="6BABC396" w:rsidR="00A624EF" w:rsidRDefault="00FC7530">
                                    <w:pPr>
                                      <w:pStyle w:val="NoSpacing"/>
                                      <w:jc w:val="right"/>
                                      <w:rPr>
                                        <w:color w:val="595959" w:themeColor="text1" w:themeTint="A6"/>
                                        <w:sz w:val="28"/>
                                        <w:szCs w:val="28"/>
                                      </w:rPr>
                                    </w:pPr>
                                    <w:r>
                                      <w:rPr>
                                        <w:color w:val="595959" w:themeColor="text1" w:themeTint="A6"/>
                                        <w:sz w:val="28"/>
                                        <w:szCs w:val="28"/>
                                      </w:rPr>
                                      <w:t>STUDENT</w:t>
                                    </w:r>
                                    <w:r w:rsidR="007D6165">
                                      <w:rPr>
                                        <w:color w:val="595959" w:themeColor="text1" w:themeTint="A6"/>
                                        <w:sz w:val="28"/>
                                        <w:szCs w:val="28"/>
                                      </w:rPr>
                                      <w:t>:</w:t>
                                    </w:r>
                                    <w:r w:rsidR="004A4525">
                                      <w:rPr>
                                        <w:color w:val="595959" w:themeColor="text1" w:themeTint="A6"/>
                                        <w:sz w:val="28"/>
                                        <w:szCs w:val="28"/>
                                      </w:rPr>
                                      <w:t xml:space="preserve"> </w:t>
                                    </w:r>
                                    <w:r w:rsidR="00A624EF">
                                      <w:rPr>
                                        <w:color w:val="595959" w:themeColor="text1" w:themeTint="A6"/>
                                        <w:sz w:val="28"/>
                                        <w:szCs w:val="28"/>
                                      </w:rPr>
                                      <w:t>Anda Dinicu</w:t>
                                    </w:r>
                                    <w:r w:rsidR="00477561">
                                      <w:rPr>
                                        <w:color w:val="595959" w:themeColor="text1" w:themeTint="A6"/>
                                        <w:sz w:val="28"/>
                                        <w:szCs w:val="28"/>
                                      </w:rPr>
                                      <w:t xml:space="preserve"> (</w:t>
                                    </w:r>
                                    <w:r w:rsidR="0089443E">
                                      <w:rPr>
                                        <w:color w:val="595959" w:themeColor="text1" w:themeTint="A6"/>
                                        <w:sz w:val="28"/>
                                        <w:szCs w:val="28"/>
                                      </w:rPr>
                                      <w:t>2022159)</w:t>
                                    </w:r>
                                  </w:p>
                                </w:sdtContent>
                              </w:sdt>
                              <w:p w14:paraId="2A2EA9FD" w14:textId="48211D9C" w:rsidR="00A624EF" w:rsidRPr="003F2D2A" w:rsidRDefault="00247374" w:rsidP="004A4525">
                                <w:pPr>
                                  <w:pStyle w:val="NoSpacing"/>
                                  <w:jc w:val="center"/>
                                  <w:rPr>
                                    <w:color w:val="595959" w:themeColor="text1" w:themeTint="A6"/>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4525">
                                      <w:rPr>
                                        <w:color w:val="595959" w:themeColor="text1" w:themeTint="A6"/>
                                        <w:sz w:val="18"/>
                                        <w:szCs w:val="18"/>
                                      </w:rPr>
                                      <w:t xml:space="preserve">     </w:t>
                                    </w:r>
                                  </w:sdtContent>
                                </w:sdt>
                                <w:r w:rsidR="003F2D2A">
                                  <w:rPr>
                                    <w:color w:val="595959" w:themeColor="text1" w:themeTint="A6"/>
                                    <w:sz w:val="28"/>
                                    <w:szCs w:val="28"/>
                                  </w:rPr>
                                  <w:t>LECTURER</w:t>
                                </w:r>
                                <w:r w:rsidR="00772020">
                                  <w:rPr>
                                    <w:color w:val="595959" w:themeColor="text1" w:themeTint="A6"/>
                                    <w:sz w:val="28"/>
                                    <w:szCs w:val="28"/>
                                  </w:rPr>
                                  <w:t>: SAQIB SHANIM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C160C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BBD6DC" w14:textId="6BABC396" w:rsidR="00A624EF" w:rsidRDefault="00FC7530">
                              <w:pPr>
                                <w:pStyle w:val="NoSpacing"/>
                                <w:jc w:val="right"/>
                                <w:rPr>
                                  <w:color w:val="595959" w:themeColor="text1" w:themeTint="A6"/>
                                  <w:sz w:val="28"/>
                                  <w:szCs w:val="28"/>
                                </w:rPr>
                              </w:pPr>
                              <w:r>
                                <w:rPr>
                                  <w:color w:val="595959" w:themeColor="text1" w:themeTint="A6"/>
                                  <w:sz w:val="28"/>
                                  <w:szCs w:val="28"/>
                                </w:rPr>
                                <w:t>STUDENT</w:t>
                              </w:r>
                              <w:r w:rsidR="007D6165">
                                <w:rPr>
                                  <w:color w:val="595959" w:themeColor="text1" w:themeTint="A6"/>
                                  <w:sz w:val="28"/>
                                  <w:szCs w:val="28"/>
                                </w:rPr>
                                <w:t>:</w:t>
                              </w:r>
                              <w:r w:rsidR="004A4525">
                                <w:rPr>
                                  <w:color w:val="595959" w:themeColor="text1" w:themeTint="A6"/>
                                  <w:sz w:val="28"/>
                                  <w:szCs w:val="28"/>
                                </w:rPr>
                                <w:t xml:space="preserve"> </w:t>
                              </w:r>
                              <w:r w:rsidR="00A624EF">
                                <w:rPr>
                                  <w:color w:val="595959" w:themeColor="text1" w:themeTint="A6"/>
                                  <w:sz w:val="28"/>
                                  <w:szCs w:val="28"/>
                                </w:rPr>
                                <w:t>Anda Dinicu</w:t>
                              </w:r>
                              <w:r w:rsidR="00477561">
                                <w:rPr>
                                  <w:color w:val="595959" w:themeColor="text1" w:themeTint="A6"/>
                                  <w:sz w:val="28"/>
                                  <w:szCs w:val="28"/>
                                </w:rPr>
                                <w:t xml:space="preserve"> (</w:t>
                              </w:r>
                              <w:r w:rsidR="0089443E">
                                <w:rPr>
                                  <w:color w:val="595959" w:themeColor="text1" w:themeTint="A6"/>
                                  <w:sz w:val="28"/>
                                  <w:szCs w:val="28"/>
                                </w:rPr>
                                <w:t>2022159)</w:t>
                              </w:r>
                            </w:p>
                          </w:sdtContent>
                        </w:sdt>
                        <w:p w14:paraId="2A2EA9FD" w14:textId="48211D9C" w:rsidR="00A624EF" w:rsidRPr="003F2D2A" w:rsidRDefault="00247374" w:rsidP="004A4525">
                          <w:pPr>
                            <w:pStyle w:val="NoSpacing"/>
                            <w:jc w:val="center"/>
                            <w:rPr>
                              <w:color w:val="595959" w:themeColor="text1" w:themeTint="A6"/>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4525">
                                <w:rPr>
                                  <w:color w:val="595959" w:themeColor="text1" w:themeTint="A6"/>
                                  <w:sz w:val="18"/>
                                  <w:szCs w:val="18"/>
                                </w:rPr>
                                <w:t xml:space="preserve">     </w:t>
                              </w:r>
                            </w:sdtContent>
                          </w:sdt>
                          <w:r w:rsidR="003F2D2A">
                            <w:rPr>
                              <w:color w:val="595959" w:themeColor="text1" w:themeTint="A6"/>
                              <w:sz w:val="28"/>
                              <w:szCs w:val="28"/>
                            </w:rPr>
                            <w:t>LECTURER</w:t>
                          </w:r>
                          <w:r w:rsidR="00772020">
                            <w:rPr>
                              <w:color w:val="595959" w:themeColor="text1" w:themeTint="A6"/>
                              <w:sz w:val="28"/>
                              <w:szCs w:val="28"/>
                            </w:rPr>
                            <w:t>: SAQIB SHANIM</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B3B69D" wp14:editId="5171A67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B0995" w14:textId="3E07AF47" w:rsidR="00A624EF" w:rsidRDefault="00545CF8" w:rsidP="007127CC">
                                <w:pPr>
                                  <w:pStyle w:val="NoSpacing"/>
                                  <w:rPr>
                                    <w:color w:val="4472C4" w:themeColor="accent1"/>
                                    <w:sz w:val="28"/>
                                    <w:szCs w:val="28"/>
                                  </w:rPr>
                                </w:pPr>
                                <w:r>
                                  <w:rPr>
                                    <w:color w:val="4472C4" w:themeColor="accent1"/>
                                    <w:sz w:val="28"/>
                                    <w:szCs w:val="28"/>
                                  </w:rPr>
                                  <w:t>IMPACT OF VIRTUAL LEARNING ENVIRONMENT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B3B69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4B0995" w14:textId="3E07AF47" w:rsidR="00A624EF" w:rsidRDefault="00545CF8" w:rsidP="007127CC">
                          <w:pPr>
                            <w:pStyle w:val="NoSpacing"/>
                            <w:rPr>
                              <w:color w:val="4472C4" w:themeColor="accent1"/>
                              <w:sz w:val="28"/>
                              <w:szCs w:val="28"/>
                            </w:rPr>
                          </w:pPr>
                          <w:r>
                            <w:rPr>
                              <w:color w:val="4472C4" w:themeColor="accent1"/>
                              <w:sz w:val="28"/>
                              <w:szCs w:val="28"/>
                            </w:rPr>
                            <w:t>IMPACT OF VIRTUAL LEARNING ENVIRONMENT</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0AE4C4" wp14:editId="0CF6F10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49127" w14:textId="4D0A9A76" w:rsidR="00A624EF" w:rsidRDefault="00247374" w:rsidP="005314F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73BB">
                                      <w:rPr>
                                        <w:caps/>
                                        <w:color w:val="4472C4" w:themeColor="accent1"/>
                                        <w:sz w:val="64"/>
                                        <w:szCs w:val="64"/>
                                      </w:rPr>
                                      <w:t>DIGITAL SKILLS AND RESEARCH METHOD</w:t>
                                    </w:r>
                                  </w:sdtContent>
                                </w:sdt>
                              </w:p>
                              <w:p w14:paraId="42417B42" w14:textId="35853BE2" w:rsidR="00A624EF" w:rsidRPr="00EB3C5F" w:rsidRDefault="005314F9" w:rsidP="00EB3C5F">
                                <w:pPr>
                                  <w:rPr>
                                    <w:smallCaps/>
                                    <w:color w:val="404040" w:themeColor="text1" w:themeTint="BF"/>
                                    <w:sz w:val="28"/>
                                    <w:szCs w:val="28"/>
                                  </w:rPr>
                                </w:pPr>
                                <w:r>
                                  <w:rPr>
                                    <w:color w:val="404040" w:themeColor="text1" w:themeTint="BF"/>
                                    <w:sz w:val="28"/>
                                    <w:szCs w:val="28"/>
                                  </w:rPr>
                                  <w:t>BMSW4003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0AE4C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8049127" w14:textId="4D0A9A76" w:rsidR="00A624EF" w:rsidRDefault="00247374" w:rsidP="005314F9">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73BB">
                                <w:rPr>
                                  <w:caps/>
                                  <w:color w:val="4472C4" w:themeColor="accent1"/>
                                  <w:sz w:val="64"/>
                                  <w:szCs w:val="64"/>
                                </w:rPr>
                                <w:t>DIGITAL SKILLS AND RESEARCH METHOD</w:t>
                              </w:r>
                            </w:sdtContent>
                          </w:sdt>
                        </w:p>
                        <w:p w14:paraId="42417B42" w14:textId="35853BE2" w:rsidR="00A624EF" w:rsidRPr="00EB3C5F" w:rsidRDefault="005314F9" w:rsidP="00EB3C5F">
                          <w:pPr>
                            <w:rPr>
                              <w:smallCaps/>
                              <w:color w:val="404040" w:themeColor="text1" w:themeTint="BF"/>
                              <w:sz w:val="28"/>
                              <w:szCs w:val="28"/>
                            </w:rPr>
                          </w:pPr>
                          <w:r>
                            <w:rPr>
                              <w:color w:val="404040" w:themeColor="text1" w:themeTint="BF"/>
                              <w:sz w:val="28"/>
                              <w:szCs w:val="28"/>
                            </w:rPr>
                            <w:t>BMSW4003</w:t>
                          </w:r>
                        </w:p>
                      </w:txbxContent>
                    </v:textbox>
                    <w10:wrap type="square" anchorx="page" anchory="page"/>
                  </v:shape>
                </w:pict>
              </mc:Fallback>
            </mc:AlternateContent>
          </w:r>
        </w:p>
        <w:p w14:paraId="1880565A" w14:textId="1DF96A4F" w:rsidR="00A624EF" w:rsidRDefault="519773BD">
          <w:pPr>
            <w:rPr>
              <w:sz w:val="36"/>
              <w:szCs w:val="36"/>
            </w:rPr>
          </w:pPr>
          <w:r w:rsidRPr="519773BD">
            <w:rPr>
              <w:sz w:val="28"/>
              <w:szCs w:val="28"/>
            </w:rPr>
            <w:t>STUDENT: ANDA DINICU (2022159)            LECTURER: SAQIB SHANIM</w:t>
          </w:r>
          <w:r w:rsidR="00A624EF" w:rsidRPr="519773BD">
            <w:rPr>
              <w:sz w:val="36"/>
              <w:szCs w:val="36"/>
            </w:rPr>
            <w:br w:type="page"/>
          </w:r>
        </w:p>
      </w:sdtContent>
    </w:sdt>
    <w:p w14:paraId="5E5787A5" w14:textId="2643F7A6" w:rsidR="00C92AAA" w:rsidRDefault="51555878" w:rsidP="51555878">
      <w:pPr>
        <w:rPr>
          <w:sz w:val="52"/>
          <w:szCs w:val="52"/>
        </w:rPr>
      </w:pPr>
      <w:r>
        <w:lastRenderedPageBreak/>
        <w:t xml:space="preserve">                                          </w:t>
      </w:r>
      <w:r w:rsidRPr="51555878">
        <w:rPr>
          <w:sz w:val="32"/>
          <w:szCs w:val="32"/>
        </w:rPr>
        <w:t>The Impact of Virtual Learning Environment</w:t>
      </w:r>
    </w:p>
    <w:p w14:paraId="6114FBE9" w14:textId="7A52B629" w:rsidR="51555878" w:rsidRDefault="51555878" w:rsidP="51555878">
      <w:pPr>
        <w:rPr>
          <w:sz w:val="32"/>
          <w:szCs w:val="32"/>
        </w:rPr>
      </w:pPr>
      <w:r w:rsidRPr="51555878">
        <w:rPr>
          <w:sz w:val="32"/>
          <w:szCs w:val="32"/>
        </w:rPr>
        <w:t>Summary</w:t>
      </w:r>
    </w:p>
    <w:p w14:paraId="3D0BAED1" w14:textId="54266863" w:rsidR="51555878" w:rsidRDefault="3B4B3ACA" w:rsidP="51555878">
      <w:r>
        <w:t>Virtual Learning Environments constitute an important resource for learners in Higher Education, but data on the engagement of learners is limited, particularly in the case of part-time, distance learners, and student engagement with VLEs may be lower than anticipated by institutions (Hopkins, 2011). This paper described a case study of a large group of WIWL part-time, distance learners studying aspects of social care. A quantitative approach is taken to assess engagement with the Moodle VLE based on “page views.” 72% of enrolled students viewed one or more of the resources within the VLE “course”, and all resources presents were viewed. The highest number of page-views was observed for resources such as “essential document” which are required for mandatory assessment tasks, whilst the lowest number of page-views appeared to be associated with information that student had received via other routes. Patterns of usage associated with demographic and achievement data are discussed. The paper considers reasons for the trends in engagement which may include the relatively high level of tutor contact and workplace support on this module. However, many part-time, distance learners do not have support of this type, and may display study behaviour which is even more strategic in terms of study approaches. The needs of such learners in relation to the effective use of VLEs and other appropriate technology is discussed, and recommendations are made for further study.</w:t>
      </w:r>
    </w:p>
    <w:p w14:paraId="270CD452" w14:textId="249EE658" w:rsidR="51555878" w:rsidRDefault="51555878" w:rsidP="51555878"/>
    <w:p w14:paraId="0982B1DF" w14:textId="5D6375BC" w:rsidR="51555878" w:rsidRDefault="51555878" w:rsidP="51555878">
      <w:pPr>
        <w:rPr>
          <w:sz w:val="36"/>
          <w:szCs w:val="36"/>
        </w:rPr>
      </w:pPr>
      <w:r w:rsidRPr="51555878">
        <w:rPr>
          <w:sz w:val="32"/>
          <w:szCs w:val="32"/>
        </w:rPr>
        <w:t>Virtual Learning Environments in Higher Education</w:t>
      </w:r>
    </w:p>
    <w:p w14:paraId="1A56D7C2" w14:textId="2CDCA383" w:rsidR="51555878" w:rsidRDefault="51555878" w:rsidP="51555878">
      <w:pPr>
        <w:rPr>
          <w:sz w:val="32"/>
          <w:szCs w:val="32"/>
        </w:rPr>
      </w:pPr>
      <w:r w:rsidRPr="51555878">
        <w:t>Virtual Learning Environments</w:t>
      </w:r>
    </w:p>
    <w:p w14:paraId="559455D4" w14:textId="5586E6E0" w:rsidR="51555878" w:rsidRDefault="3B4B3ACA" w:rsidP="51555878">
      <w:r>
        <w:t>Virtual learning environments have been associated with formal learning and with relationship between teachers, students, and school. There is an increasing interest in the virtual learning environment supported by the internet, namely among education institutions, students, and teachers.</w:t>
      </w:r>
    </w:p>
    <w:p w14:paraId="4C78D235" w14:textId="2CCF10ED" w:rsidR="51555878" w:rsidRDefault="51555878" w:rsidP="51555878">
      <w:r w:rsidRPr="51555878">
        <w:t>The concept of virtual learning environment could be considered as a dynamic concept due to the constant evolution of digital technologies, to its features and potentialities, and to the importance that such environments have within the learning processes.</w:t>
      </w:r>
    </w:p>
    <w:p w14:paraId="48846247" w14:textId="09E11196" w:rsidR="51555878" w:rsidRDefault="3B4B3ACA" w:rsidP="51555878">
      <w:r>
        <w:t>Educational systems based on the web are being used by an increasing number of universities, school, and companies, not only to incorporate web technology into their courses, but also to complement their traditional face-to-face courses. These systems gather a great quantity of data which is valuable to analyse the course content s and students use.</w:t>
      </w:r>
    </w:p>
    <w:p w14:paraId="755FCC82" w14:textId="19258E7A" w:rsidR="51555878" w:rsidRDefault="51555878" w:rsidP="51555878">
      <w:r w:rsidRPr="51555878">
        <w:t>Learning environments based on the use of technology and digital resources are mediators in the learning process through the activities they allow. This is due the fact that they facilitate interaction and interrelation within a continuous communication process, thus enhancing the construction and reconstruction of knowledge and meanings as well as the formation of habits and attitudes within a framework that is common to all the ones involved in the educational process.</w:t>
      </w:r>
    </w:p>
    <w:p w14:paraId="2AE81819" w14:textId="6D15B421" w:rsidR="51555878" w:rsidRDefault="51555878" w:rsidP="51555878">
      <w:r w:rsidRPr="51555878">
        <w:t>The use of VLEs within each context implies the acknowledgement of their main features and potentialities. Learning environments and contexts are dynamic and multidimensional concepts which emerge from the new educational conceptions and practices in the digital society.</w:t>
      </w:r>
    </w:p>
    <w:p w14:paraId="3D69F653" w14:textId="0B2B9ED2" w:rsidR="51555878" w:rsidRDefault="3B4B3ACA" w:rsidP="51555878">
      <w:r>
        <w:lastRenderedPageBreak/>
        <w:t>In the view of Morays, Alves, and Miranda (3), the main potentiality of VLE is the provision of a set of tools aiming to support the production and distribution of contents, communication, and the assessment of the teaching and learning process.</w:t>
      </w:r>
    </w:p>
    <w:p w14:paraId="7768B20A" w14:textId="37D1E7C9" w:rsidR="51555878" w:rsidRDefault="51555878" w:rsidP="51555878">
      <w:r w:rsidRPr="51555878">
        <w:t>Bearing in mind the highlighted features, the concept of virtual learning environment involves several dimensions. The most relevant ones are associated with virtual space, time, and strategies. VLEs provide institutions with great quantities of information and possibility to manage it and provide it to their members in a simple way and with a guarantee of quality and validity.</w:t>
      </w:r>
    </w:p>
    <w:p w14:paraId="76B211BC" w14:textId="14A7F8FD" w:rsidR="51555878" w:rsidRDefault="3B4B3ACA" w:rsidP="51555878">
      <w:r>
        <w:t>The features and potentialities of VLEs turn them into spaces which allow the testing, promotion, and support of new highly planned and directed teaching and learning strategies. The observation of a constant dynamism is advisable in the use of the resources and in the changes witnessed around such resources, as this will allow them to build of learning process.</w:t>
      </w:r>
    </w:p>
    <w:p w14:paraId="19E78FF4" w14:textId="16BCED23" w:rsidR="51555878" w:rsidRDefault="51555878" w:rsidP="51555878">
      <w:r w:rsidRPr="51555878">
        <w:t>From a pedagogical perspective, the VLEs used in education institutions boost advance and originate innovative experiences. However, they are mainly directed towards the production and distribution of contents. These environments typically replicate traditional teaching through the online distribution of contents, messages and notices, and online communication through discussion forums and chats.</w:t>
      </w:r>
    </w:p>
    <w:p w14:paraId="7DCEA9DA" w14:textId="1825A362" w:rsidR="51555878" w:rsidRDefault="51555878" w:rsidP="51555878">
      <w:r w:rsidRPr="51555878">
        <w:t>The potentialities of web 2.0 and the changes in the use of network technologies have come to fill in some of the VLEs limitations and to enable the construction of new interaction and learning spaces. This challenges educators and researchers to think of student-centred pedagogical approaches.</w:t>
      </w:r>
    </w:p>
    <w:p w14:paraId="602D5254" w14:textId="6CB44AE4" w:rsidR="51555878" w:rsidRDefault="51555878" w:rsidP="51555878">
      <w:r w:rsidRPr="51555878">
        <w:t>Virtual learning environments enable learning to take place according to the elements present in the learning environments, based on a continuous scale ranging from the elements emerging from use.</w:t>
      </w:r>
    </w:p>
    <w:p w14:paraId="17F66910" w14:textId="71078369" w:rsidR="51555878" w:rsidRDefault="51555878" w:rsidP="51555878">
      <w:r w:rsidRPr="51555878">
        <w:t xml:space="preserve">Dahlstrom, Brooks, and Bichsel concluded that 74% of teachers say that VLEs are very useful tool to the improvement of teaching; 71% of teachers say that VLEs are a very useful tool to the improvement of students learning; 99% of institutions use VLE; 85% of teachers use the VLE; 56% of teachers use it </w:t>
      </w:r>
      <w:r w:rsidR="0004492C" w:rsidRPr="51555878">
        <w:t>daily</w:t>
      </w:r>
      <w:r w:rsidRPr="51555878">
        <w:t>;</w:t>
      </w:r>
      <w:r w:rsidR="0004492C">
        <w:t xml:space="preserve"> </w:t>
      </w:r>
      <w:r w:rsidRPr="51555878">
        <w:t>83% of students use the VLE; and56%</w:t>
      </w:r>
      <w:r w:rsidR="00765277">
        <w:t xml:space="preserve"> </w:t>
      </w:r>
      <w:r w:rsidRPr="51555878">
        <w:t>say they use it in all or in most course units.</w:t>
      </w:r>
    </w:p>
    <w:p w14:paraId="44C995F8" w14:textId="0EF0C41D" w:rsidR="51555878" w:rsidRDefault="3B4B3ACA" w:rsidP="51555878">
      <w:r>
        <w:t>Morays, Alves, and Miranda concluded that the VLE tools most valued by the highest percentage of teachers, over 90% are resources (supporting the course unit), notices,</w:t>
      </w:r>
      <w:r w:rsidR="00337520">
        <w:t xml:space="preserve"> </w:t>
      </w:r>
      <w:r>
        <w:t>messages,</w:t>
      </w:r>
      <w:r w:rsidR="00337520">
        <w:t xml:space="preserve"> </w:t>
      </w:r>
      <w:r>
        <w:t>students register and summaries. The same authors also observed that the digital resources feature which are most valued by teachers were accessibility, user-friendliness, integration with the virtual learning environments and PDF download. Also, the aspects most valued by teachers regarding the use of ICT in the course units they teach were the digital resources availability and access, the time saving and the improvement of communication with students.</w:t>
      </w:r>
    </w:p>
    <w:p w14:paraId="497CE47E" w14:textId="6105B409" w:rsidR="51555878" w:rsidRDefault="51555878" w:rsidP="51555878">
      <w:r w:rsidRPr="51555878">
        <w:t>The learning interactions occurring within the classroom are complex by nature, but the use of virtual learning environments enables the obtainment and processing of large quantities of data from each interaction between the several players in the process.</w:t>
      </w:r>
    </w:p>
    <w:p w14:paraId="02F88A6A" w14:textId="3B09CCBB" w:rsidR="51555878" w:rsidRDefault="51555878" w:rsidP="51555878">
      <w:r w:rsidRPr="51555878">
        <w:t>Bearing in mind that the results displayed in this paper come from a large quantity of data, we present brief theoretical ground of learning analytics.</w:t>
      </w:r>
    </w:p>
    <w:p w14:paraId="1E4249C5" w14:textId="28B6E5C4" w:rsidR="51555878" w:rsidRDefault="51555878" w:rsidP="51555878">
      <w:r w:rsidRPr="51555878">
        <w:rPr>
          <w:sz w:val="32"/>
          <w:szCs w:val="32"/>
        </w:rPr>
        <w:t>Virtual Learning Environments and Their Relation to students Performance</w:t>
      </w:r>
    </w:p>
    <w:p w14:paraId="3B24A9C1" w14:textId="7E4D0D2A" w:rsidR="51555878" w:rsidRDefault="3B4B3ACA" w:rsidP="51555878">
      <w:pPr>
        <w:rPr>
          <w:sz w:val="32"/>
          <w:szCs w:val="32"/>
        </w:rPr>
      </w:pPr>
      <w:r>
        <w:lastRenderedPageBreak/>
        <w:t>Virtual learning environments have had great relevance in the support and promotion of formal education since it is in formal education institutions that the educational guidelines and curricula of each country are implemented. However. within a perspective of change and innovation, VLEs may play a paramount role in supporting learning in non-formal and informal contexts. The concept of Innovation, which is used in current society, implies a need for change or renovation, or a need for doing something new.</w:t>
      </w:r>
    </w:p>
    <w:p w14:paraId="1C15F4CA" w14:textId="6CEE323F" w:rsidR="51555878" w:rsidRDefault="3B4B3ACA" w:rsidP="51555878">
      <w:r>
        <w:t>Gaelic, Dawson, Roger, and Gaelic showed that the association of data regarding student's activities in a VLE with students' performance is moderated by the teaching conditions. The same authors used a regression model associating the combination of data from nine-degree courses in an Australian university. Their results showed that only the variables number of logs, number of operations done in forums and resources represented significant indicators of student's performance, and that these three variables account for 21% of the variability in students' performance.</w:t>
      </w:r>
    </w:p>
    <w:p w14:paraId="166A5D35" w14:textId="55D054C5" w:rsidR="51555878" w:rsidRDefault="51555878" w:rsidP="51555878">
      <w:r w:rsidRPr="51555878">
        <w:t>The differences in the use of technology, especially those related to the way students use VLEs require particular attention before the data logs can be used to create models allowing the prediction of student's performance. Overlooking the teaching conditions may lead to an overestimation or an underestimation of the effects of the VLE features on students' academic success. This fact has wider implications for the institutions seeking generalised models to identify students at risk of academic failure.</w:t>
      </w:r>
    </w:p>
    <w:p w14:paraId="69BFEE07" w14:textId="2BEE8939" w:rsidR="51555878" w:rsidRDefault="51555878" w:rsidP="51555878">
      <w:r w:rsidRPr="51555878">
        <w:t>The capacity to identify students at risk of academic failure at an early stage enables a proactive approach towards the implementation of strategies aiming at teaching quality and at the permanence of those students in the teaching and learning process.</w:t>
      </w:r>
    </w:p>
    <w:p w14:paraId="3A5FD13D" w14:textId="0B308265" w:rsidR="51555878" w:rsidRDefault="51555878" w:rsidP="51555878">
      <w:r w:rsidRPr="51555878">
        <w:t>According to Mah, student retention is an important issue for higher education institutions as withdrawals from higher education prior to degree completion remain at about 30% in the member countries of the Organisation for Economic Cooperation and Development.</w:t>
      </w:r>
    </w:p>
    <w:p w14:paraId="2B51E334" w14:textId="07986BE2" w:rsidR="51555878" w:rsidRDefault="51555878" w:rsidP="51555878">
      <w:r w:rsidRPr="51555878">
        <w:t>Monitoring students' activity with virtual machines and applying data-driven machine learning methods on students' profiles and log files from LMS data base allow the detection of students at-risk at an early stage. According to Norton, the data on how a student is interacting with their course and their institution can be an indicator as to how engaged the student is, and subsequently how likely they might be to drop out.</w:t>
      </w:r>
    </w:p>
    <w:p w14:paraId="7DEAC568" w14:textId="50BA8236" w:rsidR="51555878" w:rsidRDefault="51555878" w:rsidP="51555878">
      <w:r w:rsidRPr="51555878">
        <w:t>Tracing and analysing LMS data during courses help instructors predict final course achievement and provides proactive feedback and adequate interventions to students.</w:t>
      </w:r>
    </w:p>
    <w:p w14:paraId="6C9ACCC6" w14:textId="66CC6D4D" w:rsidR="51555878" w:rsidRDefault="51555878" w:rsidP="51555878"/>
    <w:p w14:paraId="4B8A13E4" w14:textId="51DB4EB8" w:rsidR="002C04AC" w:rsidRDefault="00220613" w:rsidP="51555878">
      <w:r>
        <w:t>D</w:t>
      </w:r>
      <w:r w:rsidR="00CD476F">
        <w:t>ata regarding students’ performance per group</w:t>
      </w:r>
    </w:p>
    <w:tbl>
      <w:tblPr>
        <w:tblStyle w:val="TableGrid"/>
        <w:tblW w:w="0" w:type="auto"/>
        <w:tblLook w:val="04A0" w:firstRow="1" w:lastRow="0" w:firstColumn="1" w:lastColumn="0" w:noHBand="0" w:noVBand="1"/>
      </w:tblPr>
      <w:tblGrid>
        <w:gridCol w:w="1803"/>
        <w:gridCol w:w="1803"/>
        <w:gridCol w:w="1803"/>
        <w:gridCol w:w="1803"/>
        <w:gridCol w:w="1804"/>
      </w:tblGrid>
      <w:tr w:rsidR="00D64427" w14:paraId="3A37750C" w14:textId="77777777" w:rsidTr="00D64427">
        <w:tc>
          <w:tcPr>
            <w:tcW w:w="1803" w:type="dxa"/>
          </w:tcPr>
          <w:p w14:paraId="3F861635" w14:textId="0B8AFAC0" w:rsidR="00D64427" w:rsidRDefault="004B01A5" w:rsidP="51555878">
            <w:r>
              <w:t>Groups</w:t>
            </w:r>
          </w:p>
        </w:tc>
        <w:tc>
          <w:tcPr>
            <w:tcW w:w="1803" w:type="dxa"/>
          </w:tcPr>
          <w:p w14:paraId="160ED263" w14:textId="38D159FC" w:rsidR="00D64427" w:rsidRDefault="004B01A5" w:rsidP="51555878">
            <w:r>
              <w:t>Mean of CU</w:t>
            </w:r>
            <w:r w:rsidR="000E5002">
              <w:t xml:space="preserve"> registered</w:t>
            </w:r>
          </w:p>
        </w:tc>
        <w:tc>
          <w:tcPr>
            <w:tcW w:w="1803" w:type="dxa"/>
          </w:tcPr>
          <w:p w14:paraId="51A9DF5A" w14:textId="369578C9" w:rsidR="00D64427" w:rsidRDefault="00CF7B0F" w:rsidP="51555878">
            <w:r>
              <w:t>Mean of CU passed</w:t>
            </w:r>
          </w:p>
        </w:tc>
        <w:tc>
          <w:tcPr>
            <w:tcW w:w="1803" w:type="dxa"/>
          </w:tcPr>
          <w:p w14:paraId="7CEA7328" w14:textId="6170A0A3" w:rsidR="00D64427" w:rsidRDefault="00E83FFC" w:rsidP="51555878">
            <w:r>
              <w:t>CU passed (%)</w:t>
            </w:r>
          </w:p>
        </w:tc>
        <w:tc>
          <w:tcPr>
            <w:tcW w:w="1804" w:type="dxa"/>
          </w:tcPr>
          <w:p w14:paraId="4950C236" w14:textId="53642CA6" w:rsidR="00D64427" w:rsidRDefault="00C46A2C" w:rsidP="51555878">
            <w:r>
              <w:t>Mean of marks</w:t>
            </w:r>
          </w:p>
        </w:tc>
      </w:tr>
      <w:tr w:rsidR="00D64427" w14:paraId="0000FAA6" w14:textId="77777777" w:rsidTr="00D64427">
        <w:tc>
          <w:tcPr>
            <w:tcW w:w="1803" w:type="dxa"/>
          </w:tcPr>
          <w:p w14:paraId="7C92289E" w14:textId="6DC25D5B" w:rsidR="00D64427" w:rsidRDefault="004B01A5" w:rsidP="51555878">
            <w:r>
              <w:t>1</w:t>
            </w:r>
          </w:p>
        </w:tc>
        <w:tc>
          <w:tcPr>
            <w:tcW w:w="1803" w:type="dxa"/>
          </w:tcPr>
          <w:p w14:paraId="0E2D3EBF" w14:textId="24E92A5D" w:rsidR="00D64427" w:rsidRDefault="000E5002" w:rsidP="51555878">
            <w:r>
              <w:t>7.4</w:t>
            </w:r>
          </w:p>
        </w:tc>
        <w:tc>
          <w:tcPr>
            <w:tcW w:w="1803" w:type="dxa"/>
          </w:tcPr>
          <w:p w14:paraId="78CCD6E9" w14:textId="0F6538B0" w:rsidR="00D64427" w:rsidRDefault="00157CF1" w:rsidP="51555878">
            <w:r>
              <w:t>1.6</w:t>
            </w:r>
          </w:p>
        </w:tc>
        <w:tc>
          <w:tcPr>
            <w:tcW w:w="1803" w:type="dxa"/>
          </w:tcPr>
          <w:p w14:paraId="655DAB51" w14:textId="77FAEF29" w:rsidR="00D64427" w:rsidRDefault="002864AF" w:rsidP="51555878">
            <w:r>
              <w:t>21.6</w:t>
            </w:r>
          </w:p>
        </w:tc>
        <w:tc>
          <w:tcPr>
            <w:tcW w:w="1804" w:type="dxa"/>
          </w:tcPr>
          <w:p w14:paraId="55823A3C" w14:textId="3EAA7800" w:rsidR="00D64427" w:rsidRDefault="00C46A2C" w:rsidP="51555878">
            <w:r>
              <w:t>13.6</w:t>
            </w:r>
          </w:p>
        </w:tc>
      </w:tr>
      <w:tr w:rsidR="00D64427" w14:paraId="34F9A1BD" w14:textId="77777777" w:rsidTr="00D64427">
        <w:tc>
          <w:tcPr>
            <w:tcW w:w="1803" w:type="dxa"/>
          </w:tcPr>
          <w:p w14:paraId="409C6688" w14:textId="54846272" w:rsidR="00D64427" w:rsidRDefault="004B01A5" w:rsidP="51555878">
            <w:r>
              <w:t>2</w:t>
            </w:r>
          </w:p>
        </w:tc>
        <w:tc>
          <w:tcPr>
            <w:tcW w:w="1803" w:type="dxa"/>
          </w:tcPr>
          <w:p w14:paraId="4B163A09" w14:textId="53C95243" w:rsidR="00D64427" w:rsidRDefault="000E5002" w:rsidP="51555878">
            <w:r>
              <w:t>8.5</w:t>
            </w:r>
          </w:p>
        </w:tc>
        <w:tc>
          <w:tcPr>
            <w:tcW w:w="1803" w:type="dxa"/>
          </w:tcPr>
          <w:p w14:paraId="2EBD4FAD" w14:textId="798C4DC0" w:rsidR="00D64427" w:rsidRDefault="00157CF1" w:rsidP="51555878">
            <w:r>
              <w:t>4.7</w:t>
            </w:r>
          </w:p>
        </w:tc>
        <w:tc>
          <w:tcPr>
            <w:tcW w:w="1803" w:type="dxa"/>
          </w:tcPr>
          <w:p w14:paraId="2FA6629C" w14:textId="3EAD4D85" w:rsidR="00D64427" w:rsidRDefault="002864AF" w:rsidP="51555878">
            <w:r>
              <w:t>55.3</w:t>
            </w:r>
          </w:p>
        </w:tc>
        <w:tc>
          <w:tcPr>
            <w:tcW w:w="1804" w:type="dxa"/>
          </w:tcPr>
          <w:p w14:paraId="1D21CE72" w14:textId="30D0735D" w:rsidR="00D64427" w:rsidRDefault="00C46A2C" w:rsidP="51555878">
            <w:r>
              <w:t>13.1</w:t>
            </w:r>
          </w:p>
        </w:tc>
      </w:tr>
      <w:tr w:rsidR="00D64427" w14:paraId="2AD55262" w14:textId="77777777" w:rsidTr="00D64427">
        <w:tc>
          <w:tcPr>
            <w:tcW w:w="1803" w:type="dxa"/>
          </w:tcPr>
          <w:p w14:paraId="67BE9D95" w14:textId="75C188F3" w:rsidR="00D64427" w:rsidRDefault="004B01A5" w:rsidP="51555878">
            <w:r>
              <w:t>3</w:t>
            </w:r>
          </w:p>
        </w:tc>
        <w:tc>
          <w:tcPr>
            <w:tcW w:w="1803" w:type="dxa"/>
          </w:tcPr>
          <w:p w14:paraId="16B059BD" w14:textId="08B6A7F0" w:rsidR="00D64427" w:rsidRDefault="000E5002" w:rsidP="51555878">
            <w:r>
              <w:t>9.9</w:t>
            </w:r>
          </w:p>
        </w:tc>
        <w:tc>
          <w:tcPr>
            <w:tcW w:w="1803" w:type="dxa"/>
          </w:tcPr>
          <w:p w14:paraId="066F5DC3" w14:textId="6711D478" w:rsidR="00D64427" w:rsidRDefault="00157CF1" w:rsidP="51555878">
            <w:r>
              <w:t>6.9</w:t>
            </w:r>
          </w:p>
        </w:tc>
        <w:tc>
          <w:tcPr>
            <w:tcW w:w="1803" w:type="dxa"/>
          </w:tcPr>
          <w:p w14:paraId="796CBADB" w14:textId="620F32D1" w:rsidR="00D64427" w:rsidRDefault="002864AF" w:rsidP="51555878">
            <w:r>
              <w:t>69.7</w:t>
            </w:r>
          </w:p>
        </w:tc>
        <w:tc>
          <w:tcPr>
            <w:tcW w:w="1804" w:type="dxa"/>
          </w:tcPr>
          <w:p w14:paraId="5B496C87" w14:textId="42C3521A" w:rsidR="00D64427" w:rsidRDefault="00C46A2C" w:rsidP="51555878">
            <w:r>
              <w:t>12.8</w:t>
            </w:r>
          </w:p>
        </w:tc>
      </w:tr>
      <w:tr w:rsidR="00D64427" w14:paraId="67689167" w14:textId="77777777" w:rsidTr="00D64427">
        <w:tc>
          <w:tcPr>
            <w:tcW w:w="1803" w:type="dxa"/>
          </w:tcPr>
          <w:p w14:paraId="54C63D30" w14:textId="1CAFD4CE" w:rsidR="00D64427" w:rsidRDefault="004B01A5" w:rsidP="51555878">
            <w:r>
              <w:t>4</w:t>
            </w:r>
          </w:p>
        </w:tc>
        <w:tc>
          <w:tcPr>
            <w:tcW w:w="1803" w:type="dxa"/>
          </w:tcPr>
          <w:p w14:paraId="54262E22" w14:textId="7DC6D810" w:rsidR="00D64427" w:rsidRDefault="00CF7B0F" w:rsidP="51555878">
            <w:r>
              <w:t>10.5</w:t>
            </w:r>
          </w:p>
        </w:tc>
        <w:tc>
          <w:tcPr>
            <w:tcW w:w="1803" w:type="dxa"/>
          </w:tcPr>
          <w:p w14:paraId="57C4A412" w14:textId="22D461CC" w:rsidR="00D64427" w:rsidRDefault="00157CF1" w:rsidP="51555878">
            <w:r>
              <w:t>8.1</w:t>
            </w:r>
          </w:p>
        </w:tc>
        <w:tc>
          <w:tcPr>
            <w:tcW w:w="1803" w:type="dxa"/>
          </w:tcPr>
          <w:p w14:paraId="2DD71896" w14:textId="3037E8B0" w:rsidR="00D64427" w:rsidRDefault="002864AF" w:rsidP="51555878">
            <w:r>
              <w:t>77.1</w:t>
            </w:r>
          </w:p>
        </w:tc>
        <w:tc>
          <w:tcPr>
            <w:tcW w:w="1804" w:type="dxa"/>
          </w:tcPr>
          <w:p w14:paraId="2FD7085C" w14:textId="6AE18B1C" w:rsidR="00D64427" w:rsidRDefault="00C46A2C" w:rsidP="51555878">
            <w:r>
              <w:t>12.8</w:t>
            </w:r>
          </w:p>
        </w:tc>
      </w:tr>
      <w:tr w:rsidR="00D64427" w14:paraId="60A3B575" w14:textId="77777777" w:rsidTr="00D64427">
        <w:tc>
          <w:tcPr>
            <w:tcW w:w="1803" w:type="dxa"/>
          </w:tcPr>
          <w:p w14:paraId="319F1068" w14:textId="2083A680" w:rsidR="00D64427" w:rsidRDefault="004B01A5" w:rsidP="51555878">
            <w:r>
              <w:t>5</w:t>
            </w:r>
          </w:p>
        </w:tc>
        <w:tc>
          <w:tcPr>
            <w:tcW w:w="1803" w:type="dxa"/>
          </w:tcPr>
          <w:p w14:paraId="3E454684" w14:textId="4A0EE827" w:rsidR="00D64427" w:rsidRDefault="00CF7B0F" w:rsidP="51555878">
            <w:r>
              <w:t>11.0</w:t>
            </w:r>
          </w:p>
        </w:tc>
        <w:tc>
          <w:tcPr>
            <w:tcW w:w="1803" w:type="dxa"/>
          </w:tcPr>
          <w:p w14:paraId="02AEFC8A" w14:textId="5536665C" w:rsidR="00D64427" w:rsidRDefault="00157CF1" w:rsidP="51555878">
            <w:r>
              <w:t>8.8</w:t>
            </w:r>
          </w:p>
        </w:tc>
        <w:tc>
          <w:tcPr>
            <w:tcW w:w="1803" w:type="dxa"/>
          </w:tcPr>
          <w:p w14:paraId="0E1AF1A8" w14:textId="7DC1BFB1" w:rsidR="00D64427" w:rsidRDefault="002864AF" w:rsidP="51555878">
            <w:r>
              <w:t>80.0</w:t>
            </w:r>
          </w:p>
        </w:tc>
        <w:tc>
          <w:tcPr>
            <w:tcW w:w="1804" w:type="dxa"/>
          </w:tcPr>
          <w:p w14:paraId="3AB5845D" w14:textId="71ED9C32" w:rsidR="00D64427" w:rsidRDefault="00615FBF" w:rsidP="51555878">
            <w:r>
              <w:t>12.9</w:t>
            </w:r>
          </w:p>
        </w:tc>
      </w:tr>
    </w:tbl>
    <w:p w14:paraId="6567C9E0" w14:textId="70BE6E91" w:rsidR="00CD476F" w:rsidRDefault="00CD476F" w:rsidP="51555878"/>
    <w:p w14:paraId="54A4AA95" w14:textId="71B4DE21" w:rsidR="00E775A1" w:rsidRDefault="00AA06A6" w:rsidP="51555878">
      <w:r>
        <w:lastRenderedPageBreak/>
        <w:t>B</w:t>
      </w:r>
      <w:r w:rsidR="00CE4F04">
        <w:t xml:space="preserve">earing in mind that the higher </w:t>
      </w:r>
      <w:r w:rsidR="001F4C80">
        <w:t>the number of the group the higher the mean</w:t>
      </w:r>
      <w:r w:rsidR="00FC1615">
        <w:t xml:space="preserve"> of the number of accesses, we may agree</w:t>
      </w:r>
      <w:r w:rsidR="00AF1297">
        <w:t xml:space="preserve"> that the group 1 has a “very low</w:t>
      </w:r>
      <w:r w:rsidR="006777E9">
        <w:t xml:space="preserve">” number of accesses to the VLE, </w:t>
      </w:r>
      <w:r w:rsidR="006844BC">
        <w:t>group 2 has a “low” number of accesses, group</w:t>
      </w:r>
      <w:r w:rsidR="00877FB4">
        <w:t xml:space="preserve"> 3 has a “moderate” number of accesses and </w:t>
      </w:r>
      <w:r w:rsidR="008D37FC">
        <w:t>group 5 has a “very high” number of accesses</w:t>
      </w:r>
      <w:r w:rsidR="001E493F">
        <w:t>.</w:t>
      </w:r>
    </w:p>
    <w:p w14:paraId="42BA8875" w14:textId="3B3F1FAB" w:rsidR="001E493F" w:rsidRDefault="001E493F" w:rsidP="51555878">
      <w:r>
        <w:t>The data presented in Table</w:t>
      </w:r>
      <w:r w:rsidR="00BC701F">
        <w:t xml:space="preserve"> enables the observation that except for the mean of the marks obtained</w:t>
      </w:r>
      <w:r w:rsidR="0049607C">
        <w:t xml:space="preserve">, the trend in all the other </w:t>
      </w:r>
      <w:r w:rsidR="00A04EB7">
        <w:t>variables is for the value of the variables to increase</w:t>
      </w:r>
      <w:r w:rsidR="007C1340">
        <w:t xml:space="preserve"> of the number of the group. This indicates </w:t>
      </w:r>
      <w:r w:rsidR="00B94443">
        <w:t>that the higher the mean of the number o</w:t>
      </w:r>
      <w:r w:rsidR="0023645C">
        <w:t>f accesses to the VLE is, the higher the value</w:t>
      </w:r>
      <w:r w:rsidR="008871D5">
        <w:t xml:space="preserve">s associated with </w:t>
      </w:r>
      <w:r w:rsidR="00C3222A">
        <w:t>students’</w:t>
      </w:r>
      <w:r w:rsidR="008871D5">
        <w:t xml:space="preserve"> performance are in the </w:t>
      </w:r>
      <w:r w:rsidR="00167E40">
        <w:t xml:space="preserve">variables regarding the </w:t>
      </w:r>
      <w:r w:rsidR="00C3222A">
        <w:t>mean of</w:t>
      </w:r>
      <w:r w:rsidR="00167E40">
        <w:t xml:space="preserve"> units passed and the percentage</w:t>
      </w:r>
      <w:r w:rsidR="00E162AB">
        <w:t xml:space="preserve"> of course units in which</w:t>
      </w:r>
      <w:r w:rsidR="00C3222A">
        <w:t xml:space="preserve"> students are registered.</w:t>
      </w:r>
    </w:p>
    <w:p w14:paraId="7FAEBAB5" w14:textId="0E52B210" w:rsidR="00C3222A" w:rsidRDefault="005778DE" w:rsidP="51555878">
      <w:r>
        <w:t xml:space="preserve">Given that number of course unit which students passed is one </w:t>
      </w:r>
      <w:r w:rsidR="00D31D7F">
        <w:t xml:space="preserve">of the strongest indicators of </w:t>
      </w:r>
      <w:r w:rsidR="0019538B">
        <w:t>students’</w:t>
      </w:r>
      <w:r w:rsidR="006D3326">
        <w:t xml:space="preserve"> academic success</w:t>
      </w:r>
      <w:r w:rsidR="00FC280C">
        <w:t>.</w:t>
      </w:r>
    </w:p>
    <w:p w14:paraId="1585CDC9" w14:textId="4D005AAE" w:rsidR="00640283" w:rsidRDefault="3B4B3ACA" w:rsidP="51555878">
      <w:r>
        <w:t>The coding which was presented enables us to infer that the mean of the number of units in which students were registered varies in an ascending trend from group to group, recording the minimum value of 7.4 in the group showing a very low number of accesses and the value of 8.8 in the group whose number of accesses is very high. Similarly, the mean of the course units which students passed varies ascendingly from 1.6 in the group with very low accesses to 8.8 in the group with very high accesses.</w:t>
      </w:r>
    </w:p>
    <w:p w14:paraId="64132B3F" w14:textId="5A515EB8" w:rsidR="00C570FF" w:rsidRDefault="00C570FF" w:rsidP="51555878">
      <w:r>
        <w:t xml:space="preserve">The percentage of course </w:t>
      </w:r>
      <w:r w:rsidR="006A2E36">
        <w:t>unit’s</w:t>
      </w:r>
      <w:r>
        <w:t xml:space="preserve"> students passed relatively</w:t>
      </w:r>
      <w:r w:rsidR="0021514B">
        <w:t xml:space="preserve"> to the units they are registered in also </w:t>
      </w:r>
      <w:r w:rsidR="00A12160">
        <w:t xml:space="preserve">varies ascendingly, reaching a minimum of </w:t>
      </w:r>
      <w:r w:rsidR="006B133D">
        <w:t xml:space="preserve">21.6% in the group with very low accesses </w:t>
      </w:r>
      <w:r w:rsidR="00AD0065">
        <w:t xml:space="preserve">and a maximum of 80.0% in the group with </w:t>
      </w:r>
      <w:r w:rsidR="00433FCC">
        <w:t>high accesses. Similarly, the percentage of subject</w:t>
      </w:r>
      <w:r w:rsidR="0006082E">
        <w:t>s who passed at least one course</w:t>
      </w:r>
      <w:r w:rsidR="00770663">
        <w:t xml:space="preserve"> unit follows an ascending trend, </w:t>
      </w:r>
      <w:r w:rsidR="004861ED">
        <w:t>revealing a minimum of 46.6% in the group of very low accesses</w:t>
      </w:r>
      <w:r w:rsidR="00DD6098">
        <w:t xml:space="preserve"> and a maximum of 99.4% in the group of very high accesses</w:t>
      </w:r>
      <w:r w:rsidR="00F068C2">
        <w:t>.</w:t>
      </w:r>
    </w:p>
    <w:p w14:paraId="729138F8" w14:textId="1C1F6D5F" w:rsidR="00F068C2" w:rsidRDefault="00F068C2" w:rsidP="51555878">
      <w:r>
        <w:t>According to the constitution of groups and to the result</w:t>
      </w:r>
      <w:r w:rsidR="001A0F52">
        <w:t>s presented, we can assure that the higher the mean of accesses</w:t>
      </w:r>
      <w:r w:rsidR="00C43A80">
        <w:t xml:space="preserve"> to the VLE is, the higher will </w:t>
      </w:r>
      <w:r w:rsidR="006A2E36">
        <w:t>be</w:t>
      </w:r>
      <w:r w:rsidR="00C43A80">
        <w:t xml:space="preserve"> </w:t>
      </w:r>
      <w:r w:rsidR="00963C79">
        <w:t>the number of units in which the student is registered, the percentage</w:t>
      </w:r>
      <w:r w:rsidR="003353E5">
        <w:t xml:space="preserve"> of course units passed </w:t>
      </w:r>
      <w:r w:rsidR="00F442D3">
        <w:t xml:space="preserve">relatively to the units they are registered in, </w:t>
      </w:r>
      <w:r w:rsidR="00700D06">
        <w:t>and the percentage of course units the student passed</w:t>
      </w:r>
      <w:r w:rsidR="00BB4493">
        <w:t>. Conversely, the lower the mean of accesses is</w:t>
      </w:r>
      <w:r w:rsidR="006C2DBD">
        <w:t xml:space="preserve">, the higher the percentage of students who failed at least </w:t>
      </w:r>
      <w:r w:rsidR="00AC092A">
        <w:t>one course unit is.</w:t>
      </w:r>
    </w:p>
    <w:p w14:paraId="7CB39CB1" w14:textId="7764BAC2" w:rsidR="00B017BB" w:rsidRPr="00D3291D" w:rsidRDefault="00B017BB" w:rsidP="51555878">
      <w:pPr>
        <w:rPr>
          <w:sz w:val="28"/>
          <w:szCs w:val="28"/>
        </w:rPr>
      </w:pPr>
    </w:p>
    <w:p w14:paraId="0CF5799E" w14:textId="4DA7BECA" w:rsidR="00C3222A" w:rsidRDefault="00D3291D" w:rsidP="51555878">
      <w:pPr>
        <w:rPr>
          <w:sz w:val="28"/>
          <w:szCs w:val="28"/>
        </w:rPr>
      </w:pPr>
      <w:r>
        <w:rPr>
          <w:sz w:val="28"/>
          <w:szCs w:val="28"/>
        </w:rPr>
        <w:t>REFERENCES</w:t>
      </w:r>
    </w:p>
    <w:p w14:paraId="374F1F01" w14:textId="1D05B66C" w:rsidR="00993AB7" w:rsidRDefault="3B4B3ACA" w:rsidP="51555878">
      <w:r>
        <w:t>Gasevic, D, Dawson, S., Rogers, T., &amp;</w:t>
      </w:r>
      <w:r w:rsidR="003C307A">
        <w:t xml:space="preserve"> </w:t>
      </w:r>
      <w:r>
        <w:t>Gasevic, D. Learning analytics should not promote one size fits all: The effects of instructional conditions in predicting academic success. Internet and Higher Education 2016.28. pp.68-84</w:t>
      </w:r>
    </w:p>
    <w:p w14:paraId="36E0C768" w14:textId="6E7DF04D" w:rsidR="00C8087A" w:rsidRDefault="00C8087A" w:rsidP="51555878">
      <w:r>
        <w:t>Mah, D</w:t>
      </w:r>
      <w:r w:rsidR="00EA001C">
        <w:t>.-K. Learning analytics and digital badges</w:t>
      </w:r>
      <w:r w:rsidR="00272852">
        <w:t>: potential impact on student retention in higher education</w:t>
      </w:r>
      <w:r w:rsidR="009A06C8">
        <w:t>. Technology, Knowledge and Learning, 21(3), 285</w:t>
      </w:r>
      <w:r w:rsidR="00DA41DD">
        <w:t>-305. Doi:10.1007/s</w:t>
      </w:r>
      <w:r w:rsidR="00693019">
        <w:t xml:space="preserve"> 10758-016-</w:t>
      </w:r>
      <w:r w:rsidR="00C466C6">
        <w:t>9286-8.2016</w:t>
      </w:r>
    </w:p>
    <w:p w14:paraId="7078B634" w14:textId="0A98E39D" w:rsidR="008F0062" w:rsidRDefault="008F0062" w:rsidP="51555878">
      <w:r>
        <w:t>Ferguson, R</w:t>
      </w:r>
      <w:r w:rsidR="00B3499D">
        <w:t>. The state of learning analytics in 2012</w:t>
      </w:r>
      <w:r w:rsidR="00F65F77">
        <w:t>: A review and future challenges. Technical</w:t>
      </w:r>
      <w:r w:rsidR="00DE47C4">
        <w:t xml:space="preserve"> report KMI-12-01. UK:</w:t>
      </w:r>
      <w:r w:rsidR="004E5092">
        <w:t xml:space="preserve"> Knowledge Media Institute, The Open University</w:t>
      </w:r>
      <w:r w:rsidR="000E3C45">
        <w:t>. 2012</w:t>
      </w:r>
    </w:p>
    <w:p w14:paraId="2660C66B" w14:textId="42490562" w:rsidR="004B6629" w:rsidRDefault="3B4B3ACA" w:rsidP="51555878">
      <w:r>
        <w:t>Agudo-Peregrina, A., Iglesias-Pradas, S., Conde-Gonzalez, M., &amp; Hernandez-Garcia, A. Can we predict success from log data in VLEs? Classification of interactions for learning analytics and their relation with performance in VLE-supported F2F and online learning. Computers in Human Behaviour 2014.31. pp.542-550</w:t>
      </w:r>
    </w:p>
    <w:p w14:paraId="00C318FE" w14:textId="0ECFD5DE" w:rsidR="008A1395" w:rsidRDefault="3B4B3ACA" w:rsidP="51555878">
      <w:r>
        <w:lastRenderedPageBreak/>
        <w:t>Alves, P., Miranda, L., &amp; Morais, C. Open Educational Resources: Higher Education Students Knowledge and use. In Rikke Orngreen &amp; Karin Tweddell Levinsen. Proceedings of the 1</w:t>
      </w:r>
      <w:r w:rsidR="00AD7BCA">
        <w:t>3th</w:t>
      </w:r>
      <w:r>
        <w:t xml:space="preserve"> European Conference on e-learning ECEL 2014. Reading, UK: Academic Conferences and Publishing International Limited.2014. pp.11-18</w:t>
      </w:r>
    </w:p>
    <w:p w14:paraId="3EFC6223" w14:textId="5DE1A453" w:rsidR="00AB763C" w:rsidRDefault="00AB763C" w:rsidP="51555878">
      <w:r>
        <w:t>Valsamidisa, S., Kazanidisa, I., P</w:t>
      </w:r>
      <w:r w:rsidR="00D867F3">
        <w:t xml:space="preserve">etasakisa, I., Kontogiannisb, </w:t>
      </w:r>
      <w:r w:rsidR="00D86B41">
        <w:t>S., &amp;</w:t>
      </w:r>
      <w:r w:rsidR="008479F6">
        <w:t xml:space="preserve"> </w:t>
      </w:r>
      <w:r w:rsidR="00D86B41">
        <w:t>Klokithaa, E. E-Lea</w:t>
      </w:r>
      <w:r w:rsidR="00A35418">
        <w:t>rning Activity Analysis. Procedia</w:t>
      </w:r>
      <w:r w:rsidR="00716618">
        <w:t xml:space="preserve"> Economics and Finance. 9.pp.511-518.2014</w:t>
      </w:r>
    </w:p>
    <w:p w14:paraId="3469F824" w14:textId="094661CE" w:rsidR="007A3C77" w:rsidRDefault="007A3C77" w:rsidP="51555878">
      <w:r>
        <w:t>Norton, P., Porter, S</w:t>
      </w:r>
      <w:r w:rsidR="008439F2">
        <w:t>. From Bricks to Clicks: the potential</w:t>
      </w:r>
      <w:r w:rsidR="00877624">
        <w:t xml:space="preserve"> of data and analytics in Higher Education</w:t>
      </w:r>
      <w:r w:rsidR="006A6F13">
        <w:t>, The Higher Education Commission</w:t>
      </w:r>
      <w:r w:rsidR="006044C4">
        <w:t xml:space="preserve">, Available online: </w:t>
      </w:r>
      <w:hyperlink r:id="rId8" w:history="1">
        <w:r w:rsidR="003A66E6" w:rsidRPr="001E2B31">
          <w:rPr>
            <w:rStyle w:val="Hyperlink"/>
          </w:rPr>
          <w:t>http://www.policyconnect</w:t>
        </w:r>
      </w:hyperlink>
      <w:r w:rsidR="003A66E6">
        <w:t>. Org.uk</w:t>
      </w:r>
      <w:r w:rsidR="000979FB">
        <w:t>/hec/research/report-bricks-</w:t>
      </w:r>
      <w:r w:rsidR="00DD1F65">
        <w:t>clicks-potential-data-and analytics-higher</w:t>
      </w:r>
      <w:r w:rsidR="00E06F54">
        <w:t>-education. 2016</w:t>
      </w:r>
    </w:p>
    <w:p w14:paraId="6C22DDEC" w14:textId="2B6EBA6E" w:rsidR="00442A72" w:rsidRDefault="00442A72" w:rsidP="51555878">
      <w:r>
        <w:t>You, J.</w:t>
      </w:r>
      <w:r w:rsidR="00B5415C">
        <w:t xml:space="preserve"> W. Identifying significant</w:t>
      </w:r>
      <w:r w:rsidR="002634B8">
        <w:t xml:space="preserve"> indicators using lms data to predict course achievement in online learning</w:t>
      </w:r>
      <w:r w:rsidR="00040994">
        <w:t xml:space="preserve">. The Internet and Higher Education, </w:t>
      </w:r>
      <w:r w:rsidR="003947A1">
        <w:t>29:23-30. 2016</w:t>
      </w:r>
    </w:p>
    <w:p w14:paraId="51F2E015" w14:textId="4677851E" w:rsidR="003947A1" w:rsidRDefault="008A4A53" w:rsidP="51555878">
      <w:r>
        <w:t>Papamitsiou, Z., Economides</w:t>
      </w:r>
      <w:r w:rsidR="00AA79E8">
        <w:t>, A. Learning Analytics and Educational Data M</w:t>
      </w:r>
      <w:r w:rsidR="000A71D6">
        <w:t>ining in Practice: A Systematic</w:t>
      </w:r>
      <w:r w:rsidR="00E3626C">
        <w:t xml:space="preserve"> Literature Review of Empirical Evidence</w:t>
      </w:r>
      <w:r w:rsidR="005A6CEE">
        <w:t xml:space="preserve">. Educational Technology &amp; Society, 17 (4), </w:t>
      </w:r>
      <w:r w:rsidR="0042403E">
        <w:t>49-64. 2014</w:t>
      </w:r>
    </w:p>
    <w:p w14:paraId="723A9D39" w14:textId="3FF80AAE" w:rsidR="008139D8" w:rsidRDefault="008139D8" w:rsidP="51555878">
      <w:r>
        <w:t>ECAR Wor</w:t>
      </w:r>
      <w:r w:rsidR="00007D29">
        <w:t>king Group. The Predictive Learning Analytics</w:t>
      </w:r>
      <w:r w:rsidR="00303234">
        <w:t xml:space="preserve"> Revolution Leveraging Learning Data for Student</w:t>
      </w:r>
      <w:r w:rsidR="00007E7A">
        <w:t xml:space="preserve"> Success. Available online: http://</w:t>
      </w:r>
      <w:r w:rsidR="0019356A">
        <w:t xml:space="preserve"> net. Educause. Edu/ir/</w:t>
      </w:r>
      <w:r w:rsidR="00513519">
        <w:t>library/pdf/ewg</w:t>
      </w:r>
      <w:r w:rsidR="007A4A67">
        <w:t>1</w:t>
      </w:r>
      <w:r w:rsidR="00F14ABC">
        <w:t xml:space="preserve"> 510. pdf</w:t>
      </w:r>
    </w:p>
    <w:p w14:paraId="00CE15EA" w14:textId="77777777" w:rsidR="008479F6" w:rsidRDefault="008479F6" w:rsidP="51555878"/>
    <w:p w14:paraId="1EF7577D" w14:textId="77777777" w:rsidR="00D05901" w:rsidRPr="00993AB7" w:rsidRDefault="00D05901" w:rsidP="51555878"/>
    <w:p w14:paraId="4FF5E804" w14:textId="77777777" w:rsidR="00CD476F" w:rsidRDefault="00CD476F" w:rsidP="51555878"/>
    <w:p w14:paraId="2624A35D" w14:textId="538F65D2" w:rsidR="51555878" w:rsidRDefault="51555878" w:rsidP="51555878"/>
    <w:sectPr w:rsidR="51555878" w:rsidSect="00A624EF">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48A46" w14:textId="77777777" w:rsidR="000B1B2A" w:rsidRDefault="000B1B2A" w:rsidP="00A76801">
      <w:pPr>
        <w:spacing w:after="0" w:line="240" w:lineRule="auto"/>
      </w:pPr>
      <w:r>
        <w:separator/>
      </w:r>
    </w:p>
  </w:endnote>
  <w:endnote w:type="continuationSeparator" w:id="0">
    <w:p w14:paraId="137CFB60" w14:textId="77777777" w:rsidR="000B1B2A" w:rsidRDefault="000B1B2A" w:rsidP="00A7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CEC2A" w14:textId="77777777" w:rsidR="000B1B2A" w:rsidRDefault="000B1B2A" w:rsidP="00A76801">
      <w:pPr>
        <w:spacing w:after="0" w:line="240" w:lineRule="auto"/>
      </w:pPr>
      <w:r>
        <w:separator/>
      </w:r>
    </w:p>
  </w:footnote>
  <w:footnote w:type="continuationSeparator" w:id="0">
    <w:p w14:paraId="4F0F6169" w14:textId="77777777" w:rsidR="000B1B2A" w:rsidRDefault="000B1B2A" w:rsidP="00A76801">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024175825" textId="653946338" start="503" length="8" invalidationStart="503" invalidationLength="8" id="auL6Mzeg"/>
    <int:ParagraphRange paragraphId="1024175825" textId="143937595" start="503" length="9" invalidationStart="503" invalidationLength="9" id="FMbLYPcq"/>
    <int:ParagraphRange paragraphId="1024175825" textId="143937595" start="513" length="7" invalidationStart="513" invalidationLength="7" id="Tz2rwjYt"/>
    <int:ParagraphRange paragraphId="1024175825" textId="1028825019" start="503" length="9" invalidationStart="503" invalidationLength="9" id="kR0npKzl"/>
    <int:ParagraphRange paragraphId="1991381436" textId="1919687852" start="337" length="8" invalidationStart="337" invalidationLength="8" id="kaBxp1wa"/>
    <int:ParagraphRange paragraphId="402024720" textId="740164957" start="304" length="16" invalidationStart="304" invalidationLength="16" id="l1WAbdGB"/>
    <int:WordHash hashCode="trnXYMzdF2iYdf" id="lmkEDEAW"/>
    <int:ParagraphRange paragraphId="1154061816" textId="989956023" start="266" length="8" invalidationStart="266" invalidationLength="8" id="P3UgMW5e"/>
    <int:WordHash hashCode="9H+zGM2bJhc86+" id="YEd2e3n4"/>
    <int:ParagraphRange paragraphId="643876459" textId="1670462135" start="195" length="8" invalidationStart="195" invalidationLength="8" id="HPJiHzFO"/>
    <int:WordHash hashCode="6hWohwVcXT0uG1" id="1VDgMFTZ"/>
    <int:WordHash hashCode="2HdDyzTc+oB42E" id="2FfNxgef"/>
    <int:WordHash hashCode="ssR5emuikZXlhc" id="xh8ILnhk"/>
    <int:WordHash hashCode="KTiN0lQqXHZchm" id="sFAEAOdS"/>
    <int:WordHash hashCode="MydlfmXhuvvRNu" id="xPB9NPtV"/>
    <int:WordHash hashCode="UOD4Rw8WLaUwgp" id="ByiMyAxc"/>
    <int:WordHash hashCode="3jELQ5QWkSnc74" id="LYmfqcqb"/>
    <int:WordHash hashCode="UMhmbwS0eP5V4N" id="kEbsOm1o"/>
    <int:WordHash hashCode="OlGk9GlUve5Cyb" id="/LjV9R9j"/>
    <int:WordHash hashCode="UV+Lt1ij8e/Zlu" id="lZN4f1p2"/>
    <int:WordHash hashCode="+2pzEKI+CDJmm2" id="ZbGSnFx/"/>
    <int:WordHash hashCode="FKyWS9YtMETHU/" id="6tH3y28s"/>
    <int:WordHash hashCode="bxJfCVcoR2l5Rz" id="eIlets43"/>
    <int:WordHash hashCode="5rVgZ2pNrE80Wk" id="dZM/rjOU"/>
    <int:WordHash hashCode="0G9HlJ36IVk4nJ" id="4iVb3tay"/>
    <int:WordHash hashCode="mN/ouOKZCDr/z1" id="xNbA/un4"/>
    <int:WordHash hashCode="2S1PyHt4zuGsE9" id="rvfySgGU"/>
    <int:WordHash hashCode="cGB7lFgLDiGlgv" id="n3ewPw20"/>
    <int:WordHash hashCode="nleVLq0tNpSXgm" id="myoaAvsg"/>
    <int:WordHash hashCode="5bbKpge84ChWU3" id="puKI7zbp"/>
    <int:WordHash hashCode="DQNUOi9iyT05Op" id="vMktbddo"/>
    <int:WordHash hashCode="46kQdmcVpSm5u+" id="aKs5wGvZ"/>
    <int:WordHash hashCode="qhVTvu1dgXPTV7" id="AQ4YSqr2"/>
    <int:WordHash hashCode="tROCRFqAwwh1+v" id="y+PXjFib"/>
  </int:Manifest>
  <int:Observations>
    <int:Content id="auL6Mzeg">
      <int:Rejection type="LegacyProofing"/>
    </int:Content>
    <int:Content id="FMbLYPcq">
      <int:Rejection type="LegacyProofing"/>
    </int:Content>
    <int:Content id="Tz2rwjYt">
      <int:Rejection type="LegacyProofing"/>
    </int:Content>
    <int:Content id="kR0npKzl">
      <int:Rejection type="LegacyProofing"/>
    </int:Content>
    <int:Content id="kaBxp1wa">
      <int:Rejection type="LegacyProofing"/>
    </int:Content>
    <int:Content id="l1WAbdGB">
      <int:Rejection type="LegacyProofing"/>
    </int:Content>
    <int:Content id="lmkEDEAW">
      <int:Rejection type="LegacyProofing"/>
    </int:Content>
    <int:Content id="P3UgMW5e">
      <int:Rejection type="LegacyProofing"/>
    </int:Content>
    <int:Content id="YEd2e3n4">
      <int:Rejection type="LegacyProofing"/>
    </int:Content>
    <int:Content id="HPJiHzFO">
      <int:Rejection type="LegacyProofing"/>
    </int:Content>
    <int:Content id="1VDgMFTZ">
      <int:Rejection type="LegacyProofing"/>
    </int:Content>
    <int:Content id="2FfNxgef">
      <int:Rejection type="LegacyProofing"/>
    </int:Content>
    <int:Content id="xh8ILnhk">
      <int:Rejection type="LegacyProofing"/>
    </int:Content>
    <int:Content id="sFAEAOdS">
      <int:Rejection type="LegacyProofing"/>
    </int:Content>
    <int:Content id="xPB9NPtV">
      <int:Rejection type="LegacyProofing"/>
    </int:Content>
    <int:Content id="ByiMyAxc">
      <int:Rejection type="LegacyProofing"/>
    </int:Content>
    <int:Content id="LYmfqcqb">
      <int:Rejection type="LegacyProofing"/>
    </int:Content>
    <int:Content id="kEbsOm1o">
      <int:Rejection type="LegacyProofing"/>
    </int:Content>
    <int:Content id="/LjV9R9j">
      <int:Rejection type="AugLoop_Text_Critique"/>
    </int:Content>
    <int:Content id="lZN4f1p2">
      <int:Rejection type="AugLoop_Text_Critique"/>
    </int:Content>
    <int:Content id="ZbGSnFx/">
      <int:Rejection type="AugLoop_Text_Critique"/>
    </int:Content>
    <int:Content id="6tH3y28s">
      <int:Rejection type="AugLoop_Text_Critique"/>
    </int:Content>
    <int:Content id="eIlets43">
      <int:Rejection type="AugLoop_Text_Critique"/>
    </int:Content>
    <int:Content id="dZM/rjOU">
      <int:Rejection type="AugLoop_Text_Critique"/>
    </int:Content>
    <int:Content id="4iVb3tay">
      <int:Rejection type="AugLoop_Text_Critique"/>
    </int:Content>
    <int:Content id="xNbA/un4">
      <int:Rejection type="AugLoop_Text_Critique"/>
    </int:Content>
    <int:Content id="rvfySgGU">
      <int:Rejection type="AugLoop_Text_Critique"/>
    </int:Content>
    <int:Content id="n3ewPw20">
      <int:Rejection type="AugLoop_Text_Critique"/>
    </int:Content>
    <int:Content id="myoaAvsg">
      <int:Rejection type="AugLoop_Text_Critique"/>
    </int:Content>
    <int:Content id="puKI7zbp">
      <int:Rejection type="AugLoop_Text_Critique"/>
    </int:Content>
    <int:Content id="vMktbddo">
      <int:Rejection type="AugLoop_Text_Critique"/>
    </int:Content>
    <int:Content id="aKs5wGvZ">
      <int:Rejection type="LegacyProofing"/>
    </int:Content>
    <int:Content id="AQ4YSqr2">
      <int:Rejection type="LegacyProofing"/>
    </int:Content>
    <int:Content id="y+PXjFib">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E0EE4B"/>
    <w:rsid w:val="000068A1"/>
    <w:rsid w:val="00007D29"/>
    <w:rsid w:val="00007E7A"/>
    <w:rsid w:val="00030EFA"/>
    <w:rsid w:val="00040994"/>
    <w:rsid w:val="0004492C"/>
    <w:rsid w:val="000470FC"/>
    <w:rsid w:val="00050D7F"/>
    <w:rsid w:val="0006082E"/>
    <w:rsid w:val="00071029"/>
    <w:rsid w:val="00072786"/>
    <w:rsid w:val="000979FB"/>
    <w:rsid w:val="000A71D6"/>
    <w:rsid w:val="000B1B2A"/>
    <w:rsid w:val="000B7B57"/>
    <w:rsid w:val="000E3C45"/>
    <w:rsid w:val="000E5002"/>
    <w:rsid w:val="00157CF1"/>
    <w:rsid w:val="00167E40"/>
    <w:rsid w:val="0019356A"/>
    <w:rsid w:val="0019538B"/>
    <w:rsid w:val="001A0F52"/>
    <w:rsid w:val="001A724F"/>
    <w:rsid w:val="001E493F"/>
    <w:rsid w:val="001F4C80"/>
    <w:rsid w:val="002135CD"/>
    <w:rsid w:val="0021514B"/>
    <w:rsid w:val="00220613"/>
    <w:rsid w:val="0023645C"/>
    <w:rsid w:val="00247374"/>
    <w:rsid w:val="002634B8"/>
    <w:rsid w:val="00264D7E"/>
    <w:rsid w:val="00272852"/>
    <w:rsid w:val="00272BFE"/>
    <w:rsid w:val="00285EF9"/>
    <w:rsid w:val="002864AF"/>
    <w:rsid w:val="002C04AC"/>
    <w:rsid w:val="002E3234"/>
    <w:rsid w:val="00303234"/>
    <w:rsid w:val="003063EF"/>
    <w:rsid w:val="003209D7"/>
    <w:rsid w:val="00322AE2"/>
    <w:rsid w:val="0032578A"/>
    <w:rsid w:val="003353E5"/>
    <w:rsid w:val="00337520"/>
    <w:rsid w:val="00343DEF"/>
    <w:rsid w:val="00382DD5"/>
    <w:rsid w:val="003921A1"/>
    <w:rsid w:val="003947A1"/>
    <w:rsid w:val="003A66E6"/>
    <w:rsid w:val="003C307A"/>
    <w:rsid w:val="003F2D2A"/>
    <w:rsid w:val="00400D59"/>
    <w:rsid w:val="0042403E"/>
    <w:rsid w:val="00433FCC"/>
    <w:rsid w:val="00442A72"/>
    <w:rsid w:val="00477561"/>
    <w:rsid w:val="004861ED"/>
    <w:rsid w:val="0049607C"/>
    <w:rsid w:val="004A4525"/>
    <w:rsid w:val="004B01A5"/>
    <w:rsid w:val="004B6629"/>
    <w:rsid w:val="004E5092"/>
    <w:rsid w:val="00513519"/>
    <w:rsid w:val="005314F9"/>
    <w:rsid w:val="00532C5D"/>
    <w:rsid w:val="00545CF8"/>
    <w:rsid w:val="0057035F"/>
    <w:rsid w:val="005778DE"/>
    <w:rsid w:val="005A6CEE"/>
    <w:rsid w:val="006044C4"/>
    <w:rsid w:val="00615FBF"/>
    <w:rsid w:val="00620040"/>
    <w:rsid w:val="00640283"/>
    <w:rsid w:val="00645A2C"/>
    <w:rsid w:val="006777E9"/>
    <w:rsid w:val="006810BE"/>
    <w:rsid w:val="006844BC"/>
    <w:rsid w:val="00693019"/>
    <w:rsid w:val="006A2E36"/>
    <w:rsid w:val="006A3D8F"/>
    <w:rsid w:val="006A6F13"/>
    <w:rsid w:val="006B133D"/>
    <w:rsid w:val="006B4B9C"/>
    <w:rsid w:val="006C2DBD"/>
    <w:rsid w:val="006D3326"/>
    <w:rsid w:val="006D55EF"/>
    <w:rsid w:val="006F6FDD"/>
    <w:rsid w:val="00700D06"/>
    <w:rsid w:val="007127CC"/>
    <w:rsid w:val="00716618"/>
    <w:rsid w:val="00765277"/>
    <w:rsid w:val="00770663"/>
    <w:rsid w:val="00772020"/>
    <w:rsid w:val="00783D1C"/>
    <w:rsid w:val="007901FE"/>
    <w:rsid w:val="00791D30"/>
    <w:rsid w:val="007A3C77"/>
    <w:rsid w:val="007A4A67"/>
    <w:rsid w:val="007B2BAA"/>
    <w:rsid w:val="007C1340"/>
    <w:rsid w:val="007D6165"/>
    <w:rsid w:val="008139D8"/>
    <w:rsid w:val="00821549"/>
    <w:rsid w:val="00827690"/>
    <w:rsid w:val="008439F2"/>
    <w:rsid w:val="008479F6"/>
    <w:rsid w:val="00877624"/>
    <w:rsid w:val="00877FB4"/>
    <w:rsid w:val="00886124"/>
    <w:rsid w:val="00886C01"/>
    <w:rsid w:val="008871D5"/>
    <w:rsid w:val="0089443E"/>
    <w:rsid w:val="008A1395"/>
    <w:rsid w:val="008A4A53"/>
    <w:rsid w:val="008A5055"/>
    <w:rsid w:val="008D37FC"/>
    <w:rsid w:val="008F0062"/>
    <w:rsid w:val="0090093B"/>
    <w:rsid w:val="00902C10"/>
    <w:rsid w:val="00925A10"/>
    <w:rsid w:val="009273BB"/>
    <w:rsid w:val="00963C79"/>
    <w:rsid w:val="00993AB7"/>
    <w:rsid w:val="009A06C8"/>
    <w:rsid w:val="009F1144"/>
    <w:rsid w:val="00A04EB7"/>
    <w:rsid w:val="00A12160"/>
    <w:rsid w:val="00A1648E"/>
    <w:rsid w:val="00A35418"/>
    <w:rsid w:val="00A624EF"/>
    <w:rsid w:val="00A76801"/>
    <w:rsid w:val="00AA06A6"/>
    <w:rsid w:val="00AA79E8"/>
    <w:rsid w:val="00AB763C"/>
    <w:rsid w:val="00AC092A"/>
    <w:rsid w:val="00AD0065"/>
    <w:rsid w:val="00AD7BCA"/>
    <w:rsid w:val="00AE3AB3"/>
    <w:rsid w:val="00AF1297"/>
    <w:rsid w:val="00AF4474"/>
    <w:rsid w:val="00B017BB"/>
    <w:rsid w:val="00B037DE"/>
    <w:rsid w:val="00B12A31"/>
    <w:rsid w:val="00B25A9C"/>
    <w:rsid w:val="00B3499D"/>
    <w:rsid w:val="00B5415C"/>
    <w:rsid w:val="00B716E5"/>
    <w:rsid w:val="00B94443"/>
    <w:rsid w:val="00BB4493"/>
    <w:rsid w:val="00BC5513"/>
    <w:rsid w:val="00BC701F"/>
    <w:rsid w:val="00C2048F"/>
    <w:rsid w:val="00C3222A"/>
    <w:rsid w:val="00C43A80"/>
    <w:rsid w:val="00C466C6"/>
    <w:rsid w:val="00C46A2C"/>
    <w:rsid w:val="00C570FF"/>
    <w:rsid w:val="00C8087A"/>
    <w:rsid w:val="00C92AAA"/>
    <w:rsid w:val="00CD476F"/>
    <w:rsid w:val="00CD5AF2"/>
    <w:rsid w:val="00CE4F04"/>
    <w:rsid w:val="00CF7B0F"/>
    <w:rsid w:val="00D05901"/>
    <w:rsid w:val="00D115AC"/>
    <w:rsid w:val="00D31D7F"/>
    <w:rsid w:val="00D3291D"/>
    <w:rsid w:val="00D41782"/>
    <w:rsid w:val="00D64427"/>
    <w:rsid w:val="00D849A7"/>
    <w:rsid w:val="00D867F3"/>
    <w:rsid w:val="00D86B41"/>
    <w:rsid w:val="00DA41DD"/>
    <w:rsid w:val="00DB5E35"/>
    <w:rsid w:val="00DD1F65"/>
    <w:rsid w:val="00DD6098"/>
    <w:rsid w:val="00DE47C4"/>
    <w:rsid w:val="00DE5C85"/>
    <w:rsid w:val="00E06F54"/>
    <w:rsid w:val="00E14BE4"/>
    <w:rsid w:val="00E162AB"/>
    <w:rsid w:val="00E3626C"/>
    <w:rsid w:val="00E775A1"/>
    <w:rsid w:val="00E83FFC"/>
    <w:rsid w:val="00E91652"/>
    <w:rsid w:val="00EA001C"/>
    <w:rsid w:val="00EB3C5F"/>
    <w:rsid w:val="00EB6E4A"/>
    <w:rsid w:val="00F068C2"/>
    <w:rsid w:val="00F14ABC"/>
    <w:rsid w:val="00F442D3"/>
    <w:rsid w:val="00F65F77"/>
    <w:rsid w:val="00FC1615"/>
    <w:rsid w:val="00FC280C"/>
    <w:rsid w:val="00FC7530"/>
    <w:rsid w:val="00FD0C15"/>
    <w:rsid w:val="00FE2CD6"/>
    <w:rsid w:val="1AE0EE4B"/>
    <w:rsid w:val="3B4B3ACA"/>
    <w:rsid w:val="51555878"/>
    <w:rsid w:val="5197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0EE4B"/>
  <w15:chartTrackingRefBased/>
  <w15:docId w15:val="{12BEA543-92FD-42A0-B680-C5B62F175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801"/>
  </w:style>
  <w:style w:type="paragraph" w:styleId="Footer">
    <w:name w:val="footer"/>
    <w:basedOn w:val="Normal"/>
    <w:link w:val="FooterChar"/>
    <w:uiPriority w:val="99"/>
    <w:unhideWhenUsed/>
    <w:rsid w:val="00A76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801"/>
  </w:style>
  <w:style w:type="paragraph" w:styleId="NoSpacing">
    <w:name w:val="No Spacing"/>
    <w:link w:val="NoSpacingChar"/>
    <w:uiPriority w:val="1"/>
    <w:qFormat/>
    <w:rsid w:val="00A624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24EF"/>
    <w:rPr>
      <w:rFonts w:eastAsiaTheme="minorEastAsia"/>
      <w:lang w:val="en-US"/>
    </w:rPr>
  </w:style>
  <w:style w:type="table" w:styleId="TableGrid">
    <w:name w:val="Table Grid"/>
    <w:basedOn w:val="TableNormal"/>
    <w:uiPriority w:val="39"/>
    <w:rsid w:val="00006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66E6"/>
    <w:rPr>
      <w:color w:val="0563C1" w:themeColor="hyperlink"/>
      <w:u w:val="single"/>
    </w:rPr>
  </w:style>
  <w:style w:type="character" w:styleId="UnresolvedMention">
    <w:name w:val="Unresolved Mention"/>
    <w:basedOn w:val="DefaultParagraphFont"/>
    <w:uiPriority w:val="99"/>
    <w:semiHidden/>
    <w:unhideWhenUsed/>
    <w:rsid w:val="003A6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yconnect"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38870863df8b4acc" Type="http://schemas.microsoft.com/office/2019/09/relationships/intelligence" Target="intelligence.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ab01ec-e3c4-4302-abe5-2aef0d5a170a">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6</Pages>
  <Words>2138</Words>
  <Characters>12189</Characters>
  <Application>Microsoft Office Word</Application>
  <DocSecurity>0</DocSecurity>
  <Lines>101</Lines>
  <Paragraphs>28</Paragraphs>
  <ScaleCrop>false</ScaleCrop>
  <Company/>
  <LinksUpToDate>false</LinksUpToDate>
  <CharactersWithSpaces>14299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dc:title>
  <dc:subject/>
  <dc:creator>STUDENT: Anda Dinicu (2022159)</dc:creator>
  <cp:keywords/>
  <dc:description/>
  <cp:lastModifiedBy>Anda Dinicu</cp:lastModifiedBy>
  <cp:revision>2</cp:revision>
  <dcterms:created xsi:type="dcterms:W3CDTF">2021-08-30T21:29:00Z</dcterms:created>
  <dcterms:modified xsi:type="dcterms:W3CDTF">2021-08-30T21:29:00Z</dcterms:modified>
</cp:coreProperties>
</file>