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C9B8D" w14:textId="77777777" w:rsidR="00671241" w:rsidRDefault="00671241" w:rsidP="00671241">
      <w:pPr>
        <w:jc w:val="center"/>
      </w:pPr>
      <w:r>
        <w:rPr>
          <w:b/>
          <w:bCs/>
          <w:noProof/>
        </w:rPr>
        <w:drawing>
          <wp:inline distT="0" distB="0" distL="0" distR="0" wp14:anchorId="10804B11" wp14:editId="262A3977">
            <wp:extent cx="2987043" cy="1493516"/>
            <wp:effectExtent l="0" t="0" r="3807" b="0"/>
            <wp:docPr id="1275335789" name="Picture 1" descr="A logo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275335789" name="Picture 1" descr="A logo with black text&#10;&#10;AI-generated content may be incorrect."/>
                    <pic:cNvPicPr/>
                  </pic:nvPicPr>
                  <pic:blipFill>
                    <a:blip r:embed="rId4"/>
                    <a:srcRect/>
                    <a:stretch>
                      <a:fillRect/>
                    </a:stretch>
                  </pic:blipFill>
                  <pic:spPr>
                    <a:xfrm>
                      <a:off x="0" y="0"/>
                      <a:ext cx="2987043" cy="1493516"/>
                    </a:xfrm>
                    <a:prstGeom prst="rect">
                      <a:avLst/>
                    </a:prstGeom>
                    <a:noFill/>
                    <a:ln>
                      <a:noFill/>
                      <a:prstDash/>
                    </a:ln>
                  </pic:spPr>
                </pic:pic>
              </a:graphicData>
            </a:graphic>
          </wp:inline>
        </w:drawing>
      </w:r>
    </w:p>
    <w:p w14:paraId="24682041" w14:textId="77777777" w:rsidR="00671241" w:rsidRDefault="00671241" w:rsidP="00671241">
      <w:pPr>
        <w:jc w:val="center"/>
        <w:rPr>
          <w:b/>
          <w:bCs/>
        </w:rPr>
      </w:pPr>
    </w:p>
    <w:p w14:paraId="49AA21A6" w14:textId="77777777" w:rsidR="00671241" w:rsidRDefault="00671241" w:rsidP="00671241">
      <w:pPr>
        <w:jc w:val="center"/>
        <w:rPr>
          <w:b/>
          <w:bCs/>
        </w:rPr>
      </w:pPr>
    </w:p>
    <w:p w14:paraId="1ED9BFF3" w14:textId="77777777" w:rsidR="00671241" w:rsidRDefault="00671241" w:rsidP="00671241">
      <w:pPr>
        <w:jc w:val="center"/>
        <w:rPr>
          <w:b/>
          <w:bCs/>
          <w:sz w:val="40"/>
          <w:szCs w:val="40"/>
        </w:rPr>
      </w:pPr>
      <w:r>
        <w:rPr>
          <w:b/>
          <w:bCs/>
          <w:sz w:val="40"/>
          <w:szCs w:val="40"/>
        </w:rPr>
        <w:t>Assessment 1</w:t>
      </w:r>
    </w:p>
    <w:p w14:paraId="22A598F5" w14:textId="77777777" w:rsidR="00671241" w:rsidRDefault="00671241" w:rsidP="00671241">
      <w:pPr>
        <w:jc w:val="center"/>
        <w:rPr>
          <w:b/>
          <w:bCs/>
          <w:sz w:val="40"/>
          <w:szCs w:val="40"/>
        </w:rPr>
      </w:pPr>
    </w:p>
    <w:p w14:paraId="45E9B403" w14:textId="77777777" w:rsidR="00671241" w:rsidRDefault="00671241" w:rsidP="00671241">
      <w:pPr>
        <w:jc w:val="center"/>
        <w:rPr>
          <w:b/>
          <w:bCs/>
          <w:sz w:val="40"/>
          <w:szCs w:val="40"/>
        </w:rPr>
      </w:pPr>
    </w:p>
    <w:p w14:paraId="31ABBC18" w14:textId="7F8375F9" w:rsidR="00671241" w:rsidRDefault="00671241" w:rsidP="00671241">
      <w:pPr>
        <w:jc w:val="center"/>
      </w:pPr>
      <w:r>
        <w:rPr>
          <w:b/>
          <w:bCs/>
          <w:sz w:val="40"/>
          <w:szCs w:val="40"/>
        </w:rPr>
        <w:t xml:space="preserve">Module </w:t>
      </w:r>
      <w:proofErr w:type="gramStart"/>
      <w:r>
        <w:rPr>
          <w:b/>
          <w:bCs/>
          <w:sz w:val="40"/>
          <w:szCs w:val="40"/>
        </w:rPr>
        <w:t>Name :</w:t>
      </w:r>
      <w:proofErr w:type="gramEnd"/>
      <w:r>
        <w:rPr>
          <w:b/>
          <w:bCs/>
          <w:sz w:val="40"/>
          <w:szCs w:val="40"/>
        </w:rPr>
        <w:t xml:space="preserve"> </w:t>
      </w:r>
      <w:r>
        <w:rPr>
          <w:sz w:val="40"/>
          <w:szCs w:val="40"/>
        </w:rPr>
        <w:t xml:space="preserve"> Marketing Management </w:t>
      </w:r>
    </w:p>
    <w:p w14:paraId="245BB8DE" w14:textId="6BD0C789" w:rsidR="00671241" w:rsidRDefault="00671241" w:rsidP="00671241">
      <w:pPr>
        <w:tabs>
          <w:tab w:val="center" w:pos="4513"/>
          <w:tab w:val="left" w:pos="6300"/>
        </w:tabs>
        <w:jc w:val="left"/>
      </w:pPr>
      <w:r>
        <w:rPr>
          <w:b/>
          <w:bCs/>
          <w:sz w:val="40"/>
          <w:szCs w:val="40"/>
        </w:rPr>
        <w:tab/>
        <w:t xml:space="preserve">Module </w:t>
      </w:r>
      <w:proofErr w:type="gramStart"/>
      <w:r>
        <w:rPr>
          <w:b/>
          <w:bCs/>
          <w:sz w:val="40"/>
          <w:szCs w:val="40"/>
        </w:rPr>
        <w:t>Code :</w:t>
      </w:r>
      <w:proofErr w:type="gramEnd"/>
      <w:r>
        <w:rPr>
          <w:b/>
          <w:bCs/>
          <w:sz w:val="40"/>
          <w:szCs w:val="40"/>
        </w:rPr>
        <w:t xml:space="preserve">  </w:t>
      </w:r>
      <w:r>
        <w:rPr>
          <w:sz w:val="40"/>
          <w:szCs w:val="40"/>
        </w:rPr>
        <w:t>LCMB7024_LON</w:t>
      </w:r>
    </w:p>
    <w:p w14:paraId="6DCFCF73" w14:textId="77777777" w:rsidR="00671241" w:rsidRDefault="00671241" w:rsidP="00671241">
      <w:pPr>
        <w:jc w:val="center"/>
      </w:pPr>
      <w:r>
        <w:rPr>
          <w:b/>
          <w:bCs/>
          <w:sz w:val="40"/>
          <w:szCs w:val="40"/>
        </w:rPr>
        <w:t>Student Name</w:t>
      </w:r>
      <w:r>
        <w:rPr>
          <w:sz w:val="40"/>
          <w:szCs w:val="40"/>
        </w:rPr>
        <w:t>: Kush Jani</w:t>
      </w:r>
    </w:p>
    <w:p w14:paraId="58564E76" w14:textId="77777777" w:rsidR="00671241" w:rsidRDefault="00671241" w:rsidP="00671241">
      <w:pPr>
        <w:jc w:val="center"/>
      </w:pPr>
      <w:r>
        <w:rPr>
          <w:b/>
          <w:bCs/>
          <w:sz w:val="40"/>
          <w:szCs w:val="40"/>
        </w:rPr>
        <w:t xml:space="preserve">Student Number: </w:t>
      </w:r>
      <w:r>
        <w:rPr>
          <w:sz w:val="40"/>
          <w:szCs w:val="40"/>
        </w:rPr>
        <w:t>2504341</w:t>
      </w:r>
    </w:p>
    <w:p w14:paraId="020CDD10" w14:textId="5A833787" w:rsidR="00671241" w:rsidRDefault="00671241" w:rsidP="00671241">
      <w:pPr>
        <w:jc w:val="center"/>
      </w:pPr>
      <w:r>
        <w:rPr>
          <w:b/>
          <w:bCs/>
          <w:sz w:val="40"/>
          <w:szCs w:val="40"/>
        </w:rPr>
        <w:t xml:space="preserve">Lecturer’s Name: </w:t>
      </w:r>
      <w:r>
        <w:rPr>
          <w:sz w:val="40"/>
          <w:szCs w:val="40"/>
        </w:rPr>
        <w:t>Dr Jaya Gopalkrishnan</w:t>
      </w:r>
    </w:p>
    <w:p w14:paraId="42895A45" w14:textId="6645CFBE" w:rsidR="00671241" w:rsidRDefault="00671241" w:rsidP="00671241">
      <w:pPr>
        <w:jc w:val="center"/>
      </w:pPr>
      <w:r>
        <w:rPr>
          <w:b/>
          <w:bCs/>
          <w:sz w:val="40"/>
          <w:szCs w:val="40"/>
        </w:rPr>
        <w:t>Word Count</w:t>
      </w:r>
      <w:r>
        <w:rPr>
          <w:sz w:val="40"/>
          <w:szCs w:val="40"/>
        </w:rPr>
        <w:t>: 2685</w:t>
      </w:r>
    </w:p>
    <w:p w14:paraId="2A58F066" w14:textId="77777777" w:rsidR="00671241" w:rsidRDefault="00671241" w:rsidP="00671241">
      <w:pPr>
        <w:jc w:val="center"/>
        <w:rPr>
          <w:b/>
          <w:bCs/>
          <w:sz w:val="40"/>
          <w:szCs w:val="40"/>
        </w:rPr>
      </w:pPr>
    </w:p>
    <w:p w14:paraId="310B2FAE" w14:textId="77777777" w:rsidR="00671241" w:rsidRDefault="00671241" w:rsidP="00671241">
      <w:pPr>
        <w:jc w:val="center"/>
        <w:rPr>
          <w:b/>
          <w:bCs/>
          <w:sz w:val="40"/>
          <w:szCs w:val="40"/>
        </w:rPr>
      </w:pPr>
      <w:r>
        <w:rPr>
          <w:b/>
          <w:bCs/>
          <w:sz w:val="40"/>
          <w:szCs w:val="40"/>
        </w:rPr>
        <w:t>Term 1</w:t>
      </w:r>
    </w:p>
    <w:p w14:paraId="1530E9A6" w14:textId="77777777" w:rsidR="00671241" w:rsidRDefault="00671241" w:rsidP="00671241">
      <w:pPr>
        <w:rPr>
          <w:b/>
          <w:bCs/>
        </w:rPr>
      </w:pPr>
    </w:p>
    <w:p w14:paraId="0DBFB391" w14:textId="77777777" w:rsidR="00463B02" w:rsidRDefault="00463B02"/>
    <w:p w14:paraId="6536F773" w14:textId="77777777" w:rsidR="00671241" w:rsidRDefault="00671241"/>
    <w:p w14:paraId="46A995E8" w14:textId="77777777" w:rsidR="00671241" w:rsidRDefault="00671241"/>
    <w:p w14:paraId="68E4384F" w14:textId="77777777" w:rsidR="00671241" w:rsidRDefault="00671241"/>
    <w:p w14:paraId="3E1D63AB" w14:textId="77777777" w:rsidR="00671241" w:rsidRDefault="00671241"/>
    <w:p w14:paraId="1D69A758" w14:textId="77777777" w:rsidR="00074463" w:rsidRDefault="00074463"/>
    <w:p w14:paraId="4D1D2C5E" w14:textId="77777777" w:rsidR="00E22D86" w:rsidRPr="00E22D86" w:rsidRDefault="00E22D86" w:rsidP="00E22D86">
      <w:pPr>
        <w:rPr>
          <w:b/>
        </w:rPr>
      </w:pPr>
      <w:r w:rsidRPr="00E22D86">
        <w:rPr>
          <w:b/>
        </w:rPr>
        <w:lastRenderedPageBreak/>
        <w:t>Task 1</w:t>
      </w:r>
    </w:p>
    <w:p w14:paraId="733BE52B" w14:textId="77777777" w:rsidR="00E22D86" w:rsidRPr="00E22D86" w:rsidRDefault="00E22D86" w:rsidP="00E22D86">
      <w:r w:rsidRPr="00E22D86">
        <w:t xml:space="preserve">The macro marketing environment influences the operations of the companies and strategic marketing decisions. The macro environment includes factors like political, economic, technological, social, legal and environmental, which shape the industry structure and the competitive intensity (Gini and Agala, 2023). It is essential to evaluate the ways macro-level shifts the consumer behaviour, innovation pressure, and competitive strategy, where the potential advantages are provided to make an informed decision and support the brand recognition. The Pioneer companies hold a strong position in the market and have advantages like early brand recognition, technological leadership, and many more (Kong </w:t>
      </w:r>
      <w:r w:rsidRPr="00E22D86">
        <w:rPr>
          <w:i/>
          <w:iCs/>
        </w:rPr>
        <w:t>et al.,</w:t>
      </w:r>
      <w:r w:rsidRPr="00E22D86">
        <w:t xml:space="preserve"> 2023). However, they have faced issues like high uncertainty, investment risk and many more. In contrast, the follower companies enter after the pioneers have reduced the uncertainty, and they leverage the technologies and a stable political environment. </w:t>
      </w:r>
    </w:p>
    <w:p w14:paraId="5BD38659" w14:textId="77777777" w:rsidR="00E22D86" w:rsidRPr="00E22D86" w:rsidRDefault="00E22D86" w:rsidP="00E22D86">
      <w:pPr>
        <w:rPr>
          <w:b/>
        </w:rPr>
      </w:pPr>
      <w:r w:rsidRPr="00E22D86">
        <w:rPr>
          <w:b/>
        </w:rPr>
        <w:t xml:space="preserve">1. Political factors </w:t>
      </w:r>
    </w:p>
    <w:p w14:paraId="5CD5FB8B" w14:textId="77777777" w:rsidR="00E22D86" w:rsidRPr="00E22D86" w:rsidRDefault="00E22D86" w:rsidP="00E22D86">
      <w:r w:rsidRPr="00E22D86">
        <w:t xml:space="preserve">These include government policies, political stability, consumer laws, employment rules and trade policies. The chosen industry for this research is the EV (Electric Vehicle) industry, as it helps to explore the complexity associated with the political environment and examine how this force generates opportunities and threats for the pioneers and the followers. </w:t>
      </w:r>
    </w:p>
    <w:p w14:paraId="181FDCF7" w14:textId="77777777" w:rsidR="00E22D86" w:rsidRPr="00E22D86" w:rsidRDefault="00E22D86" w:rsidP="00E22D86">
      <w:r w:rsidRPr="00E22D86">
        <w:t>The government interventions, influence on the performance of the industry, investment decisions and many more. As an early EV manufacturer, Tesla is the pioneer company of this industry that benefited from its EV incentives in the US and Europe. It has a fully developed production system that boosted the demand for EVs and gained the attention of customers. The alignment of Tesla with the emission regulations enables it to monetise the political changes. Regulatory emission credits positively influenced the manufacturing of EVs (</w:t>
      </w:r>
      <w:proofErr w:type="spellStart"/>
      <w:r w:rsidRPr="00E22D86">
        <w:t>Kharpal</w:t>
      </w:r>
      <w:proofErr w:type="spellEnd"/>
      <w:r w:rsidRPr="00E22D86">
        <w:t xml:space="preserve">, 2021). It represented the political opportunity that supported business growth. The subsidies also influence the infrastructure of the EV industry. The government increasingly offered financial support to upgrade the factories and retain the workers. For example, the trades are associated with the pioneer company in terms of political uncertainty and regulatory volatility. </w:t>
      </w:r>
    </w:p>
    <w:p w14:paraId="196C9E90" w14:textId="77777777" w:rsidR="00E22D86" w:rsidRPr="00E22D86" w:rsidRDefault="00E22D86" w:rsidP="00E22D86">
      <w:r w:rsidRPr="00E22D86">
        <w:t xml:space="preserve">Tesla invested in Superchargers and political funding for the public infrastructure, increasing the utilisation of the proprietary network of Tesla. On the other hand, for the followers like Ford and Toyota, they face compliance pressure and penalty risk. Hence, </w:t>
      </w:r>
      <w:r w:rsidRPr="00E22D86">
        <w:lastRenderedPageBreak/>
        <w:t xml:space="preserve">it threatened the market access and also negatively influenced the brand image. The followers need to adjust the supply chain and upgrade the manufacturing to meet the political mandates, which requires financial capabilities that influence the strategic flexibility of the organisation (Yang </w:t>
      </w:r>
      <w:r w:rsidRPr="00E22D86">
        <w:rPr>
          <w:i/>
          <w:iCs/>
        </w:rPr>
        <w:t>et al.,</w:t>
      </w:r>
      <w:r w:rsidRPr="00E22D86">
        <w:t xml:space="preserve"> 2022). As the pioneer, heavily reliant on the supportive policies and highly exposed to political risk. </w:t>
      </w:r>
    </w:p>
    <w:p w14:paraId="770BC1F1" w14:textId="77777777" w:rsidR="00E22D86" w:rsidRPr="00E22D86" w:rsidRDefault="00E22D86" w:rsidP="00E22D86">
      <w:r w:rsidRPr="00E22D86">
        <w:t>Tesla suffered from the great threat exposure as the entire business model is based on EV-based policies. Additionally, Tesla's performance is influenced by the market direction. The political actors can increase scrutiny for industry power battery dominance and even the autonomous driving policies (Hess, 2020). Hence, the regulatory burden can limit the operational freedom of Tesla compared to its followers. Therefore, both pioneers and followers have faced threats in their operations influenced by the political factor. A table is described below by evaluating the threats and opportunities of the Pioneers and followers based on the political factors</w:t>
      </w:r>
    </w:p>
    <w:tbl>
      <w:tblPr>
        <w:tblStyle w:val="TableGrid"/>
        <w:tblW w:w="0" w:type="auto"/>
        <w:tblLook w:val="04A0" w:firstRow="1" w:lastRow="0" w:firstColumn="1" w:lastColumn="0" w:noHBand="0" w:noVBand="1"/>
      </w:tblPr>
      <w:tblGrid>
        <w:gridCol w:w="2425"/>
        <w:gridCol w:w="3150"/>
        <w:gridCol w:w="3441"/>
      </w:tblGrid>
      <w:tr w:rsidR="00E22D86" w:rsidRPr="00E22D86" w14:paraId="77522EC2" w14:textId="77777777">
        <w:tc>
          <w:tcPr>
            <w:tcW w:w="2425" w:type="dxa"/>
            <w:tcBorders>
              <w:top w:val="single" w:sz="4" w:space="0" w:color="auto"/>
              <w:left w:val="single" w:sz="4" w:space="0" w:color="auto"/>
              <w:bottom w:val="single" w:sz="4" w:space="0" w:color="auto"/>
              <w:right w:val="single" w:sz="4" w:space="0" w:color="auto"/>
            </w:tcBorders>
            <w:hideMark/>
          </w:tcPr>
          <w:p w14:paraId="191C2D45" w14:textId="77777777" w:rsidR="00E22D86" w:rsidRPr="00E22D86" w:rsidRDefault="00E22D86" w:rsidP="00E22D86">
            <w:pPr>
              <w:rPr>
                <w:b/>
                <w:bCs/>
              </w:rPr>
            </w:pPr>
            <w:r w:rsidRPr="00E22D86">
              <w:rPr>
                <w:b/>
                <w:bCs/>
              </w:rPr>
              <w:t xml:space="preserve">Factors </w:t>
            </w:r>
          </w:p>
        </w:tc>
        <w:tc>
          <w:tcPr>
            <w:tcW w:w="3150" w:type="dxa"/>
            <w:tcBorders>
              <w:top w:val="single" w:sz="4" w:space="0" w:color="auto"/>
              <w:left w:val="single" w:sz="4" w:space="0" w:color="auto"/>
              <w:bottom w:val="single" w:sz="4" w:space="0" w:color="auto"/>
              <w:right w:val="single" w:sz="4" w:space="0" w:color="auto"/>
            </w:tcBorders>
            <w:hideMark/>
          </w:tcPr>
          <w:p w14:paraId="69016723" w14:textId="77777777" w:rsidR="00E22D86" w:rsidRPr="00E22D86" w:rsidRDefault="00E22D86" w:rsidP="00E22D86">
            <w:pPr>
              <w:rPr>
                <w:b/>
                <w:bCs/>
              </w:rPr>
            </w:pPr>
            <w:r w:rsidRPr="00E22D86">
              <w:rPr>
                <w:b/>
                <w:bCs/>
              </w:rPr>
              <w:t xml:space="preserve">Opportunities </w:t>
            </w:r>
          </w:p>
        </w:tc>
        <w:tc>
          <w:tcPr>
            <w:tcW w:w="3441" w:type="dxa"/>
            <w:tcBorders>
              <w:top w:val="single" w:sz="4" w:space="0" w:color="auto"/>
              <w:left w:val="single" w:sz="4" w:space="0" w:color="auto"/>
              <w:bottom w:val="single" w:sz="4" w:space="0" w:color="auto"/>
              <w:right w:val="single" w:sz="4" w:space="0" w:color="auto"/>
            </w:tcBorders>
            <w:hideMark/>
          </w:tcPr>
          <w:p w14:paraId="75DE96F5" w14:textId="77777777" w:rsidR="00E22D86" w:rsidRPr="00E22D86" w:rsidRDefault="00E22D86" w:rsidP="00E22D86">
            <w:pPr>
              <w:rPr>
                <w:b/>
                <w:bCs/>
              </w:rPr>
            </w:pPr>
            <w:r w:rsidRPr="00E22D86">
              <w:rPr>
                <w:b/>
                <w:bCs/>
              </w:rPr>
              <w:t xml:space="preserve">Threats </w:t>
            </w:r>
          </w:p>
        </w:tc>
      </w:tr>
      <w:tr w:rsidR="00E22D86" w:rsidRPr="00E22D86" w14:paraId="0A22D0B1" w14:textId="77777777">
        <w:tc>
          <w:tcPr>
            <w:tcW w:w="2425" w:type="dxa"/>
            <w:tcBorders>
              <w:top w:val="single" w:sz="4" w:space="0" w:color="auto"/>
              <w:left w:val="single" w:sz="4" w:space="0" w:color="auto"/>
              <w:bottom w:val="single" w:sz="4" w:space="0" w:color="auto"/>
              <w:right w:val="single" w:sz="4" w:space="0" w:color="auto"/>
            </w:tcBorders>
            <w:hideMark/>
          </w:tcPr>
          <w:p w14:paraId="26D8CF20" w14:textId="77777777" w:rsidR="00E22D86" w:rsidRPr="00E22D86" w:rsidRDefault="00E22D86" w:rsidP="00E22D86">
            <w:r w:rsidRPr="00E22D86">
              <w:rPr>
                <w:b/>
                <w:bCs/>
              </w:rPr>
              <w:t xml:space="preserve">Government Rules </w:t>
            </w:r>
          </w:p>
        </w:tc>
        <w:tc>
          <w:tcPr>
            <w:tcW w:w="3150" w:type="dxa"/>
            <w:tcBorders>
              <w:top w:val="single" w:sz="4" w:space="0" w:color="auto"/>
              <w:left w:val="single" w:sz="4" w:space="0" w:color="auto"/>
              <w:bottom w:val="single" w:sz="4" w:space="0" w:color="auto"/>
              <w:right w:val="single" w:sz="4" w:space="0" w:color="auto"/>
            </w:tcBorders>
          </w:tcPr>
          <w:p w14:paraId="668EC1D5" w14:textId="77777777" w:rsidR="00E22D86" w:rsidRPr="00E22D86" w:rsidRDefault="00E22D86" w:rsidP="00E22D86">
            <w:r w:rsidRPr="00E22D86">
              <w:t>Schemes like the US federal EV tax credit help Tesla accelerate its EV adoption (Luman and Zhang, 2025).</w:t>
            </w:r>
          </w:p>
          <w:p w14:paraId="0DAF05F6" w14:textId="77777777" w:rsidR="00E22D86" w:rsidRPr="00E22D86" w:rsidRDefault="00E22D86" w:rsidP="00E22D86"/>
        </w:tc>
        <w:tc>
          <w:tcPr>
            <w:tcW w:w="3441" w:type="dxa"/>
            <w:tcBorders>
              <w:top w:val="single" w:sz="4" w:space="0" w:color="auto"/>
              <w:left w:val="single" w:sz="4" w:space="0" w:color="auto"/>
              <w:bottom w:val="single" w:sz="4" w:space="0" w:color="auto"/>
              <w:right w:val="single" w:sz="4" w:space="0" w:color="auto"/>
            </w:tcBorders>
            <w:hideMark/>
          </w:tcPr>
          <w:p w14:paraId="0E847255" w14:textId="77777777" w:rsidR="00E22D86" w:rsidRPr="00E22D86" w:rsidRDefault="00E22D86" w:rsidP="00E22D86">
            <w:r w:rsidRPr="00E22D86">
              <w:t xml:space="preserve">Strict emission reduction rules of the US government might influence the ICE (“Internal Combustion Engine)-dependent business model of Ford </w:t>
            </w:r>
          </w:p>
        </w:tc>
      </w:tr>
      <w:tr w:rsidR="00E22D86" w:rsidRPr="00E22D86" w14:paraId="1676A965" w14:textId="77777777">
        <w:tc>
          <w:tcPr>
            <w:tcW w:w="2425" w:type="dxa"/>
            <w:tcBorders>
              <w:top w:val="single" w:sz="4" w:space="0" w:color="auto"/>
              <w:left w:val="single" w:sz="4" w:space="0" w:color="auto"/>
              <w:bottom w:val="single" w:sz="4" w:space="0" w:color="auto"/>
              <w:right w:val="single" w:sz="4" w:space="0" w:color="auto"/>
            </w:tcBorders>
            <w:hideMark/>
          </w:tcPr>
          <w:p w14:paraId="74ACD769" w14:textId="77777777" w:rsidR="00E22D86" w:rsidRPr="00E22D86" w:rsidRDefault="00E22D86" w:rsidP="00E22D86">
            <w:r w:rsidRPr="00E22D86">
              <w:rPr>
                <w:b/>
                <w:bCs/>
              </w:rPr>
              <w:t>Competition Laws</w:t>
            </w:r>
          </w:p>
        </w:tc>
        <w:tc>
          <w:tcPr>
            <w:tcW w:w="3150" w:type="dxa"/>
            <w:tcBorders>
              <w:top w:val="single" w:sz="4" w:space="0" w:color="auto"/>
              <w:left w:val="single" w:sz="4" w:space="0" w:color="auto"/>
              <w:bottom w:val="single" w:sz="4" w:space="0" w:color="auto"/>
              <w:right w:val="single" w:sz="4" w:space="0" w:color="auto"/>
            </w:tcBorders>
            <w:hideMark/>
          </w:tcPr>
          <w:p w14:paraId="25D0D16E" w14:textId="77777777" w:rsidR="00E22D86" w:rsidRPr="00E22D86" w:rsidRDefault="00E22D86" w:rsidP="00E22D86">
            <w:r w:rsidRPr="00E22D86">
              <w:t>Strong emission rules in the EU forced Toyota to accelerate the EV transition (European Commission, 2022).</w:t>
            </w:r>
          </w:p>
        </w:tc>
        <w:tc>
          <w:tcPr>
            <w:tcW w:w="3441" w:type="dxa"/>
            <w:tcBorders>
              <w:top w:val="single" w:sz="4" w:space="0" w:color="auto"/>
              <w:left w:val="single" w:sz="4" w:space="0" w:color="auto"/>
              <w:bottom w:val="single" w:sz="4" w:space="0" w:color="auto"/>
              <w:right w:val="single" w:sz="4" w:space="0" w:color="auto"/>
            </w:tcBorders>
            <w:hideMark/>
          </w:tcPr>
          <w:p w14:paraId="56FF2D38" w14:textId="77777777" w:rsidR="00E22D86" w:rsidRPr="00E22D86" w:rsidRDefault="00E22D86" w:rsidP="00E22D86">
            <w:r w:rsidRPr="00E22D86">
              <w:t xml:space="preserve">The failure of Toyota in EVs faced criticism and regulatory pressure due to its slow EV adoption (Jeong </w:t>
            </w:r>
            <w:r w:rsidRPr="00E22D86">
              <w:rPr>
                <w:i/>
                <w:iCs/>
              </w:rPr>
              <w:t>et al.,</w:t>
            </w:r>
            <w:r w:rsidRPr="00E22D86">
              <w:t xml:space="preserve"> 2024). </w:t>
            </w:r>
          </w:p>
        </w:tc>
      </w:tr>
      <w:tr w:rsidR="00E22D86" w:rsidRPr="00E22D86" w14:paraId="5E0613BC" w14:textId="77777777">
        <w:tc>
          <w:tcPr>
            <w:tcW w:w="2425" w:type="dxa"/>
            <w:tcBorders>
              <w:top w:val="single" w:sz="4" w:space="0" w:color="auto"/>
              <w:left w:val="single" w:sz="4" w:space="0" w:color="auto"/>
              <w:bottom w:val="single" w:sz="4" w:space="0" w:color="auto"/>
              <w:right w:val="single" w:sz="4" w:space="0" w:color="auto"/>
            </w:tcBorders>
            <w:hideMark/>
          </w:tcPr>
          <w:p w14:paraId="614D3851" w14:textId="77777777" w:rsidR="00E22D86" w:rsidRPr="00E22D86" w:rsidRDefault="00E22D86" w:rsidP="00E22D86">
            <w:pPr>
              <w:rPr>
                <w:b/>
                <w:bCs/>
              </w:rPr>
            </w:pPr>
            <w:r w:rsidRPr="00E22D86">
              <w:rPr>
                <w:b/>
                <w:bCs/>
              </w:rPr>
              <w:t>Consumer Laws</w:t>
            </w:r>
          </w:p>
        </w:tc>
        <w:tc>
          <w:tcPr>
            <w:tcW w:w="3150" w:type="dxa"/>
            <w:tcBorders>
              <w:top w:val="single" w:sz="4" w:space="0" w:color="auto"/>
              <w:left w:val="single" w:sz="4" w:space="0" w:color="auto"/>
              <w:bottom w:val="single" w:sz="4" w:space="0" w:color="auto"/>
              <w:right w:val="single" w:sz="4" w:space="0" w:color="auto"/>
            </w:tcBorders>
            <w:hideMark/>
          </w:tcPr>
          <w:p w14:paraId="6A767734" w14:textId="77777777" w:rsidR="00E22D86" w:rsidRPr="00E22D86" w:rsidRDefault="00E22D86" w:rsidP="00E22D86">
            <w:r w:rsidRPr="00E22D86">
              <w:t>Safety reputation of Followers like Toyota differentiates itself in the market, which helps to gain the attention of customers</w:t>
            </w:r>
          </w:p>
        </w:tc>
        <w:tc>
          <w:tcPr>
            <w:tcW w:w="3441" w:type="dxa"/>
            <w:tcBorders>
              <w:top w:val="single" w:sz="4" w:space="0" w:color="auto"/>
              <w:left w:val="single" w:sz="4" w:space="0" w:color="auto"/>
              <w:bottom w:val="single" w:sz="4" w:space="0" w:color="auto"/>
              <w:right w:val="single" w:sz="4" w:space="0" w:color="auto"/>
            </w:tcBorders>
            <w:hideMark/>
          </w:tcPr>
          <w:p w14:paraId="5DC808CA" w14:textId="77777777" w:rsidR="00E22D86" w:rsidRPr="00E22D86" w:rsidRDefault="00E22D86" w:rsidP="00E22D86">
            <w:r w:rsidRPr="00E22D86">
              <w:t>Consumer protection policies in the EU under the “Unfair Commercial Practices Directive” create threats for Tesla due to scrutiny of Autopilot claims (</w:t>
            </w:r>
            <w:proofErr w:type="spellStart"/>
            <w:r w:rsidRPr="00E22D86">
              <w:t>Allchorne</w:t>
            </w:r>
            <w:proofErr w:type="spellEnd"/>
            <w:r w:rsidRPr="00E22D86">
              <w:t xml:space="preserve"> and McCabe, 2022)</w:t>
            </w:r>
          </w:p>
        </w:tc>
      </w:tr>
      <w:tr w:rsidR="00E22D86" w:rsidRPr="00E22D86" w14:paraId="7EB4A1DA" w14:textId="77777777">
        <w:tc>
          <w:tcPr>
            <w:tcW w:w="2425" w:type="dxa"/>
            <w:tcBorders>
              <w:top w:val="single" w:sz="4" w:space="0" w:color="auto"/>
              <w:left w:val="single" w:sz="4" w:space="0" w:color="auto"/>
              <w:bottom w:val="single" w:sz="4" w:space="0" w:color="auto"/>
              <w:right w:val="single" w:sz="4" w:space="0" w:color="auto"/>
            </w:tcBorders>
            <w:hideMark/>
          </w:tcPr>
          <w:p w14:paraId="2A2FF1C8" w14:textId="77777777" w:rsidR="00E22D86" w:rsidRPr="00E22D86" w:rsidRDefault="00E22D86" w:rsidP="00E22D86">
            <w:pPr>
              <w:rPr>
                <w:b/>
                <w:bCs/>
              </w:rPr>
            </w:pPr>
            <w:r w:rsidRPr="00E22D86">
              <w:rPr>
                <w:b/>
                <w:bCs/>
              </w:rPr>
              <w:lastRenderedPageBreak/>
              <w:t>Employment rules</w:t>
            </w:r>
          </w:p>
        </w:tc>
        <w:tc>
          <w:tcPr>
            <w:tcW w:w="3150" w:type="dxa"/>
            <w:tcBorders>
              <w:top w:val="single" w:sz="4" w:space="0" w:color="auto"/>
              <w:left w:val="single" w:sz="4" w:space="0" w:color="auto"/>
              <w:bottom w:val="single" w:sz="4" w:space="0" w:color="auto"/>
              <w:right w:val="single" w:sz="4" w:space="0" w:color="auto"/>
            </w:tcBorders>
            <w:hideMark/>
          </w:tcPr>
          <w:p w14:paraId="0C5B615F" w14:textId="77777777" w:rsidR="00E22D86" w:rsidRPr="00E22D86" w:rsidRDefault="00E22D86" w:rsidP="00E22D86">
            <w:r w:rsidRPr="00E22D86">
              <w:t>Focusing on labour wages and workplace safety supports the brand image of Ford</w:t>
            </w:r>
          </w:p>
        </w:tc>
        <w:tc>
          <w:tcPr>
            <w:tcW w:w="3441" w:type="dxa"/>
            <w:tcBorders>
              <w:top w:val="single" w:sz="4" w:space="0" w:color="auto"/>
              <w:left w:val="single" w:sz="4" w:space="0" w:color="auto"/>
              <w:bottom w:val="single" w:sz="4" w:space="0" w:color="auto"/>
              <w:right w:val="single" w:sz="4" w:space="0" w:color="auto"/>
            </w:tcBorders>
            <w:hideMark/>
          </w:tcPr>
          <w:p w14:paraId="28B33994" w14:textId="77777777" w:rsidR="00E22D86" w:rsidRPr="00E22D86" w:rsidRDefault="00E22D86" w:rsidP="00E22D86">
            <w:r w:rsidRPr="00E22D86">
              <w:t xml:space="preserve">Tesla faced scrutiny in Germany over labour conditions raised by IG Metall Union (Reuters, 2024) </w:t>
            </w:r>
          </w:p>
        </w:tc>
      </w:tr>
      <w:tr w:rsidR="00E22D86" w:rsidRPr="00E22D86" w14:paraId="62A19945" w14:textId="77777777">
        <w:tc>
          <w:tcPr>
            <w:tcW w:w="2425" w:type="dxa"/>
            <w:tcBorders>
              <w:top w:val="single" w:sz="4" w:space="0" w:color="auto"/>
              <w:left w:val="single" w:sz="4" w:space="0" w:color="auto"/>
              <w:bottom w:val="single" w:sz="4" w:space="0" w:color="auto"/>
              <w:right w:val="single" w:sz="4" w:space="0" w:color="auto"/>
            </w:tcBorders>
            <w:hideMark/>
          </w:tcPr>
          <w:p w14:paraId="72B22626" w14:textId="77777777" w:rsidR="00E22D86" w:rsidRPr="00E22D86" w:rsidRDefault="00E22D86" w:rsidP="00E22D86">
            <w:r w:rsidRPr="00E22D86">
              <w:rPr>
                <w:b/>
                <w:bCs/>
              </w:rPr>
              <w:t xml:space="preserve">Trade Policies </w:t>
            </w:r>
          </w:p>
        </w:tc>
        <w:tc>
          <w:tcPr>
            <w:tcW w:w="3150" w:type="dxa"/>
            <w:tcBorders>
              <w:top w:val="single" w:sz="4" w:space="0" w:color="auto"/>
              <w:left w:val="single" w:sz="4" w:space="0" w:color="auto"/>
              <w:bottom w:val="single" w:sz="4" w:space="0" w:color="auto"/>
              <w:right w:val="single" w:sz="4" w:space="0" w:color="auto"/>
            </w:tcBorders>
            <w:hideMark/>
          </w:tcPr>
          <w:p w14:paraId="376E66AF" w14:textId="77777777" w:rsidR="00E22D86" w:rsidRPr="00E22D86" w:rsidRDefault="00E22D86" w:rsidP="00E22D86">
            <w:r w:rsidRPr="00E22D86">
              <w:t xml:space="preserve">The EV plant investment of Ford in Michigan was significantly supported by the federal incentives (Shepardson, 2025). </w:t>
            </w:r>
          </w:p>
        </w:tc>
        <w:tc>
          <w:tcPr>
            <w:tcW w:w="3441" w:type="dxa"/>
            <w:tcBorders>
              <w:top w:val="single" w:sz="4" w:space="0" w:color="auto"/>
              <w:left w:val="single" w:sz="4" w:space="0" w:color="auto"/>
              <w:bottom w:val="single" w:sz="4" w:space="0" w:color="auto"/>
              <w:right w:val="single" w:sz="4" w:space="0" w:color="auto"/>
            </w:tcBorders>
            <w:hideMark/>
          </w:tcPr>
          <w:p w14:paraId="21660A30" w14:textId="77777777" w:rsidR="00E22D86" w:rsidRPr="00E22D86" w:rsidRDefault="00E22D86" w:rsidP="00E22D86">
            <w:r w:rsidRPr="00E22D86">
              <w:t xml:space="preserve">Changes in the EV subsidies in China can disproportionately influence the sales of Tesla (Liu and Wang, 2021). </w:t>
            </w:r>
          </w:p>
        </w:tc>
      </w:tr>
      <w:tr w:rsidR="00E22D86" w:rsidRPr="00E22D86" w14:paraId="0F708F80" w14:textId="77777777">
        <w:tc>
          <w:tcPr>
            <w:tcW w:w="2425" w:type="dxa"/>
            <w:tcBorders>
              <w:top w:val="single" w:sz="4" w:space="0" w:color="auto"/>
              <w:left w:val="single" w:sz="4" w:space="0" w:color="auto"/>
              <w:bottom w:val="single" w:sz="4" w:space="0" w:color="auto"/>
              <w:right w:val="single" w:sz="4" w:space="0" w:color="auto"/>
            </w:tcBorders>
            <w:hideMark/>
          </w:tcPr>
          <w:p w14:paraId="6C81D0FE" w14:textId="77777777" w:rsidR="00E22D86" w:rsidRPr="00E22D86" w:rsidRDefault="00E22D86" w:rsidP="00E22D86">
            <w:r w:rsidRPr="00E22D86">
              <w:rPr>
                <w:b/>
                <w:bCs/>
              </w:rPr>
              <w:t>Political Stability</w:t>
            </w:r>
          </w:p>
        </w:tc>
        <w:tc>
          <w:tcPr>
            <w:tcW w:w="3150" w:type="dxa"/>
            <w:tcBorders>
              <w:top w:val="single" w:sz="4" w:space="0" w:color="auto"/>
              <w:left w:val="single" w:sz="4" w:space="0" w:color="auto"/>
              <w:bottom w:val="single" w:sz="4" w:space="0" w:color="auto"/>
              <w:right w:val="single" w:sz="4" w:space="0" w:color="auto"/>
            </w:tcBorders>
          </w:tcPr>
          <w:p w14:paraId="4B3B93D0" w14:textId="77777777" w:rsidR="00E22D86" w:rsidRPr="00E22D86" w:rsidRDefault="00E22D86" w:rsidP="00E22D86">
            <w:r w:rsidRPr="00E22D86">
              <w:t>The political stability in the US enables the pioneers like Tesla to manage its business operations.</w:t>
            </w:r>
          </w:p>
          <w:p w14:paraId="47A26FFF" w14:textId="77777777" w:rsidR="00E22D86" w:rsidRPr="00E22D86" w:rsidRDefault="00E22D86" w:rsidP="00E22D86"/>
        </w:tc>
        <w:tc>
          <w:tcPr>
            <w:tcW w:w="3441" w:type="dxa"/>
            <w:tcBorders>
              <w:top w:val="single" w:sz="4" w:space="0" w:color="auto"/>
              <w:left w:val="single" w:sz="4" w:space="0" w:color="auto"/>
              <w:bottom w:val="single" w:sz="4" w:space="0" w:color="auto"/>
              <w:right w:val="single" w:sz="4" w:space="0" w:color="auto"/>
            </w:tcBorders>
            <w:hideMark/>
          </w:tcPr>
          <w:p w14:paraId="3DAF76E2" w14:textId="77777777" w:rsidR="00E22D86" w:rsidRPr="00E22D86" w:rsidRDefault="00E22D86" w:rsidP="00E22D86">
            <w:r w:rsidRPr="00E22D86">
              <w:t>Sudden policy reversals can negatively influence the performance of followers</w:t>
            </w:r>
          </w:p>
        </w:tc>
      </w:tr>
    </w:tbl>
    <w:p w14:paraId="6C3DDB58" w14:textId="77777777" w:rsidR="00E22D86" w:rsidRPr="00E22D86" w:rsidRDefault="00E22D86" w:rsidP="00E22D86"/>
    <w:p w14:paraId="1C14A181" w14:textId="77777777" w:rsidR="00E22D86" w:rsidRPr="00E22D86" w:rsidRDefault="00E22D86" w:rsidP="00E22D86">
      <w:pPr>
        <w:rPr>
          <w:i/>
          <w:iCs/>
          <w:u w:val="single"/>
        </w:rPr>
      </w:pPr>
      <w:r w:rsidRPr="00E22D86">
        <w:rPr>
          <w:i/>
          <w:iCs/>
          <w:u w:val="single"/>
        </w:rPr>
        <w:t xml:space="preserve">Technological actor </w:t>
      </w:r>
    </w:p>
    <w:p w14:paraId="5E847FF1" w14:textId="77777777" w:rsidR="00E22D86" w:rsidRPr="00E22D86" w:rsidRDefault="00E22D86" w:rsidP="00E22D86">
      <w:r w:rsidRPr="00E22D86">
        <w:t xml:space="preserve">It is one of the backbones of the competitiveness and operation of the organisations. Software integration, autonomous driving systems, and digital manufacturing are some major technological factors. The early investment of Tesla in lithium-ion batteries and Gigafactories provide a substantial technological advantage (Cooke, 2020). Hence, the leadership in innovation has created opportunities for Tesla to make a strong position in the market. It built the economies in battery production and allowed the cost reduction.  </w:t>
      </w:r>
    </w:p>
    <w:p w14:paraId="1C2D3597" w14:textId="77777777" w:rsidR="00E22D86" w:rsidRPr="00E22D86" w:rsidRDefault="00E22D86" w:rsidP="00E22D86">
      <w:r w:rsidRPr="00E22D86">
        <w:t xml:space="preserve">AI-driven Autopilot provide advantages to Tesla for gaining customer attention. On the other hand, automated gigafactories reduce the labour costs even increase scalability. Whereas the AI strategy of Toyota emphasises the safety-first autonomy and also prioritises reliability. Hence, it enhanced the driving experience of the customers. 5G enables the performance of the EV industry by improving autonomous driving. It is seen that Tesla has already embedded 5G-ready hardware in new vehicles. This technological ecosystem has contributed to the success of the pioneer by delivering higher customer value. Its leadership, knowledge financial resources make Tesla a strong position in the market. The simplified manufacturing process enhances the growth of the EV industry (Yang </w:t>
      </w:r>
      <w:r w:rsidRPr="00E22D86">
        <w:rPr>
          <w:i/>
          <w:iCs/>
        </w:rPr>
        <w:t>et al.,</w:t>
      </w:r>
      <w:r w:rsidRPr="00E22D86">
        <w:t xml:space="preserve"> 2022). Furthermore, over-the-air (OTA) updates </w:t>
      </w:r>
      <w:r w:rsidRPr="00E22D86">
        <w:lastRenderedPageBreak/>
        <w:t xml:space="preserve">of Tesla allow defence against cyber threats. AI-based autonomous driving systems help the pioneer to strengthen its continuous product development (Tesla, 2025). Therefore, these create potential opportunities for Tesla to improve overall efficiency. </w:t>
      </w:r>
    </w:p>
    <w:p w14:paraId="0D6DB10F" w14:textId="77777777" w:rsidR="00E22D86" w:rsidRPr="00E22D86" w:rsidRDefault="00E22D86" w:rsidP="00E22D86">
      <w:r w:rsidRPr="00E22D86">
        <w:t xml:space="preserve">Some threats are also associated, like the threat of erosion of early advantages. For example, the Toyota Solid State Battery Progress challenged the lithium-ion strategy by representing greater energy density and faster charging (Shukla </w:t>
      </w:r>
      <w:r w:rsidRPr="00E22D86">
        <w:rPr>
          <w:i/>
          <w:iCs/>
        </w:rPr>
        <w:t>et al.,</w:t>
      </w:r>
      <w:r w:rsidRPr="00E22D86">
        <w:t xml:space="preserve"> 2025).  Whereas opportunities are also associated with the followers, like the ability to imitate the mature technologies. For example, the Mach-E of Ford leverages learning from Tesla’s model and it helps to improve the technology, which is essential to deliver better services to customers (Wayland, 2023). Additionally, the followers build alliances for the late entry, like Ford partnering with Volkswagen for the MEB platform (Grob, 2022). The Toyota, on the other hand, partners with Panasonic for batteries (Reuters, 2024). Therefore, this collaboration has created potential advantages to reduce the innovation cost. </w:t>
      </w:r>
    </w:p>
    <w:p w14:paraId="442E3FB3" w14:textId="77777777" w:rsidR="00E22D86" w:rsidRPr="00E22D86" w:rsidRDefault="00E22D86" w:rsidP="00E22D86">
      <w:r w:rsidRPr="00E22D86">
        <w:t xml:space="preserve">Threats are also associated with the technological factors for the follower's company. For example, the followers lack expertise that might cause their slower market adaptation. The hybrid legacy of Toyota has become a technological barrier to the EV commitment, and it is unable to gain the attention of customers who are highly reliant on Tesla EVs. As a result, the followers faced high competition from The Pioneers and even a high cost to build the new technology and software expertise.  </w:t>
      </w:r>
    </w:p>
    <w:p w14:paraId="3D4E9928" w14:textId="77777777" w:rsidR="00E22D86" w:rsidRPr="00E22D86" w:rsidRDefault="00E22D86" w:rsidP="00E22D86">
      <w:pPr>
        <w:rPr>
          <w:b/>
        </w:rPr>
      </w:pPr>
      <w:r w:rsidRPr="00E22D86">
        <w:rPr>
          <w:b/>
        </w:rPr>
        <w:t>Task 2</w:t>
      </w:r>
    </w:p>
    <w:p w14:paraId="0B56794A" w14:textId="77777777" w:rsidR="00E22D86" w:rsidRPr="00E22D86" w:rsidRDefault="00E22D86" w:rsidP="00E22D86">
      <w:r w:rsidRPr="00E22D86">
        <w:t xml:space="preserve">In the EV industry, political and technological factors can dominate the marketing decision and affect product innovation. Using the Ansoff Matrix and the 7Ps of marketing mix can help to explore the strategies used by the industry to respond to these issues. Strategic responses to macro environmental factors significantly vary between the followers and the Pioneers companies. This mainly includes differences in market positioning, technological capabilities, and many other factors. This section has provided wider insight into how the pioneers and the followers respond to the political and technological pressure by using the appropriate frameworks, which are described below </w:t>
      </w:r>
    </w:p>
    <w:p w14:paraId="0F77B2A0" w14:textId="77777777" w:rsidR="00E22D86" w:rsidRPr="00E22D86" w:rsidRDefault="00E22D86" w:rsidP="00E22D86">
      <w:pPr>
        <w:rPr>
          <w:i/>
          <w:iCs/>
          <w:u w:val="single"/>
        </w:rPr>
      </w:pPr>
      <w:r w:rsidRPr="00E22D86">
        <w:rPr>
          <w:i/>
          <w:iCs/>
          <w:u w:val="single"/>
        </w:rPr>
        <w:t>Ansoff Matrix</w:t>
      </w:r>
    </w:p>
    <w:p w14:paraId="7E0C5413" w14:textId="77777777" w:rsidR="00E22D86" w:rsidRPr="00E22D86" w:rsidRDefault="00E22D86" w:rsidP="00E22D86">
      <w:r w:rsidRPr="00E22D86">
        <w:t xml:space="preserve">This framework provides a structured way to formulate growth strategies in response to changing business conditions. Each strategy offers a systematic way to maintain </w:t>
      </w:r>
      <w:r w:rsidRPr="00E22D86">
        <w:lastRenderedPageBreak/>
        <w:t>competitiveness in the market (</w:t>
      </w:r>
      <w:proofErr w:type="spellStart"/>
      <w:r w:rsidRPr="00E22D86">
        <w:t>Hortega</w:t>
      </w:r>
      <w:proofErr w:type="spellEnd"/>
      <w:r w:rsidRPr="00E22D86">
        <w:t xml:space="preserve"> </w:t>
      </w:r>
      <w:r w:rsidRPr="00E22D86">
        <w:rPr>
          <w:i/>
          <w:iCs/>
        </w:rPr>
        <w:t xml:space="preserve">et al., </w:t>
      </w:r>
      <w:r w:rsidRPr="00E22D86">
        <w:t>2025). The strategic responses are developed for both Pioneers and followers, as described below</w:t>
      </w:r>
    </w:p>
    <w:p w14:paraId="3A0266B2" w14:textId="5F1B869A" w:rsidR="00E22D86" w:rsidRPr="00E22D86" w:rsidRDefault="00E22D86" w:rsidP="00E22D86">
      <w:r w:rsidRPr="00E22D86">
        <w:drawing>
          <wp:inline distT="0" distB="0" distL="0" distR="0" wp14:anchorId="47777701" wp14:editId="7B4F0EB0">
            <wp:extent cx="5234940" cy="3710940"/>
            <wp:effectExtent l="0" t="0" r="3810" b="3810"/>
            <wp:docPr id="1194289195" name="Picture 2" descr="A screenshot of a product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289195" name="Picture 2" descr="A screenshot of a product developmen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4940" cy="3710940"/>
                    </a:xfrm>
                    <a:prstGeom prst="rect">
                      <a:avLst/>
                    </a:prstGeom>
                    <a:noFill/>
                    <a:ln>
                      <a:noFill/>
                    </a:ln>
                  </pic:spPr>
                </pic:pic>
              </a:graphicData>
            </a:graphic>
          </wp:inline>
        </w:drawing>
      </w:r>
    </w:p>
    <w:p w14:paraId="092A9601" w14:textId="77777777" w:rsidR="00E22D86" w:rsidRPr="00E22D86" w:rsidRDefault="00E22D86" w:rsidP="00E22D86">
      <w:pPr>
        <w:rPr>
          <w:b/>
          <w:bCs/>
        </w:rPr>
      </w:pPr>
      <w:r w:rsidRPr="00E22D86">
        <w:rPr>
          <w:b/>
          <w:bCs/>
        </w:rPr>
        <w:t>Figure 1: Ansoff Matrix</w:t>
      </w:r>
    </w:p>
    <w:p w14:paraId="41C967F3" w14:textId="77777777" w:rsidR="00E22D86" w:rsidRPr="00E22D86" w:rsidRDefault="00E22D86" w:rsidP="00E22D86">
      <w:r w:rsidRPr="00E22D86">
        <w:t>Source: (</w:t>
      </w:r>
      <w:proofErr w:type="spellStart"/>
      <w:r w:rsidRPr="00E22D86">
        <w:t>Peterdy</w:t>
      </w:r>
      <w:proofErr w:type="spellEnd"/>
      <w:r w:rsidRPr="00E22D86">
        <w:t>, 2025)</w:t>
      </w:r>
    </w:p>
    <w:p w14:paraId="66A5A8F8" w14:textId="77777777" w:rsidR="00E22D86" w:rsidRPr="00E22D86" w:rsidRDefault="00E22D86" w:rsidP="00E22D86">
      <w:pPr>
        <w:rPr>
          <w:i/>
          <w:iCs/>
          <w:u w:val="single"/>
        </w:rPr>
      </w:pPr>
      <w:r w:rsidRPr="00E22D86">
        <w:rPr>
          <w:i/>
          <w:iCs/>
          <w:u w:val="single"/>
        </w:rPr>
        <w:t xml:space="preserve">Strategic Responses of Pioneer </w:t>
      </w:r>
    </w:p>
    <w:p w14:paraId="7C502E2C" w14:textId="77777777" w:rsidR="00E22D86" w:rsidRPr="00E22D86" w:rsidRDefault="00E22D86" w:rsidP="00E22D86">
      <w:r w:rsidRPr="00E22D86">
        <w:t xml:space="preserve">Based on the analysis, it is identified that Tesla faced threats in labour regulations and changes in trade policies. The company has an opportunity to increase penetration in the current market by lowering costs through automation. Lowering costs through localised gigafactories and automation might help the company to hold a large share. Also, using the digital system can help make connections with the customers and identify their needs, which can positively influence its performance in the existing market. For example, the real-time digital ordering system of Tesla enhances supply chain efficiency and makes direct connections with the customers (Tesla, 2023). The market development strategy can also counter threats from tariff fluctuations by expanding manufacturing in Southeast Asia and establishing regional gigafactories. </w:t>
      </w:r>
    </w:p>
    <w:p w14:paraId="2B084665" w14:textId="77777777" w:rsidR="00E22D86" w:rsidRPr="00E22D86" w:rsidRDefault="00E22D86" w:rsidP="00E22D86">
      <w:r w:rsidRPr="00E22D86">
        <w:t xml:space="preserve">Diversification opportunities are based on developing solar energy systems and autonomous mobility services, which can support diversification of its product portfolio. The focus on Tesla's Gigafactories might reduce transportation emissions and even support the circular manufacturing systems. Hence, diversification strategy of Tesla </w:t>
      </w:r>
      <w:r w:rsidRPr="00E22D86">
        <w:lastRenderedPageBreak/>
        <w:t xml:space="preserve">will integrate sustainability into its core value proposition. This strategy will help to get the advantages from the environmental the political responses and also ensure it strengthens its technological capabilities. </w:t>
      </w:r>
    </w:p>
    <w:p w14:paraId="778166A2" w14:textId="77777777" w:rsidR="00E22D86" w:rsidRPr="00E22D86" w:rsidRDefault="00E22D86" w:rsidP="00E22D86">
      <w:r w:rsidRPr="00E22D86">
        <w:t xml:space="preserve">However, the most suitable strategy for Tesla is product development, where it is uniquely positioned to improve battery functions and AI-based predictive maintenance (Lang </w:t>
      </w:r>
      <w:r w:rsidRPr="00E22D86">
        <w:rPr>
          <w:i/>
          <w:iCs/>
        </w:rPr>
        <w:t>et al.,</w:t>
      </w:r>
      <w:r w:rsidRPr="00E22D86">
        <w:t xml:space="preserve"> 2021). The technological environment favours the growth of Tesla, and also using the advanced safety feature can address its risks around consumer protection. Tesla mainly operates as a technology pioneer, and its product development strategy will support its growth through continuous innovation. Product development strategy based on brand philosophy, and the strategy extends beyond zero-emission vehicles. It focused on the vertically integrated clean energy ecosystem, including battery recycling, solar technology and even energy storage solutions (Naor </w:t>
      </w:r>
      <w:r w:rsidRPr="00E22D86">
        <w:rPr>
          <w:i/>
          <w:iCs/>
        </w:rPr>
        <w:t>et al.,</w:t>
      </w:r>
      <w:r w:rsidRPr="00E22D86">
        <w:t xml:space="preserve"> 2021). This integration can help the product dimension and also provide long-term environmental stewardship. </w:t>
      </w:r>
    </w:p>
    <w:p w14:paraId="3A4B3BCE" w14:textId="77777777" w:rsidR="00E22D86" w:rsidRPr="00E22D86" w:rsidRDefault="00E22D86" w:rsidP="00E22D86">
      <w:pPr>
        <w:rPr>
          <w:i/>
          <w:iCs/>
          <w:u w:val="single"/>
        </w:rPr>
      </w:pPr>
      <w:r w:rsidRPr="00E22D86">
        <w:rPr>
          <w:i/>
          <w:iCs/>
          <w:u w:val="single"/>
        </w:rPr>
        <w:t xml:space="preserve">Strategic Responses of Followers </w:t>
      </w:r>
    </w:p>
    <w:p w14:paraId="7342177D" w14:textId="77777777" w:rsidR="00E22D86" w:rsidRPr="00E22D86" w:rsidRDefault="00E22D86" w:rsidP="00E22D86">
      <w:r w:rsidRPr="00E22D86">
        <w:t>Ford and Toyota face technical and political issues in terms of slower adoption of EVs, strict emission reduction laws and many more. The market penetration strategy leverages the brand familiarity and also promotes EV transition pathways. This is a suitable strategy where the followers can focus on setting the competitive prices to attract customers. Whereas, the product development strategy in terms of investing in EV technologies, such as safer AI-based driver assistance systems, and cybersecurity-enhanced architecture, can align with the business growth (</w:t>
      </w:r>
      <w:proofErr w:type="spellStart"/>
      <w:r w:rsidRPr="00E22D86">
        <w:t>Nezhadkian</w:t>
      </w:r>
      <w:proofErr w:type="spellEnd"/>
      <w:r w:rsidRPr="00E22D86">
        <w:t xml:space="preserve"> and Zhou, 2024). For instance, the strategy of Ford is based on differentiating itself by stating a low-carbon future to protect the consumer segment. The company positions itself within a broader transition narrative like the F-150 Lightning that emphasises responsible reduction of emissions, innovation and partnership for ethical battery sourcing (Ford, 2021). Along with that, producing more affordable models can align with customers’ expectations, which can enhance brand growth. </w:t>
      </w:r>
    </w:p>
    <w:p w14:paraId="498C0574" w14:textId="77777777" w:rsidR="00E22D86" w:rsidRPr="00E22D86" w:rsidRDefault="00E22D86" w:rsidP="00E22D86">
      <w:r w:rsidRPr="00E22D86">
        <w:t xml:space="preserve">Ford and Toyota can also expand into markets with strong EV incentives, which can expand the business. The diversification strategy is heavily based on investing in hydrogen fuel cell technology. For example, the strategy of Toyota highlights the hydrogen fuel innovation and hybrid leadership (Toyota, 2024). It can ensure credibility with the production, and this will integrate with the sustainability process, like green manufacturing and sustainable engineering, which can show the technological </w:t>
      </w:r>
      <w:r w:rsidRPr="00E22D86">
        <w:lastRenderedPageBreak/>
        <w:t xml:space="preserve">advancements in energy storage. However, market penetration and product development strategies are suitable for followers to enhance their operations in terms of leveraging the existing brand image, and at the same time, enhance the EV technology. As a result, it will reduce strategic risk and strengthen competitiveness in the market. </w:t>
      </w:r>
    </w:p>
    <w:tbl>
      <w:tblPr>
        <w:tblStyle w:val="TableGrid"/>
        <w:tblW w:w="0" w:type="auto"/>
        <w:tblLook w:val="04A0" w:firstRow="1" w:lastRow="0" w:firstColumn="1" w:lastColumn="0" w:noHBand="0" w:noVBand="1"/>
      </w:tblPr>
      <w:tblGrid>
        <w:gridCol w:w="3005"/>
        <w:gridCol w:w="3005"/>
        <w:gridCol w:w="3006"/>
      </w:tblGrid>
      <w:tr w:rsidR="00E22D86" w:rsidRPr="00E22D86" w14:paraId="7BA3E8C7" w14:textId="77777777">
        <w:tc>
          <w:tcPr>
            <w:tcW w:w="3005" w:type="dxa"/>
            <w:tcBorders>
              <w:top w:val="single" w:sz="4" w:space="0" w:color="auto"/>
              <w:left w:val="single" w:sz="4" w:space="0" w:color="auto"/>
              <w:bottom w:val="single" w:sz="4" w:space="0" w:color="auto"/>
              <w:right w:val="single" w:sz="4" w:space="0" w:color="auto"/>
            </w:tcBorders>
            <w:hideMark/>
          </w:tcPr>
          <w:p w14:paraId="1BBA147A" w14:textId="77777777" w:rsidR="00E22D86" w:rsidRPr="00E22D86" w:rsidRDefault="00E22D86" w:rsidP="00E22D86">
            <w:pPr>
              <w:rPr>
                <w:b/>
                <w:bCs/>
              </w:rPr>
            </w:pPr>
            <w:r w:rsidRPr="00E22D86">
              <w:rPr>
                <w:b/>
                <w:bCs/>
              </w:rPr>
              <w:t xml:space="preserve">Organisations </w:t>
            </w:r>
          </w:p>
        </w:tc>
        <w:tc>
          <w:tcPr>
            <w:tcW w:w="3005" w:type="dxa"/>
            <w:tcBorders>
              <w:top w:val="single" w:sz="4" w:space="0" w:color="auto"/>
              <w:left w:val="single" w:sz="4" w:space="0" w:color="auto"/>
              <w:bottom w:val="single" w:sz="4" w:space="0" w:color="auto"/>
              <w:right w:val="single" w:sz="4" w:space="0" w:color="auto"/>
            </w:tcBorders>
            <w:hideMark/>
          </w:tcPr>
          <w:p w14:paraId="4CB03DEC" w14:textId="77777777" w:rsidR="00E22D86" w:rsidRPr="00E22D86" w:rsidRDefault="00E22D86" w:rsidP="00E22D86">
            <w:pPr>
              <w:rPr>
                <w:b/>
                <w:bCs/>
              </w:rPr>
            </w:pPr>
            <w:r w:rsidRPr="00E22D86">
              <w:rPr>
                <w:b/>
                <w:bCs/>
              </w:rPr>
              <w:t xml:space="preserve">Appropriate Ansoff Strategy </w:t>
            </w:r>
          </w:p>
        </w:tc>
        <w:tc>
          <w:tcPr>
            <w:tcW w:w="3006" w:type="dxa"/>
            <w:tcBorders>
              <w:top w:val="single" w:sz="4" w:space="0" w:color="auto"/>
              <w:left w:val="single" w:sz="4" w:space="0" w:color="auto"/>
              <w:bottom w:val="single" w:sz="4" w:space="0" w:color="auto"/>
              <w:right w:val="single" w:sz="4" w:space="0" w:color="auto"/>
            </w:tcBorders>
            <w:hideMark/>
          </w:tcPr>
          <w:p w14:paraId="20446A04" w14:textId="77777777" w:rsidR="00E22D86" w:rsidRPr="00E22D86" w:rsidRDefault="00E22D86" w:rsidP="00E22D86">
            <w:pPr>
              <w:rPr>
                <w:b/>
                <w:bCs/>
              </w:rPr>
            </w:pPr>
            <w:r w:rsidRPr="00E22D86">
              <w:rPr>
                <w:b/>
                <w:bCs/>
              </w:rPr>
              <w:t xml:space="preserve">Rationale </w:t>
            </w:r>
          </w:p>
        </w:tc>
      </w:tr>
      <w:tr w:rsidR="00E22D86" w:rsidRPr="00E22D86" w14:paraId="7B1AA958" w14:textId="77777777">
        <w:tc>
          <w:tcPr>
            <w:tcW w:w="3005" w:type="dxa"/>
            <w:tcBorders>
              <w:top w:val="single" w:sz="4" w:space="0" w:color="auto"/>
              <w:left w:val="single" w:sz="4" w:space="0" w:color="auto"/>
              <w:bottom w:val="single" w:sz="4" w:space="0" w:color="auto"/>
              <w:right w:val="single" w:sz="4" w:space="0" w:color="auto"/>
            </w:tcBorders>
            <w:hideMark/>
          </w:tcPr>
          <w:p w14:paraId="5A260584" w14:textId="77777777" w:rsidR="00E22D86" w:rsidRPr="00E22D86" w:rsidRDefault="00E22D86" w:rsidP="00E22D86">
            <w:r w:rsidRPr="00E22D86">
              <w:t>Pioneer (Tesla)</w:t>
            </w:r>
          </w:p>
        </w:tc>
        <w:tc>
          <w:tcPr>
            <w:tcW w:w="3005" w:type="dxa"/>
            <w:tcBorders>
              <w:top w:val="single" w:sz="4" w:space="0" w:color="auto"/>
              <w:left w:val="single" w:sz="4" w:space="0" w:color="auto"/>
              <w:bottom w:val="single" w:sz="4" w:space="0" w:color="auto"/>
              <w:right w:val="single" w:sz="4" w:space="0" w:color="auto"/>
            </w:tcBorders>
            <w:hideMark/>
          </w:tcPr>
          <w:p w14:paraId="7FAE7017" w14:textId="77777777" w:rsidR="00E22D86" w:rsidRPr="00E22D86" w:rsidRDefault="00E22D86" w:rsidP="00E22D86">
            <w:r w:rsidRPr="00E22D86">
              <w:t xml:space="preserve">Product Development </w:t>
            </w:r>
          </w:p>
        </w:tc>
        <w:tc>
          <w:tcPr>
            <w:tcW w:w="3006" w:type="dxa"/>
            <w:tcBorders>
              <w:top w:val="single" w:sz="4" w:space="0" w:color="auto"/>
              <w:left w:val="single" w:sz="4" w:space="0" w:color="auto"/>
              <w:bottom w:val="single" w:sz="4" w:space="0" w:color="auto"/>
              <w:right w:val="single" w:sz="4" w:space="0" w:color="auto"/>
            </w:tcBorders>
            <w:hideMark/>
          </w:tcPr>
          <w:p w14:paraId="620F2C12" w14:textId="77777777" w:rsidR="00E22D86" w:rsidRPr="00E22D86" w:rsidRDefault="00E22D86" w:rsidP="00E22D86">
            <w:r w:rsidRPr="00E22D86">
              <w:t>Leverage AI leadership and ability to scale the innovative models</w:t>
            </w:r>
          </w:p>
        </w:tc>
      </w:tr>
      <w:tr w:rsidR="00E22D86" w:rsidRPr="00E22D86" w14:paraId="637BAB07" w14:textId="77777777">
        <w:tc>
          <w:tcPr>
            <w:tcW w:w="3005" w:type="dxa"/>
            <w:tcBorders>
              <w:top w:val="single" w:sz="4" w:space="0" w:color="auto"/>
              <w:left w:val="single" w:sz="4" w:space="0" w:color="auto"/>
              <w:bottom w:val="single" w:sz="4" w:space="0" w:color="auto"/>
              <w:right w:val="single" w:sz="4" w:space="0" w:color="auto"/>
            </w:tcBorders>
            <w:hideMark/>
          </w:tcPr>
          <w:p w14:paraId="48DF8A02" w14:textId="77777777" w:rsidR="00E22D86" w:rsidRPr="00E22D86" w:rsidRDefault="00E22D86" w:rsidP="00E22D86">
            <w:r w:rsidRPr="00E22D86">
              <w:t>Followers (Toyota and Ford)</w:t>
            </w:r>
          </w:p>
        </w:tc>
        <w:tc>
          <w:tcPr>
            <w:tcW w:w="3005" w:type="dxa"/>
            <w:tcBorders>
              <w:top w:val="single" w:sz="4" w:space="0" w:color="auto"/>
              <w:left w:val="single" w:sz="4" w:space="0" w:color="auto"/>
              <w:bottom w:val="single" w:sz="4" w:space="0" w:color="auto"/>
              <w:right w:val="single" w:sz="4" w:space="0" w:color="auto"/>
            </w:tcBorders>
            <w:hideMark/>
          </w:tcPr>
          <w:p w14:paraId="42BE3E13" w14:textId="77777777" w:rsidR="00E22D86" w:rsidRPr="00E22D86" w:rsidRDefault="00E22D86" w:rsidP="00E22D86">
            <w:r w:rsidRPr="00E22D86">
              <w:t xml:space="preserve">Market Penetration and Product Development </w:t>
            </w:r>
          </w:p>
        </w:tc>
        <w:tc>
          <w:tcPr>
            <w:tcW w:w="3006" w:type="dxa"/>
            <w:tcBorders>
              <w:top w:val="single" w:sz="4" w:space="0" w:color="auto"/>
              <w:left w:val="single" w:sz="4" w:space="0" w:color="auto"/>
              <w:bottom w:val="single" w:sz="4" w:space="0" w:color="auto"/>
              <w:right w:val="single" w:sz="4" w:space="0" w:color="auto"/>
            </w:tcBorders>
            <w:hideMark/>
          </w:tcPr>
          <w:p w14:paraId="17604675" w14:textId="77777777" w:rsidR="00E22D86" w:rsidRPr="00E22D86" w:rsidRDefault="00E22D86" w:rsidP="00E22D86">
            <w:r w:rsidRPr="00E22D86">
              <w:t xml:space="preserve">Builds on existing customer trusts, EV upgrades and technological adoption </w:t>
            </w:r>
          </w:p>
        </w:tc>
      </w:tr>
    </w:tbl>
    <w:p w14:paraId="1A5D120C" w14:textId="77777777" w:rsidR="00E22D86" w:rsidRPr="00E22D86" w:rsidRDefault="00E22D86" w:rsidP="00E22D86"/>
    <w:p w14:paraId="7F8A1C6A" w14:textId="77777777" w:rsidR="00E22D86" w:rsidRPr="00E22D86" w:rsidRDefault="00E22D86" w:rsidP="00E22D86">
      <w:pPr>
        <w:rPr>
          <w:i/>
          <w:iCs/>
          <w:u w:val="single"/>
        </w:rPr>
      </w:pPr>
      <w:r w:rsidRPr="00E22D86">
        <w:rPr>
          <w:i/>
          <w:iCs/>
          <w:u w:val="single"/>
        </w:rPr>
        <w:t>7Ps of Marketing Mix</w:t>
      </w:r>
    </w:p>
    <w:p w14:paraId="70710857" w14:textId="77777777" w:rsidR="00E22D86" w:rsidRPr="00E22D86" w:rsidRDefault="00E22D86" w:rsidP="00E22D86">
      <w:pPr>
        <w:rPr>
          <w:b/>
          <w:bCs/>
          <w:i/>
          <w:iCs/>
        </w:rPr>
      </w:pPr>
      <w:r w:rsidRPr="00E22D86">
        <w:rPr>
          <w:b/>
          <w:bCs/>
          <w:i/>
          <w:iCs/>
        </w:rPr>
        <w:t>Product</w:t>
      </w:r>
    </w:p>
    <w:p w14:paraId="3B59D8EF" w14:textId="77777777" w:rsidR="00E22D86" w:rsidRPr="00E22D86" w:rsidRDefault="00E22D86" w:rsidP="00E22D86">
      <w:r w:rsidRPr="00E22D86">
        <w:t>It is an effective marketing strategy that is used by the organisation to develop its activities for improving its operation and gaining competitive advantages. The first component of this strategy is the product, where it identified Tesla adopts a technology-driven product that integrates political sustainability and innovation (</w:t>
      </w:r>
      <w:proofErr w:type="spellStart"/>
      <w:r w:rsidRPr="00E22D86">
        <w:t>Nezhadkian</w:t>
      </w:r>
      <w:proofErr w:type="spellEnd"/>
      <w:r w:rsidRPr="00E22D86">
        <w:t xml:space="preserve"> and Zho, 2024). On the other hand, the followers adopt incremental product innovation by balancing the existing policy mandates with the technological factors. The Mach-E service of Ford is committed to reducing carbon dioxide emissions (Ford, 2023). Whereas, Toyota’s step into the hybrid technologies showed a commitment towards EV adoption. Therefore, product strategy reduces differentiation and at the same time manages the technological uncertainty.</w:t>
      </w:r>
    </w:p>
    <w:p w14:paraId="00E40EE3" w14:textId="77777777" w:rsidR="00E22D86" w:rsidRPr="00E22D86" w:rsidRDefault="00E22D86" w:rsidP="00E22D86">
      <w:pPr>
        <w:rPr>
          <w:b/>
          <w:bCs/>
          <w:i/>
          <w:iCs/>
        </w:rPr>
      </w:pPr>
      <w:r w:rsidRPr="00E22D86">
        <w:rPr>
          <w:b/>
          <w:bCs/>
          <w:i/>
          <w:iCs/>
        </w:rPr>
        <w:t xml:space="preserve">Pricing </w:t>
      </w:r>
    </w:p>
    <w:p w14:paraId="481BC792" w14:textId="77777777" w:rsidR="00E22D86" w:rsidRPr="00E22D86" w:rsidRDefault="00E22D86" w:rsidP="00E22D86">
      <w:r w:rsidRPr="00E22D86">
        <w:t xml:space="preserve">Tesla employs a value-based technological pricing strategy, and it needs to ensure it maintains the premium pricing. Tesla uses a dynamic pricing strategy by adjusting the prices in response to the market conditions and availability of subsidies (Ding and He, 2022).  Whereas focusing on the follower companies, they need to balance the cost recovery with affordability. For example, political incentives have played a critical role </w:t>
      </w:r>
      <w:r w:rsidRPr="00E22D86">
        <w:lastRenderedPageBreak/>
        <w:t xml:space="preserve">in enabling competitive pricing (Xue </w:t>
      </w:r>
      <w:r w:rsidRPr="00E22D86">
        <w:rPr>
          <w:i/>
          <w:iCs/>
        </w:rPr>
        <w:t>et al.,</w:t>
      </w:r>
      <w:r w:rsidRPr="00E22D86">
        <w:t xml:space="preserve"> 2021). They need to adopt penetration pricing to attract EV customers and gain those budget-conscious consumers. </w:t>
      </w:r>
    </w:p>
    <w:p w14:paraId="6CC41337" w14:textId="77777777" w:rsidR="00E22D86" w:rsidRPr="00E22D86" w:rsidRDefault="00E22D86" w:rsidP="00E22D86">
      <w:pPr>
        <w:rPr>
          <w:b/>
          <w:bCs/>
          <w:i/>
          <w:iCs/>
        </w:rPr>
      </w:pPr>
      <w:r w:rsidRPr="00E22D86">
        <w:rPr>
          <w:b/>
          <w:bCs/>
          <w:i/>
          <w:iCs/>
        </w:rPr>
        <w:t>Place</w:t>
      </w:r>
    </w:p>
    <w:p w14:paraId="39220EDB" w14:textId="77777777" w:rsidR="00E22D86" w:rsidRPr="00E22D86" w:rsidRDefault="00E22D86" w:rsidP="00E22D86">
      <w:r w:rsidRPr="00E22D86">
        <w:t xml:space="preserve">The distribution strategy has played an important role in ensuring the availability of the products in the market. The distribution strategy of Tesla is based on leveraging the digital transition for consumer protection. The supercharger network of the company works as a distribution strengthening asset that is supported by the charging infrastructure. In contrast, Toyota maintain a dealership network to ensure the availability of the product in the market. It might limit its ability to adopt the digital-first distribution and heavily rely on the government-funded charging infrastructure (Fattouh </w:t>
      </w:r>
      <w:r w:rsidRPr="00E22D86">
        <w:rPr>
          <w:i/>
          <w:iCs/>
        </w:rPr>
        <w:t>et al.,</w:t>
      </w:r>
      <w:r w:rsidRPr="00E22D86">
        <w:t xml:space="preserve"> 2020). This dependency can increase the competition and even reduce the differentiation. </w:t>
      </w:r>
    </w:p>
    <w:p w14:paraId="6AA0B45C" w14:textId="77777777" w:rsidR="00E22D86" w:rsidRPr="00E22D86" w:rsidRDefault="00E22D86" w:rsidP="00E22D86">
      <w:pPr>
        <w:rPr>
          <w:b/>
          <w:bCs/>
          <w:i/>
          <w:iCs/>
        </w:rPr>
      </w:pPr>
      <w:r w:rsidRPr="00E22D86">
        <w:rPr>
          <w:b/>
          <w:bCs/>
          <w:i/>
          <w:iCs/>
        </w:rPr>
        <w:t xml:space="preserve">Promotion </w:t>
      </w:r>
    </w:p>
    <w:p w14:paraId="32340E3B" w14:textId="77777777" w:rsidR="00E22D86" w:rsidRPr="00E22D86" w:rsidRDefault="00E22D86" w:rsidP="00E22D86">
      <w:r w:rsidRPr="00E22D86">
        <w:t>The promotional strategy is one of the important factors that influences</w:t>
      </w:r>
      <w:r w:rsidRPr="00E22D86">
        <w:rPr>
          <w:b/>
          <w:bCs/>
        </w:rPr>
        <w:t xml:space="preserve"> </w:t>
      </w:r>
      <w:r w:rsidRPr="00E22D86">
        <w:t>the growth of the company in terms of gaining the attention of the wider customers. The promotional strategy of Tesla is based on brand marketing, sustainability leadership and technological storytelling (Gao, 2023). On the other hand, the followers like Ford adopt the compliance-based promotional strategies. It mainly focuses on sharing eco-friendliness and emission reduction strategies in its marketing (Ford, 2025). The promotional strategy of Toyota shows investment in hybrid vehicles is heavily compared with other organisations (</w:t>
      </w:r>
      <w:proofErr w:type="spellStart"/>
      <w:r w:rsidRPr="00E22D86">
        <w:t>Statkevych</w:t>
      </w:r>
      <w:proofErr w:type="spellEnd"/>
      <w:r w:rsidRPr="00E22D86">
        <w:t xml:space="preserve"> and Shapoval, 2020). There is a lack in the promotional strategies of the followers compared to the pioneering, where they need to negotiate the political expectation while differentiating themselves. </w:t>
      </w:r>
    </w:p>
    <w:p w14:paraId="1212BAFD" w14:textId="77777777" w:rsidR="00E22D86" w:rsidRPr="00E22D86" w:rsidRDefault="00E22D86" w:rsidP="00E22D86">
      <w:pPr>
        <w:rPr>
          <w:b/>
          <w:bCs/>
          <w:i/>
          <w:iCs/>
        </w:rPr>
      </w:pPr>
      <w:r w:rsidRPr="00E22D86">
        <w:rPr>
          <w:b/>
          <w:bCs/>
          <w:i/>
          <w:iCs/>
        </w:rPr>
        <w:t>People</w:t>
      </w:r>
    </w:p>
    <w:p w14:paraId="739C2F4F" w14:textId="77777777" w:rsidR="00E22D86" w:rsidRPr="00E22D86" w:rsidRDefault="00E22D86" w:rsidP="00E22D86">
      <w:r w:rsidRPr="00E22D86">
        <w:t xml:space="preserve">The human resources involved in the operations are mainly considered under this component, which helps to evaluate their impact on the growth of the company. Tesla has used a technology-centric culture and enabled the rapid adoption of the political shift, and the workforce of company's workforce supports autonomous driving and manufacturing strategies (Moghrabi </w:t>
      </w:r>
      <w:r w:rsidRPr="00E22D86">
        <w:rPr>
          <w:i/>
          <w:iCs/>
        </w:rPr>
        <w:t>et al.,</w:t>
      </w:r>
      <w:r w:rsidRPr="00E22D86">
        <w:t xml:space="preserve"> 2023). It defines the technological direction of the company and becomes the source of structural advantage. The followers need to protect the legacy jobs while focusing on EV manufacturing. High labour costs and the reskilling challenges faced by them affected the business performance. </w:t>
      </w:r>
    </w:p>
    <w:p w14:paraId="49CFDAC4" w14:textId="77777777" w:rsidR="00E22D86" w:rsidRPr="00E22D86" w:rsidRDefault="00E22D86" w:rsidP="00E22D86">
      <w:pPr>
        <w:rPr>
          <w:b/>
          <w:bCs/>
          <w:i/>
          <w:iCs/>
        </w:rPr>
      </w:pPr>
      <w:r w:rsidRPr="00E22D86">
        <w:rPr>
          <w:b/>
          <w:bCs/>
          <w:i/>
          <w:iCs/>
        </w:rPr>
        <w:t xml:space="preserve">Process </w:t>
      </w:r>
    </w:p>
    <w:p w14:paraId="46086ECA" w14:textId="77777777" w:rsidR="00E22D86" w:rsidRPr="00E22D86" w:rsidRDefault="00E22D86" w:rsidP="00E22D86">
      <w:r w:rsidRPr="00E22D86">
        <w:lastRenderedPageBreak/>
        <w:t xml:space="preserve">The systems of an organisation are responsible for delivering a product or service, which can enhance the efficiency of the company. The process of Tesla's emphasis on Gigafactory, AI-enabled manufacturing and its seamless alignment with the political expectation for domestic production. At the same time, the processes are designed for the EV optimisation, which is associated with the technological changes and enhances the production adaptability (Lang </w:t>
      </w:r>
      <w:r w:rsidRPr="00E22D86">
        <w:rPr>
          <w:i/>
          <w:iCs/>
        </w:rPr>
        <w:t>et al.,</w:t>
      </w:r>
      <w:r w:rsidRPr="00E22D86">
        <w:t xml:space="preserve"> 2021). In this case, the followers need to improve their existing strategies by showing the innovation which leads to operational effectiveness. </w:t>
      </w:r>
    </w:p>
    <w:p w14:paraId="4C8F1034" w14:textId="77777777" w:rsidR="00E22D86" w:rsidRPr="00E22D86" w:rsidRDefault="00E22D86" w:rsidP="00E22D86">
      <w:pPr>
        <w:rPr>
          <w:b/>
          <w:bCs/>
          <w:i/>
          <w:iCs/>
        </w:rPr>
      </w:pPr>
      <w:r w:rsidRPr="00E22D86">
        <w:rPr>
          <w:b/>
          <w:bCs/>
          <w:i/>
          <w:iCs/>
        </w:rPr>
        <w:t xml:space="preserve">Physical evidence </w:t>
      </w:r>
    </w:p>
    <w:p w14:paraId="276D660C" w14:textId="77777777" w:rsidR="00E22D86" w:rsidRPr="00E22D86" w:rsidRDefault="00E22D86" w:rsidP="00E22D86">
      <w:pPr>
        <w:rPr>
          <w:b/>
          <w:bCs/>
        </w:rPr>
      </w:pPr>
      <w:r w:rsidRPr="00E22D86">
        <w:t xml:space="preserve">This can reinforce the brand identity and even the consumer trust. The stores and the Superchargers of Tesla focus on a digital-first customer experience and reinforce the effective brand email that is aligned with the sustainable policies. However, the followers rely on traditional dealerships that which can weaken the clarity of the EV identity. Differentiating the branding can help to gain the attention of the customers </w:t>
      </w:r>
      <w:proofErr w:type="spellStart"/>
      <w:r w:rsidRPr="00E22D86">
        <w:t>nd</w:t>
      </w:r>
      <w:proofErr w:type="spellEnd"/>
      <w:r w:rsidRPr="00E22D86">
        <w:t xml:space="preserve"> enhance the quality of the intangible services. </w:t>
      </w:r>
    </w:p>
    <w:p w14:paraId="2AF094F4" w14:textId="77777777" w:rsidR="00E22D86" w:rsidRPr="00E22D86" w:rsidRDefault="00E22D86" w:rsidP="00E22D86">
      <w:r w:rsidRPr="00E22D86">
        <w:t xml:space="preserve"> </w:t>
      </w:r>
    </w:p>
    <w:p w14:paraId="6A8F3020" w14:textId="77777777" w:rsidR="00E22D86" w:rsidRPr="00E22D86" w:rsidRDefault="00E22D86" w:rsidP="00E22D86">
      <w:r w:rsidRPr="00E22D86">
        <w:br w:type="page"/>
      </w:r>
    </w:p>
    <w:p w14:paraId="12363383" w14:textId="77777777" w:rsidR="00E22D86" w:rsidRPr="00E22D86" w:rsidRDefault="00E22D86" w:rsidP="00E22D86">
      <w:pPr>
        <w:rPr>
          <w:b/>
          <w:lang w:val="en-IN"/>
        </w:rPr>
      </w:pPr>
      <w:r w:rsidRPr="00E22D86">
        <w:rPr>
          <w:b/>
        </w:rPr>
        <w:lastRenderedPageBreak/>
        <w:t xml:space="preserve">Reference </w:t>
      </w:r>
    </w:p>
    <w:p w14:paraId="4462F40B" w14:textId="77777777" w:rsidR="00E22D86" w:rsidRPr="00E22D86" w:rsidRDefault="00E22D86" w:rsidP="00E22D86">
      <w:pPr>
        <w:rPr>
          <w:lang w:val="en-IN"/>
        </w:rPr>
      </w:pPr>
      <w:proofErr w:type="spellStart"/>
      <w:proofErr w:type="gramStart"/>
      <w:r w:rsidRPr="00E22D86">
        <w:rPr>
          <w:lang w:val="en-IN"/>
        </w:rPr>
        <w:t>Allchorne</w:t>
      </w:r>
      <w:proofErr w:type="spellEnd"/>
      <w:r w:rsidRPr="00E22D86">
        <w:rPr>
          <w:lang w:val="en-IN"/>
        </w:rPr>
        <w:t xml:space="preserve"> ,</w:t>
      </w:r>
      <w:proofErr w:type="gramEnd"/>
      <w:r w:rsidRPr="00E22D86">
        <w:rPr>
          <w:lang w:val="en-IN"/>
        </w:rPr>
        <w:t xml:space="preserve"> P. and McCabe, M. (2022). </w:t>
      </w:r>
      <w:r w:rsidRPr="00E22D86">
        <w:rPr>
          <w:i/>
          <w:iCs/>
          <w:lang w:val="en-IN"/>
        </w:rPr>
        <w:t>The Importance of Exactitude - German court finds Tesla’s ‘Autopilot’ system risks misleading consumers</w:t>
      </w:r>
      <w:r w:rsidRPr="00E22D86">
        <w:rPr>
          <w:lang w:val="en-IN"/>
        </w:rPr>
        <w:t xml:space="preserve">. [online] Dacbeachcroft.com. Available at: </w:t>
      </w:r>
      <w:hyperlink r:id="rId6" w:history="1">
        <w:r w:rsidRPr="00E22D86">
          <w:rPr>
            <w:rStyle w:val="Hyperlink"/>
            <w:lang w:val="en-IN"/>
          </w:rPr>
          <w:t>https://www.dacbeachcroft.com/it/What-we-think/The-Importance-of-Exactitude-German-court-finds-Teslas-Autopilot-system-risks-misleading-consumers</w:t>
        </w:r>
      </w:hyperlink>
      <w:r w:rsidRPr="00E22D86">
        <w:rPr>
          <w:lang w:val="en-IN"/>
        </w:rPr>
        <w:t xml:space="preserve">  [Accessed 19 Nov. 2025].</w:t>
      </w:r>
    </w:p>
    <w:p w14:paraId="23392077" w14:textId="77777777" w:rsidR="00E22D86" w:rsidRPr="00E22D86" w:rsidRDefault="00E22D86" w:rsidP="00E22D86">
      <w:r w:rsidRPr="00E22D86">
        <w:t xml:space="preserve">Cooke, P. (2020). Gigafactory Logistics in Space and time: Tesla’s Fourth Gigafactory and Its Rivals. </w:t>
      </w:r>
      <w:r w:rsidRPr="00E22D86">
        <w:rPr>
          <w:i/>
          <w:iCs/>
        </w:rPr>
        <w:t>Sustainability</w:t>
      </w:r>
      <w:r w:rsidRPr="00E22D86">
        <w:t xml:space="preserve">, 12(5), p.2044. </w:t>
      </w:r>
      <w:proofErr w:type="spellStart"/>
      <w:proofErr w:type="gramStart"/>
      <w:r w:rsidRPr="00E22D86">
        <w:t>doi:https</w:t>
      </w:r>
      <w:proofErr w:type="spellEnd"/>
      <w:r w:rsidRPr="00E22D86">
        <w:t>://doi.org/10.3390/su12052044</w:t>
      </w:r>
      <w:proofErr w:type="gramEnd"/>
      <w:r w:rsidRPr="00E22D86">
        <w:t>.</w:t>
      </w:r>
    </w:p>
    <w:p w14:paraId="619F403B" w14:textId="77777777" w:rsidR="00E22D86" w:rsidRPr="00E22D86" w:rsidRDefault="00E22D86" w:rsidP="00E22D86">
      <w:r w:rsidRPr="00E22D86">
        <w:t xml:space="preserve">Ding, J. and He, Y. (2022). </w:t>
      </w:r>
      <w:r w:rsidRPr="00E22D86">
        <w:rPr>
          <w:i/>
          <w:iCs/>
        </w:rPr>
        <w:t>Tesla Pricing Strategy Analysis: Take Model 3 as an Example</w:t>
      </w:r>
      <w:r w:rsidRPr="00E22D86">
        <w:t xml:space="preserve">. [online] www.atlantis-press.com. </w:t>
      </w:r>
      <w:hyperlink r:id="rId7" w:history="1">
        <w:r w:rsidRPr="00E22D86">
          <w:rPr>
            <w:rStyle w:val="Hyperlink"/>
          </w:rPr>
          <w:t>https://doi.org/10.2991/aebmr.k.220405.169</w:t>
        </w:r>
      </w:hyperlink>
      <w:r w:rsidRPr="00E22D86">
        <w:t xml:space="preserve"> </w:t>
      </w:r>
    </w:p>
    <w:p w14:paraId="357010D2" w14:textId="77777777" w:rsidR="00E22D86" w:rsidRPr="00E22D86" w:rsidRDefault="00E22D86" w:rsidP="00E22D86">
      <w:r w:rsidRPr="00E22D86">
        <w:t xml:space="preserve">European Commission (2022). </w:t>
      </w:r>
      <w:r w:rsidRPr="00E22D86">
        <w:rPr>
          <w:i/>
          <w:iCs/>
        </w:rPr>
        <w:t>Zero emission vehicles: first ‘Fit for 55’ deal will end the sale of new CO2 emitting cars in Europe by 2035</w:t>
      </w:r>
      <w:r w:rsidRPr="00E22D86">
        <w:t xml:space="preserve">. [online] European Commission - European Commission. Available at: </w:t>
      </w:r>
      <w:hyperlink r:id="rId8" w:history="1">
        <w:r w:rsidRPr="00E22D86">
          <w:rPr>
            <w:rStyle w:val="Hyperlink"/>
          </w:rPr>
          <w:t>https://ec.europa.eu/commission/presscorner/detail/en/IP_22_6462</w:t>
        </w:r>
      </w:hyperlink>
      <w:r w:rsidRPr="00E22D86">
        <w:t xml:space="preserve"> </w:t>
      </w:r>
    </w:p>
    <w:p w14:paraId="274205A8" w14:textId="77777777" w:rsidR="00E22D86" w:rsidRPr="00E22D86" w:rsidRDefault="00E22D86" w:rsidP="00E22D86">
      <w:pPr>
        <w:rPr>
          <w:lang w:val="en-US"/>
        </w:rPr>
      </w:pPr>
      <w:bookmarkStart w:id="0" w:name="_Hlk214364946"/>
      <w:r w:rsidRPr="00E22D86">
        <w:t>Fattouh</w:t>
      </w:r>
      <w:bookmarkEnd w:id="0"/>
      <w:r w:rsidRPr="00E22D86">
        <w:t xml:space="preserve">, B., </w:t>
      </w:r>
      <w:proofErr w:type="spellStart"/>
      <w:r w:rsidRPr="00E22D86">
        <w:t>Poudineh</w:t>
      </w:r>
      <w:proofErr w:type="spellEnd"/>
      <w:r w:rsidRPr="00E22D86">
        <w:t>, R., and Sen, A. (2020). EV Uptake in the Transport Fleet: Consumer Choice, Policy Incentives and Consumer-Centric Business Models. In </w:t>
      </w:r>
      <w:r w:rsidRPr="00E22D86">
        <w:rPr>
          <w:i/>
          <w:iCs/>
        </w:rPr>
        <w:t>Oxford Energy Forum: A Quarterly Journal for Debating Energy Issues and Policies</w:t>
      </w:r>
      <w:r w:rsidRPr="00E22D86">
        <w:t xml:space="preserve"> (No. 122). Oxford: The Oxford Institute for Energy Studies. </w:t>
      </w:r>
      <w:r w:rsidRPr="00E22D86">
        <w:rPr>
          <w:lang w:val="en-US"/>
        </w:rPr>
        <w:t xml:space="preserve">Page: 10 </w:t>
      </w:r>
      <w:hyperlink r:id="rId9" w:history="1">
        <w:r w:rsidRPr="00E22D86">
          <w:rPr>
            <w:rStyle w:val="Hyperlink"/>
            <w:lang w:val="en-US"/>
          </w:rPr>
          <w:t>https://www.econstor.eu/handle/10419/306984</w:t>
        </w:r>
      </w:hyperlink>
      <w:r w:rsidRPr="00E22D86">
        <w:rPr>
          <w:lang w:val="en-US"/>
        </w:rPr>
        <w:t xml:space="preserve"> </w:t>
      </w:r>
    </w:p>
    <w:p w14:paraId="2ADFCECE" w14:textId="77777777" w:rsidR="00E22D86" w:rsidRPr="00E22D86" w:rsidRDefault="00E22D86" w:rsidP="00E22D86">
      <w:r w:rsidRPr="00E22D86">
        <w:t xml:space="preserve">Ford (2021). </w:t>
      </w:r>
      <w:r w:rsidRPr="00E22D86">
        <w:rPr>
          <w:i/>
          <w:iCs/>
        </w:rPr>
        <w:t>F-150 Lightning</w:t>
      </w:r>
      <w:r w:rsidRPr="00E22D86">
        <w:t xml:space="preserve">. [online] Ford Corporate. Available at: </w:t>
      </w:r>
      <w:hyperlink r:id="rId10" w:history="1">
        <w:r w:rsidRPr="00E22D86">
          <w:rPr>
            <w:rStyle w:val="Hyperlink"/>
          </w:rPr>
          <w:t>https://corporate.ford.com/articles/products/f-150-lightning.html</w:t>
        </w:r>
      </w:hyperlink>
      <w:r w:rsidRPr="00E22D86">
        <w:t xml:space="preserve"> </w:t>
      </w:r>
    </w:p>
    <w:p w14:paraId="670D8754" w14:textId="77777777" w:rsidR="00E22D86" w:rsidRPr="00E22D86" w:rsidRDefault="00E22D86" w:rsidP="00E22D86">
      <w:r w:rsidRPr="00E22D86">
        <w:t xml:space="preserve">Ford (2023). </w:t>
      </w:r>
      <w:r w:rsidRPr="00E22D86">
        <w:rPr>
          <w:i/>
          <w:iCs/>
        </w:rPr>
        <w:t>Ford Expands Climate Change Goals</w:t>
      </w:r>
      <w:r w:rsidRPr="00E22D86">
        <w:t xml:space="preserve">. [online] Ford Corporate. Available at: </w:t>
      </w:r>
      <w:hyperlink r:id="rId11" w:history="1">
        <w:r w:rsidRPr="00E22D86">
          <w:rPr>
            <w:rStyle w:val="Hyperlink"/>
          </w:rPr>
          <w:t>https://corporate.ford.com/articles/sustainability/ford-expands-climate-change-goals.html</w:t>
        </w:r>
      </w:hyperlink>
      <w:r w:rsidRPr="00E22D86">
        <w:t xml:space="preserve"> </w:t>
      </w:r>
    </w:p>
    <w:p w14:paraId="0D0DA132" w14:textId="77777777" w:rsidR="00E22D86" w:rsidRPr="00E22D86" w:rsidRDefault="00E22D86" w:rsidP="00E22D86">
      <w:r w:rsidRPr="00E22D86">
        <w:t xml:space="preserve">Ford (2025). </w:t>
      </w:r>
      <w:r w:rsidRPr="00E22D86">
        <w:rPr>
          <w:i/>
          <w:iCs/>
        </w:rPr>
        <w:t>Bob Holycross Highlights Ford’s Sustainable Innovation at Climate Week</w:t>
      </w:r>
      <w:r w:rsidRPr="00E22D86">
        <w:t xml:space="preserve">. [online] Ford </w:t>
      </w:r>
      <w:proofErr w:type="gramStart"/>
      <w:r w:rsidRPr="00E22D86">
        <w:t>From</w:t>
      </w:r>
      <w:proofErr w:type="gramEnd"/>
      <w:r w:rsidRPr="00E22D86">
        <w:t xml:space="preserve"> the Road. Available at: </w:t>
      </w:r>
      <w:hyperlink r:id="rId12" w:history="1">
        <w:r w:rsidRPr="00E22D86">
          <w:rPr>
            <w:rStyle w:val="Hyperlink"/>
          </w:rPr>
          <w:t>https://www.fromtheroad.ford.com/eur/en/articles/2025/bob-holycross-ford-sustainability-climate-week</w:t>
        </w:r>
      </w:hyperlink>
      <w:r w:rsidRPr="00E22D86">
        <w:t xml:space="preserve">  [Accessed 18 Nov. 2025].</w:t>
      </w:r>
    </w:p>
    <w:p w14:paraId="5EEDC26B" w14:textId="77777777" w:rsidR="00E22D86" w:rsidRPr="00E22D86" w:rsidRDefault="00E22D86" w:rsidP="00E22D86">
      <w:r w:rsidRPr="00E22D86">
        <w:t xml:space="preserve">Gao, Y. (2023). A Study of Tesla’s International Marketing Strategy Based on the STEPPS Model. </w:t>
      </w:r>
      <w:r w:rsidRPr="00E22D86">
        <w:rPr>
          <w:i/>
          <w:iCs/>
        </w:rPr>
        <w:t>Highlights in Business, Economics and Management</w:t>
      </w:r>
      <w:r w:rsidRPr="00E22D86">
        <w:t xml:space="preserve">, [online] 23, pp.971–979. </w:t>
      </w:r>
      <w:hyperlink r:id="rId13" w:history="1">
        <w:r w:rsidRPr="00E22D86">
          <w:rPr>
            <w:rStyle w:val="Hyperlink"/>
          </w:rPr>
          <w:t>https://doi.org/10.54097/es6rry79</w:t>
        </w:r>
      </w:hyperlink>
      <w:r w:rsidRPr="00E22D86">
        <w:t xml:space="preserve"> </w:t>
      </w:r>
    </w:p>
    <w:p w14:paraId="6248791B" w14:textId="77777777" w:rsidR="00E22D86" w:rsidRPr="00E22D86" w:rsidRDefault="00E22D86" w:rsidP="00E22D86">
      <w:bookmarkStart w:id="1" w:name="_Hlk214359818"/>
      <w:r w:rsidRPr="00E22D86">
        <w:lastRenderedPageBreak/>
        <w:t>Gini, K. B., and Agala</w:t>
      </w:r>
      <w:bookmarkEnd w:id="1"/>
      <w:r w:rsidRPr="00E22D86">
        <w:t>, H. O. (2023). The Impact of Macro-Environmental Factors on Business Performance. </w:t>
      </w:r>
      <w:r w:rsidRPr="00E22D86">
        <w:rPr>
          <w:i/>
          <w:iCs/>
        </w:rPr>
        <w:t>International Journal of Research and Innovation in Social Science</w:t>
      </w:r>
      <w:r w:rsidRPr="00E22D86">
        <w:t>, </w:t>
      </w:r>
      <w:r w:rsidRPr="00E22D86">
        <w:rPr>
          <w:i/>
          <w:iCs/>
        </w:rPr>
        <w:t>7</w:t>
      </w:r>
      <w:r w:rsidRPr="00E22D86">
        <w:t xml:space="preserve">(11), 1837-1843. </w:t>
      </w:r>
      <w:hyperlink r:id="rId14" w:history="1">
        <w:r w:rsidRPr="00E22D86">
          <w:rPr>
            <w:rStyle w:val="Hyperlink"/>
          </w:rPr>
          <w:t>https://doi.org/10.47772/ijriss.2023.7011144</w:t>
        </w:r>
      </w:hyperlink>
      <w:r w:rsidRPr="00E22D86">
        <w:t xml:space="preserve"> </w:t>
      </w:r>
    </w:p>
    <w:p w14:paraId="115AF2C7" w14:textId="77777777" w:rsidR="00E22D86" w:rsidRPr="00E22D86" w:rsidRDefault="00E22D86" w:rsidP="00E22D86">
      <w:r w:rsidRPr="00E22D86">
        <w:t xml:space="preserve">Grob, A. (2022). </w:t>
      </w:r>
      <w:r w:rsidRPr="00E22D86">
        <w:rPr>
          <w:i/>
          <w:iCs/>
        </w:rPr>
        <w:t>Volkswagen and Ford Expand Collaboration on MEB Electric Platform</w:t>
      </w:r>
      <w:r w:rsidRPr="00E22D86">
        <w:t xml:space="preserve">. [online] Volkswagen Group. Available at: </w:t>
      </w:r>
      <w:hyperlink r:id="rId15" w:history="1">
        <w:r w:rsidRPr="00E22D86">
          <w:rPr>
            <w:rStyle w:val="Hyperlink"/>
          </w:rPr>
          <w:t>https://www.volkswagen-group.com/en/press-releases/volkswagen-and-ford-expand-collaboration-on-meb-electric-platform-16817</w:t>
        </w:r>
      </w:hyperlink>
      <w:r w:rsidRPr="00E22D86">
        <w:t xml:space="preserve"> </w:t>
      </w:r>
    </w:p>
    <w:p w14:paraId="69207A55" w14:textId="77777777" w:rsidR="00E22D86" w:rsidRPr="00E22D86" w:rsidRDefault="00E22D86" w:rsidP="00E22D86">
      <w:r w:rsidRPr="00E22D86">
        <w:t xml:space="preserve">Hess, D.J. (2020). Incumbent-led transitions and civil society: Autonomous vehicle policy and consumer organizations in the United States. </w:t>
      </w:r>
      <w:r w:rsidRPr="00E22D86">
        <w:rPr>
          <w:i/>
          <w:iCs/>
        </w:rPr>
        <w:t>Technological Forecasting and Social Change</w:t>
      </w:r>
      <w:r w:rsidRPr="00E22D86">
        <w:t xml:space="preserve">, p.119825. </w:t>
      </w:r>
      <w:hyperlink r:id="rId16" w:history="1">
        <w:r w:rsidRPr="00E22D86">
          <w:rPr>
            <w:rStyle w:val="Hyperlink"/>
          </w:rPr>
          <w:t>https://doi.org/10.1016/j.techfore.2019.119825</w:t>
        </w:r>
      </w:hyperlink>
      <w:r w:rsidRPr="00E22D86">
        <w:t xml:space="preserve"> </w:t>
      </w:r>
    </w:p>
    <w:p w14:paraId="1E01F801" w14:textId="77777777" w:rsidR="00E22D86" w:rsidRPr="00E22D86" w:rsidRDefault="00E22D86" w:rsidP="00E22D86">
      <w:pPr>
        <w:rPr>
          <w:lang w:val="en-IN"/>
        </w:rPr>
      </w:pPr>
      <w:proofErr w:type="spellStart"/>
      <w:r w:rsidRPr="00E22D86">
        <w:rPr>
          <w:lang w:val="en-IN"/>
        </w:rPr>
        <w:t>Hortega</w:t>
      </w:r>
      <w:proofErr w:type="spellEnd"/>
      <w:r w:rsidRPr="00E22D86">
        <w:rPr>
          <w:lang w:val="en-IN"/>
        </w:rPr>
        <w:t xml:space="preserve">, A., Menezes, D., Serra, F.A.R., Ebrahimpour, M. and Kramer, B. (2025). Revisiting the Intellectual Legacy of H. Igor Ansoff: A Critical Analysis of His Contributions and Their Impact on the Evolution of Strategic Management. </w:t>
      </w:r>
      <w:r w:rsidRPr="00E22D86">
        <w:rPr>
          <w:i/>
          <w:iCs/>
          <w:lang w:val="en-IN"/>
        </w:rPr>
        <w:t>Strategic Change</w:t>
      </w:r>
      <w:r w:rsidRPr="00E22D86">
        <w:rPr>
          <w:lang w:val="en-IN"/>
        </w:rPr>
        <w:t xml:space="preserve">. </w:t>
      </w:r>
      <w:hyperlink r:id="rId17" w:history="1">
        <w:r w:rsidRPr="00E22D86">
          <w:rPr>
            <w:rStyle w:val="Hyperlink"/>
            <w:lang w:val="en-IN"/>
          </w:rPr>
          <w:t>https://doi.org/10.1002/jsc.70027</w:t>
        </w:r>
      </w:hyperlink>
      <w:r w:rsidRPr="00E22D86">
        <w:rPr>
          <w:lang w:val="en-IN"/>
        </w:rPr>
        <w:t xml:space="preserve"> </w:t>
      </w:r>
    </w:p>
    <w:p w14:paraId="4C941222" w14:textId="77777777" w:rsidR="00E22D86" w:rsidRPr="00E22D86" w:rsidRDefault="00E22D86" w:rsidP="00E22D86">
      <w:r w:rsidRPr="00E22D86">
        <w:t xml:space="preserve">Jeong, J.H., Kim, C. and Jo, H.J. (2024). Three major challenges in the shift to electric vehicles: Industrial organization, industrial policy, and a just transition. </w:t>
      </w:r>
      <w:r w:rsidRPr="00E22D86">
        <w:rPr>
          <w:i/>
          <w:iCs/>
        </w:rPr>
        <w:t>Sociology compass</w:t>
      </w:r>
      <w:r w:rsidRPr="00E22D86">
        <w:t xml:space="preserve">, 18(5). </w:t>
      </w:r>
      <w:hyperlink r:id="rId18" w:history="1">
        <w:r w:rsidRPr="00E22D86">
          <w:rPr>
            <w:rStyle w:val="Hyperlink"/>
          </w:rPr>
          <w:t>https://doi.org/10.1111/soc4.13218</w:t>
        </w:r>
      </w:hyperlink>
      <w:r w:rsidRPr="00E22D86">
        <w:t xml:space="preserve"> </w:t>
      </w:r>
    </w:p>
    <w:p w14:paraId="67887F09" w14:textId="77777777" w:rsidR="00E22D86" w:rsidRPr="00E22D86" w:rsidRDefault="00E22D86" w:rsidP="00E22D86">
      <w:proofErr w:type="spellStart"/>
      <w:r w:rsidRPr="00E22D86">
        <w:t>Kharpal</w:t>
      </w:r>
      <w:proofErr w:type="spellEnd"/>
      <w:r w:rsidRPr="00E22D86">
        <w:t xml:space="preserve">, A. (2021). </w:t>
      </w:r>
      <w:r w:rsidRPr="00E22D86">
        <w:rPr>
          <w:i/>
          <w:iCs/>
        </w:rPr>
        <w:t>What ‘regulatory credits’ are — and why they’re so important to Tesla</w:t>
      </w:r>
      <w:r w:rsidRPr="00E22D86">
        <w:t xml:space="preserve">. [online] CNBC. Available at: </w:t>
      </w:r>
      <w:hyperlink r:id="rId19" w:history="1">
        <w:r w:rsidRPr="00E22D86">
          <w:rPr>
            <w:rStyle w:val="Hyperlink"/>
          </w:rPr>
          <w:t>https://www.cnbc.com/2021/05/18/tesla-electric-vehicle-regulatory-credits-explained.html</w:t>
        </w:r>
      </w:hyperlink>
      <w:r w:rsidRPr="00E22D86">
        <w:t xml:space="preserve"> </w:t>
      </w:r>
    </w:p>
    <w:p w14:paraId="7A7E708E" w14:textId="77777777" w:rsidR="00E22D86" w:rsidRPr="00E22D86" w:rsidRDefault="00E22D86" w:rsidP="00E22D86">
      <w:r w:rsidRPr="00E22D86">
        <w:t xml:space="preserve">Kong, L., Akbar, M. and </w:t>
      </w:r>
      <w:proofErr w:type="spellStart"/>
      <w:r w:rsidRPr="00E22D86">
        <w:t>Poulova</w:t>
      </w:r>
      <w:proofErr w:type="spellEnd"/>
      <w:r w:rsidRPr="00E22D86">
        <w:t xml:space="preserve">, P. (2023). The Role of Environment, Social, and Governance Performance in Shaping Corporate Current and Future Value: The Case of Global Tech Leaders. </w:t>
      </w:r>
      <w:r w:rsidRPr="00E22D86">
        <w:rPr>
          <w:i/>
          <w:iCs/>
        </w:rPr>
        <w:t>Sustainability</w:t>
      </w:r>
      <w:r w:rsidRPr="00E22D86">
        <w:t xml:space="preserve">, 15(17), pp.13114–13114. </w:t>
      </w:r>
      <w:hyperlink r:id="rId20" w:history="1">
        <w:r w:rsidRPr="00E22D86">
          <w:rPr>
            <w:rStyle w:val="Hyperlink"/>
          </w:rPr>
          <w:t>https://doi.org/10.3390/su151713114</w:t>
        </w:r>
      </w:hyperlink>
      <w:r w:rsidRPr="00E22D86">
        <w:t xml:space="preserve"> </w:t>
      </w:r>
    </w:p>
    <w:p w14:paraId="5FB0F431" w14:textId="77777777" w:rsidR="00E22D86" w:rsidRPr="00E22D86" w:rsidRDefault="00E22D86" w:rsidP="00E22D86">
      <w:r w:rsidRPr="00E22D86">
        <w:t xml:space="preserve">Lang, J.W., Reber, B. and </w:t>
      </w:r>
      <w:proofErr w:type="spellStart"/>
      <w:r w:rsidRPr="00E22D86">
        <w:t>Aldori</w:t>
      </w:r>
      <w:proofErr w:type="spellEnd"/>
      <w:r w:rsidRPr="00E22D86">
        <w:t xml:space="preserve">, H. (2021). How Tesla Created Advantages in the EV Automotive paradigm, through an Integrated Business Model of Value Capture and Value Creation. </w:t>
      </w:r>
      <w:r w:rsidRPr="00E22D86">
        <w:rPr>
          <w:i/>
          <w:iCs/>
        </w:rPr>
        <w:t>Business &amp; Management Studies: An International Journal</w:t>
      </w:r>
      <w:r w:rsidRPr="00E22D86">
        <w:t xml:space="preserve">, 9(1), pp.385–404. Available at: </w:t>
      </w:r>
      <w:hyperlink r:id="rId21" w:history="1">
        <w:r w:rsidRPr="00E22D86">
          <w:rPr>
            <w:rStyle w:val="Hyperlink"/>
            <w:lang w:val="en-US"/>
          </w:rPr>
          <w:t>https://www.bmij.org/index.php/1/article/view/1790</w:t>
        </w:r>
      </w:hyperlink>
    </w:p>
    <w:p w14:paraId="2294D857" w14:textId="77777777" w:rsidR="00E22D86" w:rsidRPr="00E22D86" w:rsidRDefault="00E22D86" w:rsidP="00E22D86">
      <w:r w:rsidRPr="00E22D86">
        <w:t xml:space="preserve">Liu, X.-F. and Wang, L. (2021). The Effects of Subsidy Policy on Electric Vehicles and the Supporting Regulatory Policies: Evidence </w:t>
      </w:r>
      <w:proofErr w:type="gramStart"/>
      <w:r w:rsidRPr="00E22D86">
        <w:t>From</w:t>
      </w:r>
      <w:proofErr w:type="gramEnd"/>
      <w:r w:rsidRPr="00E22D86">
        <w:t xml:space="preserve"> Micro Data of Chinese Mobile Manufacturers. </w:t>
      </w:r>
      <w:r w:rsidRPr="00E22D86">
        <w:rPr>
          <w:i/>
          <w:iCs/>
        </w:rPr>
        <w:t>Frontiers in Energy Research</w:t>
      </w:r>
      <w:r w:rsidRPr="00E22D86">
        <w:t xml:space="preserve">, 9. </w:t>
      </w:r>
      <w:hyperlink r:id="rId22" w:history="1">
        <w:r w:rsidRPr="00E22D86">
          <w:rPr>
            <w:rStyle w:val="Hyperlink"/>
          </w:rPr>
          <w:t>https://doi.org/10.3389/fenrg.2021.642467</w:t>
        </w:r>
      </w:hyperlink>
      <w:r w:rsidRPr="00E22D86">
        <w:t xml:space="preserve"> </w:t>
      </w:r>
    </w:p>
    <w:p w14:paraId="433C4198" w14:textId="77777777" w:rsidR="00E22D86" w:rsidRPr="00E22D86" w:rsidRDefault="00E22D86" w:rsidP="00E22D86">
      <w:r w:rsidRPr="00E22D86">
        <w:lastRenderedPageBreak/>
        <w:t xml:space="preserve">Luman, R. and Zhang, C. (2025). </w:t>
      </w:r>
      <w:r w:rsidRPr="00E22D86">
        <w:rPr>
          <w:i/>
          <w:iCs/>
        </w:rPr>
        <w:t>US electric vehicle transition delayed but not derailed by subsidy exit</w:t>
      </w:r>
      <w:r w:rsidRPr="00E22D86">
        <w:t xml:space="preserve">. [online] ING Think. Available at: </w:t>
      </w:r>
      <w:hyperlink r:id="rId23" w:history="1">
        <w:r w:rsidRPr="00E22D86">
          <w:rPr>
            <w:rStyle w:val="Hyperlink"/>
          </w:rPr>
          <w:t>https://think.ing.com/articles/subsidy-exit-delays-the-us-ev-transition-but-wont-derail-it/</w:t>
        </w:r>
      </w:hyperlink>
      <w:r w:rsidRPr="00E22D86">
        <w:t xml:space="preserve"> </w:t>
      </w:r>
    </w:p>
    <w:p w14:paraId="79AD42B3" w14:textId="77777777" w:rsidR="00E22D86" w:rsidRPr="00E22D86" w:rsidRDefault="00E22D86" w:rsidP="00E22D86">
      <w:r w:rsidRPr="00E22D86">
        <w:t xml:space="preserve">Moghrabi, I.A.R., Bhat, S.A., Szczuko, P., </w:t>
      </w:r>
      <w:proofErr w:type="spellStart"/>
      <w:r w:rsidRPr="00E22D86">
        <w:t>AlKhaled</w:t>
      </w:r>
      <w:proofErr w:type="spellEnd"/>
      <w:r w:rsidRPr="00E22D86">
        <w:t xml:space="preserve">, R.A. and Dar, M.A. (2023). Digital Transformation and Its Influence on Sustainable Manufacturing and Business Practices. </w:t>
      </w:r>
      <w:r w:rsidRPr="00E22D86">
        <w:rPr>
          <w:i/>
          <w:iCs/>
        </w:rPr>
        <w:t>Sustainability</w:t>
      </w:r>
      <w:r w:rsidRPr="00E22D86">
        <w:t xml:space="preserve">, 15(4), p.3010. </w:t>
      </w:r>
      <w:hyperlink r:id="rId24" w:history="1">
        <w:r w:rsidRPr="00E22D86">
          <w:rPr>
            <w:rStyle w:val="Hyperlink"/>
          </w:rPr>
          <w:t>https://www.mdpi.com/2071-1050/15/4/3010</w:t>
        </w:r>
      </w:hyperlink>
      <w:r w:rsidRPr="00E22D86">
        <w:t xml:space="preserve"> </w:t>
      </w:r>
    </w:p>
    <w:p w14:paraId="06E4CF1B" w14:textId="77777777" w:rsidR="00E22D86" w:rsidRPr="00E22D86" w:rsidRDefault="00E22D86" w:rsidP="00E22D86">
      <w:r w:rsidRPr="00E22D86">
        <w:t xml:space="preserve">Naor, M., Coman, A. and </w:t>
      </w:r>
      <w:proofErr w:type="spellStart"/>
      <w:r w:rsidRPr="00E22D86">
        <w:t>Wiznizer</w:t>
      </w:r>
      <w:proofErr w:type="spellEnd"/>
      <w:r w:rsidRPr="00E22D86">
        <w:t xml:space="preserve">, A. (2021). Vertically Integrated Supply Chain of Batteries, Electric Vehicles, and Charging Infrastructure: A Review of Three Milestone Projects from Theory of Constraints Perspective. </w:t>
      </w:r>
      <w:r w:rsidRPr="00E22D86">
        <w:rPr>
          <w:i/>
          <w:iCs/>
        </w:rPr>
        <w:t>Sustainability</w:t>
      </w:r>
      <w:r w:rsidRPr="00E22D86">
        <w:t xml:space="preserve">, 13(7), p.3632. </w:t>
      </w:r>
      <w:hyperlink r:id="rId25" w:history="1">
        <w:r w:rsidRPr="00E22D86">
          <w:rPr>
            <w:rStyle w:val="Hyperlink"/>
          </w:rPr>
          <w:t>https://doi.org/10.3390/su13073632</w:t>
        </w:r>
      </w:hyperlink>
      <w:r w:rsidRPr="00E22D86">
        <w:t xml:space="preserve"> </w:t>
      </w:r>
    </w:p>
    <w:p w14:paraId="12E9FEE0" w14:textId="77777777" w:rsidR="00E22D86" w:rsidRPr="00E22D86" w:rsidRDefault="00E22D86" w:rsidP="00E22D86">
      <w:proofErr w:type="spellStart"/>
      <w:r w:rsidRPr="00E22D86">
        <w:t>Nezhadkian</w:t>
      </w:r>
      <w:proofErr w:type="spellEnd"/>
      <w:r w:rsidRPr="00E22D86">
        <w:t xml:space="preserve">, M. and Zho, W. (2024). </w:t>
      </w:r>
      <w:r w:rsidRPr="00E22D86">
        <w:rPr>
          <w:i/>
          <w:iCs/>
        </w:rPr>
        <w:t>Leveraging AI and IoT for Industry Transformation: A Case Study of Tesla’s Technological Integration and Strategic Innovation</w:t>
      </w:r>
      <w:r w:rsidRPr="00E22D86">
        <w:t xml:space="preserve">. [online] Information Sciences and Technological Innovations. Available at: </w:t>
      </w:r>
      <w:hyperlink r:id="rId26" w:history="1">
        <w:r w:rsidRPr="00E22D86">
          <w:rPr>
            <w:rStyle w:val="Hyperlink"/>
          </w:rPr>
          <w:t>https://isti.reapress.com/journal/article/view/29</w:t>
        </w:r>
      </w:hyperlink>
      <w:r w:rsidRPr="00E22D86">
        <w:t xml:space="preserve"> </w:t>
      </w:r>
    </w:p>
    <w:p w14:paraId="35E39677" w14:textId="77777777" w:rsidR="00E22D86" w:rsidRPr="00E22D86" w:rsidRDefault="00E22D86" w:rsidP="00E22D86">
      <w:pPr>
        <w:rPr>
          <w:lang w:val="en-IN"/>
        </w:rPr>
      </w:pPr>
      <w:proofErr w:type="spellStart"/>
      <w:r w:rsidRPr="00E22D86">
        <w:rPr>
          <w:lang w:val="en-IN"/>
        </w:rPr>
        <w:t>Peterdy</w:t>
      </w:r>
      <w:proofErr w:type="spellEnd"/>
      <w:r w:rsidRPr="00E22D86">
        <w:rPr>
          <w:lang w:val="en-IN"/>
        </w:rPr>
        <w:t xml:space="preserve">, K. (2025). </w:t>
      </w:r>
      <w:r w:rsidRPr="00E22D86">
        <w:rPr>
          <w:i/>
          <w:iCs/>
          <w:lang w:val="en-IN"/>
        </w:rPr>
        <w:t>Ansoff Matrix</w:t>
      </w:r>
      <w:r w:rsidRPr="00E22D86">
        <w:rPr>
          <w:lang w:val="en-IN"/>
        </w:rPr>
        <w:t xml:space="preserve">. [online] Corporate Finance Institute. Available at: </w:t>
      </w:r>
      <w:hyperlink r:id="rId27" w:history="1">
        <w:r w:rsidRPr="00E22D86">
          <w:rPr>
            <w:rStyle w:val="Hyperlink"/>
            <w:lang w:val="en-IN"/>
          </w:rPr>
          <w:t>https://corporatefinanceinstitute.com/resources/management/ansoff-matrix/</w:t>
        </w:r>
      </w:hyperlink>
      <w:r w:rsidRPr="00E22D86">
        <w:rPr>
          <w:lang w:val="en-IN"/>
        </w:rPr>
        <w:t xml:space="preserve"> </w:t>
      </w:r>
    </w:p>
    <w:p w14:paraId="77102AD2" w14:textId="77777777" w:rsidR="00E22D86" w:rsidRPr="00E22D86" w:rsidRDefault="00E22D86" w:rsidP="00E22D86">
      <w:pPr>
        <w:rPr>
          <w:lang w:val="en-IN"/>
        </w:rPr>
      </w:pPr>
      <w:r w:rsidRPr="00E22D86">
        <w:rPr>
          <w:lang w:val="en-IN"/>
        </w:rPr>
        <w:t xml:space="preserve">Reuters (2024). German labour court finds Tesla broke union election rules. </w:t>
      </w:r>
      <w:r w:rsidRPr="00E22D86">
        <w:rPr>
          <w:i/>
          <w:iCs/>
          <w:lang w:val="en-IN"/>
        </w:rPr>
        <w:t>Reuters</w:t>
      </w:r>
      <w:r w:rsidRPr="00E22D86">
        <w:rPr>
          <w:lang w:val="en-IN"/>
        </w:rPr>
        <w:t xml:space="preserve">. [online] 13 Feb. Available at: </w:t>
      </w:r>
      <w:hyperlink r:id="rId28" w:history="1">
        <w:r w:rsidRPr="00E22D86">
          <w:rPr>
            <w:rStyle w:val="Hyperlink"/>
            <w:lang w:val="en-IN"/>
          </w:rPr>
          <w:t>https://www.reuters.com/business/autos-transportation/german-labour-court-finds-tesla-broke-union-election-rules-2024-02-13/</w:t>
        </w:r>
      </w:hyperlink>
      <w:r w:rsidRPr="00E22D86">
        <w:rPr>
          <w:lang w:val="en-IN"/>
        </w:rPr>
        <w:t xml:space="preserve"> </w:t>
      </w:r>
    </w:p>
    <w:p w14:paraId="4247A117" w14:textId="77777777" w:rsidR="00E22D86" w:rsidRPr="00E22D86" w:rsidRDefault="00E22D86" w:rsidP="00E22D86">
      <w:r w:rsidRPr="00E22D86">
        <w:t xml:space="preserve">Reuters (2024). </w:t>
      </w:r>
      <w:r w:rsidRPr="00E22D86">
        <w:rPr>
          <w:i/>
          <w:iCs/>
        </w:rPr>
        <w:t>Toyota to make battery venture with Panasonic wholly owned subsidiary</w:t>
      </w:r>
      <w:r w:rsidRPr="00E22D86">
        <w:t xml:space="preserve">. [online] Reuters. Available at: </w:t>
      </w:r>
      <w:hyperlink r:id="rId29" w:history="1">
        <w:r w:rsidRPr="00E22D86">
          <w:rPr>
            <w:rStyle w:val="Hyperlink"/>
          </w:rPr>
          <w:t>https://www.reuters.com/markets/deals/toyota-make-battery-venture-with-panasonic-wholly-owned-subsidiary-2024-03-05/</w:t>
        </w:r>
      </w:hyperlink>
      <w:r w:rsidRPr="00E22D86">
        <w:t xml:space="preserve"> </w:t>
      </w:r>
    </w:p>
    <w:p w14:paraId="50FBD149" w14:textId="77777777" w:rsidR="00E22D86" w:rsidRPr="00E22D86" w:rsidRDefault="00E22D86" w:rsidP="00E22D86">
      <w:r w:rsidRPr="00E22D86">
        <w:t xml:space="preserve">Shepardson, D. (2025). Ford says Michigan EV battery plant ‘on track’ for production tax credits. </w:t>
      </w:r>
      <w:r w:rsidRPr="00E22D86">
        <w:rPr>
          <w:i/>
          <w:iCs/>
        </w:rPr>
        <w:t>Reuters</w:t>
      </w:r>
      <w:r w:rsidRPr="00E22D86">
        <w:t xml:space="preserve">. [online] 8 Jul. Available at: </w:t>
      </w:r>
      <w:hyperlink r:id="rId30" w:history="1">
        <w:r w:rsidRPr="00E22D86">
          <w:rPr>
            <w:rStyle w:val="Hyperlink"/>
          </w:rPr>
          <w:t>https://www.reuters.com/business/autos-transportation/ford-says-michigan-ev-battery-plant-on-track-production-tax-credits-2025-07-08/</w:t>
        </w:r>
      </w:hyperlink>
      <w:r w:rsidRPr="00E22D86">
        <w:t xml:space="preserve"> </w:t>
      </w:r>
    </w:p>
    <w:p w14:paraId="6798C6DE" w14:textId="77777777" w:rsidR="00E22D86" w:rsidRPr="00E22D86" w:rsidRDefault="00E22D86" w:rsidP="00E22D86">
      <w:r w:rsidRPr="00E22D86">
        <w:t xml:space="preserve">Shukla, S., Anand, G. and Agarwal, S. (2025). Advancements in Solid-State Batteries for Electric Vehicles: A Comprehensive Review. </w:t>
      </w:r>
      <w:r w:rsidRPr="00E22D86">
        <w:rPr>
          <w:i/>
          <w:iCs/>
        </w:rPr>
        <w:t>International Journal on Smart &amp; Sustainable Intelligent Computing</w:t>
      </w:r>
      <w:r w:rsidRPr="00E22D86">
        <w:t xml:space="preserve">, [online] 2(2), pp.1–14. </w:t>
      </w:r>
      <w:hyperlink r:id="rId31" w:history="1">
        <w:r w:rsidRPr="00E22D86">
          <w:rPr>
            <w:rStyle w:val="Hyperlink"/>
          </w:rPr>
          <w:t>https://doi.org/10.63503/j.ijssic.2025.88</w:t>
        </w:r>
      </w:hyperlink>
      <w:r w:rsidRPr="00E22D86">
        <w:t xml:space="preserve"> </w:t>
      </w:r>
    </w:p>
    <w:p w14:paraId="6B121B52" w14:textId="77777777" w:rsidR="00E22D86" w:rsidRPr="00E22D86" w:rsidRDefault="00E22D86" w:rsidP="00E22D86">
      <w:pPr>
        <w:rPr>
          <w:lang w:val="en-US"/>
        </w:rPr>
      </w:pPr>
      <w:bookmarkStart w:id="2" w:name="_Hlk214366824"/>
      <w:proofErr w:type="spellStart"/>
      <w:r w:rsidRPr="00E22D86">
        <w:t>Statkevych</w:t>
      </w:r>
      <w:proofErr w:type="spellEnd"/>
      <w:r w:rsidRPr="00E22D86">
        <w:t>, K., and Shapoval</w:t>
      </w:r>
      <w:bookmarkEnd w:id="2"/>
      <w:r w:rsidRPr="00E22D86">
        <w:t>, A. (2020). Development of promotion hybrid technology policy of cars as an social-ethical marketing element.</w:t>
      </w:r>
      <w:r w:rsidRPr="00E22D86">
        <w:rPr>
          <w:lang w:val="en-US"/>
        </w:rPr>
        <w:t xml:space="preserve">Page: 175 </w:t>
      </w:r>
      <w:hyperlink r:id="rId32" w:history="1">
        <w:r w:rsidRPr="00E22D86">
          <w:rPr>
            <w:rStyle w:val="Hyperlink"/>
            <w:lang w:val="en-US"/>
          </w:rPr>
          <w:t>https://card-</w:t>
        </w:r>
        <w:r w:rsidRPr="00E22D86">
          <w:rPr>
            <w:rStyle w:val="Hyperlink"/>
            <w:lang w:val="en-US"/>
          </w:rPr>
          <w:lastRenderedPageBreak/>
          <w:t>file.ontu.edu.ua/server/api/core/bitstreams/b527ca46-1c01-4d7b-9b3c-8c025f152c74/content</w:t>
        </w:r>
      </w:hyperlink>
    </w:p>
    <w:p w14:paraId="30AF0F7A" w14:textId="77777777" w:rsidR="00E22D86" w:rsidRPr="00E22D86" w:rsidRDefault="00E22D86" w:rsidP="00E22D86">
      <w:r w:rsidRPr="00E22D86">
        <w:t xml:space="preserve">Tesla (2023). </w:t>
      </w:r>
      <w:r w:rsidRPr="00E22D86">
        <w:rPr>
          <w:i/>
          <w:iCs/>
        </w:rPr>
        <w:t>Ordering a Tesla Vehicle | Tesla Support</w:t>
      </w:r>
      <w:r w:rsidRPr="00E22D86">
        <w:t xml:space="preserve">. [online] Tesla. Available at: </w:t>
      </w:r>
      <w:hyperlink r:id="rId33" w:history="1">
        <w:r w:rsidRPr="00E22D86">
          <w:rPr>
            <w:rStyle w:val="Hyperlink"/>
          </w:rPr>
          <w:t>https://www.tesla.com/support/ordering-new-vehicle</w:t>
        </w:r>
      </w:hyperlink>
      <w:r w:rsidRPr="00E22D86">
        <w:t xml:space="preserve"> </w:t>
      </w:r>
    </w:p>
    <w:p w14:paraId="46F18A5F" w14:textId="77777777" w:rsidR="00E22D86" w:rsidRPr="00E22D86" w:rsidRDefault="00E22D86" w:rsidP="00E22D86">
      <w:r w:rsidRPr="00E22D86">
        <w:t xml:space="preserve">Tesla (2025). </w:t>
      </w:r>
      <w:r w:rsidRPr="00E22D86">
        <w:rPr>
          <w:i/>
          <w:iCs/>
        </w:rPr>
        <w:t>Full Self-Driving (Supervised) | Tesla</w:t>
      </w:r>
      <w:r w:rsidRPr="00E22D86">
        <w:t xml:space="preserve">. [online] Tesla. Available at: </w:t>
      </w:r>
      <w:hyperlink r:id="rId34" w:history="1">
        <w:r w:rsidRPr="00E22D86">
          <w:rPr>
            <w:rStyle w:val="Hyperlink"/>
          </w:rPr>
          <w:t>https://www.tesla.com/fsd</w:t>
        </w:r>
      </w:hyperlink>
      <w:r w:rsidRPr="00E22D86">
        <w:t xml:space="preserve"> </w:t>
      </w:r>
    </w:p>
    <w:p w14:paraId="3B562A31" w14:textId="77777777" w:rsidR="00E22D86" w:rsidRPr="00E22D86" w:rsidRDefault="00E22D86" w:rsidP="00E22D86">
      <w:r w:rsidRPr="00E22D86">
        <w:t xml:space="preserve">Toyota (2024). </w:t>
      </w:r>
      <w:r w:rsidRPr="00E22D86">
        <w:rPr>
          <w:i/>
          <w:iCs/>
        </w:rPr>
        <w:t>Hydrogen Economy | Toyota Europe</w:t>
      </w:r>
      <w:r w:rsidRPr="00E22D86">
        <w:t xml:space="preserve">. [online] Toyota EU. Available at: </w:t>
      </w:r>
      <w:hyperlink r:id="rId35" w:history="1">
        <w:r w:rsidRPr="00E22D86">
          <w:rPr>
            <w:rStyle w:val="Hyperlink"/>
          </w:rPr>
          <w:t>https://www.toyota-europe.com/innovation/hydrogen-economy</w:t>
        </w:r>
      </w:hyperlink>
      <w:r w:rsidRPr="00E22D86">
        <w:t xml:space="preserve"> </w:t>
      </w:r>
    </w:p>
    <w:p w14:paraId="739D5ECF" w14:textId="77777777" w:rsidR="00E22D86" w:rsidRPr="00E22D86" w:rsidRDefault="00E22D86" w:rsidP="00E22D86">
      <w:r w:rsidRPr="00E22D86">
        <w:t xml:space="preserve">Wayland, M. (2019). </w:t>
      </w:r>
      <w:r w:rsidRPr="00E22D86">
        <w:rPr>
          <w:i/>
          <w:iCs/>
        </w:rPr>
        <w:t>Forget ‘Ford v Ferrari,’ the Mustang Mach-E takes a shot at Tesla</w:t>
      </w:r>
      <w:r w:rsidRPr="00E22D86">
        <w:t xml:space="preserve">. [online] CNBC. Available at: </w:t>
      </w:r>
      <w:hyperlink r:id="rId36" w:history="1">
        <w:r w:rsidRPr="00E22D86">
          <w:rPr>
            <w:rStyle w:val="Hyperlink"/>
          </w:rPr>
          <w:t>https://www.cnbc.com/2019/11/18/forget-ford-v-ferrari-ford-targets-tesla-with-mustang-mach-e.html</w:t>
        </w:r>
      </w:hyperlink>
      <w:r w:rsidRPr="00E22D86">
        <w:t xml:space="preserve"> </w:t>
      </w:r>
    </w:p>
    <w:p w14:paraId="774B1033" w14:textId="77777777" w:rsidR="00E22D86" w:rsidRPr="00E22D86" w:rsidRDefault="00E22D86" w:rsidP="00E22D86">
      <w:r w:rsidRPr="00E22D86">
        <w:t xml:space="preserve">Xue, C., Zhou, H., Wu, Q., Wu, X. and Xu, X. (2021). Impact of incentive policies and other socio-economic factors on electric vehicle market share: A panel data analysis from the 20 countries. </w:t>
      </w:r>
      <w:r w:rsidRPr="00E22D86">
        <w:rPr>
          <w:i/>
          <w:iCs/>
        </w:rPr>
        <w:t>Sustainability</w:t>
      </w:r>
      <w:r w:rsidRPr="00E22D86">
        <w:t xml:space="preserve">, 13(5), p.2928. </w:t>
      </w:r>
      <w:hyperlink r:id="rId37" w:history="1">
        <w:r w:rsidRPr="00E22D86">
          <w:rPr>
            <w:rStyle w:val="Hyperlink"/>
          </w:rPr>
          <w:t>https://doi.org/10.3390/su13052928</w:t>
        </w:r>
      </w:hyperlink>
      <w:r w:rsidRPr="00E22D86">
        <w:t xml:space="preserve"> </w:t>
      </w:r>
    </w:p>
    <w:p w14:paraId="15B96F0A" w14:textId="77777777" w:rsidR="00E22D86" w:rsidRPr="00E22D86" w:rsidRDefault="00E22D86" w:rsidP="00E22D86">
      <w:r w:rsidRPr="00E22D86">
        <w:t xml:space="preserve">Yang, Z., Huang, H. and Lin, F. (2022). Sustainable Electric Vehicle Batteries for a Sustainable World: Perspectives on Battery Cathodes, Environment, Supply Chain, Manufacturing, Life Cycle, and Policy. </w:t>
      </w:r>
      <w:r w:rsidRPr="00E22D86">
        <w:rPr>
          <w:i/>
          <w:iCs/>
        </w:rPr>
        <w:t>Advanced Energy Materials</w:t>
      </w:r>
      <w:r w:rsidRPr="00E22D86">
        <w:t xml:space="preserve">, [online] 12(26), p.2200383. Available at: </w:t>
      </w:r>
      <w:hyperlink r:id="rId38" w:history="1">
        <w:r w:rsidRPr="00E22D86">
          <w:rPr>
            <w:rStyle w:val="Hyperlink"/>
          </w:rPr>
          <w:t>https://onlinelibrary.wiley.com/doi/full/10.1002/aenm.202200383</w:t>
        </w:r>
      </w:hyperlink>
      <w:r w:rsidRPr="00E22D86">
        <w:t xml:space="preserve"> </w:t>
      </w:r>
    </w:p>
    <w:p w14:paraId="05E58583" w14:textId="77777777" w:rsidR="00E22D86" w:rsidRPr="00E22D86" w:rsidRDefault="00E22D86" w:rsidP="00E22D86"/>
    <w:p w14:paraId="7FB63CC8" w14:textId="77777777" w:rsidR="00671241" w:rsidRDefault="00671241" w:rsidP="00E22D86"/>
    <w:sectPr w:rsidR="006712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241"/>
    <w:rsid w:val="00074463"/>
    <w:rsid w:val="00196566"/>
    <w:rsid w:val="001B0483"/>
    <w:rsid w:val="00463B02"/>
    <w:rsid w:val="005278F6"/>
    <w:rsid w:val="00671241"/>
    <w:rsid w:val="009A1B3B"/>
    <w:rsid w:val="00E22D86"/>
    <w:rsid w:val="00E81FB3"/>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230C13"/>
  <w15:chartTrackingRefBased/>
  <w15:docId w15:val="{74A75021-3881-43E5-89E2-D72BCC673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241"/>
    <w:pPr>
      <w:suppressAutoHyphens/>
      <w:autoSpaceDN w:val="0"/>
      <w:spacing w:after="0" w:line="360" w:lineRule="auto"/>
      <w:jc w:val="both"/>
    </w:pPr>
    <w:rPr>
      <w:rFonts w:ascii="Arial" w:eastAsia="SimSun" w:hAnsi="Arial" w:cs="Times New Roman"/>
      <w:kern w:val="3"/>
      <w:szCs w:val="21"/>
      <w:lang w:val="en-GB" w:eastAsia="en-IN" w:bidi="bn-IN"/>
      <w14:ligatures w14:val="none"/>
    </w:rPr>
  </w:style>
  <w:style w:type="paragraph" w:styleId="Heading1">
    <w:name w:val="heading 1"/>
    <w:basedOn w:val="Normal"/>
    <w:next w:val="Normal"/>
    <w:link w:val="Heading1Char"/>
    <w:qFormat/>
    <w:rsid w:val="00671241"/>
    <w:pPr>
      <w:keepNext/>
      <w:keepLines/>
      <w:suppressAutoHyphens w:val="0"/>
      <w:autoSpaceDN/>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IN" w:eastAsia="en-US" w:bidi="gu-IN"/>
      <w14:ligatures w14:val="standardContextual"/>
    </w:rPr>
  </w:style>
  <w:style w:type="paragraph" w:styleId="Heading2">
    <w:name w:val="heading 2"/>
    <w:basedOn w:val="Normal"/>
    <w:next w:val="Normal"/>
    <w:link w:val="Heading2Char"/>
    <w:unhideWhenUsed/>
    <w:qFormat/>
    <w:rsid w:val="00671241"/>
    <w:pPr>
      <w:keepNext/>
      <w:keepLines/>
      <w:suppressAutoHyphens w:val="0"/>
      <w:autoSpaceDN/>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n-IN" w:eastAsia="en-US" w:bidi="gu-IN"/>
      <w14:ligatures w14:val="standardContextual"/>
    </w:rPr>
  </w:style>
  <w:style w:type="paragraph" w:styleId="Heading3">
    <w:name w:val="heading 3"/>
    <w:basedOn w:val="Normal"/>
    <w:next w:val="Normal"/>
    <w:link w:val="Heading3Char"/>
    <w:uiPriority w:val="9"/>
    <w:semiHidden/>
    <w:unhideWhenUsed/>
    <w:qFormat/>
    <w:rsid w:val="00671241"/>
    <w:pPr>
      <w:keepNext/>
      <w:keepLines/>
      <w:suppressAutoHyphens w:val="0"/>
      <w:autoSpaceDN/>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IN" w:eastAsia="en-US" w:bidi="gu-IN"/>
      <w14:ligatures w14:val="standardContextual"/>
    </w:rPr>
  </w:style>
  <w:style w:type="paragraph" w:styleId="Heading4">
    <w:name w:val="heading 4"/>
    <w:basedOn w:val="Normal"/>
    <w:next w:val="Normal"/>
    <w:link w:val="Heading4Char"/>
    <w:uiPriority w:val="9"/>
    <w:semiHidden/>
    <w:unhideWhenUsed/>
    <w:qFormat/>
    <w:rsid w:val="00671241"/>
    <w:pPr>
      <w:keepNext/>
      <w:keepLines/>
      <w:suppressAutoHyphens w:val="0"/>
      <w:autoSpaceDN/>
      <w:spacing w:before="80" w:after="40" w:line="278" w:lineRule="auto"/>
      <w:jc w:val="left"/>
      <w:outlineLvl w:val="3"/>
    </w:pPr>
    <w:rPr>
      <w:rFonts w:asciiTheme="minorHAnsi" w:eastAsiaTheme="majorEastAsia" w:hAnsiTheme="minorHAnsi" w:cstheme="majorBidi"/>
      <w:i/>
      <w:iCs/>
      <w:color w:val="0F4761" w:themeColor="accent1" w:themeShade="BF"/>
      <w:kern w:val="2"/>
      <w:szCs w:val="24"/>
      <w:lang w:val="en-IN" w:eastAsia="en-US" w:bidi="gu-IN"/>
      <w14:ligatures w14:val="standardContextual"/>
    </w:rPr>
  </w:style>
  <w:style w:type="paragraph" w:styleId="Heading5">
    <w:name w:val="heading 5"/>
    <w:basedOn w:val="Normal"/>
    <w:next w:val="Normal"/>
    <w:link w:val="Heading5Char"/>
    <w:uiPriority w:val="9"/>
    <w:semiHidden/>
    <w:unhideWhenUsed/>
    <w:qFormat/>
    <w:rsid w:val="00671241"/>
    <w:pPr>
      <w:keepNext/>
      <w:keepLines/>
      <w:suppressAutoHyphens w:val="0"/>
      <w:autoSpaceDN/>
      <w:spacing w:before="80" w:after="40" w:line="278" w:lineRule="auto"/>
      <w:jc w:val="left"/>
      <w:outlineLvl w:val="4"/>
    </w:pPr>
    <w:rPr>
      <w:rFonts w:asciiTheme="minorHAnsi" w:eastAsiaTheme="majorEastAsia" w:hAnsiTheme="minorHAnsi" w:cstheme="majorBidi"/>
      <w:color w:val="0F4761" w:themeColor="accent1" w:themeShade="BF"/>
      <w:kern w:val="2"/>
      <w:szCs w:val="24"/>
      <w:lang w:val="en-IN" w:eastAsia="en-US" w:bidi="gu-IN"/>
      <w14:ligatures w14:val="standardContextual"/>
    </w:rPr>
  </w:style>
  <w:style w:type="paragraph" w:styleId="Heading6">
    <w:name w:val="heading 6"/>
    <w:basedOn w:val="Normal"/>
    <w:next w:val="Normal"/>
    <w:link w:val="Heading6Char"/>
    <w:uiPriority w:val="9"/>
    <w:semiHidden/>
    <w:unhideWhenUsed/>
    <w:qFormat/>
    <w:rsid w:val="00671241"/>
    <w:pPr>
      <w:keepNext/>
      <w:keepLines/>
      <w:suppressAutoHyphens w:val="0"/>
      <w:autoSpaceDN/>
      <w:spacing w:before="40" w:line="278" w:lineRule="auto"/>
      <w:jc w:val="left"/>
      <w:outlineLvl w:val="5"/>
    </w:pPr>
    <w:rPr>
      <w:rFonts w:asciiTheme="minorHAnsi" w:eastAsiaTheme="majorEastAsia" w:hAnsiTheme="minorHAnsi" w:cstheme="majorBidi"/>
      <w:i/>
      <w:iCs/>
      <w:color w:val="595959" w:themeColor="text1" w:themeTint="A6"/>
      <w:kern w:val="2"/>
      <w:szCs w:val="24"/>
      <w:lang w:val="en-IN" w:eastAsia="en-US" w:bidi="gu-IN"/>
      <w14:ligatures w14:val="standardContextual"/>
    </w:rPr>
  </w:style>
  <w:style w:type="paragraph" w:styleId="Heading7">
    <w:name w:val="heading 7"/>
    <w:basedOn w:val="Normal"/>
    <w:next w:val="Normal"/>
    <w:link w:val="Heading7Char"/>
    <w:uiPriority w:val="9"/>
    <w:semiHidden/>
    <w:unhideWhenUsed/>
    <w:qFormat/>
    <w:rsid w:val="00671241"/>
    <w:pPr>
      <w:keepNext/>
      <w:keepLines/>
      <w:suppressAutoHyphens w:val="0"/>
      <w:autoSpaceDN/>
      <w:spacing w:before="40" w:line="278" w:lineRule="auto"/>
      <w:jc w:val="left"/>
      <w:outlineLvl w:val="6"/>
    </w:pPr>
    <w:rPr>
      <w:rFonts w:asciiTheme="minorHAnsi" w:eastAsiaTheme="majorEastAsia" w:hAnsiTheme="minorHAnsi" w:cstheme="majorBidi"/>
      <w:color w:val="595959" w:themeColor="text1" w:themeTint="A6"/>
      <w:kern w:val="2"/>
      <w:szCs w:val="24"/>
      <w:lang w:val="en-IN" w:eastAsia="en-US" w:bidi="gu-IN"/>
      <w14:ligatures w14:val="standardContextual"/>
    </w:rPr>
  </w:style>
  <w:style w:type="paragraph" w:styleId="Heading8">
    <w:name w:val="heading 8"/>
    <w:basedOn w:val="Normal"/>
    <w:next w:val="Normal"/>
    <w:link w:val="Heading8Char"/>
    <w:uiPriority w:val="9"/>
    <w:semiHidden/>
    <w:unhideWhenUsed/>
    <w:qFormat/>
    <w:rsid w:val="00671241"/>
    <w:pPr>
      <w:keepNext/>
      <w:keepLines/>
      <w:suppressAutoHyphens w:val="0"/>
      <w:autoSpaceDN/>
      <w:spacing w:line="278" w:lineRule="auto"/>
      <w:jc w:val="left"/>
      <w:outlineLvl w:val="7"/>
    </w:pPr>
    <w:rPr>
      <w:rFonts w:asciiTheme="minorHAnsi" w:eastAsiaTheme="majorEastAsia" w:hAnsiTheme="minorHAnsi" w:cstheme="majorBidi"/>
      <w:i/>
      <w:iCs/>
      <w:color w:val="272727" w:themeColor="text1" w:themeTint="D8"/>
      <w:kern w:val="2"/>
      <w:szCs w:val="24"/>
      <w:lang w:val="en-IN" w:eastAsia="en-US" w:bidi="gu-IN"/>
      <w14:ligatures w14:val="standardContextual"/>
    </w:rPr>
  </w:style>
  <w:style w:type="paragraph" w:styleId="Heading9">
    <w:name w:val="heading 9"/>
    <w:basedOn w:val="Normal"/>
    <w:next w:val="Normal"/>
    <w:link w:val="Heading9Char"/>
    <w:uiPriority w:val="9"/>
    <w:semiHidden/>
    <w:unhideWhenUsed/>
    <w:qFormat/>
    <w:rsid w:val="00671241"/>
    <w:pPr>
      <w:keepNext/>
      <w:keepLines/>
      <w:suppressAutoHyphens w:val="0"/>
      <w:autoSpaceDN/>
      <w:spacing w:line="278" w:lineRule="auto"/>
      <w:jc w:val="left"/>
      <w:outlineLvl w:val="8"/>
    </w:pPr>
    <w:rPr>
      <w:rFonts w:asciiTheme="minorHAnsi" w:eastAsiaTheme="majorEastAsia" w:hAnsiTheme="minorHAnsi" w:cstheme="majorBidi"/>
      <w:color w:val="272727" w:themeColor="text1" w:themeTint="D8"/>
      <w:kern w:val="2"/>
      <w:szCs w:val="24"/>
      <w:lang w:val="en-IN" w:eastAsia="en-US" w:bidi="gu-I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2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12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12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12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12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12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2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2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241"/>
    <w:rPr>
      <w:rFonts w:eastAsiaTheme="majorEastAsia" w:cstheme="majorBidi"/>
      <w:color w:val="272727" w:themeColor="text1" w:themeTint="D8"/>
    </w:rPr>
  </w:style>
  <w:style w:type="paragraph" w:styleId="Title">
    <w:name w:val="Title"/>
    <w:basedOn w:val="Normal"/>
    <w:next w:val="Normal"/>
    <w:link w:val="TitleChar"/>
    <w:uiPriority w:val="10"/>
    <w:qFormat/>
    <w:rsid w:val="00671241"/>
    <w:pPr>
      <w:suppressAutoHyphens w:val="0"/>
      <w:autoSpaceDN/>
      <w:spacing w:after="80" w:line="240" w:lineRule="auto"/>
      <w:contextualSpacing/>
      <w:jc w:val="left"/>
    </w:pPr>
    <w:rPr>
      <w:rFonts w:asciiTheme="majorHAnsi" w:eastAsiaTheme="majorEastAsia" w:hAnsiTheme="majorHAnsi" w:cstheme="majorBidi"/>
      <w:spacing w:val="-10"/>
      <w:kern w:val="28"/>
      <w:sz w:val="56"/>
      <w:szCs w:val="56"/>
      <w:lang w:val="en-IN" w:eastAsia="en-US" w:bidi="gu-IN"/>
      <w14:ligatures w14:val="standardContextual"/>
    </w:rPr>
  </w:style>
  <w:style w:type="character" w:customStyle="1" w:styleId="TitleChar">
    <w:name w:val="Title Char"/>
    <w:basedOn w:val="DefaultParagraphFont"/>
    <w:link w:val="Title"/>
    <w:uiPriority w:val="10"/>
    <w:rsid w:val="006712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241"/>
    <w:pPr>
      <w:numPr>
        <w:ilvl w:val="1"/>
      </w:numPr>
      <w:suppressAutoHyphens w:val="0"/>
      <w:autoSpaceDN/>
      <w:spacing w:after="160" w:line="278" w:lineRule="auto"/>
      <w:jc w:val="left"/>
    </w:pPr>
    <w:rPr>
      <w:rFonts w:asciiTheme="minorHAnsi" w:eastAsiaTheme="majorEastAsia" w:hAnsiTheme="minorHAnsi" w:cstheme="majorBidi"/>
      <w:color w:val="595959" w:themeColor="text1" w:themeTint="A6"/>
      <w:spacing w:val="15"/>
      <w:kern w:val="2"/>
      <w:sz w:val="28"/>
      <w:szCs w:val="28"/>
      <w:lang w:val="en-IN" w:eastAsia="en-US" w:bidi="gu-IN"/>
      <w14:ligatures w14:val="standardContextual"/>
    </w:rPr>
  </w:style>
  <w:style w:type="character" w:customStyle="1" w:styleId="SubtitleChar">
    <w:name w:val="Subtitle Char"/>
    <w:basedOn w:val="DefaultParagraphFont"/>
    <w:link w:val="Subtitle"/>
    <w:uiPriority w:val="11"/>
    <w:rsid w:val="006712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241"/>
    <w:pPr>
      <w:suppressAutoHyphens w:val="0"/>
      <w:autoSpaceDN/>
      <w:spacing w:before="160" w:after="160" w:line="278" w:lineRule="auto"/>
      <w:jc w:val="center"/>
    </w:pPr>
    <w:rPr>
      <w:rFonts w:asciiTheme="minorHAnsi" w:eastAsiaTheme="minorHAnsi" w:hAnsiTheme="minorHAnsi" w:cstheme="minorBidi"/>
      <w:i/>
      <w:iCs/>
      <w:color w:val="404040" w:themeColor="text1" w:themeTint="BF"/>
      <w:kern w:val="2"/>
      <w:szCs w:val="24"/>
      <w:lang w:val="en-IN" w:eastAsia="en-US" w:bidi="gu-IN"/>
      <w14:ligatures w14:val="standardContextual"/>
    </w:rPr>
  </w:style>
  <w:style w:type="character" w:customStyle="1" w:styleId="QuoteChar">
    <w:name w:val="Quote Char"/>
    <w:basedOn w:val="DefaultParagraphFont"/>
    <w:link w:val="Quote"/>
    <w:uiPriority w:val="29"/>
    <w:rsid w:val="00671241"/>
    <w:rPr>
      <w:i/>
      <w:iCs/>
      <w:color w:val="404040" w:themeColor="text1" w:themeTint="BF"/>
    </w:rPr>
  </w:style>
  <w:style w:type="paragraph" w:styleId="ListParagraph">
    <w:name w:val="List Paragraph"/>
    <w:basedOn w:val="Normal"/>
    <w:uiPriority w:val="34"/>
    <w:qFormat/>
    <w:rsid w:val="00671241"/>
    <w:pPr>
      <w:suppressAutoHyphens w:val="0"/>
      <w:autoSpaceDN/>
      <w:spacing w:after="160" w:line="278" w:lineRule="auto"/>
      <w:ind w:left="720"/>
      <w:contextualSpacing/>
      <w:jc w:val="left"/>
    </w:pPr>
    <w:rPr>
      <w:rFonts w:asciiTheme="minorHAnsi" w:eastAsiaTheme="minorHAnsi" w:hAnsiTheme="minorHAnsi" w:cstheme="minorBidi"/>
      <w:kern w:val="2"/>
      <w:szCs w:val="24"/>
      <w:lang w:val="en-IN" w:eastAsia="en-US" w:bidi="gu-IN"/>
      <w14:ligatures w14:val="standardContextual"/>
    </w:rPr>
  </w:style>
  <w:style w:type="character" w:styleId="IntenseEmphasis">
    <w:name w:val="Intense Emphasis"/>
    <w:basedOn w:val="DefaultParagraphFont"/>
    <w:uiPriority w:val="21"/>
    <w:qFormat/>
    <w:rsid w:val="00671241"/>
    <w:rPr>
      <w:i/>
      <w:iCs/>
      <w:color w:val="0F4761" w:themeColor="accent1" w:themeShade="BF"/>
    </w:rPr>
  </w:style>
  <w:style w:type="paragraph" w:styleId="IntenseQuote">
    <w:name w:val="Intense Quote"/>
    <w:basedOn w:val="Normal"/>
    <w:next w:val="Normal"/>
    <w:link w:val="IntenseQuoteChar"/>
    <w:uiPriority w:val="30"/>
    <w:qFormat/>
    <w:rsid w:val="00671241"/>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val="en-IN" w:eastAsia="en-US" w:bidi="gu-IN"/>
      <w14:ligatures w14:val="standardContextual"/>
    </w:rPr>
  </w:style>
  <w:style w:type="character" w:customStyle="1" w:styleId="IntenseQuoteChar">
    <w:name w:val="Intense Quote Char"/>
    <w:basedOn w:val="DefaultParagraphFont"/>
    <w:link w:val="IntenseQuote"/>
    <w:uiPriority w:val="30"/>
    <w:rsid w:val="00671241"/>
    <w:rPr>
      <w:i/>
      <w:iCs/>
      <w:color w:val="0F4761" w:themeColor="accent1" w:themeShade="BF"/>
    </w:rPr>
  </w:style>
  <w:style w:type="character" w:styleId="IntenseReference">
    <w:name w:val="Intense Reference"/>
    <w:basedOn w:val="DefaultParagraphFont"/>
    <w:uiPriority w:val="32"/>
    <w:qFormat/>
    <w:rsid w:val="00671241"/>
    <w:rPr>
      <w:b/>
      <w:bCs/>
      <w:smallCaps/>
      <w:color w:val="0F4761" w:themeColor="accent1" w:themeShade="BF"/>
      <w:spacing w:val="5"/>
    </w:rPr>
  </w:style>
  <w:style w:type="table" w:customStyle="1" w:styleId="Table1">
    <w:name w:val="Table1"/>
    <w:basedOn w:val="TableNormal"/>
    <w:rsid w:val="00671241"/>
    <w:pPr>
      <w:spacing w:after="0" w:line="360" w:lineRule="auto"/>
      <w:jc w:val="both"/>
    </w:pPr>
    <w:rPr>
      <w:rFonts w:ascii="Times New Roman" w:eastAsia="Times New Roman" w:hAnsi="Times New Roman" w:cs="Times New Roman"/>
      <w:kern w:val="0"/>
      <w:lang w:val="en" w:bidi="ar-SA"/>
      <w14:ligatures w14:val="none"/>
    </w:rPr>
    <w:tblPr>
      <w:tblStyleRowBandSize w:val="1"/>
      <w:tblStyleColBandSize w:val="1"/>
      <w:tblInd w:w="0" w:type="nil"/>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671241"/>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671241"/>
    <w:pPr>
      <w:suppressAutoHyphens w:val="0"/>
      <w:autoSpaceDN/>
      <w:spacing w:before="240" w:after="100"/>
    </w:pPr>
    <w:rPr>
      <w:rFonts w:ascii="Times New Roman" w:eastAsia="Times New Roman" w:hAnsi="Times New Roman"/>
      <w:kern w:val="0"/>
      <w:szCs w:val="24"/>
      <w:lang w:val="en" w:eastAsia="en-US" w:bidi="ar-SA"/>
    </w:rPr>
  </w:style>
  <w:style w:type="character" w:styleId="Hyperlink">
    <w:name w:val="Hyperlink"/>
    <w:basedOn w:val="DefaultParagraphFont"/>
    <w:uiPriority w:val="99"/>
    <w:unhideWhenUsed/>
    <w:rsid w:val="00671241"/>
    <w:rPr>
      <w:color w:val="467886" w:themeColor="hyperlink"/>
      <w:u w:val="single"/>
    </w:rPr>
  </w:style>
  <w:style w:type="paragraph" w:styleId="TOC2">
    <w:name w:val="toc 2"/>
    <w:basedOn w:val="Normal"/>
    <w:next w:val="Normal"/>
    <w:autoRedefine/>
    <w:uiPriority w:val="39"/>
    <w:unhideWhenUsed/>
    <w:rsid w:val="00671241"/>
    <w:pPr>
      <w:suppressAutoHyphens w:val="0"/>
      <w:autoSpaceDN/>
      <w:spacing w:before="240" w:after="100"/>
      <w:ind w:left="240"/>
    </w:pPr>
    <w:rPr>
      <w:rFonts w:ascii="Times New Roman" w:eastAsia="Times New Roman" w:hAnsi="Times New Roman"/>
      <w:kern w:val="0"/>
      <w:szCs w:val="24"/>
      <w:lang w:val="en" w:eastAsia="en-US" w:bidi="ar-SA"/>
    </w:rPr>
  </w:style>
  <w:style w:type="table" w:styleId="TableGrid">
    <w:name w:val="Table Grid"/>
    <w:basedOn w:val="TableNormal"/>
    <w:uiPriority w:val="39"/>
    <w:rsid w:val="00E22D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22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4097/es6rry79" TargetMode="External"/><Relationship Id="rId18" Type="http://schemas.openxmlformats.org/officeDocument/2006/relationships/hyperlink" Target="https://doi.org/10.1111/soc4.13218" TargetMode="External"/><Relationship Id="rId26" Type="http://schemas.openxmlformats.org/officeDocument/2006/relationships/hyperlink" Target="https://isti.reapress.com/journal/article/view/29" TargetMode="External"/><Relationship Id="rId39" Type="http://schemas.openxmlformats.org/officeDocument/2006/relationships/fontTable" Target="fontTable.xml"/><Relationship Id="rId21" Type="http://schemas.openxmlformats.org/officeDocument/2006/relationships/hyperlink" Target="https://www.bmij.org/index.php/1/article/view/1790" TargetMode="External"/><Relationship Id="rId34" Type="http://schemas.openxmlformats.org/officeDocument/2006/relationships/hyperlink" Target="https://www.tesla.com/fsd" TargetMode="External"/><Relationship Id="rId7" Type="http://schemas.openxmlformats.org/officeDocument/2006/relationships/hyperlink" Target="https://doi.org/10.2991/aebmr.k.220405.169" TargetMode="External"/><Relationship Id="rId12" Type="http://schemas.openxmlformats.org/officeDocument/2006/relationships/hyperlink" Target="https://www.fromtheroad.ford.com/eur/en/articles/2025/bob-holycross-ford-sustainability-climate-week" TargetMode="External"/><Relationship Id="rId17" Type="http://schemas.openxmlformats.org/officeDocument/2006/relationships/hyperlink" Target="https://doi.org/10.1002/jsc.70027" TargetMode="External"/><Relationship Id="rId25" Type="http://schemas.openxmlformats.org/officeDocument/2006/relationships/hyperlink" Target="https://doi.org/10.3390/su13073632" TargetMode="External"/><Relationship Id="rId33" Type="http://schemas.openxmlformats.org/officeDocument/2006/relationships/hyperlink" Target="https://www.tesla.com/support/ordering-new-vehicle" TargetMode="External"/><Relationship Id="rId38" Type="http://schemas.openxmlformats.org/officeDocument/2006/relationships/hyperlink" Target="https://onlinelibrary.wiley.com/doi/full/10.1002/aenm.202200383" TargetMode="External"/><Relationship Id="rId2" Type="http://schemas.openxmlformats.org/officeDocument/2006/relationships/settings" Target="settings.xml"/><Relationship Id="rId16" Type="http://schemas.openxmlformats.org/officeDocument/2006/relationships/hyperlink" Target="https://doi.org/10.1016/j.techfore.2019.119825" TargetMode="External"/><Relationship Id="rId20" Type="http://schemas.openxmlformats.org/officeDocument/2006/relationships/hyperlink" Target="https://doi.org/10.3390/su151713114" TargetMode="External"/><Relationship Id="rId29" Type="http://schemas.openxmlformats.org/officeDocument/2006/relationships/hyperlink" Target="https://www.reuters.com/markets/deals/toyota-make-battery-venture-with-panasonic-wholly-owned-subsidiary-2024-03-05/" TargetMode="External"/><Relationship Id="rId1" Type="http://schemas.openxmlformats.org/officeDocument/2006/relationships/styles" Target="styles.xml"/><Relationship Id="rId6" Type="http://schemas.openxmlformats.org/officeDocument/2006/relationships/hyperlink" Target="https://www.dacbeachcroft.com/it/What-we-think/The-Importance-of-Exactitude-German-court-finds-Teslas-Autopilot-system-risks-misleading-consumers" TargetMode="External"/><Relationship Id="rId11" Type="http://schemas.openxmlformats.org/officeDocument/2006/relationships/hyperlink" Target="https://corporate.ford.com/articles/sustainability/ford-expands-climate-change-goals.html" TargetMode="External"/><Relationship Id="rId24" Type="http://schemas.openxmlformats.org/officeDocument/2006/relationships/hyperlink" Target="https://www.mdpi.com/2071-1050/15/4/3010" TargetMode="External"/><Relationship Id="rId32" Type="http://schemas.openxmlformats.org/officeDocument/2006/relationships/hyperlink" Target="https://card-file.ontu.edu.ua/server/api/core/bitstreams/b527ca46-1c01-4d7b-9b3c-8c025f152c74/content" TargetMode="External"/><Relationship Id="rId37" Type="http://schemas.openxmlformats.org/officeDocument/2006/relationships/hyperlink" Target="https://doi.org/10.3390/su13052928" TargetMode="External"/><Relationship Id="rId40"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www.volkswagen-group.com/en/press-releases/volkswagen-and-ford-expand-collaboration-on-meb-electric-platform-16817" TargetMode="External"/><Relationship Id="rId23" Type="http://schemas.openxmlformats.org/officeDocument/2006/relationships/hyperlink" Target="https://think.ing.com/articles/subsidy-exit-delays-the-us-ev-transition-but-wont-derail-it/" TargetMode="External"/><Relationship Id="rId28" Type="http://schemas.openxmlformats.org/officeDocument/2006/relationships/hyperlink" Target="https://www.reuters.com/business/autos-transportation/german-labour-court-finds-tesla-broke-union-election-rules-2024-02-13/" TargetMode="External"/><Relationship Id="rId36" Type="http://schemas.openxmlformats.org/officeDocument/2006/relationships/hyperlink" Target="https://www.cnbc.com/2019/11/18/forget-ford-v-ferrari-ford-targets-tesla-with-mustang-mach-e.html" TargetMode="External"/><Relationship Id="rId10" Type="http://schemas.openxmlformats.org/officeDocument/2006/relationships/hyperlink" Target="https://corporate.ford.com/articles/products/f-150-lightning.html" TargetMode="External"/><Relationship Id="rId19" Type="http://schemas.openxmlformats.org/officeDocument/2006/relationships/hyperlink" Target="https://www.cnbc.com/2021/05/18/tesla-electric-vehicle-regulatory-credits-explained.html" TargetMode="External"/><Relationship Id="rId31" Type="http://schemas.openxmlformats.org/officeDocument/2006/relationships/hyperlink" Target="https://doi.org/10.63503/j.ijssic.2025.88" TargetMode="External"/><Relationship Id="rId4" Type="http://schemas.openxmlformats.org/officeDocument/2006/relationships/image" Target="media/image1.png"/><Relationship Id="rId9" Type="http://schemas.openxmlformats.org/officeDocument/2006/relationships/hyperlink" Target="https://www.econstor.eu/handle/10419/306984" TargetMode="External"/><Relationship Id="rId14" Type="http://schemas.openxmlformats.org/officeDocument/2006/relationships/hyperlink" Target="https://doi.org/10.47772/ijriss.2023.7011144" TargetMode="External"/><Relationship Id="rId22" Type="http://schemas.openxmlformats.org/officeDocument/2006/relationships/hyperlink" Target="https://doi.org/10.3389/fenrg.2021.642467" TargetMode="External"/><Relationship Id="rId27" Type="http://schemas.openxmlformats.org/officeDocument/2006/relationships/hyperlink" Target="https://corporatefinanceinstitute.com/resources/management/ansoff-matrix/" TargetMode="External"/><Relationship Id="rId30" Type="http://schemas.openxmlformats.org/officeDocument/2006/relationships/hyperlink" Target="https://www.reuters.com/business/autos-transportation/ford-says-michigan-ev-battery-plant-on-track-production-tax-credits-2025-07-08/" TargetMode="External"/><Relationship Id="rId35" Type="http://schemas.openxmlformats.org/officeDocument/2006/relationships/hyperlink" Target="https://www.toyota-europe.com/innovation/hydrogen-economy" TargetMode="External"/><Relationship Id="rId8" Type="http://schemas.openxmlformats.org/officeDocument/2006/relationships/hyperlink" Target="https://ec.europa.eu/commission/presscorner/detail/en/IP_22_6462"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4443</Words>
  <Characters>25060</Characters>
  <Application>Microsoft Office Word</Application>
  <DocSecurity>0</DocSecurity>
  <Lines>3580</Lines>
  <Paragraphs>1475</Paragraphs>
  <ScaleCrop>false</ScaleCrop>
  <Company/>
  <LinksUpToDate>false</LinksUpToDate>
  <CharactersWithSpaces>28028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 Jignesh Jani (2504341)</dc:creator>
  <cp:keywords/>
  <dc:description/>
  <cp:lastModifiedBy>Kush Jignesh Jani (2504341)</cp:lastModifiedBy>
  <cp:revision>4</cp:revision>
  <dcterms:created xsi:type="dcterms:W3CDTF">2025-11-14T08:38:00Z</dcterms:created>
  <dcterms:modified xsi:type="dcterms:W3CDTF">2025-11-20T13:24:00Z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a7b93ab0-8726-4248-bfee-f60bf587d29f</vt:lpwstr>
  </property>
</Properties>
</file>