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343F70" w14:textId="77777777" w:rsidR="00371B79" w:rsidRPr="0046622B" w:rsidRDefault="00371B79" w:rsidP="00371B79">
      <w:pPr>
        <w:spacing w:line="480" w:lineRule="auto"/>
        <w:jc w:val="center"/>
        <w:rPr>
          <w:rFonts w:cs="Times New Roman"/>
          <w:b/>
          <w:bCs/>
          <w:sz w:val="32"/>
          <w:szCs w:val="32"/>
        </w:rPr>
      </w:pPr>
      <w:r>
        <w:rPr>
          <w:noProof/>
        </w:rPr>
        <w:drawing>
          <wp:inline distT="0" distB="0" distL="0" distR="0" wp14:anchorId="6483AC8A" wp14:editId="2A7F22EB">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rPr>
          <w:noProof/>
        </w:rPr>
        <w:t xml:space="preserve"> </w:t>
      </w:r>
    </w:p>
    <w:p w14:paraId="76726F92" w14:textId="055625C5" w:rsidR="00371B79" w:rsidRPr="00A40A0B" w:rsidRDefault="00371B79" w:rsidP="00A40A0B">
      <w:pPr>
        <w:spacing w:line="480" w:lineRule="auto"/>
        <w:jc w:val="center"/>
        <w:rPr>
          <w:rFonts w:cs="Times New Roman"/>
          <w:b/>
          <w:bCs/>
          <w:sz w:val="32"/>
          <w:szCs w:val="32"/>
          <w:lang w:val="en-US"/>
        </w:rPr>
      </w:pPr>
      <w:r>
        <w:rPr>
          <w:rFonts w:cs="Times New Roman"/>
          <w:b/>
          <w:bCs/>
          <w:sz w:val="32"/>
          <w:szCs w:val="32"/>
        </w:rPr>
        <w:t xml:space="preserve">Module Name: </w:t>
      </w:r>
      <w:r w:rsidR="00A40A0B" w:rsidRPr="00A40A0B">
        <w:rPr>
          <w:rFonts w:cs="Times New Roman"/>
          <w:b/>
          <w:bCs/>
          <w:sz w:val="32"/>
          <w:szCs w:val="32"/>
          <w:lang w:val="en-US"/>
        </w:rPr>
        <w:t>Strategic Management</w:t>
      </w:r>
    </w:p>
    <w:p w14:paraId="1F2F239C" w14:textId="02CCC960" w:rsidR="00371B79" w:rsidRPr="00A40A0B" w:rsidRDefault="00371B79" w:rsidP="00A40A0B">
      <w:pPr>
        <w:spacing w:line="480" w:lineRule="auto"/>
        <w:jc w:val="center"/>
        <w:rPr>
          <w:rFonts w:cs="Times New Roman"/>
          <w:b/>
          <w:bCs/>
          <w:sz w:val="32"/>
          <w:szCs w:val="32"/>
          <w:lang w:val="en-US"/>
        </w:rPr>
      </w:pPr>
      <w:r>
        <w:rPr>
          <w:rFonts w:cs="Times New Roman"/>
          <w:b/>
          <w:bCs/>
          <w:sz w:val="32"/>
          <w:szCs w:val="32"/>
        </w:rPr>
        <w:t xml:space="preserve">Module Code: </w:t>
      </w:r>
      <w:r w:rsidR="00A40A0B" w:rsidRPr="00A40A0B">
        <w:rPr>
          <w:rFonts w:cs="Times New Roman"/>
          <w:b/>
          <w:bCs/>
          <w:sz w:val="32"/>
          <w:szCs w:val="32"/>
          <w:lang w:val="en-US"/>
        </w:rPr>
        <w:t>LCMB7003_LON</w:t>
      </w:r>
      <w:r w:rsidRPr="00E557F2">
        <w:rPr>
          <w:rFonts w:cs="Times New Roman"/>
          <w:b/>
          <w:bCs/>
          <w:sz w:val="32"/>
          <w:szCs w:val="32"/>
        </w:rPr>
        <w:br/>
      </w:r>
      <w:r w:rsidRPr="00371B79">
        <w:rPr>
          <w:rFonts w:cs="Times New Roman"/>
          <w:b/>
          <w:bCs/>
          <w:sz w:val="32"/>
          <w:szCs w:val="32"/>
        </w:rPr>
        <w:t>Strategic Expansion Plan for Rivian Automotive: Entering the Indian Electric Vehicle Market</w:t>
      </w:r>
    </w:p>
    <w:p w14:paraId="6E75DCFA" w14:textId="6DEB4F7B" w:rsidR="00371B79" w:rsidRPr="0046622B" w:rsidRDefault="00371B79" w:rsidP="00371B79">
      <w:pPr>
        <w:spacing w:line="360" w:lineRule="auto"/>
        <w:jc w:val="center"/>
        <w:rPr>
          <w:rFonts w:cs="Times New Roman"/>
          <w:b/>
          <w:bCs/>
          <w:sz w:val="32"/>
          <w:szCs w:val="32"/>
        </w:rPr>
      </w:pPr>
      <w:r w:rsidRPr="00E557F2">
        <w:rPr>
          <w:rFonts w:cs="Times New Roman"/>
          <w:b/>
          <w:bCs/>
          <w:sz w:val="32"/>
          <w:szCs w:val="32"/>
        </w:rPr>
        <w:t>Student</w:t>
      </w:r>
      <w:r>
        <w:rPr>
          <w:rFonts w:cs="Times New Roman"/>
          <w:b/>
          <w:bCs/>
          <w:sz w:val="32"/>
          <w:szCs w:val="32"/>
        </w:rPr>
        <w:t xml:space="preserve"> Name: </w:t>
      </w:r>
      <w:r w:rsidR="00A40A0B">
        <w:rPr>
          <w:rFonts w:cs="Times New Roman"/>
          <w:b/>
          <w:bCs/>
          <w:sz w:val="32"/>
          <w:szCs w:val="32"/>
        </w:rPr>
        <w:t xml:space="preserve">Krunal </w:t>
      </w:r>
      <w:proofErr w:type="spellStart"/>
      <w:r w:rsidR="00A40A0B">
        <w:rPr>
          <w:rFonts w:cs="Times New Roman"/>
          <w:b/>
          <w:bCs/>
          <w:sz w:val="32"/>
          <w:szCs w:val="32"/>
        </w:rPr>
        <w:t>SureshBhai</w:t>
      </w:r>
      <w:proofErr w:type="spellEnd"/>
      <w:r w:rsidR="00A40A0B">
        <w:rPr>
          <w:rFonts w:cs="Times New Roman"/>
          <w:b/>
          <w:bCs/>
          <w:sz w:val="32"/>
          <w:szCs w:val="32"/>
        </w:rPr>
        <w:t xml:space="preserve"> Prajapati</w:t>
      </w:r>
    </w:p>
    <w:p w14:paraId="3AAB63B3" w14:textId="5FE0D102" w:rsidR="00371B79" w:rsidRPr="0046622B" w:rsidRDefault="00371B79" w:rsidP="00371B79">
      <w:pPr>
        <w:spacing w:line="360" w:lineRule="auto"/>
        <w:jc w:val="center"/>
        <w:rPr>
          <w:rFonts w:cs="Times New Roman"/>
          <w:b/>
          <w:bCs/>
          <w:sz w:val="32"/>
          <w:szCs w:val="32"/>
        </w:rPr>
      </w:pPr>
      <w:r w:rsidRPr="00E557F2">
        <w:rPr>
          <w:rFonts w:cs="Times New Roman"/>
          <w:b/>
          <w:bCs/>
          <w:sz w:val="32"/>
          <w:szCs w:val="32"/>
        </w:rPr>
        <w:t>Student</w:t>
      </w:r>
      <w:r>
        <w:rPr>
          <w:rFonts w:cs="Times New Roman"/>
          <w:b/>
          <w:bCs/>
          <w:sz w:val="32"/>
          <w:szCs w:val="32"/>
        </w:rPr>
        <w:t xml:space="preserve"> ID: </w:t>
      </w:r>
      <w:r w:rsidR="00A40A0B">
        <w:rPr>
          <w:rFonts w:cs="Times New Roman"/>
          <w:b/>
          <w:bCs/>
          <w:sz w:val="32"/>
          <w:szCs w:val="32"/>
        </w:rPr>
        <w:t>2432481</w:t>
      </w:r>
    </w:p>
    <w:p w14:paraId="5C1C8DB0" w14:textId="71F0D070" w:rsidR="00371B79" w:rsidRPr="00A40A0B" w:rsidRDefault="00371B79" w:rsidP="00A40A0B">
      <w:pPr>
        <w:spacing w:line="360" w:lineRule="auto"/>
        <w:jc w:val="center"/>
        <w:rPr>
          <w:rFonts w:cs="Times New Roman"/>
          <w:b/>
          <w:bCs/>
          <w:sz w:val="32"/>
          <w:szCs w:val="32"/>
          <w:lang w:val="en-US"/>
        </w:rPr>
      </w:pPr>
      <w:r>
        <w:rPr>
          <w:rFonts w:cs="Times New Roman"/>
          <w:b/>
          <w:bCs/>
          <w:sz w:val="32"/>
          <w:szCs w:val="32"/>
        </w:rPr>
        <w:t xml:space="preserve">Lecturer Name: </w:t>
      </w:r>
      <w:r w:rsidR="00A40A0B" w:rsidRPr="00A40A0B">
        <w:rPr>
          <w:rFonts w:cs="Times New Roman"/>
          <w:b/>
          <w:bCs/>
          <w:sz w:val="32"/>
          <w:szCs w:val="32"/>
          <w:lang w:val="en-US"/>
        </w:rPr>
        <w:t>Dr Jaya Gopalkrishnan</w:t>
      </w:r>
      <w:r w:rsidR="00A40A0B">
        <w:rPr>
          <w:rFonts w:cs="Times New Roman"/>
          <w:b/>
          <w:bCs/>
          <w:sz w:val="32"/>
          <w:szCs w:val="32"/>
          <w:lang w:val="en-US"/>
        </w:rPr>
        <w:t xml:space="preserve"> &amp; </w:t>
      </w:r>
      <w:r w:rsidR="00A40A0B" w:rsidRPr="00A40A0B">
        <w:rPr>
          <w:rFonts w:cs="Times New Roman"/>
          <w:b/>
          <w:bCs/>
          <w:sz w:val="32"/>
          <w:szCs w:val="32"/>
        </w:rPr>
        <w:br/>
      </w:r>
      <w:r w:rsidR="00A40A0B">
        <w:rPr>
          <w:rFonts w:cs="Times New Roman"/>
          <w:b/>
          <w:bCs/>
          <w:sz w:val="32"/>
          <w:szCs w:val="32"/>
        </w:rPr>
        <w:t xml:space="preserve"> </w:t>
      </w:r>
      <w:proofErr w:type="spellStart"/>
      <w:r w:rsidR="00A40A0B" w:rsidRPr="00A40A0B">
        <w:rPr>
          <w:rFonts w:cs="Times New Roman"/>
          <w:b/>
          <w:bCs/>
          <w:sz w:val="32"/>
          <w:szCs w:val="32"/>
        </w:rPr>
        <w:t>Shengfeng</w:t>
      </w:r>
      <w:proofErr w:type="spellEnd"/>
      <w:r w:rsidR="00A40A0B" w:rsidRPr="00A40A0B">
        <w:rPr>
          <w:rFonts w:cs="Times New Roman"/>
          <w:b/>
          <w:bCs/>
          <w:sz w:val="32"/>
          <w:szCs w:val="32"/>
        </w:rPr>
        <w:t xml:space="preserve"> Mei</w:t>
      </w:r>
    </w:p>
    <w:p w14:paraId="4E74739A" w14:textId="55015780" w:rsidR="00371B79" w:rsidRPr="0046622B" w:rsidRDefault="00371B79" w:rsidP="00371B79">
      <w:pPr>
        <w:spacing w:line="360" w:lineRule="auto"/>
        <w:jc w:val="center"/>
        <w:rPr>
          <w:rFonts w:cs="Times New Roman"/>
          <w:b/>
          <w:bCs/>
          <w:sz w:val="32"/>
          <w:szCs w:val="32"/>
        </w:rPr>
      </w:pPr>
      <w:r>
        <w:rPr>
          <w:rFonts w:cs="Times New Roman"/>
          <w:b/>
          <w:bCs/>
          <w:sz w:val="32"/>
          <w:szCs w:val="32"/>
        </w:rPr>
        <w:t xml:space="preserve">Word Count: </w:t>
      </w:r>
      <w:r w:rsidR="00A40A0B">
        <w:rPr>
          <w:rFonts w:cs="Times New Roman"/>
          <w:b/>
          <w:bCs/>
          <w:sz w:val="32"/>
          <w:szCs w:val="32"/>
        </w:rPr>
        <w:t>5129</w:t>
      </w:r>
    </w:p>
    <w:p w14:paraId="136E9FC0" w14:textId="77777777" w:rsidR="003073A8" w:rsidRDefault="003073A8" w:rsidP="003073A8">
      <w:pPr>
        <w:pStyle w:val="Title"/>
        <w:jc w:val="center"/>
      </w:pPr>
    </w:p>
    <w:p w14:paraId="2DF2FEE9" w14:textId="77777777" w:rsidR="003073A8" w:rsidRDefault="003073A8" w:rsidP="003073A8">
      <w:pPr>
        <w:pStyle w:val="Title"/>
        <w:jc w:val="center"/>
      </w:pPr>
    </w:p>
    <w:p w14:paraId="0A858F64" w14:textId="77777777" w:rsidR="003073A8" w:rsidRDefault="003073A8" w:rsidP="003073A8">
      <w:pPr>
        <w:pStyle w:val="Title"/>
        <w:jc w:val="center"/>
      </w:pPr>
    </w:p>
    <w:p w14:paraId="1F42A366" w14:textId="77777777" w:rsidR="003073A8" w:rsidRDefault="003073A8" w:rsidP="003073A8">
      <w:pPr>
        <w:pStyle w:val="Title"/>
        <w:jc w:val="center"/>
      </w:pPr>
    </w:p>
    <w:p w14:paraId="76D294C6" w14:textId="77777777" w:rsidR="003073A8" w:rsidRDefault="003073A8" w:rsidP="003073A8">
      <w:pPr>
        <w:pStyle w:val="Title"/>
        <w:jc w:val="center"/>
      </w:pPr>
    </w:p>
    <w:p w14:paraId="74B302D0" w14:textId="77777777" w:rsidR="005A3888" w:rsidRPr="008C035E" w:rsidRDefault="005A3888" w:rsidP="003073A8">
      <w:pPr>
        <w:pStyle w:val="Title"/>
        <w:jc w:val="center"/>
        <w:rPr>
          <w:color w:val="0F4761" w:themeColor="accent1" w:themeShade="BF"/>
        </w:rPr>
      </w:pPr>
      <w:r w:rsidRPr="008C035E">
        <w:br w:type="page"/>
      </w:r>
    </w:p>
    <w:p w14:paraId="6FE1402C" w14:textId="77777777" w:rsidR="003073A8" w:rsidRDefault="003073A8" w:rsidP="00687C25">
      <w:pPr>
        <w:pStyle w:val="Heading1"/>
        <w:sectPr w:rsidR="003073A8">
          <w:footerReference w:type="default" r:id="rId9"/>
          <w:pgSz w:w="11906" w:h="16838"/>
          <w:pgMar w:top="1440" w:right="1440" w:bottom="1440" w:left="1440" w:header="708" w:footer="708" w:gutter="0"/>
          <w:cols w:space="708"/>
          <w:docGrid w:linePitch="360"/>
        </w:sectPr>
      </w:pPr>
    </w:p>
    <w:p w14:paraId="5CB04BF3" w14:textId="39EFE3FF" w:rsidR="002F3E48" w:rsidRDefault="002F3E48">
      <w:pPr>
        <w:rPr>
          <w:rFonts w:ascii="Arial" w:eastAsiaTheme="majorEastAsia" w:hAnsi="Arial" w:cs="Arial"/>
          <w:b/>
          <w:sz w:val="24"/>
          <w:szCs w:val="24"/>
        </w:rPr>
      </w:pPr>
    </w:p>
    <w:sdt>
      <w:sdtPr>
        <w:rPr>
          <w:rFonts w:asciiTheme="minorHAnsi" w:eastAsiaTheme="minorHAnsi" w:hAnsiTheme="minorHAnsi" w:cstheme="minorBidi"/>
          <w:color w:val="auto"/>
          <w:kern w:val="2"/>
          <w:sz w:val="22"/>
          <w:szCs w:val="28"/>
          <w:lang w:val="en-IN" w:bidi="th-TH"/>
          <w14:ligatures w14:val="standardContextual"/>
        </w:rPr>
        <w:id w:val="-1692601604"/>
        <w:docPartObj>
          <w:docPartGallery w:val="Table of Contents"/>
          <w:docPartUnique/>
        </w:docPartObj>
      </w:sdtPr>
      <w:sdtEndPr>
        <w:rPr>
          <w:b/>
          <w:bCs/>
          <w:noProof/>
        </w:rPr>
      </w:sdtEndPr>
      <w:sdtContent>
        <w:p w14:paraId="725E8FED" w14:textId="75EE2F05" w:rsidR="002F3E48" w:rsidRDefault="002F3E48">
          <w:pPr>
            <w:pStyle w:val="TOCHeading"/>
          </w:pPr>
          <w:r>
            <w:t>Table of Contents</w:t>
          </w:r>
        </w:p>
        <w:p w14:paraId="4E2C76FD" w14:textId="555A0E4F" w:rsidR="00F025F7" w:rsidRDefault="002F3E48">
          <w:pPr>
            <w:pStyle w:val="TOC1"/>
            <w:tabs>
              <w:tab w:val="right" w:leader="dot" w:pos="9016"/>
            </w:tabs>
            <w:rPr>
              <w:rFonts w:eastAsiaTheme="minorEastAsia"/>
              <w:noProof/>
              <w:kern w:val="0"/>
              <w:szCs w:val="22"/>
              <w:lang w:eastAsia="en-IN" w:bidi="ar-SA"/>
              <w14:ligatures w14:val="none"/>
            </w:rPr>
          </w:pPr>
          <w:r>
            <w:fldChar w:fldCharType="begin"/>
          </w:r>
          <w:r>
            <w:instrText xml:space="preserve"> TOC \o "1-3" \h \z \u </w:instrText>
          </w:r>
          <w:r>
            <w:fldChar w:fldCharType="separate"/>
          </w:r>
          <w:hyperlink w:anchor="_Toc217240563" w:history="1">
            <w:r w:rsidR="00F025F7" w:rsidRPr="00AD1AD3">
              <w:rPr>
                <w:rStyle w:val="Hyperlink"/>
                <w:noProof/>
              </w:rPr>
              <w:t>List of Tables &amp; Figures</w:t>
            </w:r>
            <w:r w:rsidR="00F025F7">
              <w:rPr>
                <w:noProof/>
                <w:webHidden/>
              </w:rPr>
              <w:tab/>
            </w:r>
            <w:r w:rsidR="00F025F7">
              <w:rPr>
                <w:noProof/>
                <w:webHidden/>
              </w:rPr>
              <w:fldChar w:fldCharType="begin"/>
            </w:r>
            <w:r w:rsidR="00F025F7">
              <w:rPr>
                <w:noProof/>
                <w:webHidden/>
              </w:rPr>
              <w:instrText xml:space="preserve"> PAGEREF _Toc217240563 \h </w:instrText>
            </w:r>
            <w:r w:rsidR="00F025F7">
              <w:rPr>
                <w:noProof/>
                <w:webHidden/>
              </w:rPr>
            </w:r>
            <w:r w:rsidR="00F025F7">
              <w:rPr>
                <w:noProof/>
                <w:webHidden/>
              </w:rPr>
              <w:fldChar w:fldCharType="separate"/>
            </w:r>
            <w:r w:rsidR="00F025F7">
              <w:rPr>
                <w:noProof/>
                <w:webHidden/>
              </w:rPr>
              <w:t>1</w:t>
            </w:r>
            <w:r w:rsidR="00F025F7">
              <w:rPr>
                <w:noProof/>
                <w:webHidden/>
              </w:rPr>
              <w:fldChar w:fldCharType="end"/>
            </w:r>
          </w:hyperlink>
        </w:p>
        <w:p w14:paraId="1ADD9BFB" w14:textId="1B921BA5" w:rsidR="00F025F7" w:rsidRDefault="00F025F7">
          <w:pPr>
            <w:pStyle w:val="TOC1"/>
            <w:tabs>
              <w:tab w:val="right" w:leader="dot" w:pos="9016"/>
            </w:tabs>
            <w:rPr>
              <w:rFonts w:eastAsiaTheme="minorEastAsia"/>
              <w:noProof/>
              <w:kern w:val="0"/>
              <w:szCs w:val="22"/>
              <w:lang w:eastAsia="en-IN" w:bidi="ar-SA"/>
              <w14:ligatures w14:val="none"/>
            </w:rPr>
          </w:pPr>
          <w:hyperlink w:anchor="_Toc217240564" w:history="1">
            <w:r w:rsidRPr="00AD1AD3">
              <w:rPr>
                <w:rStyle w:val="Hyperlink"/>
                <w:noProof/>
              </w:rPr>
              <w:t>Section 1: Selection of Organisation and Target Market</w:t>
            </w:r>
            <w:r>
              <w:rPr>
                <w:noProof/>
                <w:webHidden/>
              </w:rPr>
              <w:tab/>
            </w:r>
            <w:r>
              <w:rPr>
                <w:noProof/>
                <w:webHidden/>
              </w:rPr>
              <w:fldChar w:fldCharType="begin"/>
            </w:r>
            <w:r>
              <w:rPr>
                <w:noProof/>
                <w:webHidden/>
              </w:rPr>
              <w:instrText xml:space="preserve"> PAGEREF _Toc217240564 \h </w:instrText>
            </w:r>
            <w:r>
              <w:rPr>
                <w:noProof/>
                <w:webHidden/>
              </w:rPr>
            </w:r>
            <w:r>
              <w:rPr>
                <w:noProof/>
                <w:webHidden/>
              </w:rPr>
              <w:fldChar w:fldCharType="separate"/>
            </w:r>
            <w:r>
              <w:rPr>
                <w:noProof/>
                <w:webHidden/>
              </w:rPr>
              <w:t>1</w:t>
            </w:r>
            <w:r>
              <w:rPr>
                <w:noProof/>
                <w:webHidden/>
              </w:rPr>
              <w:fldChar w:fldCharType="end"/>
            </w:r>
          </w:hyperlink>
        </w:p>
        <w:p w14:paraId="42B5BE61" w14:textId="114D42DF"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65" w:history="1">
            <w:r w:rsidRPr="00AD1AD3">
              <w:rPr>
                <w:rStyle w:val="Hyperlink"/>
                <w:noProof/>
              </w:rPr>
              <w:t>1.1.</w:t>
            </w:r>
            <w:r>
              <w:rPr>
                <w:rFonts w:eastAsiaTheme="minorEastAsia"/>
                <w:noProof/>
                <w:kern w:val="0"/>
                <w:szCs w:val="22"/>
                <w:lang w:eastAsia="en-IN" w:bidi="ar-SA"/>
                <w14:ligatures w14:val="none"/>
              </w:rPr>
              <w:tab/>
            </w:r>
            <w:r w:rsidRPr="00AD1AD3">
              <w:rPr>
                <w:rStyle w:val="Hyperlink"/>
                <w:noProof/>
              </w:rPr>
              <w:t>Why this organisation?</w:t>
            </w:r>
            <w:r>
              <w:rPr>
                <w:noProof/>
                <w:webHidden/>
              </w:rPr>
              <w:tab/>
            </w:r>
            <w:r>
              <w:rPr>
                <w:noProof/>
                <w:webHidden/>
              </w:rPr>
              <w:fldChar w:fldCharType="begin"/>
            </w:r>
            <w:r>
              <w:rPr>
                <w:noProof/>
                <w:webHidden/>
              </w:rPr>
              <w:instrText xml:space="preserve"> PAGEREF _Toc217240565 \h </w:instrText>
            </w:r>
            <w:r>
              <w:rPr>
                <w:noProof/>
                <w:webHidden/>
              </w:rPr>
            </w:r>
            <w:r>
              <w:rPr>
                <w:noProof/>
                <w:webHidden/>
              </w:rPr>
              <w:fldChar w:fldCharType="separate"/>
            </w:r>
            <w:r>
              <w:rPr>
                <w:noProof/>
                <w:webHidden/>
              </w:rPr>
              <w:t>1</w:t>
            </w:r>
            <w:r>
              <w:rPr>
                <w:noProof/>
                <w:webHidden/>
              </w:rPr>
              <w:fldChar w:fldCharType="end"/>
            </w:r>
          </w:hyperlink>
        </w:p>
        <w:p w14:paraId="5155730B" w14:textId="67B31DE7"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66" w:history="1">
            <w:r w:rsidRPr="00AD1AD3">
              <w:rPr>
                <w:rStyle w:val="Hyperlink"/>
                <w:noProof/>
              </w:rPr>
              <w:t>1.2.</w:t>
            </w:r>
            <w:r>
              <w:rPr>
                <w:rFonts w:eastAsiaTheme="minorEastAsia"/>
                <w:noProof/>
                <w:kern w:val="0"/>
                <w:szCs w:val="22"/>
                <w:lang w:eastAsia="en-IN" w:bidi="ar-SA"/>
                <w14:ligatures w14:val="none"/>
              </w:rPr>
              <w:tab/>
            </w:r>
            <w:r w:rsidRPr="00AD1AD3">
              <w:rPr>
                <w:rStyle w:val="Hyperlink"/>
                <w:noProof/>
              </w:rPr>
              <w:t>Why India?</w:t>
            </w:r>
            <w:r>
              <w:rPr>
                <w:noProof/>
                <w:webHidden/>
              </w:rPr>
              <w:tab/>
            </w:r>
            <w:r>
              <w:rPr>
                <w:noProof/>
                <w:webHidden/>
              </w:rPr>
              <w:fldChar w:fldCharType="begin"/>
            </w:r>
            <w:r>
              <w:rPr>
                <w:noProof/>
                <w:webHidden/>
              </w:rPr>
              <w:instrText xml:space="preserve"> PAGEREF _Toc217240566 \h </w:instrText>
            </w:r>
            <w:r>
              <w:rPr>
                <w:noProof/>
                <w:webHidden/>
              </w:rPr>
            </w:r>
            <w:r>
              <w:rPr>
                <w:noProof/>
                <w:webHidden/>
              </w:rPr>
              <w:fldChar w:fldCharType="separate"/>
            </w:r>
            <w:r>
              <w:rPr>
                <w:noProof/>
                <w:webHidden/>
              </w:rPr>
              <w:t>1</w:t>
            </w:r>
            <w:r>
              <w:rPr>
                <w:noProof/>
                <w:webHidden/>
              </w:rPr>
              <w:fldChar w:fldCharType="end"/>
            </w:r>
          </w:hyperlink>
        </w:p>
        <w:p w14:paraId="562B44BC" w14:textId="5834F789" w:rsidR="00F025F7" w:rsidRDefault="00F025F7">
          <w:pPr>
            <w:pStyle w:val="TOC1"/>
            <w:tabs>
              <w:tab w:val="right" w:leader="dot" w:pos="9016"/>
            </w:tabs>
            <w:rPr>
              <w:rFonts w:eastAsiaTheme="minorEastAsia"/>
              <w:noProof/>
              <w:kern w:val="0"/>
              <w:szCs w:val="22"/>
              <w:lang w:eastAsia="en-IN" w:bidi="ar-SA"/>
              <w14:ligatures w14:val="none"/>
            </w:rPr>
          </w:pPr>
          <w:hyperlink w:anchor="_Toc217240567" w:history="1">
            <w:r w:rsidRPr="00AD1AD3">
              <w:rPr>
                <w:rStyle w:val="Hyperlink"/>
                <w:noProof/>
              </w:rPr>
              <w:t>Section 2: Comprehensive Strategic Analysis</w:t>
            </w:r>
            <w:r>
              <w:rPr>
                <w:noProof/>
                <w:webHidden/>
              </w:rPr>
              <w:tab/>
            </w:r>
            <w:r>
              <w:rPr>
                <w:noProof/>
                <w:webHidden/>
              </w:rPr>
              <w:fldChar w:fldCharType="begin"/>
            </w:r>
            <w:r>
              <w:rPr>
                <w:noProof/>
                <w:webHidden/>
              </w:rPr>
              <w:instrText xml:space="preserve"> PAGEREF _Toc217240567 \h </w:instrText>
            </w:r>
            <w:r>
              <w:rPr>
                <w:noProof/>
                <w:webHidden/>
              </w:rPr>
            </w:r>
            <w:r>
              <w:rPr>
                <w:noProof/>
                <w:webHidden/>
              </w:rPr>
              <w:fldChar w:fldCharType="separate"/>
            </w:r>
            <w:r>
              <w:rPr>
                <w:noProof/>
                <w:webHidden/>
              </w:rPr>
              <w:t>2</w:t>
            </w:r>
            <w:r>
              <w:rPr>
                <w:noProof/>
                <w:webHidden/>
              </w:rPr>
              <w:fldChar w:fldCharType="end"/>
            </w:r>
          </w:hyperlink>
        </w:p>
        <w:p w14:paraId="54F8D509" w14:textId="055BB3F7"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68" w:history="1">
            <w:r w:rsidRPr="00AD1AD3">
              <w:rPr>
                <w:rStyle w:val="Hyperlink"/>
                <w:noProof/>
              </w:rPr>
              <w:t>1.3.</w:t>
            </w:r>
            <w:r>
              <w:rPr>
                <w:rFonts w:eastAsiaTheme="minorEastAsia"/>
                <w:noProof/>
                <w:kern w:val="0"/>
                <w:szCs w:val="22"/>
                <w:lang w:eastAsia="en-IN" w:bidi="ar-SA"/>
                <w14:ligatures w14:val="none"/>
              </w:rPr>
              <w:tab/>
            </w:r>
            <w:r w:rsidRPr="00AD1AD3">
              <w:rPr>
                <w:rStyle w:val="Hyperlink"/>
                <w:noProof/>
              </w:rPr>
              <w:t>Macro-Environmental Analysis - PESTLE Analysis</w:t>
            </w:r>
            <w:r>
              <w:rPr>
                <w:noProof/>
                <w:webHidden/>
              </w:rPr>
              <w:tab/>
            </w:r>
            <w:r>
              <w:rPr>
                <w:noProof/>
                <w:webHidden/>
              </w:rPr>
              <w:fldChar w:fldCharType="begin"/>
            </w:r>
            <w:r>
              <w:rPr>
                <w:noProof/>
                <w:webHidden/>
              </w:rPr>
              <w:instrText xml:space="preserve"> PAGEREF _Toc217240568 \h </w:instrText>
            </w:r>
            <w:r>
              <w:rPr>
                <w:noProof/>
                <w:webHidden/>
              </w:rPr>
            </w:r>
            <w:r>
              <w:rPr>
                <w:noProof/>
                <w:webHidden/>
              </w:rPr>
              <w:fldChar w:fldCharType="separate"/>
            </w:r>
            <w:r>
              <w:rPr>
                <w:noProof/>
                <w:webHidden/>
              </w:rPr>
              <w:t>2</w:t>
            </w:r>
            <w:r>
              <w:rPr>
                <w:noProof/>
                <w:webHidden/>
              </w:rPr>
              <w:fldChar w:fldCharType="end"/>
            </w:r>
          </w:hyperlink>
        </w:p>
        <w:p w14:paraId="691193F5" w14:textId="2FC2EBD7"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69" w:history="1">
            <w:r w:rsidRPr="00AD1AD3">
              <w:rPr>
                <w:rStyle w:val="Hyperlink"/>
                <w:noProof/>
              </w:rPr>
              <w:t>1.4.</w:t>
            </w:r>
            <w:r>
              <w:rPr>
                <w:rFonts w:eastAsiaTheme="minorEastAsia"/>
                <w:noProof/>
                <w:kern w:val="0"/>
                <w:szCs w:val="22"/>
                <w:lang w:eastAsia="en-IN" w:bidi="ar-SA"/>
                <w14:ligatures w14:val="none"/>
              </w:rPr>
              <w:tab/>
            </w:r>
            <w:r w:rsidRPr="00AD1AD3">
              <w:rPr>
                <w:rStyle w:val="Hyperlink"/>
                <w:noProof/>
              </w:rPr>
              <w:t>Meso-Environmental Analysis</w:t>
            </w:r>
            <w:r>
              <w:rPr>
                <w:noProof/>
                <w:webHidden/>
              </w:rPr>
              <w:tab/>
            </w:r>
            <w:r>
              <w:rPr>
                <w:noProof/>
                <w:webHidden/>
              </w:rPr>
              <w:fldChar w:fldCharType="begin"/>
            </w:r>
            <w:r>
              <w:rPr>
                <w:noProof/>
                <w:webHidden/>
              </w:rPr>
              <w:instrText xml:space="preserve"> PAGEREF _Toc217240569 \h </w:instrText>
            </w:r>
            <w:r>
              <w:rPr>
                <w:noProof/>
                <w:webHidden/>
              </w:rPr>
            </w:r>
            <w:r>
              <w:rPr>
                <w:noProof/>
                <w:webHidden/>
              </w:rPr>
              <w:fldChar w:fldCharType="separate"/>
            </w:r>
            <w:r>
              <w:rPr>
                <w:noProof/>
                <w:webHidden/>
              </w:rPr>
              <w:t>4</w:t>
            </w:r>
            <w:r>
              <w:rPr>
                <w:noProof/>
                <w:webHidden/>
              </w:rPr>
              <w:fldChar w:fldCharType="end"/>
            </w:r>
          </w:hyperlink>
        </w:p>
        <w:p w14:paraId="6266081A" w14:textId="0D6FB78D"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0" w:history="1">
            <w:r w:rsidRPr="00AD1AD3">
              <w:rPr>
                <w:rStyle w:val="Hyperlink"/>
                <w:noProof/>
              </w:rPr>
              <w:t>1.5.</w:t>
            </w:r>
            <w:r>
              <w:rPr>
                <w:rFonts w:eastAsiaTheme="minorEastAsia"/>
                <w:noProof/>
                <w:kern w:val="0"/>
                <w:szCs w:val="22"/>
                <w:lang w:eastAsia="en-IN" w:bidi="ar-SA"/>
                <w14:ligatures w14:val="none"/>
              </w:rPr>
              <w:tab/>
            </w:r>
            <w:r w:rsidRPr="00AD1AD3">
              <w:rPr>
                <w:rStyle w:val="Hyperlink"/>
                <w:noProof/>
              </w:rPr>
              <w:t>SWOT Analysis</w:t>
            </w:r>
            <w:r>
              <w:rPr>
                <w:noProof/>
                <w:webHidden/>
              </w:rPr>
              <w:tab/>
            </w:r>
            <w:r>
              <w:rPr>
                <w:noProof/>
                <w:webHidden/>
              </w:rPr>
              <w:fldChar w:fldCharType="begin"/>
            </w:r>
            <w:r>
              <w:rPr>
                <w:noProof/>
                <w:webHidden/>
              </w:rPr>
              <w:instrText xml:space="preserve"> PAGEREF _Toc217240570 \h </w:instrText>
            </w:r>
            <w:r>
              <w:rPr>
                <w:noProof/>
                <w:webHidden/>
              </w:rPr>
            </w:r>
            <w:r>
              <w:rPr>
                <w:noProof/>
                <w:webHidden/>
              </w:rPr>
              <w:fldChar w:fldCharType="separate"/>
            </w:r>
            <w:r>
              <w:rPr>
                <w:noProof/>
                <w:webHidden/>
              </w:rPr>
              <w:t>5</w:t>
            </w:r>
            <w:r>
              <w:rPr>
                <w:noProof/>
                <w:webHidden/>
              </w:rPr>
              <w:fldChar w:fldCharType="end"/>
            </w:r>
          </w:hyperlink>
        </w:p>
        <w:p w14:paraId="7F51AF13" w14:textId="7038D7B9"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1" w:history="1">
            <w:r w:rsidRPr="00AD1AD3">
              <w:rPr>
                <w:rStyle w:val="Hyperlink"/>
                <w:noProof/>
              </w:rPr>
              <w:t>1.6.</w:t>
            </w:r>
            <w:r>
              <w:rPr>
                <w:rFonts w:eastAsiaTheme="minorEastAsia"/>
                <w:noProof/>
                <w:kern w:val="0"/>
                <w:szCs w:val="22"/>
                <w:lang w:eastAsia="en-IN" w:bidi="ar-SA"/>
                <w14:ligatures w14:val="none"/>
              </w:rPr>
              <w:tab/>
            </w:r>
            <w:r w:rsidRPr="00AD1AD3">
              <w:rPr>
                <w:rStyle w:val="Hyperlink"/>
                <w:noProof/>
              </w:rPr>
              <w:t>Critical Analysis</w:t>
            </w:r>
            <w:r>
              <w:rPr>
                <w:noProof/>
                <w:webHidden/>
              </w:rPr>
              <w:tab/>
            </w:r>
            <w:r>
              <w:rPr>
                <w:noProof/>
                <w:webHidden/>
              </w:rPr>
              <w:fldChar w:fldCharType="begin"/>
            </w:r>
            <w:r>
              <w:rPr>
                <w:noProof/>
                <w:webHidden/>
              </w:rPr>
              <w:instrText xml:space="preserve"> PAGEREF _Toc217240571 \h </w:instrText>
            </w:r>
            <w:r>
              <w:rPr>
                <w:noProof/>
                <w:webHidden/>
              </w:rPr>
            </w:r>
            <w:r>
              <w:rPr>
                <w:noProof/>
                <w:webHidden/>
              </w:rPr>
              <w:fldChar w:fldCharType="separate"/>
            </w:r>
            <w:r>
              <w:rPr>
                <w:noProof/>
                <w:webHidden/>
              </w:rPr>
              <w:t>7</w:t>
            </w:r>
            <w:r>
              <w:rPr>
                <w:noProof/>
                <w:webHidden/>
              </w:rPr>
              <w:fldChar w:fldCharType="end"/>
            </w:r>
          </w:hyperlink>
        </w:p>
        <w:p w14:paraId="7BB65FBD" w14:textId="01C854D6" w:rsidR="00F025F7" w:rsidRDefault="00F025F7">
          <w:pPr>
            <w:pStyle w:val="TOC1"/>
            <w:tabs>
              <w:tab w:val="right" w:leader="dot" w:pos="9016"/>
            </w:tabs>
            <w:rPr>
              <w:rFonts w:eastAsiaTheme="minorEastAsia"/>
              <w:noProof/>
              <w:kern w:val="0"/>
              <w:szCs w:val="22"/>
              <w:lang w:eastAsia="en-IN" w:bidi="ar-SA"/>
              <w14:ligatures w14:val="none"/>
            </w:rPr>
          </w:pPr>
          <w:hyperlink w:anchor="_Toc217240572" w:history="1">
            <w:r w:rsidRPr="00AD1AD3">
              <w:rPr>
                <w:rStyle w:val="Hyperlink"/>
                <w:noProof/>
              </w:rPr>
              <w:t>Section 3: Strategy Development and Formulation</w:t>
            </w:r>
            <w:r>
              <w:rPr>
                <w:noProof/>
                <w:webHidden/>
              </w:rPr>
              <w:tab/>
            </w:r>
            <w:r>
              <w:rPr>
                <w:noProof/>
                <w:webHidden/>
              </w:rPr>
              <w:fldChar w:fldCharType="begin"/>
            </w:r>
            <w:r>
              <w:rPr>
                <w:noProof/>
                <w:webHidden/>
              </w:rPr>
              <w:instrText xml:space="preserve"> PAGEREF _Toc217240572 \h </w:instrText>
            </w:r>
            <w:r>
              <w:rPr>
                <w:noProof/>
                <w:webHidden/>
              </w:rPr>
            </w:r>
            <w:r>
              <w:rPr>
                <w:noProof/>
                <w:webHidden/>
              </w:rPr>
              <w:fldChar w:fldCharType="separate"/>
            </w:r>
            <w:r>
              <w:rPr>
                <w:noProof/>
                <w:webHidden/>
              </w:rPr>
              <w:t>7</w:t>
            </w:r>
            <w:r>
              <w:rPr>
                <w:noProof/>
                <w:webHidden/>
              </w:rPr>
              <w:fldChar w:fldCharType="end"/>
            </w:r>
          </w:hyperlink>
        </w:p>
        <w:p w14:paraId="1E83CEF9" w14:textId="705CD89E"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4" w:history="1">
            <w:r w:rsidRPr="00AD1AD3">
              <w:rPr>
                <w:rStyle w:val="Hyperlink"/>
                <w:noProof/>
              </w:rPr>
              <w:t>2.1.</w:t>
            </w:r>
            <w:r>
              <w:rPr>
                <w:rFonts w:eastAsiaTheme="minorEastAsia"/>
                <w:noProof/>
                <w:kern w:val="0"/>
                <w:szCs w:val="22"/>
                <w:lang w:eastAsia="en-IN" w:bidi="ar-SA"/>
                <w14:ligatures w14:val="none"/>
              </w:rPr>
              <w:tab/>
            </w:r>
            <w:r w:rsidRPr="00AD1AD3">
              <w:rPr>
                <w:rStyle w:val="Hyperlink"/>
                <w:noProof/>
              </w:rPr>
              <w:t>Strategic Direction and Rationale</w:t>
            </w:r>
            <w:r>
              <w:rPr>
                <w:noProof/>
                <w:webHidden/>
              </w:rPr>
              <w:tab/>
            </w:r>
            <w:r>
              <w:rPr>
                <w:noProof/>
                <w:webHidden/>
              </w:rPr>
              <w:fldChar w:fldCharType="begin"/>
            </w:r>
            <w:r>
              <w:rPr>
                <w:noProof/>
                <w:webHidden/>
              </w:rPr>
              <w:instrText xml:space="preserve"> PAGEREF _Toc217240574 \h </w:instrText>
            </w:r>
            <w:r>
              <w:rPr>
                <w:noProof/>
                <w:webHidden/>
              </w:rPr>
            </w:r>
            <w:r>
              <w:rPr>
                <w:noProof/>
                <w:webHidden/>
              </w:rPr>
              <w:fldChar w:fldCharType="separate"/>
            </w:r>
            <w:r>
              <w:rPr>
                <w:noProof/>
                <w:webHidden/>
              </w:rPr>
              <w:t>7</w:t>
            </w:r>
            <w:r>
              <w:rPr>
                <w:noProof/>
                <w:webHidden/>
              </w:rPr>
              <w:fldChar w:fldCharType="end"/>
            </w:r>
          </w:hyperlink>
        </w:p>
        <w:p w14:paraId="41A7DCEE" w14:textId="2D88BA4E"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5" w:history="1">
            <w:r w:rsidRPr="00AD1AD3">
              <w:rPr>
                <w:rStyle w:val="Hyperlink"/>
                <w:noProof/>
              </w:rPr>
              <w:t>2.2.</w:t>
            </w:r>
            <w:r>
              <w:rPr>
                <w:rFonts w:eastAsiaTheme="minorEastAsia"/>
                <w:noProof/>
                <w:kern w:val="0"/>
                <w:szCs w:val="22"/>
                <w:lang w:eastAsia="en-IN" w:bidi="ar-SA"/>
                <w14:ligatures w14:val="none"/>
              </w:rPr>
              <w:tab/>
            </w:r>
            <w:r w:rsidRPr="00AD1AD3">
              <w:rPr>
                <w:rStyle w:val="Hyperlink"/>
                <w:noProof/>
              </w:rPr>
              <w:t>Strategic Growth Model</w:t>
            </w:r>
            <w:r>
              <w:rPr>
                <w:noProof/>
                <w:webHidden/>
              </w:rPr>
              <w:tab/>
            </w:r>
            <w:r>
              <w:rPr>
                <w:noProof/>
                <w:webHidden/>
              </w:rPr>
              <w:fldChar w:fldCharType="begin"/>
            </w:r>
            <w:r>
              <w:rPr>
                <w:noProof/>
                <w:webHidden/>
              </w:rPr>
              <w:instrText xml:space="preserve"> PAGEREF _Toc217240575 \h </w:instrText>
            </w:r>
            <w:r>
              <w:rPr>
                <w:noProof/>
                <w:webHidden/>
              </w:rPr>
            </w:r>
            <w:r>
              <w:rPr>
                <w:noProof/>
                <w:webHidden/>
              </w:rPr>
              <w:fldChar w:fldCharType="separate"/>
            </w:r>
            <w:r>
              <w:rPr>
                <w:noProof/>
                <w:webHidden/>
              </w:rPr>
              <w:t>8</w:t>
            </w:r>
            <w:r>
              <w:rPr>
                <w:noProof/>
                <w:webHidden/>
              </w:rPr>
              <w:fldChar w:fldCharType="end"/>
            </w:r>
          </w:hyperlink>
        </w:p>
        <w:p w14:paraId="5FD37252" w14:textId="3F6B93BD"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6" w:history="1">
            <w:r w:rsidRPr="00AD1AD3">
              <w:rPr>
                <w:rStyle w:val="Hyperlink"/>
                <w:noProof/>
              </w:rPr>
              <w:t>2.3.</w:t>
            </w:r>
            <w:r>
              <w:rPr>
                <w:rFonts w:eastAsiaTheme="minorEastAsia"/>
                <w:noProof/>
                <w:kern w:val="0"/>
                <w:szCs w:val="22"/>
                <w:lang w:eastAsia="en-IN" w:bidi="ar-SA"/>
                <w14:ligatures w14:val="none"/>
              </w:rPr>
              <w:tab/>
            </w:r>
            <w:r w:rsidRPr="00AD1AD3">
              <w:rPr>
                <w:rStyle w:val="Hyperlink"/>
                <w:noProof/>
              </w:rPr>
              <w:t>Market Entry and Strategy Mode</w:t>
            </w:r>
            <w:r>
              <w:rPr>
                <w:noProof/>
                <w:webHidden/>
              </w:rPr>
              <w:tab/>
            </w:r>
            <w:r>
              <w:rPr>
                <w:noProof/>
                <w:webHidden/>
              </w:rPr>
              <w:fldChar w:fldCharType="begin"/>
            </w:r>
            <w:r>
              <w:rPr>
                <w:noProof/>
                <w:webHidden/>
              </w:rPr>
              <w:instrText xml:space="preserve"> PAGEREF _Toc217240576 \h </w:instrText>
            </w:r>
            <w:r>
              <w:rPr>
                <w:noProof/>
                <w:webHidden/>
              </w:rPr>
            </w:r>
            <w:r>
              <w:rPr>
                <w:noProof/>
                <w:webHidden/>
              </w:rPr>
              <w:fldChar w:fldCharType="separate"/>
            </w:r>
            <w:r>
              <w:rPr>
                <w:noProof/>
                <w:webHidden/>
              </w:rPr>
              <w:t>9</w:t>
            </w:r>
            <w:r>
              <w:rPr>
                <w:noProof/>
                <w:webHidden/>
              </w:rPr>
              <w:fldChar w:fldCharType="end"/>
            </w:r>
          </w:hyperlink>
        </w:p>
        <w:p w14:paraId="4DD5A827" w14:textId="1F9627FD"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7" w:history="1">
            <w:r w:rsidRPr="00AD1AD3">
              <w:rPr>
                <w:rStyle w:val="Hyperlink"/>
                <w:noProof/>
              </w:rPr>
              <w:t>2.4.</w:t>
            </w:r>
            <w:r>
              <w:rPr>
                <w:rFonts w:eastAsiaTheme="minorEastAsia"/>
                <w:noProof/>
                <w:kern w:val="0"/>
                <w:szCs w:val="22"/>
                <w:lang w:eastAsia="en-IN" w:bidi="ar-SA"/>
                <w14:ligatures w14:val="none"/>
              </w:rPr>
              <w:tab/>
            </w:r>
            <w:r w:rsidRPr="00AD1AD3">
              <w:rPr>
                <w:rStyle w:val="Hyperlink"/>
                <w:noProof/>
              </w:rPr>
              <w:t>Competitive Positioning</w:t>
            </w:r>
            <w:r>
              <w:rPr>
                <w:noProof/>
                <w:webHidden/>
              </w:rPr>
              <w:tab/>
            </w:r>
            <w:r>
              <w:rPr>
                <w:noProof/>
                <w:webHidden/>
              </w:rPr>
              <w:fldChar w:fldCharType="begin"/>
            </w:r>
            <w:r>
              <w:rPr>
                <w:noProof/>
                <w:webHidden/>
              </w:rPr>
              <w:instrText xml:space="preserve"> PAGEREF _Toc217240577 \h </w:instrText>
            </w:r>
            <w:r>
              <w:rPr>
                <w:noProof/>
                <w:webHidden/>
              </w:rPr>
            </w:r>
            <w:r>
              <w:rPr>
                <w:noProof/>
                <w:webHidden/>
              </w:rPr>
              <w:fldChar w:fldCharType="separate"/>
            </w:r>
            <w:r>
              <w:rPr>
                <w:noProof/>
                <w:webHidden/>
              </w:rPr>
              <w:t>10</w:t>
            </w:r>
            <w:r>
              <w:rPr>
                <w:noProof/>
                <w:webHidden/>
              </w:rPr>
              <w:fldChar w:fldCharType="end"/>
            </w:r>
          </w:hyperlink>
        </w:p>
        <w:p w14:paraId="18A0BD62" w14:textId="540C569E"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78" w:history="1">
            <w:r w:rsidRPr="00AD1AD3">
              <w:rPr>
                <w:rStyle w:val="Hyperlink"/>
                <w:noProof/>
              </w:rPr>
              <w:t>2.5.</w:t>
            </w:r>
            <w:r>
              <w:rPr>
                <w:rFonts w:eastAsiaTheme="minorEastAsia"/>
                <w:noProof/>
                <w:kern w:val="0"/>
                <w:szCs w:val="22"/>
                <w:lang w:eastAsia="en-IN" w:bidi="ar-SA"/>
                <w14:ligatures w14:val="none"/>
              </w:rPr>
              <w:tab/>
            </w:r>
            <w:r w:rsidRPr="00AD1AD3">
              <w:rPr>
                <w:rStyle w:val="Hyperlink"/>
                <w:noProof/>
              </w:rPr>
              <w:t>Strategy Implementation</w:t>
            </w:r>
            <w:r>
              <w:rPr>
                <w:noProof/>
                <w:webHidden/>
              </w:rPr>
              <w:tab/>
            </w:r>
            <w:r>
              <w:rPr>
                <w:noProof/>
                <w:webHidden/>
              </w:rPr>
              <w:fldChar w:fldCharType="begin"/>
            </w:r>
            <w:r>
              <w:rPr>
                <w:noProof/>
                <w:webHidden/>
              </w:rPr>
              <w:instrText xml:space="preserve"> PAGEREF _Toc217240578 \h </w:instrText>
            </w:r>
            <w:r>
              <w:rPr>
                <w:noProof/>
                <w:webHidden/>
              </w:rPr>
            </w:r>
            <w:r>
              <w:rPr>
                <w:noProof/>
                <w:webHidden/>
              </w:rPr>
              <w:fldChar w:fldCharType="separate"/>
            </w:r>
            <w:r>
              <w:rPr>
                <w:noProof/>
                <w:webHidden/>
              </w:rPr>
              <w:t>12</w:t>
            </w:r>
            <w:r>
              <w:rPr>
                <w:noProof/>
                <w:webHidden/>
              </w:rPr>
              <w:fldChar w:fldCharType="end"/>
            </w:r>
          </w:hyperlink>
        </w:p>
        <w:p w14:paraId="698E0A94" w14:textId="2B43CECB" w:rsidR="00F025F7" w:rsidRDefault="00F025F7">
          <w:pPr>
            <w:pStyle w:val="TOC1"/>
            <w:tabs>
              <w:tab w:val="right" w:leader="dot" w:pos="9016"/>
            </w:tabs>
            <w:rPr>
              <w:rFonts w:eastAsiaTheme="minorEastAsia"/>
              <w:noProof/>
              <w:kern w:val="0"/>
              <w:szCs w:val="22"/>
              <w:lang w:eastAsia="en-IN" w:bidi="ar-SA"/>
              <w14:ligatures w14:val="none"/>
            </w:rPr>
          </w:pPr>
          <w:hyperlink w:anchor="_Toc217240579" w:history="1">
            <w:r w:rsidRPr="00AD1AD3">
              <w:rPr>
                <w:rStyle w:val="Hyperlink"/>
                <w:noProof/>
              </w:rPr>
              <w:t>Section 4: Performance Evaluation Framework</w:t>
            </w:r>
            <w:r>
              <w:rPr>
                <w:noProof/>
                <w:webHidden/>
              </w:rPr>
              <w:tab/>
            </w:r>
            <w:r>
              <w:rPr>
                <w:noProof/>
                <w:webHidden/>
              </w:rPr>
              <w:fldChar w:fldCharType="begin"/>
            </w:r>
            <w:r>
              <w:rPr>
                <w:noProof/>
                <w:webHidden/>
              </w:rPr>
              <w:instrText xml:space="preserve"> PAGEREF _Toc217240579 \h </w:instrText>
            </w:r>
            <w:r>
              <w:rPr>
                <w:noProof/>
                <w:webHidden/>
              </w:rPr>
            </w:r>
            <w:r>
              <w:rPr>
                <w:noProof/>
                <w:webHidden/>
              </w:rPr>
              <w:fldChar w:fldCharType="separate"/>
            </w:r>
            <w:r>
              <w:rPr>
                <w:noProof/>
                <w:webHidden/>
              </w:rPr>
              <w:t>13</w:t>
            </w:r>
            <w:r>
              <w:rPr>
                <w:noProof/>
                <w:webHidden/>
              </w:rPr>
              <w:fldChar w:fldCharType="end"/>
            </w:r>
          </w:hyperlink>
        </w:p>
        <w:p w14:paraId="0938AF87" w14:textId="69FAE231"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81" w:history="1">
            <w:r w:rsidRPr="00AD1AD3">
              <w:rPr>
                <w:rStyle w:val="Hyperlink"/>
                <w:noProof/>
              </w:rPr>
              <w:t>3.1.</w:t>
            </w:r>
            <w:r>
              <w:rPr>
                <w:rFonts w:eastAsiaTheme="minorEastAsia"/>
                <w:noProof/>
                <w:kern w:val="0"/>
                <w:szCs w:val="22"/>
                <w:lang w:eastAsia="en-IN" w:bidi="ar-SA"/>
                <w14:ligatures w14:val="none"/>
              </w:rPr>
              <w:tab/>
            </w:r>
            <w:r w:rsidRPr="00AD1AD3">
              <w:rPr>
                <w:rStyle w:val="Hyperlink"/>
                <w:noProof/>
              </w:rPr>
              <w:t>Balanced Scorecard Framework</w:t>
            </w:r>
            <w:r>
              <w:rPr>
                <w:noProof/>
                <w:webHidden/>
              </w:rPr>
              <w:tab/>
            </w:r>
            <w:r>
              <w:rPr>
                <w:noProof/>
                <w:webHidden/>
              </w:rPr>
              <w:fldChar w:fldCharType="begin"/>
            </w:r>
            <w:r>
              <w:rPr>
                <w:noProof/>
                <w:webHidden/>
              </w:rPr>
              <w:instrText xml:space="preserve"> PAGEREF _Toc217240581 \h </w:instrText>
            </w:r>
            <w:r>
              <w:rPr>
                <w:noProof/>
                <w:webHidden/>
              </w:rPr>
            </w:r>
            <w:r>
              <w:rPr>
                <w:noProof/>
                <w:webHidden/>
              </w:rPr>
              <w:fldChar w:fldCharType="separate"/>
            </w:r>
            <w:r>
              <w:rPr>
                <w:noProof/>
                <w:webHidden/>
              </w:rPr>
              <w:t>13</w:t>
            </w:r>
            <w:r>
              <w:rPr>
                <w:noProof/>
                <w:webHidden/>
              </w:rPr>
              <w:fldChar w:fldCharType="end"/>
            </w:r>
          </w:hyperlink>
        </w:p>
        <w:p w14:paraId="5EB286C3" w14:textId="1A795858"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82" w:history="1">
            <w:r w:rsidRPr="00AD1AD3">
              <w:rPr>
                <w:rStyle w:val="Hyperlink"/>
                <w:noProof/>
              </w:rPr>
              <w:t>3.2.</w:t>
            </w:r>
            <w:r>
              <w:rPr>
                <w:rFonts w:eastAsiaTheme="minorEastAsia"/>
                <w:noProof/>
                <w:kern w:val="0"/>
                <w:szCs w:val="22"/>
                <w:lang w:eastAsia="en-IN" w:bidi="ar-SA"/>
                <w14:ligatures w14:val="none"/>
              </w:rPr>
              <w:tab/>
            </w:r>
            <w:r w:rsidRPr="00AD1AD3">
              <w:rPr>
                <w:rStyle w:val="Hyperlink"/>
                <w:noProof/>
              </w:rPr>
              <w:t>Triple Bottom Line Integration</w:t>
            </w:r>
            <w:r>
              <w:rPr>
                <w:noProof/>
                <w:webHidden/>
              </w:rPr>
              <w:tab/>
            </w:r>
            <w:r>
              <w:rPr>
                <w:noProof/>
                <w:webHidden/>
              </w:rPr>
              <w:fldChar w:fldCharType="begin"/>
            </w:r>
            <w:r>
              <w:rPr>
                <w:noProof/>
                <w:webHidden/>
              </w:rPr>
              <w:instrText xml:space="preserve"> PAGEREF _Toc217240582 \h </w:instrText>
            </w:r>
            <w:r>
              <w:rPr>
                <w:noProof/>
                <w:webHidden/>
              </w:rPr>
            </w:r>
            <w:r>
              <w:rPr>
                <w:noProof/>
                <w:webHidden/>
              </w:rPr>
              <w:fldChar w:fldCharType="separate"/>
            </w:r>
            <w:r>
              <w:rPr>
                <w:noProof/>
                <w:webHidden/>
              </w:rPr>
              <w:t>15</w:t>
            </w:r>
            <w:r>
              <w:rPr>
                <w:noProof/>
                <w:webHidden/>
              </w:rPr>
              <w:fldChar w:fldCharType="end"/>
            </w:r>
          </w:hyperlink>
        </w:p>
        <w:p w14:paraId="01E8D3F1" w14:textId="26726CF5" w:rsidR="00F025F7" w:rsidRDefault="00F025F7">
          <w:pPr>
            <w:pStyle w:val="TOC2"/>
            <w:tabs>
              <w:tab w:val="left" w:pos="880"/>
              <w:tab w:val="right" w:leader="dot" w:pos="9016"/>
            </w:tabs>
            <w:rPr>
              <w:rFonts w:eastAsiaTheme="minorEastAsia"/>
              <w:noProof/>
              <w:kern w:val="0"/>
              <w:szCs w:val="22"/>
              <w:lang w:eastAsia="en-IN" w:bidi="ar-SA"/>
              <w14:ligatures w14:val="none"/>
            </w:rPr>
          </w:pPr>
          <w:hyperlink w:anchor="_Toc217240583" w:history="1">
            <w:r w:rsidRPr="00AD1AD3">
              <w:rPr>
                <w:rStyle w:val="Hyperlink"/>
                <w:noProof/>
              </w:rPr>
              <w:t>3.3.</w:t>
            </w:r>
            <w:r>
              <w:rPr>
                <w:rFonts w:eastAsiaTheme="minorEastAsia"/>
                <w:noProof/>
                <w:kern w:val="0"/>
                <w:szCs w:val="22"/>
                <w:lang w:eastAsia="en-IN" w:bidi="ar-SA"/>
                <w14:ligatures w14:val="none"/>
              </w:rPr>
              <w:tab/>
            </w:r>
            <w:r w:rsidRPr="00AD1AD3">
              <w:rPr>
                <w:rStyle w:val="Hyperlink"/>
                <w:noProof/>
              </w:rPr>
              <w:t>Monitoring and Governance Mechanisms</w:t>
            </w:r>
            <w:r>
              <w:rPr>
                <w:noProof/>
                <w:webHidden/>
              </w:rPr>
              <w:tab/>
            </w:r>
            <w:r>
              <w:rPr>
                <w:noProof/>
                <w:webHidden/>
              </w:rPr>
              <w:fldChar w:fldCharType="begin"/>
            </w:r>
            <w:r>
              <w:rPr>
                <w:noProof/>
                <w:webHidden/>
              </w:rPr>
              <w:instrText xml:space="preserve"> PAGEREF _Toc217240583 \h </w:instrText>
            </w:r>
            <w:r>
              <w:rPr>
                <w:noProof/>
                <w:webHidden/>
              </w:rPr>
            </w:r>
            <w:r>
              <w:rPr>
                <w:noProof/>
                <w:webHidden/>
              </w:rPr>
              <w:fldChar w:fldCharType="separate"/>
            </w:r>
            <w:r>
              <w:rPr>
                <w:noProof/>
                <w:webHidden/>
              </w:rPr>
              <w:t>15</w:t>
            </w:r>
            <w:r>
              <w:rPr>
                <w:noProof/>
                <w:webHidden/>
              </w:rPr>
              <w:fldChar w:fldCharType="end"/>
            </w:r>
          </w:hyperlink>
        </w:p>
        <w:p w14:paraId="5C1763A5" w14:textId="5CE606AF" w:rsidR="00F025F7" w:rsidRDefault="00F025F7">
          <w:pPr>
            <w:pStyle w:val="TOC1"/>
            <w:tabs>
              <w:tab w:val="right" w:leader="dot" w:pos="9016"/>
            </w:tabs>
            <w:rPr>
              <w:rFonts w:eastAsiaTheme="minorEastAsia"/>
              <w:noProof/>
              <w:kern w:val="0"/>
              <w:szCs w:val="22"/>
              <w:lang w:eastAsia="en-IN" w:bidi="ar-SA"/>
              <w14:ligatures w14:val="none"/>
            </w:rPr>
          </w:pPr>
          <w:hyperlink w:anchor="_Toc217240584" w:history="1">
            <w:r w:rsidRPr="00AD1AD3">
              <w:rPr>
                <w:rStyle w:val="Hyperlink"/>
                <w:noProof/>
              </w:rPr>
              <w:t>Conclusion</w:t>
            </w:r>
            <w:r>
              <w:rPr>
                <w:noProof/>
                <w:webHidden/>
              </w:rPr>
              <w:tab/>
            </w:r>
            <w:r>
              <w:rPr>
                <w:noProof/>
                <w:webHidden/>
              </w:rPr>
              <w:fldChar w:fldCharType="begin"/>
            </w:r>
            <w:r>
              <w:rPr>
                <w:noProof/>
                <w:webHidden/>
              </w:rPr>
              <w:instrText xml:space="preserve"> PAGEREF _Toc217240584 \h </w:instrText>
            </w:r>
            <w:r>
              <w:rPr>
                <w:noProof/>
                <w:webHidden/>
              </w:rPr>
            </w:r>
            <w:r>
              <w:rPr>
                <w:noProof/>
                <w:webHidden/>
              </w:rPr>
              <w:fldChar w:fldCharType="separate"/>
            </w:r>
            <w:r>
              <w:rPr>
                <w:noProof/>
                <w:webHidden/>
              </w:rPr>
              <w:t>16</w:t>
            </w:r>
            <w:r>
              <w:rPr>
                <w:noProof/>
                <w:webHidden/>
              </w:rPr>
              <w:fldChar w:fldCharType="end"/>
            </w:r>
          </w:hyperlink>
        </w:p>
        <w:p w14:paraId="08569966" w14:textId="7F8DB33B" w:rsidR="00F025F7" w:rsidRDefault="00F025F7">
          <w:pPr>
            <w:pStyle w:val="TOC1"/>
            <w:tabs>
              <w:tab w:val="right" w:leader="dot" w:pos="9016"/>
            </w:tabs>
            <w:rPr>
              <w:rFonts w:eastAsiaTheme="minorEastAsia"/>
              <w:noProof/>
              <w:kern w:val="0"/>
              <w:szCs w:val="22"/>
              <w:lang w:eastAsia="en-IN" w:bidi="ar-SA"/>
              <w14:ligatures w14:val="none"/>
            </w:rPr>
          </w:pPr>
          <w:hyperlink w:anchor="_Toc217240585" w:history="1">
            <w:r w:rsidRPr="00AD1AD3">
              <w:rPr>
                <w:rStyle w:val="Hyperlink"/>
                <w:noProof/>
              </w:rPr>
              <w:t>References</w:t>
            </w:r>
            <w:r>
              <w:rPr>
                <w:noProof/>
                <w:webHidden/>
              </w:rPr>
              <w:tab/>
            </w:r>
            <w:r>
              <w:rPr>
                <w:noProof/>
                <w:webHidden/>
              </w:rPr>
              <w:fldChar w:fldCharType="begin"/>
            </w:r>
            <w:r>
              <w:rPr>
                <w:noProof/>
                <w:webHidden/>
              </w:rPr>
              <w:instrText xml:space="preserve"> PAGEREF _Toc217240585 \h </w:instrText>
            </w:r>
            <w:r>
              <w:rPr>
                <w:noProof/>
                <w:webHidden/>
              </w:rPr>
            </w:r>
            <w:r>
              <w:rPr>
                <w:noProof/>
                <w:webHidden/>
              </w:rPr>
              <w:fldChar w:fldCharType="separate"/>
            </w:r>
            <w:r>
              <w:rPr>
                <w:noProof/>
                <w:webHidden/>
              </w:rPr>
              <w:t>17</w:t>
            </w:r>
            <w:r>
              <w:rPr>
                <w:noProof/>
                <w:webHidden/>
              </w:rPr>
              <w:fldChar w:fldCharType="end"/>
            </w:r>
          </w:hyperlink>
        </w:p>
        <w:p w14:paraId="30C47175" w14:textId="7D478A1C" w:rsidR="002F3E48" w:rsidRDefault="002F3E48">
          <w:r>
            <w:rPr>
              <w:b/>
              <w:bCs/>
              <w:noProof/>
            </w:rPr>
            <w:fldChar w:fldCharType="end"/>
          </w:r>
        </w:p>
      </w:sdtContent>
    </w:sdt>
    <w:p w14:paraId="034A0CAD" w14:textId="77237861" w:rsidR="0041109C" w:rsidRPr="0041109C" w:rsidRDefault="0041109C" w:rsidP="0041109C">
      <w:pPr>
        <w:pStyle w:val="Heading1"/>
        <w:jc w:val="center"/>
        <w:rPr>
          <w:u w:val="single"/>
        </w:rPr>
      </w:pPr>
      <w:bookmarkStart w:id="0" w:name="_Toc217240563"/>
      <w:r w:rsidRPr="0041109C">
        <w:rPr>
          <w:u w:val="single"/>
        </w:rPr>
        <w:t>List of Tables &amp; Figures</w:t>
      </w:r>
      <w:bookmarkEnd w:id="0"/>
    </w:p>
    <w:p w14:paraId="117C8BFF" w14:textId="77777777" w:rsidR="0041109C" w:rsidRPr="0041109C" w:rsidRDefault="0041109C" w:rsidP="0041109C"/>
    <w:p w14:paraId="0D717426" w14:textId="091F3B94" w:rsidR="00F025F7" w:rsidRDefault="002F3E48">
      <w:pPr>
        <w:pStyle w:val="TableofFigures"/>
        <w:tabs>
          <w:tab w:val="right" w:leader="dot" w:pos="9016"/>
        </w:tabs>
        <w:rPr>
          <w:rFonts w:eastAsiaTheme="minorEastAsia"/>
          <w:noProof/>
          <w:kern w:val="0"/>
          <w:szCs w:val="22"/>
          <w:lang w:eastAsia="en-IN" w:bidi="ar-SA"/>
          <w14:ligatures w14:val="none"/>
        </w:rPr>
      </w:pPr>
      <w:r>
        <w:rPr>
          <w:rFonts w:ascii="Arial" w:eastAsiaTheme="majorEastAsia" w:hAnsi="Arial" w:cs="Arial"/>
          <w:b/>
          <w:sz w:val="24"/>
          <w:szCs w:val="24"/>
        </w:rPr>
        <w:fldChar w:fldCharType="begin"/>
      </w:r>
      <w:r>
        <w:rPr>
          <w:rFonts w:ascii="Arial" w:eastAsiaTheme="majorEastAsia" w:hAnsi="Arial" w:cs="Arial"/>
          <w:b/>
          <w:sz w:val="24"/>
          <w:szCs w:val="24"/>
        </w:rPr>
        <w:instrText xml:space="preserve"> TOC \h \z \c "Table" </w:instrText>
      </w:r>
      <w:r>
        <w:rPr>
          <w:rFonts w:ascii="Arial" w:eastAsiaTheme="majorEastAsia" w:hAnsi="Arial" w:cs="Arial"/>
          <w:b/>
          <w:sz w:val="24"/>
          <w:szCs w:val="24"/>
        </w:rPr>
        <w:fldChar w:fldCharType="separate"/>
      </w:r>
      <w:hyperlink w:anchor="_Toc217240586" w:history="1">
        <w:r w:rsidR="00F025F7" w:rsidRPr="00F76379">
          <w:rPr>
            <w:rStyle w:val="Hyperlink"/>
            <w:rFonts w:ascii="Arial" w:hAnsi="Arial" w:cs="Arial"/>
            <w:b/>
            <w:bCs/>
            <w:noProof/>
          </w:rPr>
          <w:t>Table 1: Key PESTLE Elements</w:t>
        </w:r>
        <w:r w:rsidR="00F025F7">
          <w:rPr>
            <w:noProof/>
            <w:webHidden/>
          </w:rPr>
          <w:tab/>
        </w:r>
        <w:r w:rsidR="00F025F7">
          <w:rPr>
            <w:noProof/>
            <w:webHidden/>
          </w:rPr>
          <w:fldChar w:fldCharType="begin"/>
        </w:r>
        <w:r w:rsidR="00F025F7">
          <w:rPr>
            <w:noProof/>
            <w:webHidden/>
          </w:rPr>
          <w:instrText xml:space="preserve"> PAGEREF _Toc217240586 \h </w:instrText>
        </w:r>
        <w:r w:rsidR="00F025F7">
          <w:rPr>
            <w:noProof/>
            <w:webHidden/>
          </w:rPr>
        </w:r>
        <w:r w:rsidR="00F025F7">
          <w:rPr>
            <w:noProof/>
            <w:webHidden/>
          </w:rPr>
          <w:fldChar w:fldCharType="separate"/>
        </w:r>
        <w:r w:rsidR="00F025F7">
          <w:rPr>
            <w:noProof/>
            <w:webHidden/>
          </w:rPr>
          <w:t>2</w:t>
        </w:r>
        <w:r w:rsidR="00F025F7">
          <w:rPr>
            <w:noProof/>
            <w:webHidden/>
          </w:rPr>
          <w:fldChar w:fldCharType="end"/>
        </w:r>
      </w:hyperlink>
    </w:p>
    <w:p w14:paraId="548193D8" w14:textId="56856D26" w:rsidR="00F025F7" w:rsidRDefault="00F025F7">
      <w:pPr>
        <w:pStyle w:val="TableofFigures"/>
        <w:tabs>
          <w:tab w:val="right" w:leader="dot" w:pos="9016"/>
        </w:tabs>
        <w:rPr>
          <w:rFonts w:eastAsiaTheme="minorEastAsia"/>
          <w:noProof/>
          <w:kern w:val="0"/>
          <w:szCs w:val="22"/>
          <w:lang w:eastAsia="en-IN" w:bidi="ar-SA"/>
          <w14:ligatures w14:val="none"/>
        </w:rPr>
      </w:pPr>
      <w:hyperlink w:anchor="_Toc217240587" w:history="1">
        <w:r w:rsidRPr="00F76379">
          <w:rPr>
            <w:rStyle w:val="Hyperlink"/>
            <w:rFonts w:ascii="Arial" w:hAnsi="Arial" w:cs="Arial"/>
            <w:b/>
            <w:bCs/>
            <w:noProof/>
          </w:rPr>
          <w:t>Table 2: Porter’s Five Force Analysis</w:t>
        </w:r>
        <w:r>
          <w:rPr>
            <w:noProof/>
            <w:webHidden/>
          </w:rPr>
          <w:tab/>
        </w:r>
        <w:r>
          <w:rPr>
            <w:noProof/>
            <w:webHidden/>
          </w:rPr>
          <w:fldChar w:fldCharType="begin"/>
        </w:r>
        <w:r>
          <w:rPr>
            <w:noProof/>
            <w:webHidden/>
          </w:rPr>
          <w:instrText xml:space="preserve"> PAGEREF _Toc217240587 \h </w:instrText>
        </w:r>
        <w:r>
          <w:rPr>
            <w:noProof/>
            <w:webHidden/>
          </w:rPr>
        </w:r>
        <w:r>
          <w:rPr>
            <w:noProof/>
            <w:webHidden/>
          </w:rPr>
          <w:fldChar w:fldCharType="separate"/>
        </w:r>
        <w:r>
          <w:rPr>
            <w:noProof/>
            <w:webHidden/>
          </w:rPr>
          <w:t>4</w:t>
        </w:r>
        <w:r>
          <w:rPr>
            <w:noProof/>
            <w:webHidden/>
          </w:rPr>
          <w:fldChar w:fldCharType="end"/>
        </w:r>
      </w:hyperlink>
    </w:p>
    <w:p w14:paraId="0A11AE99" w14:textId="13FA8659" w:rsidR="00F025F7" w:rsidRDefault="00F025F7">
      <w:pPr>
        <w:pStyle w:val="TableofFigures"/>
        <w:tabs>
          <w:tab w:val="right" w:leader="dot" w:pos="9016"/>
        </w:tabs>
        <w:rPr>
          <w:rFonts w:eastAsiaTheme="minorEastAsia"/>
          <w:noProof/>
          <w:kern w:val="0"/>
          <w:szCs w:val="22"/>
          <w:lang w:eastAsia="en-IN" w:bidi="ar-SA"/>
          <w14:ligatures w14:val="none"/>
        </w:rPr>
      </w:pPr>
      <w:hyperlink w:anchor="_Toc217240588" w:history="1">
        <w:r w:rsidRPr="00F76379">
          <w:rPr>
            <w:rStyle w:val="Hyperlink"/>
            <w:rFonts w:ascii="Arial" w:hAnsi="Arial" w:cs="Arial"/>
            <w:b/>
            <w:bCs/>
            <w:noProof/>
          </w:rPr>
          <w:t>Table 3: SWOT Analysis</w:t>
        </w:r>
        <w:r>
          <w:rPr>
            <w:noProof/>
            <w:webHidden/>
          </w:rPr>
          <w:tab/>
        </w:r>
        <w:r>
          <w:rPr>
            <w:noProof/>
            <w:webHidden/>
          </w:rPr>
          <w:fldChar w:fldCharType="begin"/>
        </w:r>
        <w:r>
          <w:rPr>
            <w:noProof/>
            <w:webHidden/>
          </w:rPr>
          <w:instrText xml:space="preserve"> PAGEREF _Toc217240588 \h </w:instrText>
        </w:r>
        <w:r>
          <w:rPr>
            <w:noProof/>
            <w:webHidden/>
          </w:rPr>
        </w:r>
        <w:r>
          <w:rPr>
            <w:noProof/>
            <w:webHidden/>
          </w:rPr>
          <w:fldChar w:fldCharType="separate"/>
        </w:r>
        <w:r>
          <w:rPr>
            <w:noProof/>
            <w:webHidden/>
          </w:rPr>
          <w:t>6</w:t>
        </w:r>
        <w:r>
          <w:rPr>
            <w:noProof/>
            <w:webHidden/>
          </w:rPr>
          <w:fldChar w:fldCharType="end"/>
        </w:r>
      </w:hyperlink>
    </w:p>
    <w:p w14:paraId="6363D0FD" w14:textId="1DD84AF9" w:rsidR="00F025F7" w:rsidRDefault="00F025F7">
      <w:pPr>
        <w:pStyle w:val="TableofFigures"/>
        <w:tabs>
          <w:tab w:val="right" w:leader="dot" w:pos="9016"/>
        </w:tabs>
        <w:rPr>
          <w:rFonts w:eastAsiaTheme="minorEastAsia"/>
          <w:noProof/>
          <w:kern w:val="0"/>
          <w:szCs w:val="22"/>
          <w:lang w:eastAsia="en-IN" w:bidi="ar-SA"/>
          <w14:ligatures w14:val="none"/>
        </w:rPr>
      </w:pPr>
      <w:hyperlink w:anchor="_Toc217240589" w:history="1">
        <w:r w:rsidRPr="00F76379">
          <w:rPr>
            <w:rStyle w:val="Hyperlink"/>
            <w:rFonts w:ascii="Arial" w:hAnsi="Arial" w:cs="Arial"/>
            <w:b/>
            <w:bCs/>
            <w:noProof/>
          </w:rPr>
          <w:t>Table 4: VRIO Analysis</w:t>
        </w:r>
        <w:r>
          <w:rPr>
            <w:noProof/>
            <w:webHidden/>
          </w:rPr>
          <w:tab/>
        </w:r>
        <w:r>
          <w:rPr>
            <w:noProof/>
            <w:webHidden/>
          </w:rPr>
          <w:fldChar w:fldCharType="begin"/>
        </w:r>
        <w:r>
          <w:rPr>
            <w:noProof/>
            <w:webHidden/>
          </w:rPr>
          <w:instrText xml:space="preserve"> PAGEREF _Toc217240589 \h </w:instrText>
        </w:r>
        <w:r>
          <w:rPr>
            <w:noProof/>
            <w:webHidden/>
          </w:rPr>
        </w:r>
        <w:r>
          <w:rPr>
            <w:noProof/>
            <w:webHidden/>
          </w:rPr>
          <w:fldChar w:fldCharType="separate"/>
        </w:r>
        <w:r>
          <w:rPr>
            <w:noProof/>
            <w:webHidden/>
          </w:rPr>
          <w:t>11</w:t>
        </w:r>
        <w:r>
          <w:rPr>
            <w:noProof/>
            <w:webHidden/>
          </w:rPr>
          <w:fldChar w:fldCharType="end"/>
        </w:r>
      </w:hyperlink>
    </w:p>
    <w:p w14:paraId="0755569A" w14:textId="2EB50D2F" w:rsidR="00F025F7" w:rsidRDefault="00F025F7">
      <w:pPr>
        <w:pStyle w:val="TableofFigures"/>
        <w:tabs>
          <w:tab w:val="right" w:leader="dot" w:pos="9016"/>
        </w:tabs>
        <w:rPr>
          <w:rFonts w:eastAsiaTheme="minorEastAsia"/>
          <w:noProof/>
          <w:kern w:val="0"/>
          <w:szCs w:val="22"/>
          <w:lang w:eastAsia="en-IN" w:bidi="ar-SA"/>
          <w14:ligatures w14:val="none"/>
        </w:rPr>
      </w:pPr>
      <w:hyperlink w:anchor="_Toc217240590" w:history="1">
        <w:r w:rsidRPr="00F76379">
          <w:rPr>
            <w:rStyle w:val="Hyperlink"/>
            <w:rFonts w:ascii="Arial" w:hAnsi="Arial" w:cs="Arial"/>
            <w:b/>
            <w:bCs/>
            <w:noProof/>
          </w:rPr>
          <w:t>Table 5: Phased Entry into Indian market</w:t>
        </w:r>
        <w:r>
          <w:rPr>
            <w:noProof/>
            <w:webHidden/>
          </w:rPr>
          <w:tab/>
        </w:r>
        <w:r>
          <w:rPr>
            <w:noProof/>
            <w:webHidden/>
          </w:rPr>
          <w:fldChar w:fldCharType="begin"/>
        </w:r>
        <w:r>
          <w:rPr>
            <w:noProof/>
            <w:webHidden/>
          </w:rPr>
          <w:instrText xml:space="preserve"> PAGEREF _Toc217240590 \h </w:instrText>
        </w:r>
        <w:r>
          <w:rPr>
            <w:noProof/>
            <w:webHidden/>
          </w:rPr>
        </w:r>
        <w:r>
          <w:rPr>
            <w:noProof/>
            <w:webHidden/>
          </w:rPr>
          <w:fldChar w:fldCharType="separate"/>
        </w:r>
        <w:r>
          <w:rPr>
            <w:noProof/>
            <w:webHidden/>
          </w:rPr>
          <w:t>13</w:t>
        </w:r>
        <w:r>
          <w:rPr>
            <w:noProof/>
            <w:webHidden/>
          </w:rPr>
          <w:fldChar w:fldCharType="end"/>
        </w:r>
      </w:hyperlink>
    </w:p>
    <w:p w14:paraId="08915FF9" w14:textId="6FE7F981" w:rsidR="0041109C" w:rsidRDefault="002F3E48">
      <w:pPr>
        <w:rPr>
          <w:rFonts w:ascii="Arial" w:eastAsiaTheme="majorEastAsia" w:hAnsi="Arial" w:cs="Arial"/>
          <w:b/>
          <w:sz w:val="24"/>
          <w:szCs w:val="24"/>
        </w:rPr>
      </w:pPr>
      <w:r>
        <w:rPr>
          <w:rFonts w:ascii="Arial" w:eastAsiaTheme="majorEastAsia" w:hAnsi="Arial" w:cs="Arial"/>
          <w:b/>
          <w:sz w:val="24"/>
          <w:szCs w:val="24"/>
        </w:rPr>
        <w:fldChar w:fldCharType="end"/>
      </w:r>
    </w:p>
    <w:p w14:paraId="4C3FB8AB" w14:textId="699577A5" w:rsidR="00F025F7" w:rsidRDefault="0041109C">
      <w:pPr>
        <w:pStyle w:val="TableofFigures"/>
        <w:tabs>
          <w:tab w:val="right" w:leader="dot" w:pos="9016"/>
        </w:tabs>
        <w:rPr>
          <w:rFonts w:eastAsiaTheme="minorEastAsia"/>
          <w:noProof/>
          <w:kern w:val="0"/>
          <w:szCs w:val="22"/>
          <w:lang w:eastAsia="en-IN" w:bidi="ar-SA"/>
          <w14:ligatures w14:val="none"/>
        </w:rPr>
      </w:pPr>
      <w:r>
        <w:rPr>
          <w:rFonts w:ascii="Arial" w:eastAsiaTheme="majorEastAsia" w:hAnsi="Arial" w:cs="Arial"/>
          <w:b/>
          <w:sz w:val="24"/>
          <w:szCs w:val="24"/>
        </w:rPr>
        <w:fldChar w:fldCharType="begin"/>
      </w:r>
      <w:r>
        <w:rPr>
          <w:rFonts w:ascii="Arial" w:eastAsiaTheme="majorEastAsia" w:hAnsi="Arial" w:cs="Arial"/>
          <w:b/>
          <w:sz w:val="24"/>
          <w:szCs w:val="24"/>
        </w:rPr>
        <w:instrText xml:space="preserve"> TOC \h \z \c "Figure" </w:instrText>
      </w:r>
      <w:r>
        <w:rPr>
          <w:rFonts w:ascii="Arial" w:eastAsiaTheme="majorEastAsia" w:hAnsi="Arial" w:cs="Arial"/>
          <w:b/>
          <w:sz w:val="24"/>
          <w:szCs w:val="24"/>
        </w:rPr>
        <w:fldChar w:fldCharType="separate"/>
      </w:r>
      <w:hyperlink w:anchor="_Toc217240591" w:history="1">
        <w:r w:rsidR="00F025F7" w:rsidRPr="002A6CB2">
          <w:rPr>
            <w:rStyle w:val="Hyperlink"/>
            <w:rFonts w:ascii="Arial" w:hAnsi="Arial" w:cs="Arial"/>
            <w:b/>
            <w:bCs/>
            <w:noProof/>
          </w:rPr>
          <w:t>Figure 1: Ansoff Matrix</w:t>
        </w:r>
        <w:r w:rsidR="00F025F7">
          <w:rPr>
            <w:noProof/>
            <w:webHidden/>
          </w:rPr>
          <w:tab/>
        </w:r>
        <w:r w:rsidR="00F025F7">
          <w:rPr>
            <w:noProof/>
            <w:webHidden/>
          </w:rPr>
          <w:fldChar w:fldCharType="begin"/>
        </w:r>
        <w:r w:rsidR="00F025F7">
          <w:rPr>
            <w:noProof/>
            <w:webHidden/>
          </w:rPr>
          <w:instrText xml:space="preserve"> PAGEREF _Toc217240591 \h </w:instrText>
        </w:r>
        <w:r w:rsidR="00F025F7">
          <w:rPr>
            <w:noProof/>
            <w:webHidden/>
          </w:rPr>
        </w:r>
        <w:r w:rsidR="00F025F7">
          <w:rPr>
            <w:noProof/>
            <w:webHidden/>
          </w:rPr>
          <w:fldChar w:fldCharType="separate"/>
        </w:r>
        <w:r w:rsidR="00F025F7">
          <w:rPr>
            <w:noProof/>
            <w:webHidden/>
          </w:rPr>
          <w:t>9</w:t>
        </w:r>
        <w:r w:rsidR="00F025F7">
          <w:rPr>
            <w:noProof/>
            <w:webHidden/>
          </w:rPr>
          <w:fldChar w:fldCharType="end"/>
        </w:r>
      </w:hyperlink>
    </w:p>
    <w:p w14:paraId="439C5EEC" w14:textId="11E0B646" w:rsidR="00F025F7" w:rsidRDefault="00F025F7">
      <w:pPr>
        <w:pStyle w:val="TableofFigures"/>
        <w:tabs>
          <w:tab w:val="right" w:leader="dot" w:pos="9016"/>
        </w:tabs>
        <w:rPr>
          <w:rFonts w:eastAsiaTheme="minorEastAsia"/>
          <w:noProof/>
          <w:kern w:val="0"/>
          <w:szCs w:val="22"/>
          <w:lang w:eastAsia="en-IN" w:bidi="ar-SA"/>
          <w14:ligatures w14:val="none"/>
        </w:rPr>
      </w:pPr>
      <w:hyperlink w:anchor="_Toc217240592" w:history="1">
        <w:r w:rsidRPr="002A6CB2">
          <w:rPr>
            <w:rStyle w:val="Hyperlink"/>
            <w:rFonts w:ascii="Arial" w:hAnsi="Arial" w:cs="Arial"/>
            <w:b/>
            <w:bCs/>
            <w:noProof/>
          </w:rPr>
          <w:t>Figure 2: Balanced Score Card</w:t>
        </w:r>
        <w:r>
          <w:rPr>
            <w:noProof/>
            <w:webHidden/>
          </w:rPr>
          <w:tab/>
        </w:r>
        <w:r>
          <w:rPr>
            <w:noProof/>
            <w:webHidden/>
          </w:rPr>
          <w:fldChar w:fldCharType="begin"/>
        </w:r>
        <w:r>
          <w:rPr>
            <w:noProof/>
            <w:webHidden/>
          </w:rPr>
          <w:instrText xml:space="preserve"> PAGEREF _Toc217240592 \h </w:instrText>
        </w:r>
        <w:r>
          <w:rPr>
            <w:noProof/>
            <w:webHidden/>
          </w:rPr>
        </w:r>
        <w:r>
          <w:rPr>
            <w:noProof/>
            <w:webHidden/>
          </w:rPr>
          <w:fldChar w:fldCharType="separate"/>
        </w:r>
        <w:r>
          <w:rPr>
            <w:noProof/>
            <w:webHidden/>
          </w:rPr>
          <w:t>14</w:t>
        </w:r>
        <w:r>
          <w:rPr>
            <w:noProof/>
            <w:webHidden/>
          </w:rPr>
          <w:fldChar w:fldCharType="end"/>
        </w:r>
      </w:hyperlink>
    </w:p>
    <w:p w14:paraId="4B7FFFA6" w14:textId="60F265AA" w:rsidR="002F3E48" w:rsidRDefault="0041109C">
      <w:pPr>
        <w:rPr>
          <w:rFonts w:ascii="Arial" w:eastAsiaTheme="majorEastAsia" w:hAnsi="Arial" w:cs="Arial"/>
          <w:b/>
          <w:sz w:val="24"/>
          <w:szCs w:val="24"/>
        </w:rPr>
      </w:pPr>
      <w:r>
        <w:rPr>
          <w:rFonts w:ascii="Arial" w:eastAsiaTheme="majorEastAsia" w:hAnsi="Arial" w:cs="Arial"/>
          <w:b/>
          <w:sz w:val="24"/>
          <w:szCs w:val="24"/>
        </w:rPr>
        <w:fldChar w:fldCharType="end"/>
      </w:r>
      <w:r w:rsidR="002F3E48">
        <w:rPr>
          <w:rFonts w:ascii="Arial" w:eastAsiaTheme="majorEastAsia" w:hAnsi="Arial" w:cs="Arial"/>
          <w:b/>
          <w:sz w:val="24"/>
          <w:szCs w:val="24"/>
        </w:rPr>
        <w:br w:type="page"/>
      </w:r>
    </w:p>
    <w:p w14:paraId="48CB79F3" w14:textId="77777777" w:rsidR="00A05606" w:rsidRDefault="00A05606">
      <w:pPr>
        <w:rPr>
          <w:rFonts w:ascii="Arial" w:eastAsiaTheme="majorEastAsia" w:hAnsi="Arial" w:cs="Arial"/>
          <w:b/>
          <w:sz w:val="24"/>
          <w:szCs w:val="24"/>
        </w:rPr>
        <w:sectPr w:rsidR="00A05606" w:rsidSect="003073A8">
          <w:pgSz w:w="11906" w:h="16838"/>
          <w:pgMar w:top="1440" w:right="1440" w:bottom="1440" w:left="1440" w:header="708" w:footer="708" w:gutter="0"/>
          <w:pgNumType w:start="1"/>
          <w:cols w:space="708"/>
          <w:docGrid w:linePitch="360"/>
        </w:sectPr>
      </w:pPr>
    </w:p>
    <w:p w14:paraId="6EB1E6CB" w14:textId="77777777" w:rsidR="002F3E48" w:rsidRDefault="002F3E48">
      <w:pPr>
        <w:rPr>
          <w:rFonts w:ascii="Arial" w:eastAsiaTheme="majorEastAsia" w:hAnsi="Arial" w:cs="Arial"/>
          <w:b/>
          <w:sz w:val="24"/>
          <w:szCs w:val="24"/>
        </w:rPr>
      </w:pPr>
    </w:p>
    <w:p w14:paraId="1C3D6E61" w14:textId="111E1E60" w:rsidR="005A3888" w:rsidRPr="008C035E" w:rsidRDefault="0040361D" w:rsidP="00687C25">
      <w:pPr>
        <w:pStyle w:val="Heading1"/>
      </w:pPr>
      <w:bookmarkStart w:id="1" w:name="_Toc217240564"/>
      <w:r w:rsidRPr="00687C25">
        <w:t>Section 1: Selection of Organisation and Target Market</w:t>
      </w:r>
      <w:bookmarkEnd w:id="1"/>
    </w:p>
    <w:p w14:paraId="5FDB8962" w14:textId="77777777" w:rsidR="0087147A" w:rsidRDefault="005A3888" w:rsidP="008C035E">
      <w:pPr>
        <w:spacing w:line="360" w:lineRule="auto"/>
        <w:jc w:val="both"/>
        <w:rPr>
          <w:rFonts w:ascii="Arial" w:hAnsi="Arial" w:cs="Arial"/>
          <w:sz w:val="24"/>
          <w:szCs w:val="24"/>
        </w:rPr>
      </w:pPr>
      <w:r w:rsidRPr="008C035E">
        <w:rPr>
          <w:rFonts w:ascii="Arial" w:hAnsi="Arial" w:cs="Arial"/>
          <w:sz w:val="24"/>
          <w:szCs w:val="24"/>
        </w:rPr>
        <w:t xml:space="preserve">This report focuses on Rivian Automotive. Rivian is a US based electric vehicle manufacturer specialising in sports utility vehicle (SUV) manufacturing. </w:t>
      </w:r>
    </w:p>
    <w:p w14:paraId="18F816BA" w14:textId="77723135" w:rsidR="0087147A" w:rsidRDefault="0087147A" w:rsidP="0087147A">
      <w:pPr>
        <w:pStyle w:val="Heading2"/>
        <w:numPr>
          <w:ilvl w:val="1"/>
          <w:numId w:val="13"/>
        </w:numPr>
      </w:pPr>
      <w:bookmarkStart w:id="2" w:name="_Toc217240565"/>
      <w:r>
        <w:t>Why this organisation?</w:t>
      </w:r>
      <w:bookmarkEnd w:id="2"/>
    </w:p>
    <w:p w14:paraId="7A1C22E0" w14:textId="2D8DFDDB" w:rsidR="005A3888" w:rsidRDefault="005A3888" w:rsidP="008C035E">
      <w:pPr>
        <w:spacing w:line="360" w:lineRule="auto"/>
        <w:jc w:val="both"/>
        <w:rPr>
          <w:rFonts w:ascii="Arial" w:hAnsi="Arial" w:cs="Arial"/>
          <w:sz w:val="24"/>
          <w:szCs w:val="24"/>
        </w:rPr>
      </w:pPr>
      <w:r w:rsidRPr="008C035E">
        <w:rPr>
          <w:rFonts w:ascii="Arial" w:hAnsi="Arial" w:cs="Arial"/>
          <w:sz w:val="24"/>
          <w:szCs w:val="24"/>
        </w:rPr>
        <w:t xml:space="preserve">This research </w:t>
      </w:r>
      <w:r w:rsidRPr="003073A8">
        <w:rPr>
          <w:rFonts w:ascii="Arial" w:hAnsi="Arial" w:cs="Arial"/>
          <w:sz w:val="24"/>
          <w:szCs w:val="24"/>
        </w:rPr>
        <w:t xml:space="preserve">has chosen to look at Rivian for the following reasons. It is currently operating in a global electric vehicle sector where growth is expected to be exponential in the next decade due to sustainability pressure and technology innovation. Global push for decarbonisation creates new opportunities for EV manufacturers.  </w:t>
      </w:r>
      <w:r w:rsidR="0087147A">
        <w:rPr>
          <w:rFonts w:ascii="Arial" w:hAnsi="Arial" w:cs="Arial"/>
          <w:sz w:val="24"/>
          <w:szCs w:val="24"/>
        </w:rPr>
        <w:t>The organisation o</w:t>
      </w:r>
      <w:r w:rsidRPr="003073A8">
        <w:rPr>
          <w:rFonts w:ascii="Arial" w:hAnsi="Arial" w:cs="Arial"/>
          <w:sz w:val="24"/>
          <w:szCs w:val="24"/>
        </w:rPr>
        <w:t xml:space="preserve">perates in the US and does not have a large global presence. </w:t>
      </w:r>
      <w:r w:rsidR="0087147A">
        <w:rPr>
          <w:rFonts w:ascii="Arial" w:hAnsi="Arial" w:cs="Arial"/>
          <w:sz w:val="24"/>
          <w:szCs w:val="24"/>
        </w:rPr>
        <w:t xml:space="preserve">Therefore, there are possibilities available for the firm to look </w:t>
      </w:r>
      <w:r w:rsidRPr="003073A8">
        <w:rPr>
          <w:rFonts w:ascii="Arial" w:hAnsi="Arial" w:cs="Arial"/>
          <w:sz w:val="24"/>
          <w:szCs w:val="24"/>
        </w:rPr>
        <w:t>at opportunities for realistic future expansion (</w:t>
      </w:r>
      <w:proofErr w:type="spellStart"/>
      <w:r w:rsidRPr="003073A8">
        <w:rPr>
          <w:rFonts w:ascii="Arial" w:hAnsi="Arial" w:cs="Arial"/>
          <w:sz w:val="24"/>
          <w:szCs w:val="24"/>
        </w:rPr>
        <w:t>Zambonin</w:t>
      </w:r>
      <w:proofErr w:type="spellEnd"/>
      <w:r w:rsidRPr="003073A8">
        <w:rPr>
          <w:rFonts w:ascii="Arial" w:hAnsi="Arial" w:cs="Arial"/>
          <w:sz w:val="24"/>
          <w:szCs w:val="24"/>
        </w:rPr>
        <w:t xml:space="preserve">, 2024). </w:t>
      </w:r>
      <w:r w:rsidR="0087147A">
        <w:rPr>
          <w:rFonts w:ascii="Arial" w:hAnsi="Arial" w:cs="Arial"/>
          <w:sz w:val="24"/>
          <w:szCs w:val="24"/>
        </w:rPr>
        <w:t xml:space="preserve">At the same time, the organisation has </w:t>
      </w:r>
      <w:r w:rsidR="00D831EE">
        <w:rPr>
          <w:rFonts w:ascii="Arial" w:hAnsi="Arial" w:cs="Arial"/>
          <w:sz w:val="24"/>
          <w:szCs w:val="24"/>
        </w:rPr>
        <w:t>faced significant</w:t>
      </w:r>
      <w:r w:rsidR="00EE7F0A">
        <w:rPr>
          <w:rFonts w:ascii="Arial" w:hAnsi="Arial" w:cs="Arial"/>
          <w:sz w:val="24"/>
          <w:szCs w:val="24"/>
        </w:rPr>
        <w:t xml:space="preserve"> pressure to </w:t>
      </w:r>
      <w:r w:rsidR="00163930">
        <w:rPr>
          <w:rFonts w:ascii="Arial" w:hAnsi="Arial" w:cs="Arial"/>
          <w:sz w:val="24"/>
          <w:szCs w:val="24"/>
        </w:rPr>
        <w:t>performance. This p</w:t>
      </w:r>
      <w:r w:rsidRPr="003073A8">
        <w:rPr>
          <w:rFonts w:ascii="Arial" w:hAnsi="Arial" w:cs="Arial"/>
          <w:sz w:val="24"/>
          <w:szCs w:val="24"/>
        </w:rPr>
        <w:t>ressure</w:t>
      </w:r>
      <w:r w:rsidR="00163930">
        <w:rPr>
          <w:rFonts w:ascii="Arial" w:hAnsi="Arial" w:cs="Arial"/>
          <w:sz w:val="24"/>
          <w:szCs w:val="24"/>
        </w:rPr>
        <w:t xml:space="preserve"> was largely</w:t>
      </w:r>
      <w:r w:rsidRPr="003073A8">
        <w:rPr>
          <w:rFonts w:ascii="Arial" w:hAnsi="Arial" w:cs="Arial"/>
          <w:sz w:val="24"/>
          <w:szCs w:val="24"/>
        </w:rPr>
        <w:t xml:space="preserve"> </w:t>
      </w:r>
      <w:r w:rsidR="00D831EE" w:rsidRPr="003073A8">
        <w:rPr>
          <w:rFonts w:ascii="Arial" w:hAnsi="Arial" w:cs="Arial"/>
          <w:sz w:val="24"/>
          <w:szCs w:val="24"/>
        </w:rPr>
        <w:t>showcasing</w:t>
      </w:r>
      <w:r w:rsidRPr="003073A8">
        <w:rPr>
          <w:rFonts w:ascii="Arial" w:hAnsi="Arial" w:cs="Arial"/>
          <w:sz w:val="24"/>
          <w:szCs w:val="24"/>
        </w:rPr>
        <w:t xml:space="preserve"> growth, especially given the modest gain of 33% in 2025. However, it remains still low given the loss 2021 IPO losses (CNBC, 2025).</w:t>
      </w:r>
      <w:r w:rsidRPr="008C035E">
        <w:rPr>
          <w:rFonts w:ascii="Arial" w:hAnsi="Arial" w:cs="Arial"/>
          <w:sz w:val="24"/>
          <w:szCs w:val="24"/>
        </w:rPr>
        <w:t xml:space="preserve"> </w:t>
      </w:r>
      <w:r w:rsidR="00163930">
        <w:rPr>
          <w:rFonts w:ascii="Arial" w:hAnsi="Arial" w:cs="Arial"/>
          <w:sz w:val="24"/>
          <w:szCs w:val="24"/>
        </w:rPr>
        <w:t xml:space="preserve"> All of this is indicative of high pressure for the firm </w:t>
      </w:r>
      <w:proofErr w:type="gramStart"/>
      <w:r w:rsidR="00163930">
        <w:rPr>
          <w:rFonts w:ascii="Arial" w:hAnsi="Arial" w:cs="Arial"/>
          <w:sz w:val="24"/>
          <w:szCs w:val="24"/>
        </w:rPr>
        <w:t>at the moment</w:t>
      </w:r>
      <w:proofErr w:type="gramEnd"/>
      <w:r w:rsidR="00163930">
        <w:rPr>
          <w:rFonts w:ascii="Arial" w:hAnsi="Arial" w:cs="Arial"/>
          <w:sz w:val="24"/>
          <w:szCs w:val="24"/>
        </w:rPr>
        <w:t xml:space="preserve">. </w:t>
      </w:r>
      <w:r w:rsidR="00D831EE">
        <w:rPr>
          <w:rFonts w:ascii="Arial" w:hAnsi="Arial" w:cs="Arial"/>
          <w:sz w:val="24"/>
          <w:szCs w:val="24"/>
        </w:rPr>
        <w:t xml:space="preserve"> </w:t>
      </w:r>
      <w:r w:rsidRPr="008C035E">
        <w:rPr>
          <w:rFonts w:ascii="Arial" w:hAnsi="Arial" w:cs="Arial"/>
          <w:sz w:val="24"/>
          <w:szCs w:val="24"/>
        </w:rPr>
        <w:t>High production costs, capital intensity and scale pressure exists which can be addressed by expanding globally (</w:t>
      </w:r>
      <w:proofErr w:type="spellStart"/>
      <w:r w:rsidRPr="008C035E">
        <w:rPr>
          <w:rFonts w:ascii="Arial" w:hAnsi="Arial" w:cs="Arial"/>
          <w:sz w:val="24"/>
          <w:szCs w:val="24"/>
        </w:rPr>
        <w:t>Zambonin</w:t>
      </w:r>
      <w:proofErr w:type="spellEnd"/>
      <w:r w:rsidRPr="008C035E">
        <w:rPr>
          <w:rFonts w:ascii="Arial" w:hAnsi="Arial" w:cs="Arial"/>
          <w:sz w:val="24"/>
          <w:szCs w:val="24"/>
        </w:rPr>
        <w:t>, 2024). Diversification globally can improve risk exposure and identify first-mover advantage in emerging markets (IEA, 2025).</w:t>
      </w:r>
    </w:p>
    <w:p w14:paraId="1C82486E" w14:textId="43A8E0BA" w:rsidR="00D831EE" w:rsidRPr="008C035E" w:rsidRDefault="00D831EE" w:rsidP="00D831EE">
      <w:pPr>
        <w:pStyle w:val="Heading2"/>
        <w:numPr>
          <w:ilvl w:val="1"/>
          <w:numId w:val="13"/>
        </w:numPr>
      </w:pPr>
      <w:bookmarkStart w:id="3" w:name="_Toc217240566"/>
      <w:r>
        <w:t>Why India?</w:t>
      </w:r>
      <w:bookmarkEnd w:id="3"/>
    </w:p>
    <w:p w14:paraId="5EFBAA84" w14:textId="77777777" w:rsidR="00252B36" w:rsidRDefault="005A3888" w:rsidP="00252B36">
      <w:pPr>
        <w:spacing w:line="360" w:lineRule="auto"/>
        <w:jc w:val="both"/>
        <w:rPr>
          <w:rFonts w:ascii="Arial" w:hAnsi="Arial" w:cs="Arial"/>
          <w:sz w:val="24"/>
          <w:szCs w:val="24"/>
        </w:rPr>
      </w:pPr>
      <w:r w:rsidRPr="008C035E">
        <w:rPr>
          <w:rFonts w:ascii="Arial" w:hAnsi="Arial" w:cs="Arial"/>
          <w:sz w:val="24"/>
          <w:szCs w:val="24"/>
        </w:rPr>
        <w:t xml:space="preserve">The target country is India. </w:t>
      </w:r>
      <w:r w:rsidR="00D831EE">
        <w:rPr>
          <w:rFonts w:ascii="Arial" w:hAnsi="Arial" w:cs="Arial"/>
          <w:sz w:val="24"/>
          <w:szCs w:val="24"/>
        </w:rPr>
        <w:t>There is evidence that s</w:t>
      </w:r>
      <w:r w:rsidRPr="008C035E">
        <w:rPr>
          <w:rFonts w:ascii="Arial" w:hAnsi="Arial" w:cs="Arial"/>
          <w:sz w:val="24"/>
          <w:szCs w:val="24"/>
        </w:rPr>
        <w:t xml:space="preserve">pending on capacity expansion and electric vehicle parts in India's auto component industry would reach 25,000-30,000 crore (US$ 2.89-3.46 billion) in FY26, following a range of 15,000-20,000 crore (US$ 1.73-2.31 billion) in FY25 (IBEF, 2025).  </w:t>
      </w:r>
      <w:r w:rsidR="00D831EE">
        <w:rPr>
          <w:rFonts w:ascii="Arial" w:hAnsi="Arial" w:cs="Arial"/>
          <w:sz w:val="24"/>
          <w:szCs w:val="24"/>
        </w:rPr>
        <w:t xml:space="preserve">There are other challenges in India which support the choice of </w:t>
      </w:r>
      <w:r w:rsidR="003A6B4D">
        <w:rPr>
          <w:rFonts w:ascii="Arial" w:hAnsi="Arial" w:cs="Arial"/>
          <w:sz w:val="24"/>
          <w:szCs w:val="24"/>
        </w:rPr>
        <w:t xml:space="preserve">alternative EV vehicles. </w:t>
      </w:r>
      <w:r w:rsidRPr="008C035E">
        <w:rPr>
          <w:rFonts w:ascii="Arial" w:hAnsi="Arial" w:cs="Arial"/>
          <w:sz w:val="24"/>
          <w:szCs w:val="24"/>
        </w:rPr>
        <w:t>Congestion and pollution in India's major cities have worsened as the country's population has migrated to cities.  Electric passenger cars are quickly replacing gas-powered automobiles as city inhabitants opt for greener transportation options</w:t>
      </w:r>
      <w:r w:rsidR="003A6B4D">
        <w:rPr>
          <w:rFonts w:ascii="Arial" w:hAnsi="Arial" w:cs="Arial"/>
          <w:sz w:val="24"/>
          <w:szCs w:val="24"/>
        </w:rPr>
        <w:t>. Therefore,</w:t>
      </w:r>
      <w:r w:rsidRPr="008C035E">
        <w:rPr>
          <w:rFonts w:ascii="Arial" w:hAnsi="Arial" w:cs="Arial"/>
          <w:sz w:val="24"/>
          <w:szCs w:val="24"/>
        </w:rPr>
        <w:t xml:space="preserve"> EVs are being seriously considered by consumers in cities like Delhi and Mumbai, which have enacted more stringent pollution rules (</w:t>
      </w:r>
      <w:bookmarkStart w:id="4" w:name="_Hlk217066474"/>
      <w:r w:rsidRPr="008C035E">
        <w:rPr>
          <w:rFonts w:ascii="Arial" w:hAnsi="Arial" w:cs="Arial"/>
          <w:sz w:val="24"/>
          <w:szCs w:val="24"/>
        </w:rPr>
        <w:t>Grand View Research, 2025</w:t>
      </w:r>
      <w:bookmarkEnd w:id="4"/>
      <w:r w:rsidRPr="008C035E">
        <w:rPr>
          <w:rFonts w:ascii="Arial" w:hAnsi="Arial" w:cs="Arial"/>
          <w:sz w:val="24"/>
          <w:szCs w:val="24"/>
        </w:rPr>
        <w:t>).</w:t>
      </w:r>
      <w:r w:rsidR="003A6B4D">
        <w:rPr>
          <w:rFonts w:ascii="Arial" w:hAnsi="Arial" w:cs="Arial"/>
          <w:sz w:val="24"/>
          <w:szCs w:val="24"/>
        </w:rPr>
        <w:t xml:space="preserve"> A more detailed rationale of this choice is highlighted in the following sections of the report. Section 2 presents a </w:t>
      </w:r>
      <w:r w:rsidR="003A6B4D">
        <w:rPr>
          <w:rFonts w:ascii="Arial" w:hAnsi="Arial" w:cs="Arial"/>
          <w:sz w:val="24"/>
          <w:szCs w:val="24"/>
        </w:rPr>
        <w:lastRenderedPageBreak/>
        <w:t xml:space="preserve">comprehensive external analysis. Section 3 provides a detailed strategy development and formulation process and Section 4 focuses on a detailed performance evaluation framework. </w:t>
      </w:r>
    </w:p>
    <w:p w14:paraId="5B948B3A" w14:textId="79C3936D" w:rsidR="00B879E0" w:rsidRPr="00252B36" w:rsidRDefault="00B879E0" w:rsidP="00252B36">
      <w:pPr>
        <w:pStyle w:val="Heading1"/>
      </w:pPr>
      <w:bookmarkStart w:id="5" w:name="_Toc217240567"/>
      <w:r w:rsidRPr="008C035E">
        <w:t>Section 2: Comprehensive Strategic Analysis</w:t>
      </w:r>
      <w:bookmarkEnd w:id="5"/>
      <w:r w:rsidRPr="008C035E">
        <w:t xml:space="preserve"> </w:t>
      </w:r>
    </w:p>
    <w:p w14:paraId="03338F1D" w14:textId="105D7A39" w:rsidR="00CA4D49" w:rsidRPr="00687C25" w:rsidRDefault="00B879E0" w:rsidP="00D831EE">
      <w:pPr>
        <w:pStyle w:val="Heading2"/>
        <w:numPr>
          <w:ilvl w:val="1"/>
          <w:numId w:val="13"/>
        </w:numPr>
      </w:pPr>
      <w:bookmarkStart w:id="6" w:name="_Toc217240568"/>
      <w:r w:rsidRPr="00687C25">
        <w:t xml:space="preserve">Macro-Environmental Analysis - </w:t>
      </w:r>
      <w:r w:rsidR="00CA4D49" w:rsidRPr="00687C25">
        <w:t xml:space="preserve">PESTLE </w:t>
      </w:r>
      <w:r w:rsidR="00B94B1A" w:rsidRPr="00687C25">
        <w:t>Analysis</w:t>
      </w:r>
      <w:bookmarkEnd w:id="6"/>
    </w:p>
    <w:p w14:paraId="2DDE07A7" w14:textId="634A7B3B"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Table 1 presents the key PESTLE elements.</w:t>
      </w:r>
    </w:p>
    <w:p w14:paraId="06BCCA88" w14:textId="6C475895" w:rsidR="00711741" w:rsidRPr="00711741" w:rsidRDefault="00711741" w:rsidP="00711741">
      <w:pPr>
        <w:pStyle w:val="Caption"/>
        <w:rPr>
          <w:rFonts w:ascii="Arial" w:hAnsi="Arial" w:cs="Arial"/>
          <w:b/>
          <w:bCs/>
          <w:i w:val="0"/>
          <w:iCs w:val="0"/>
          <w:color w:val="auto"/>
          <w:sz w:val="24"/>
          <w:szCs w:val="24"/>
        </w:rPr>
      </w:pPr>
      <w:bookmarkStart w:id="7" w:name="_Toc217240586"/>
      <w:r w:rsidRPr="00711741">
        <w:rPr>
          <w:rFonts w:ascii="Arial" w:hAnsi="Arial" w:cs="Arial"/>
          <w:b/>
          <w:bCs/>
          <w:i w:val="0"/>
          <w:iCs w:val="0"/>
          <w:color w:val="auto"/>
          <w:sz w:val="24"/>
          <w:szCs w:val="24"/>
        </w:rPr>
        <w:t xml:space="preserve">Table </w:t>
      </w:r>
      <w:r w:rsidRPr="00711741">
        <w:rPr>
          <w:rFonts w:ascii="Arial" w:hAnsi="Arial" w:cs="Arial"/>
          <w:b/>
          <w:bCs/>
          <w:i w:val="0"/>
          <w:iCs w:val="0"/>
          <w:color w:val="auto"/>
          <w:sz w:val="24"/>
          <w:szCs w:val="24"/>
        </w:rPr>
        <w:fldChar w:fldCharType="begin"/>
      </w:r>
      <w:r w:rsidRPr="00711741">
        <w:rPr>
          <w:rFonts w:ascii="Arial" w:hAnsi="Arial" w:cs="Arial"/>
          <w:b/>
          <w:bCs/>
          <w:i w:val="0"/>
          <w:iCs w:val="0"/>
          <w:color w:val="auto"/>
          <w:sz w:val="24"/>
          <w:szCs w:val="24"/>
        </w:rPr>
        <w:instrText xml:space="preserve"> SEQ Table \* ARABIC </w:instrText>
      </w:r>
      <w:r w:rsidRPr="00711741">
        <w:rPr>
          <w:rFonts w:ascii="Arial" w:hAnsi="Arial" w:cs="Arial"/>
          <w:b/>
          <w:bCs/>
          <w:i w:val="0"/>
          <w:iCs w:val="0"/>
          <w:color w:val="auto"/>
          <w:sz w:val="24"/>
          <w:szCs w:val="24"/>
        </w:rPr>
        <w:fldChar w:fldCharType="separate"/>
      </w:r>
      <w:r w:rsidR="00C566AC">
        <w:rPr>
          <w:rFonts w:ascii="Arial" w:hAnsi="Arial" w:cs="Arial"/>
          <w:b/>
          <w:bCs/>
          <w:i w:val="0"/>
          <w:iCs w:val="0"/>
          <w:noProof/>
          <w:color w:val="auto"/>
          <w:sz w:val="24"/>
          <w:szCs w:val="24"/>
        </w:rPr>
        <w:t>1</w:t>
      </w:r>
      <w:r w:rsidRPr="00711741">
        <w:rPr>
          <w:rFonts w:ascii="Arial" w:hAnsi="Arial" w:cs="Arial"/>
          <w:b/>
          <w:bCs/>
          <w:i w:val="0"/>
          <w:iCs w:val="0"/>
          <w:color w:val="auto"/>
          <w:sz w:val="24"/>
          <w:szCs w:val="24"/>
        </w:rPr>
        <w:fldChar w:fldCharType="end"/>
      </w:r>
      <w:r w:rsidRPr="00711741">
        <w:rPr>
          <w:rFonts w:ascii="Arial" w:hAnsi="Arial" w:cs="Arial"/>
          <w:b/>
          <w:bCs/>
          <w:i w:val="0"/>
          <w:iCs w:val="0"/>
          <w:color w:val="auto"/>
          <w:sz w:val="24"/>
          <w:szCs w:val="24"/>
        </w:rPr>
        <w:t>: Key PESTLE Elements</w:t>
      </w:r>
      <w:bookmarkEnd w:id="7"/>
    </w:p>
    <w:tbl>
      <w:tblPr>
        <w:tblStyle w:val="TableGrid"/>
        <w:tblW w:w="9351" w:type="dxa"/>
        <w:tblLook w:val="04A0" w:firstRow="1" w:lastRow="0" w:firstColumn="1" w:lastColumn="0" w:noHBand="0" w:noVBand="1"/>
      </w:tblPr>
      <w:tblGrid>
        <w:gridCol w:w="1623"/>
        <w:gridCol w:w="7728"/>
      </w:tblGrid>
      <w:tr w:rsidR="00CA4D49" w:rsidRPr="00787D47" w14:paraId="468F278B" w14:textId="71C4F167" w:rsidTr="00B94B1A">
        <w:tc>
          <w:tcPr>
            <w:tcW w:w="1623" w:type="dxa"/>
          </w:tcPr>
          <w:p w14:paraId="2FF0DE5B" w14:textId="2C3D8A4F"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Political </w:t>
            </w:r>
          </w:p>
        </w:tc>
        <w:tc>
          <w:tcPr>
            <w:tcW w:w="7728" w:type="dxa"/>
          </w:tcPr>
          <w:p w14:paraId="003BB4CD" w14:textId="2866A8F2" w:rsidR="00CA4D49" w:rsidRPr="00787D47" w:rsidRDefault="00CA4D49" w:rsidP="005A0EBD">
            <w:pPr>
              <w:jc w:val="both"/>
              <w:rPr>
                <w:rFonts w:ascii="Arial" w:hAnsi="Arial" w:cs="Arial"/>
                <w:sz w:val="20"/>
                <w:szCs w:val="20"/>
              </w:rPr>
            </w:pPr>
            <w:r w:rsidRPr="00787D47">
              <w:rPr>
                <w:rFonts w:ascii="Arial" w:hAnsi="Arial" w:cs="Arial"/>
                <w:sz w:val="20"/>
                <w:szCs w:val="20"/>
              </w:rPr>
              <w:t>Strong government support for electric vehicles in India exists. 100% customers duty exemption has been granted for twenty-five critical minerals (lithium, cobalt)</w:t>
            </w:r>
            <w:r w:rsidR="00F377B6" w:rsidRPr="00787D47">
              <w:rPr>
                <w:rFonts w:ascii="Arial" w:hAnsi="Arial" w:cs="Arial"/>
                <w:sz w:val="20"/>
                <w:szCs w:val="20"/>
              </w:rPr>
              <w:t xml:space="preserve"> (</w:t>
            </w:r>
            <w:r w:rsidR="00F377B6" w:rsidRPr="00787D47">
              <w:rPr>
                <w:rStyle w:val="cf01"/>
                <w:rFonts w:ascii="Arial" w:hAnsi="Arial" w:cs="Arial"/>
                <w:sz w:val="20"/>
                <w:szCs w:val="20"/>
              </w:rPr>
              <w:t>IBEF, 2025)</w:t>
            </w:r>
            <w:r w:rsidRPr="00787D47">
              <w:rPr>
                <w:rFonts w:ascii="Arial" w:hAnsi="Arial" w:cs="Arial"/>
                <w:sz w:val="20"/>
                <w:szCs w:val="20"/>
              </w:rPr>
              <w:t xml:space="preserve">. </w:t>
            </w:r>
          </w:p>
          <w:p w14:paraId="0D93D02D" w14:textId="77777777"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Growing support to establish 1.32 million charging stations by 2030 through strong government push. </w:t>
            </w:r>
          </w:p>
          <w:p w14:paraId="7AA60E8F" w14:textId="5A11A0E1"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Production Linked Incentive Scheme (PLI) intended to boost domestic manufacturing of advanced automative technology products (IBEF, 2025). </w:t>
            </w:r>
          </w:p>
          <w:p w14:paraId="2B6DE731" w14:textId="77777777" w:rsidR="00CA4D49" w:rsidRPr="00787D47" w:rsidRDefault="00CA4D49" w:rsidP="00C52331">
            <w:pPr>
              <w:jc w:val="both"/>
              <w:rPr>
                <w:rFonts w:ascii="Arial" w:hAnsi="Arial" w:cs="Arial"/>
                <w:sz w:val="20"/>
                <w:szCs w:val="20"/>
              </w:rPr>
            </w:pPr>
          </w:p>
        </w:tc>
      </w:tr>
      <w:tr w:rsidR="00CA4D49" w:rsidRPr="00787D47" w14:paraId="25A266AF" w14:textId="324B167F" w:rsidTr="00B94B1A">
        <w:tc>
          <w:tcPr>
            <w:tcW w:w="1623" w:type="dxa"/>
          </w:tcPr>
          <w:p w14:paraId="7CECDB34" w14:textId="1CF2017D" w:rsidR="00CA4D49" w:rsidRPr="00787D47" w:rsidRDefault="00CA4D49" w:rsidP="005A0EBD">
            <w:pPr>
              <w:jc w:val="both"/>
              <w:rPr>
                <w:rFonts w:ascii="Arial" w:hAnsi="Arial" w:cs="Arial"/>
                <w:sz w:val="20"/>
                <w:szCs w:val="20"/>
              </w:rPr>
            </w:pPr>
            <w:r w:rsidRPr="00787D47">
              <w:rPr>
                <w:rFonts w:ascii="Arial" w:hAnsi="Arial" w:cs="Arial"/>
                <w:sz w:val="20"/>
                <w:szCs w:val="20"/>
              </w:rPr>
              <w:t>Economic</w:t>
            </w:r>
          </w:p>
        </w:tc>
        <w:tc>
          <w:tcPr>
            <w:tcW w:w="7728" w:type="dxa"/>
          </w:tcPr>
          <w:p w14:paraId="44DBE20A" w14:textId="49B1A15C" w:rsidR="00CA4D49" w:rsidRPr="00787D47" w:rsidRDefault="00CA4D49" w:rsidP="005A0EBD">
            <w:pPr>
              <w:jc w:val="both"/>
              <w:rPr>
                <w:rFonts w:ascii="Arial" w:hAnsi="Arial" w:cs="Arial"/>
                <w:sz w:val="20"/>
                <w:szCs w:val="20"/>
              </w:rPr>
            </w:pPr>
            <w:r w:rsidRPr="00787D47">
              <w:rPr>
                <w:rFonts w:ascii="Arial" w:hAnsi="Arial" w:cs="Arial"/>
                <w:sz w:val="20"/>
                <w:szCs w:val="20"/>
              </w:rPr>
              <w:t>Dedicated support for future growth. In 2024, the value of the EV market was at 8.49 billion expected to grow at a CAGR of 40.7% between 2025-2030 (Grand View Research, 202</w:t>
            </w:r>
            <w:r w:rsidR="00D40E13" w:rsidRPr="00787D47">
              <w:rPr>
                <w:rFonts w:ascii="Arial" w:hAnsi="Arial" w:cs="Arial"/>
                <w:sz w:val="20"/>
                <w:szCs w:val="20"/>
              </w:rPr>
              <w:t>5</w:t>
            </w:r>
            <w:r w:rsidRPr="00787D47">
              <w:rPr>
                <w:rFonts w:ascii="Arial" w:hAnsi="Arial" w:cs="Arial"/>
                <w:sz w:val="20"/>
                <w:szCs w:val="20"/>
              </w:rPr>
              <w:t xml:space="preserve">). </w:t>
            </w:r>
          </w:p>
          <w:p w14:paraId="427B6FE0" w14:textId="0F6FB5F1"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Sales of passenger electric vehicles have surged with a rise from 4700 units in 2021 to 99,000 units by January 2025 (Autocar India, 2025). </w:t>
            </w:r>
          </w:p>
          <w:p w14:paraId="147FC0D7" w14:textId="76D00D87" w:rsidR="00CA4D49" w:rsidRPr="00787D47" w:rsidRDefault="00CA4D49" w:rsidP="005A0EBD">
            <w:pPr>
              <w:jc w:val="both"/>
              <w:rPr>
                <w:rFonts w:ascii="Arial" w:hAnsi="Arial" w:cs="Arial"/>
                <w:sz w:val="20"/>
                <w:szCs w:val="20"/>
              </w:rPr>
            </w:pPr>
            <w:r w:rsidRPr="00787D47">
              <w:rPr>
                <w:rFonts w:ascii="Arial" w:hAnsi="Arial" w:cs="Arial"/>
                <w:sz w:val="20"/>
                <w:szCs w:val="20"/>
              </w:rPr>
              <w:t>Estimated annual EV sales is expected to be at seventeen million units by 2030 led by two wheelers (IBEF, 2025).</w:t>
            </w:r>
          </w:p>
          <w:p w14:paraId="0415B121" w14:textId="49FA99B0" w:rsidR="00CA4D49" w:rsidRPr="00787D47" w:rsidRDefault="00CA4D49" w:rsidP="005A0EBD">
            <w:pPr>
              <w:jc w:val="both"/>
              <w:rPr>
                <w:rFonts w:ascii="Arial" w:hAnsi="Arial" w:cs="Arial"/>
                <w:sz w:val="20"/>
                <w:szCs w:val="20"/>
              </w:rPr>
            </w:pPr>
            <w:r w:rsidRPr="00787D47">
              <w:rPr>
                <w:rFonts w:ascii="Arial" w:hAnsi="Arial" w:cs="Arial"/>
                <w:sz w:val="20"/>
                <w:szCs w:val="20"/>
              </w:rPr>
              <w:t>In the automotive segment, the fasted growing category is the Sports Utility Vehicles (SUV) which captured 50% of the passenger vehicle market in 2024-25 (</w:t>
            </w:r>
            <w:bookmarkStart w:id="8" w:name="_Hlk217067688"/>
            <w:r w:rsidRPr="00787D47">
              <w:rPr>
                <w:rFonts w:ascii="Arial" w:hAnsi="Arial" w:cs="Arial"/>
                <w:sz w:val="20"/>
                <w:szCs w:val="20"/>
              </w:rPr>
              <w:t xml:space="preserve">Economist, 2024). </w:t>
            </w:r>
          </w:p>
          <w:bookmarkEnd w:id="8"/>
          <w:p w14:paraId="05AADBDC" w14:textId="77777777" w:rsidR="00CA4D49" w:rsidRPr="00787D47" w:rsidRDefault="00CA4D49" w:rsidP="005A0EBD">
            <w:pPr>
              <w:jc w:val="both"/>
              <w:rPr>
                <w:rFonts w:ascii="Arial" w:hAnsi="Arial" w:cs="Arial"/>
                <w:sz w:val="20"/>
                <w:szCs w:val="20"/>
              </w:rPr>
            </w:pPr>
          </w:p>
        </w:tc>
      </w:tr>
      <w:tr w:rsidR="00CA4D49" w:rsidRPr="00787D47" w14:paraId="4CF15F38" w14:textId="06C1329C" w:rsidTr="00B94B1A">
        <w:tc>
          <w:tcPr>
            <w:tcW w:w="1623" w:type="dxa"/>
          </w:tcPr>
          <w:p w14:paraId="624A06BD" w14:textId="60C875CD"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Social </w:t>
            </w:r>
          </w:p>
        </w:tc>
        <w:tc>
          <w:tcPr>
            <w:tcW w:w="7728" w:type="dxa"/>
          </w:tcPr>
          <w:p w14:paraId="71429105" w14:textId="315F406C"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Consumer spending power has increased. </w:t>
            </w:r>
            <w:proofErr w:type="gramStart"/>
            <w:r w:rsidRPr="00787D47">
              <w:rPr>
                <w:rFonts w:ascii="Arial" w:hAnsi="Arial" w:cs="Arial"/>
                <w:sz w:val="20"/>
                <w:szCs w:val="20"/>
              </w:rPr>
              <w:t>In particular, 62%</w:t>
            </w:r>
            <w:proofErr w:type="gramEnd"/>
            <w:r w:rsidRPr="00787D47">
              <w:rPr>
                <w:rFonts w:ascii="Arial" w:hAnsi="Arial" w:cs="Arial"/>
                <w:sz w:val="20"/>
                <w:szCs w:val="20"/>
              </w:rPr>
              <w:t xml:space="preserve"> of discretionary sending is being spent on lifestyle purchasing including automotives (</w:t>
            </w:r>
            <w:bookmarkStart w:id="9" w:name="_Hlk217067693"/>
            <w:r w:rsidRPr="00787D47">
              <w:rPr>
                <w:rFonts w:ascii="Arial" w:hAnsi="Arial" w:cs="Arial"/>
                <w:sz w:val="20"/>
                <w:szCs w:val="20"/>
              </w:rPr>
              <w:t xml:space="preserve">PwC, 2023). </w:t>
            </w:r>
            <w:bookmarkEnd w:id="9"/>
          </w:p>
          <w:p w14:paraId="21C2653A" w14:textId="06959C1E"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Forty-eight percent of consumers believe that their next car purchase will be electric (McKinsey, 2023). </w:t>
            </w:r>
          </w:p>
          <w:p w14:paraId="39B23804" w14:textId="0ABC5126"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Core drivers of consumer purchase of vehicles is technology-integration (27%), brand name (25%), total cost of ownership (25%) and then purchase price (24%). This shows a modest shift away from simply price-driving purchase trends (McKinsey, 2023). </w:t>
            </w:r>
          </w:p>
          <w:p w14:paraId="051BB20C" w14:textId="3FAA5832"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Social barriers include problems with the charging infrastructure and lack of widespread reliable network (Tarei et al., 2021). </w:t>
            </w:r>
          </w:p>
          <w:p w14:paraId="3CBF3A2D" w14:textId="77777777" w:rsidR="00CA4D49" w:rsidRPr="00787D47" w:rsidRDefault="00CA4D49" w:rsidP="005A0EBD">
            <w:pPr>
              <w:jc w:val="both"/>
              <w:rPr>
                <w:rFonts w:ascii="Arial" w:hAnsi="Arial" w:cs="Arial"/>
                <w:sz w:val="20"/>
                <w:szCs w:val="20"/>
              </w:rPr>
            </w:pPr>
          </w:p>
        </w:tc>
      </w:tr>
      <w:tr w:rsidR="00CA4D49" w:rsidRPr="00787D47" w14:paraId="17F92A7D" w14:textId="0F27B056" w:rsidTr="00B94B1A">
        <w:tc>
          <w:tcPr>
            <w:tcW w:w="1623" w:type="dxa"/>
          </w:tcPr>
          <w:p w14:paraId="5701249B" w14:textId="77777777" w:rsidR="00CA4D49" w:rsidRPr="00787D47" w:rsidRDefault="00CA4D49" w:rsidP="005A0EBD">
            <w:pPr>
              <w:jc w:val="both"/>
              <w:rPr>
                <w:rFonts w:ascii="Arial" w:hAnsi="Arial" w:cs="Arial"/>
                <w:sz w:val="20"/>
                <w:szCs w:val="20"/>
              </w:rPr>
            </w:pPr>
            <w:r w:rsidRPr="00787D47">
              <w:rPr>
                <w:rFonts w:ascii="Arial" w:hAnsi="Arial" w:cs="Arial"/>
                <w:sz w:val="20"/>
                <w:szCs w:val="20"/>
              </w:rPr>
              <w:t>Environmental</w:t>
            </w:r>
          </w:p>
          <w:p w14:paraId="62DECA06" w14:textId="77777777" w:rsidR="00CA4D49" w:rsidRPr="00787D47" w:rsidRDefault="00CA4D49" w:rsidP="005A0EBD">
            <w:pPr>
              <w:jc w:val="both"/>
              <w:rPr>
                <w:rFonts w:ascii="Arial" w:hAnsi="Arial" w:cs="Arial"/>
                <w:sz w:val="20"/>
                <w:szCs w:val="20"/>
              </w:rPr>
            </w:pPr>
          </w:p>
        </w:tc>
        <w:tc>
          <w:tcPr>
            <w:tcW w:w="7728" w:type="dxa"/>
          </w:tcPr>
          <w:p w14:paraId="1C5CDE85" w14:textId="261DD82E"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Seventy-five percent of Indian consumers surveyed by </w:t>
            </w:r>
            <w:bookmarkStart w:id="10" w:name="_Hlk217067705"/>
            <w:r w:rsidRPr="00787D47">
              <w:rPr>
                <w:rFonts w:ascii="Arial" w:hAnsi="Arial" w:cs="Arial"/>
                <w:sz w:val="20"/>
                <w:szCs w:val="20"/>
              </w:rPr>
              <w:t>McKinsey (2023) recognise that they have started to change their behaviour based on sustai</w:t>
            </w:r>
            <w:bookmarkEnd w:id="10"/>
            <w:r w:rsidRPr="00787D47">
              <w:rPr>
                <w:rFonts w:ascii="Arial" w:hAnsi="Arial" w:cs="Arial"/>
                <w:sz w:val="20"/>
                <w:szCs w:val="20"/>
              </w:rPr>
              <w:t>nability considerations.</w:t>
            </w:r>
          </w:p>
          <w:p w14:paraId="31D15C79" w14:textId="29AEAB27" w:rsidR="00CA4D49" w:rsidRPr="00787D47" w:rsidRDefault="00CA4D49" w:rsidP="005A0EBD">
            <w:pPr>
              <w:jc w:val="both"/>
              <w:rPr>
                <w:rFonts w:ascii="Arial" w:hAnsi="Arial" w:cs="Arial"/>
                <w:sz w:val="20"/>
                <w:szCs w:val="20"/>
              </w:rPr>
            </w:pPr>
            <w:r w:rsidRPr="00787D47">
              <w:rPr>
                <w:rFonts w:ascii="Arial" w:hAnsi="Arial" w:cs="Arial"/>
                <w:sz w:val="20"/>
                <w:szCs w:val="20"/>
              </w:rPr>
              <w:t>Concerns regarding the environmental impact of batteries however can be a negative influence (Tarei et al., 2021).</w:t>
            </w:r>
          </w:p>
          <w:p w14:paraId="47D564B9" w14:textId="6A0C5CD1" w:rsidR="00CA4D49" w:rsidRPr="00787D47" w:rsidRDefault="00CA4D49" w:rsidP="005A0EBD">
            <w:pPr>
              <w:jc w:val="both"/>
              <w:rPr>
                <w:rFonts w:ascii="Arial" w:hAnsi="Arial" w:cs="Arial"/>
                <w:sz w:val="20"/>
                <w:szCs w:val="20"/>
              </w:rPr>
            </w:pPr>
            <w:r w:rsidRPr="00787D47">
              <w:rPr>
                <w:rFonts w:ascii="Arial" w:hAnsi="Arial" w:cs="Arial"/>
                <w:sz w:val="20"/>
                <w:szCs w:val="20"/>
              </w:rPr>
              <w:t xml:space="preserve">Sustainability paradox exists where Indian consumers are sustainability </w:t>
            </w:r>
            <w:bookmarkStart w:id="11" w:name="_Hlk217067721"/>
            <w:r w:rsidRPr="00787D47">
              <w:rPr>
                <w:rFonts w:ascii="Arial" w:hAnsi="Arial" w:cs="Arial"/>
                <w:sz w:val="20"/>
                <w:szCs w:val="20"/>
              </w:rPr>
              <w:t xml:space="preserve">focused but practical factors may outweigh sustainability concerns </w:t>
            </w:r>
            <w:r w:rsidR="000E0442">
              <w:rPr>
                <w:rFonts w:ascii="Arial" w:hAnsi="Arial" w:cs="Arial"/>
                <w:sz w:val="20"/>
                <w:szCs w:val="20"/>
              </w:rPr>
              <w:t>(</w:t>
            </w:r>
            <w:r w:rsidR="000E0442">
              <w:rPr>
                <w:rFonts w:ascii="Arial" w:hAnsi="Arial" w:cs="Arial"/>
                <w:color w:val="222222"/>
                <w:sz w:val="20"/>
                <w:szCs w:val="20"/>
                <w:shd w:val="clear" w:color="auto" w:fill="FFFFFF"/>
              </w:rPr>
              <w:t>KV</w:t>
            </w:r>
            <w:r w:rsidR="000E0442" w:rsidRPr="00787D47">
              <w:rPr>
                <w:rFonts w:ascii="Arial" w:hAnsi="Arial" w:cs="Arial"/>
                <w:sz w:val="20"/>
                <w:szCs w:val="20"/>
              </w:rPr>
              <w:t xml:space="preserve"> </w:t>
            </w:r>
            <w:r w:rsidRPr="00787D47">
              <w:rPr>
                <w:rFonts w:ascii="Arial" w:hAnsi="Arial" w:cs="Arial"/>
                <w:sz w:val="20"/>
                <w:szCs w:val="20"/>
              </w:rPr>
              <w:t xml:space="preserve">et al., 2022). </w:t>
            </w:r>
            <w:bookmarkEnd w:id="11"/>
          </w:p>
          <w:p w14:paraId="00A47A82" w14:textId="77777777" w:rsidR="00CA4D49" w:rsidRPr="00787D47" w:rsidRDefault="00CA4D49" w:rsidP="005A0EBD">
            <w:pPr>
              <w:jc w:val="both"/>
              <w:rPr>
                <w:rFonts w:ascii="Arial" w:hAnsi="Arial" w:cs="Arial"/>
                <w:sz w:val="20"/>
                <w:szCs w:val="20"/>
              </w:rPr>
            </w:pPr>
          </w:p>
        </w:tc>
      </w:tr>
      <w:tr w:rsidR="00C52331" w:rsidRPr="00787D47" w14:paraId="276BF01E" w14:textId="77777777" w:rsidTr="00B94B1A">
        <w:tc>
          <w:tcPr>
            <w:tcW w:w="1623" w:type="dxa"/>
          </w:tcPr>
          <w:p w14:paraId="171E2B3B" w14:textId="70C4DA93" w:rsidR="00C52331" w:rsidRPr="00787D47" w:rsidRDefault="00614740" w:rsidP="005A0EBD">
            <w:pPr>
              <w:jc w:val="both"/>
              <w:rPr>
                <w:rFonts w:ascii="Arial" w:hAnsi="Arial" w:cs="Arial"/>
                <w:sz w:val="20"/>
                <w:szCs w:val="20"/>
              </w:rPr>
            </w:pPr>
            <w:r>
              <w:rPr>
                <w:rFonts w:ascii="Arial" w:hAnsi="Arial" w:cs="Arial"/>
                <w:sz w:val="20"/>
                <w:szCs w:val="20"/>
              </w:rPr>
              <w:t>Technology</w:t>
            </w:r>
          </w:p>
        </w:tc>
        <w:tc>
          <w:tcPr>
            <w:tcW w:w="7728" w:type="dxa"/>
          </w:tcPr>
          <w:p w14:paraId="72E77D58" w14:textId="77777777" w:rsidR="00C52331" w:rsidRDefault="00C52331" w:rsidP="00C52331">
            <w:pPr>
              <w:jc w:val="both"/>
              <w:rPr>
                <w:rFonts w:ascii="Arial" w:hAnsi="Arial" w:cs="Arial"/>
                <w:sz w:val="20"/>
                <w:szCs w:val="20"/>
              </w:rPr>
            </w:pPr>
            <w:r w:rsidRPr="00787D47">
              <w:rPr>
                <w:rFonts w:ascii="Arial" w:hAnsi="Arial" w:cs="Arial"/>
                <w:sz w:val="20"/>
                <w:szCs w:val="20"/>
              </w:rPr>
              <w:t xml:space="preserve">EV Policy by the government in 2024, has a $500 million outlay to attract global investments (S&amp;P Global, 2025). </w:t>
            </w:r>
          </w:p>
          <w:p w14:paraId="2DE79263" w14:textId="75000500" w:rsidR="00614740" w:rsidRDefault="00F224C8" w:rsidP="00C52331">
            <w:pPr>
              <w:jc w:val="both"/>
              <w:rPr>
                <w:rFonts w:ascii="Arial" w:hAnsi="Arial" w:cs="Arial"/>
                <w:sz w:val="20"/>
                <w:szCs w:val="20"/>
              </w:rPr>
            </w:pPr>
            <w:r w:rsidRPr="00F224C8">
              <w:rPr>
                <w:rFonts w:ascii="Arial" w:hAnsi="Arial" w:cs="Arial"/>
                <w:sz w:val="20"/>
                <w:szCs w:val="20"/>
              </w:rPr>
              <w:t>Electric automobiles and batteries with lithium ion will get approximately Rs. 85,420 crore (US$ 10 billion) in investment from Indian automakers in 2025</w:t>
            </w:r>
            <w:r>
              <w:rPr>
                <w:rFonts w:ascii="Arial" w:hAnsi="Arial" w:cs="Arial"/>
                <w:sz w:val="20"/>
                <w:szCs w:val="20"/>
              </w:rPr>
              <w:t xml:space="preserve"> (</w:t>
            </w:r>
            <w:r w:rsidR="00E16FC6">
              <w:rPr>
                <w:rFonts w:ascii="Arial" w:hAnsi="Arial" w:cs="Arial"/>
                <w:sz w:val="20"/>
                <w:szCs w:val="20"/>
              </w:rPr>
              <w:t>IBEF, 202</w:t>
            </w:r>
            <w:r w:rsidR="007837E8">
              <w:rPr>
                <w:rFonts w:ascii="Arial" w:hAnsi="Arial" w:cs="Arial"/>
                <w:sz w:val="20"/>
                <w:szCs w:val="20"/>
              </w:rPr>
              <w:t>5</w:t>
            </w:r>
            <w:r w:rsidR="00E16FC6">
              <w:rPr>
                <w:rFonts w:ascii="Arial" w:hAnsi="Arial" w:cs="Arial"/>
                <w:sz w:val="20"/>
                <w:szCs w:val="20"/>
              </w:rPr>
              <w:t xml:space="preserve">). </w:t>
            </w:r>
          </w:p>
          <w:p w14:paraId="53D39BA1" w14:textId="6E6CCB1C" w:rsidR="00E16FC6" w:rsidRPr="00787D47" w:rsidRDefault="00567380" w:rsidP="00C52331">
            <w:pPr>
              <w:jc w:val="both"/>
              <w:rPr>
                <w:rFonts w:ascii="Arial" w:hAnsi="Arial" w:cs="Arial"/>
                <w:sz w:val="20"/>
                <w:szCs w:val="20"/>
              </w:rPr>
            </w:pPr>
            <w:r>
              <w:rPr>
                <w:rFonts w:ascii="Arial" w:hAnsi="Arial" w:cs="Arial"/>
                <w:sz w:val="20"/>
                <w:szCs w:val="20"/>
              </w:rPr>
              <w:t xml:space="preserve">Investment in AI by the </w:t>
            </w:r>
            <w:r w:rsidR="00C916CC" w:rsidRPr="00C916CC">
              <w:rPr>
                <w:rFonts w:ascii="Arial" w:hAnsi="Arial" w:cs="Arial"/>
                <w:sz w:val="20"/>
                <w:szCs w:val="20"/>
              </w:rPr>
              <w:t xml:space="preserve">₹10,300 crore (over $1.2B) </w:t>
            </w:r>
            <w:proofErr w:type="spellStart"/>
            <w:r w:rsidR="00C916CC" w:rsidRPr="00C916CC">
              <w:rPr>
                <w:rFonts w:ascii="Arial" w:hAnsi="Arial" w:cs="Arial"/>
                <w:sz w:val="20"/>
                <w:szCs w:val="20"/>
              </w:rPr>
              <w:t>IndiaAI</w:t>
            </w:r>
            <w:proofErr w:type="spellEnd"/>
            <w:r w:rsidR="00C916CC" w:rsidRPr="00C916CC">
              <w:rPr>
                <w:rFonts w:ascii="Arial" w:hAnsi="Arial" w:cs="Arial"/>
                <w:sz w:val="20"/>
                <w:szCs w:val="20"/>
              </w:rPr>
              <w:t xml:space="preserve"> Mission</w:t>
            </w:r>
            <w:r w:rsidR="007837E8">
              <w:rPr>
                <w:rFonts w:ascii="Arial" w:hAnsi="Arial" w:cs="Arial"/>
                <w:sz w:val="20"/>
                <w:szCs w:val="20"/>
              </w:rPr>
              <w:t xml:space="preserve"> (IBEF, 2025)</w:t>
            </w:r>
          </w:p>
          <w:p w14:paraId="7B6D33DF" w14:textId="77777777" w:rsidR="00C52331" w:rsidRPr="00787D47" w:rsidRDefault="00C52331" w:rsidP="005A0EBD">
            <w:pPr>
              <w:jc w:val="both"/>
              <w:rPr>
                <w:rFonts w:ascii="Arial" w:hAnsi="Arial" w:cs="Arial"/>
                <w:sz w:val="20"/>
                <w:szCs w:val="20"/>
              </w:rPr>
            </w:pPr>
          </w:p>
        </w:tc>
      </w:tr>
      <w:tr w:rsidR="00CA4D49" w:rsidRPr="00787D47" w14:paraId="3E5DB172" w14:textId="40FC8799" w:rsidTr="00B94B1A">
        <w:tc>
          <w:tcPr>
            <w:tcW w:w="1623" w:type="dxa"/>
          </w:tcPr>
          <w:p w14:paraId="4CDFBCE0" w14:textId="4A8155E6" w:rsidR="00CA4D49" w:rsidRPr="00787D47" w:rsidRDefault="00B94B1A" w:rsidP="005A0EBD">
            <w:pPr>
              <w:jc w:val="both"/>
              <w:rPr>
                <w:rFonts w:ascii="Arial" w:hAnsi="Arial" w:cs="Arial"/>
                <w:sz w:val="20"/>
                <w:szCs w:val="20"/>
              </w:rPr>
            </w:pPr>
            <w:r w:rsidRPr="00787D47">
              <w:rPr>
                <w:rFonts w:ascii="Arial" w:hAnsi="Arial" w:cs="Arial"/>
                <w:sz w:val="20"/>
                <w:szCs w:val="20"/>
              </w:rPr>
              <w:lastRenderedPageBreak/>
              <w:t>Legal</w:t>
            </w:r>
          </w:p>
        </w:tc>
        <w:tc>
          <w:tcPr>
            <w:tcW w:w="7728" w:type="dxa"/>
          </w:tcPr>
          <w:p w14:paraId="7C97B14D" w14:textId="77777777" w:rsidR="00CA4D49" w:rsidRPr="00787D47" w:rsidRDefault="00B94B1A" w:rsidP="005A0EBD">
            <w:pPr>
              <w:jc w:val="both"/>
              <w:rPr>
                <w:rFonts w:ascii="Arial" w:hAnsi="Arial" w:cs="Arial"/>
                <w:sz w:val="20"/>
                <w:szCs w:val="20"/>
              </w:rPr>
            </w:pPr>
            <w:r w:rsidRPr="00787D47">
              <w:rPr>
                <w:rFonts w:ascii="Arial" w:hAnsi="Arial" w:cs="Arial"/>
                <w:sz w:val="20"/>
                <w:szCs w:val="20"/>
              </w:rPr>
              <w:t>Regulatory fragmentation with respect to registration and taxation may increase compliance burden.</w:t>
            </w:r>
          </w:p>
          <w:p w14:paraId="5926DB7C" w14:textId="77777777" w:rsidR="00B94B1A" w:rsidRPr="00787D47" w:rsidRDefault="00B94B1A" w:rsidP="005A0EBD">
            <w:pPr>
              <w:jc w:val="both"/>
              <w:rPr>
                <w:rFonts w:ascii="Arial" w:hAnsi="Arial" w:cs="Arial"/>
                <w:sz w:val="20"/>
                <w:szCs w:val="20"/>
              </w:rPr>
            </w:pPr>
            <w:r w:rsidRPr="00787D47">
              <w:rPr>
                <w:rFonts w:ascii="Arial" w:hAnsi="Arial" w:cs="Arial"/>
                <w:sz w:val="20"/>
                <w:szCs w:val="20"/>
              </w:rPr>
              <w:t>Subsidy provision and its influence on international players are not clear.</w:t>
            </w:r>
          </w:p>
          <w:p w14:paraId="49ED08D7" w14:textId="2BF2E7E1" w:rsidR="00B94B1A" w:rsidRPr="00787D47" w:rsidRDefault="00B94B1A" w:rsidP="005A0EBD">
            <w:pPr>
              <w:jc w:val="both"/>
              <w:rPr>
                <w:rFonts w:ascii="Arial" w:hAnsi="Arial" w:cs="Arial"/>
                <w:sz w:val="20"/>
                <w:szCs w:val="20"/>
              </w:rPr>
            </w:pPr>
            <w:r w:rsidRPr="00787D47">
              <w:rPr>
                <w:rFonts w:ascii="Arial" w:hAnsi="Arial" w:cs="Arial"/>
                <w:sz w:val="20"/>
                <w:szCs w:val="20"/>
              </w:rPr>
              <w:t xml:space="preserve">Concerns over aspects like data privacy and security may exist given the rise of technology integrated EV vehicles. </w:t>
            </w:r>
          </w:p>
          <w:p w14:paraId="32EABF2B" w14:textId="34B4D733" w:rsidR="00B94B1A" w:rsidRPr="00787D47" w:rsidRDefault="00B94B1A" w:rsidP="005A0EBD">
            <w:pPr>
              <w:jc w:val="both"/>
              <w:rPr>
                <w:rFonts w:ascii="Arial" w:hAnsi="Arial" w:cs="Arial"/>
                <w:sz w:val="20"/>
                <w:szCs w:val="20"/>
              </w:rPr>
            </w:pPr>
          </w:p>
        </w:tc>
      </w:tr>
    </w:tbl>
    <w:p w14:paraId="33FCC324" w14:textId="77777777" w:rsidR="00CA4D49" w:rsidRPr="008C035E" w:rsidRDefault="00CA4D49" w:rsidP="008C035E">
      <w:pPr>
        <w:spacing w:line="360" w:lineRule="auto"/>
        <w:jc w:val="both"/>
        <w:rPr>
          <w:rFonts w:ascii="Arial" w:hAnsi="Arial" w:cs="Arial"/>
          <w:sz w:val="24"/>
          <w:szCs w:val="24"/>
        </w:rPr>
      </w:pPr>
    </w:p>
    <w:p w14:paraId="6267027B" w14:textId="77777777"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The PESTLE analysis identifies some important external macro-environmental factors influencing the growth of EVs in India. Politically, there is strong support for EV growth intended to improve consumer adoption and domestic manufacturing. While there is no direct isolated incentive, as evident in the table there are support for policies engaging with infrastructure development, exemption for mineral import etc. Therefore, at a political level there is an expected increase in support for EV vehicle manufacturing and sales. At the same time, there remains barriers in terms of import of EV vehicles which attract significant custom duties. Similarly, at a legal level, concern regarding state level policies as well as privacy issues need to be addressed. It is important for an organisation like Rivian to take advantage of several government supported solutions including the 100% FDI allowance in this sector. An important approach to growth can be through establishment of local manufacturing units. Dependence on governmental infrastructure could have some implications for execution risk.</w:t>
      </w:r>
    </w:p>
    <w:p w14:paraId="24D71A21" w14:textId="19A1BC9C"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 xml:space="preserve">Economic factors are predominantly positive with strong expected growth in the EV segment. Similarly, in the car segment there is strong demand for SUVs. </w:t>
      </w:r>
      <w:r w:rsidR="00F377B6" w:rsidRPr="008C035E">
        <w:rPr>
          <w:rFonts w:ascii="Arial" w:hAnsi="Arial" w:cs="Arial"/>
          <w:sz w:val="24"/>
          <w:szCs w:val="24"/>
        </w:rPr>
        <w:t>However,</w:t>
      </w:r>
      <w:r w:rsidRPr="008C035E">
        <w:rPr>
          <w:rFonts w:ascii="Arial" w:hAnsi="Arial" w:cs="Arial"/>
          <w:sz w:val="24"/>
          <w:szCs w:val="24"/>
        </w:rPr>
        <w:t xml:space="preserve"> </w:t>
      </w:r>
      <w:proofErr w:type="gramStart"/>
      <w:r w:rsidRPr="008C035E">
        <w:rPr>
          <w:rFonts w:ascii="Arial" w:hAnsi="Arial" w:cs="Arial"/>
          <w:sz w:val="24"/>
          <w:szCs w:val="24"/>
        </w:rPr>
        <w:t>the majority of</w:t>
      </w:r>
      <w:proofErr w:type="gramEnd"/>
      <w:r w:rsidRPr="008C035E">
        <w:rPr>
          <w:rFonts w:ascii="Arial" w:hAnsi="Arial" w:cs="Arial"/>
          <w:sz w:val="24"/>
          <w:szCs w:val="24"/>
        </w:rPr>
        <w:t xml:space="preserve"> the EV growth is expected in the two-wheeler segment. While the growing dominance of SUV does align with Rivian’s focus, the potential impact of total cost of ownership and product costs will have an impact. </w:t>
      </w:r>
      <w:proofErr w:type="gramStart"/>
      <w:r w:rsidRPr="008C035E">
        <w:rPr>
          <w:rFonts w:ascii="Arial" w:hAnsi="Arial" w:cs="Arial"/>
          <w:sz w:val="24"/>
          <w:szCs w:val="24"/>
        </w:rPr>
        <w:t>In particular, in</w:t>
      </w:r>
      <w:proofErr w:type="gramEnd"/>
      <w:r w:rsidRPr="008C035E">
        <w:rPr>
          <w:rFonts w:ascii="Arial" w:hAnsi="Arial" w:cs="Arial"/>
          <w:sz w:val="24"/>
          <w:szCs w:val="24"/>
        </w:rPr>
        <w:t xml:space="preserve"> line with Grand</w:t>
      </w:r>
      <w:r w:rsidR="00787D47">
        <w:rPr>
          <w:rFonts w:ascii="Arial" w:hAnsi="Arial" w:cs="Arial"/>
          <w:sz w:val="24"/>
          <w:szCs w:val="24"/>
        </w:rPr>
        <w:t xml:space="preserve"> </w:t>
      </w:r>
      <w:r w:rsidR="00787D47" w:rsidRPr="008C035E">
        <w:rPr>
          <w:rFonts w:ascii="Arial" w:hAnsi="Arial" w:cs="Arial"/>
          <w:sz w:val="24"/>
          <w:szCs w:val="24"/>
        </w:rPr>
        <w:t xml:space="preserve">View </w:t>
      </w:r>
      <w:r w:rsidRPr="008C035E">
        <w:rPr>
          <w:rFonts w:ascii="Arial" w:hAnsi="Arial" w:cs="Arial"/>
          <w:sz w:val="24"/>
          <w:szCs w:val="24"/>
        </w:rPr>
        <w:t xml:space="preserve">Research (2025), economic factors signify opportunity for growth in the urban, high-income segmented market. Nevertheless operationally, there can be a need to examine cost localisation elements. </w:t>
      </w:r>
    </w:p>
    <w:p w14:paraId="6B12179D" w14:textId="77777777"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t>Social factors signify a strong consumer willingness to transition with many consumers indicating that their next purchase would be an EV. There is however the concern regarding infrastructure reliability. For Rivian, this is indicative of consumer acceptance being largely conditional in nature.  Similarly, environmental perspective signifies a sustainability paradox with a balance of environmental positioning against perceived cost/convenience.</w:t>
      </w:r>
    </w:p>
    <w:p w14:paraId="3020C1A5" w14:textId="77777777" w:rsidR="00B94B1A" w:rsidRPr="008C035E" w:rsidRDefault="00B94B1A" w:rsidP="008C035E">
      <w:pPr>
        <w:spacing w:line="360" w:lineRule="auto"/>
        <w:jc w:val="both"/>
        <w:rPr>
          <w:rFonts w:ascii="Arial" w:hAnsi="Arial" w:cs="Arial"/>
          <w:sz w:val="24"/>
          <w:szCs w:val="24"/>
        </w:rPr>
      </w:pPr>
      <w:r w:rsidRPr="008C035E">
        <w:rPr>
          <w:rFonts w:ascii="Arial" w:hAnsi="Arial" w:cs="Arial"/>
          <w:sz w:val="24"/>
          <w:szCs w:val="24"/>
        </w:rPr>
        <w:lastRenderedPageBreak/>
        <w:t xml:space="preserve">Broadly, this report concludes that there is high potential for growth in Indian EV market. However, it is important to recognise execution sensitivity. </w:t>
      </w:r>
    </w:p>
    <w:p w14:paraId="673037DB" w14:textId="77777777" w:rsidR="00CA4D49" w:rsidRPr="008C035E" w:rsidRDefault="00CA4D49" w:rsidP="008C035E">
      <w:pPr>
        <w:spacing w:line="360" w:lineRule="auto"/>
        <w:jc w:val="both"/>
        <w:rPr>
          <w:rFonts w:ascii="Arial" w:hAnsi="Arial" w:cs="Arial"/>
          <w:sz w:val="24"/>
          <w:szCs w:val="24"/>
        </w:rPr>
      </w:pPr>
    </w:p>
    <w:p w14:paraId="018A4956" w14:textId="5128CA85" w:rsidR="00B94B1A" w:rsidRPr="008C035E" w:rsidRDefault="00304A20" w:rsidP="00D831EE">
      <w:pPr>
        <w:pStyle w:val="Heading2"/>
        <w:numPr>
          <w:ilvl w:val="1"/>
          <w:numId w:val="13"/>
        </w:numPr>
      </w:pPr>
      <w:bookmarkStart w:id="12" w:name="_Toc217240569"/>
      <w:r w:rsidRPr="008C035E">
        <w:t>Meso-Environmental Analysis</w:t>
      </w:r>
      <w:bookmarkEnd w:id="12"/>
      <w:r w:rsidRPr="008C035E">
        <w:t xml:space="preserve"> </w:t>
      </w:r>
    </w:p>
    <w:p w14:paraId="31C6AAC0" w14:textId="768C378B" w:rsidR="009D5F5C" w:rsidRPr="008C035E" w:rsidRDefault="009D5F5C" w:rsidP="008C035E">
      <w:pPr>
        <w:spacing w:line="360" w:lineRule="auto"/>
        <w:jc w:val="both"/>
        <w:rPr>
          <w:rFonts w:ascii="Arial" w:hAnsi="Arial" w:cs="Arial"/>
          <w:sz w:val="24"/>
          <w:szCs w:val="24"/>
        </w:rPr>
      </w:pPr>
      <w:r w:rsidRPr="008C035E">
        <w:rPr>
          <w:rFonts w:ascii="Arial" w:hAnsi="Arial" w:cs="Arial"/>
          <w:sz w:val="24"/>
          <w:szCs w:val="24"/>
        </w:rPr>
        <w:t>The following table presents the Porter’s Five Force analysis for EV vehicles in India.</w:t>
      </w:r>
    </w:p>
    <w:p w14:paraId="1D961809" w14:textId="37994F2C" w:rsidR="00787D47" w:rsidRPr="00787D47" w:rsidRDefault="00787D47" w:rsidP="00787D47">
      <w:pPr>
        <w:pStyle w:val="Caption"/>
        <w:rPr>
          <w:rFonts w:ascii="Arial" w:hAnsi="Arial" w:cs="Arial"/>
          <w:b/>
          <w:bCs/>
          <w:i w:val="0"/>
          <w:iCs w:val="0"/>
          <w:color w:val="auto"/>
          <w:sz w:val="24"/>
          <w:szCs w:val="24"/>
        </w:rPr>
      </w:pPr>
      <w:bookmarkStart w:id="13" w:name="_Toc217240587"/>
      <w:r w:rsidRPr="00787D47">
        <w:rPr>
          <w:rFonts w:ascii="Arial" w:hAnsi="Arial" w:cs="Arial"/>
          <w:b/>
          <w:bCs/>
          <w:i w:val="0"/>
          <w:iCs w:val="0"/>
          <w:color w:val="auto"/>
          <w:sz w:val="24"/>
          <w:szCs w:val="24"/>
        </w:rPr>
        <w:t xml:space="preserve">Table </w:t>
      </w:r>
      <w:r w:rsidRPr="00787D47">
        <w:rPr>
          <w:rFonts w:ascii="Arial" w:hAnsi="Arial" w:cs="Arial"/>
          <w:b/>
          <w:bCs/>
          <w:i w:val="0"/>
          <w:iCs w:val="0"/>
          <w:color w:val="auto"/>
          <w:sz w:val="24"/>
          <w:szCs w:val="24"/>
        </w:rPr>
        <w:fldChar w:fldCharType="begin"/>
      </w:r>
      <w:r w:rsidRPr="00787D47">
        <w:rPr>
          <w:rFonts w:ascii="Arial" w:hAnsi="Arial" w:cs="Arial"/>
          <w:b/>
          <w:bCs/>
          <w:i w:val="0"/>
          <w:iCs w:val="0"/>
          <w:color w:val="auto"/>
          <w:sz w:val="24"/>
          <w:szCs w:val="24"/>
        </w:rPr>
        <w:instrText xml:space="preserve"> SEQ Table \* ARABIC </w:instrText>
      </w:r>
      <w:r w:rsidRPr="00787D47">
        <w:rPr>
          <w:rFonts w:ascii="Arial" w:hAnsi="Arial" w:cs="Arial"/>
          <w:b/>
          <w:bCs/>
          <w:i w:val="0"/>
          <w:iCs w:val="0"/>
          <w:color w:val="auto"/>
          <w:sz w:val="24"/>
          <w:szCs w:val="24"/>
        </w:rPr>
        <w:fldChar w:fldCharType="separate"/>
      </w:r>
      <w:r w:rsidR="00C566AC">
        <w:rPr>
          <w:rFonts w:ascii="Arial" w:hAnsi="Arial" w:cs="Arial"/>
          <w:b/>
          <w:bCs/>
          <w:i w:val="0"/>
          <w:iCs w:val="0"/>
          <w:noProof/>
          <w:color w:val="auto"/>
          <w:sz w:val="24"/>
          <w:szCs w:val="24"/>
        </w:rPr>
        <w:t>2</w:t>
      </w:r>
      <w:r w:rsidRPr="00787D47">
        <w:rPr>
          <w:rFonts w:ascii="Arial" w:hAnsi="Arial" w:cs="Arial"/>
          <w:b/>
          <w:bCs/>
          <w:i w:val="0"/>
          <w:iCs w:val="0"/>
          <w:color w:val="auto"/>
          <w:sz w:val="24"/>
          <w:szCs w:val="24"/>
        </w:rPr>
        <w:fldChar w:fldCharType="end"/>
      </w:r>
      <w:r w:rsidRPr="00787D47">
        <w:rPr>
          <w:rFonts w:ascii="Arial" w:hAnsi="Arial" w:cs="Arial"/>
          <w:b/>
          <w:bCs/>
          <w:i w:val="0"/>
          <w:iCs w:val="0"/>
          <w:color w:val="auto"/>
          <w:sz w:val="24"/>
          <w:szCs w:val="24"/>
        </w:rPr>
        <w:t xml:space="preserve">: </w:t>
      </w:r>
      <w:r w:rsidR="009D5F5C" w:rsidRPr="00787D47">
        <w:rPr>
          <w:rFonts w:ascii="Arial" w:hAnsi="Arial" w:cs="Arial"/>
          <w:b/>
          <w:bCs/>
          <w:i w:val="0"/>
          <w:iCs w:val="0"/>
          <w:color w:val="auto"/>
          <w:sz w:val="24"/>
          <w:szCs w:val="24"/>
        </w:rPr>
        <w:t>Porter’s Five Force Analysis</w:t>
      </w:r>
      <w:bookmarkEnd w:id="13"/>
    </w:p>
    <w:tbl>
      <w:tblPr>
        <w:tblStyle w:val="TableGrid"/>
        <w:tblW w:w="0" w:type="auto"/>
        <w:tblLook w:val="04A0" w:firstRow="1" w:lastRow="0" w:firstColumn="1" w:lastColumn="0" w:noHBand="0" w:noVBand="1"/>
      </w:tblPr>
      <w:tblGrid>
        <w:gridCol w:w="4508"/>
        <w:gridCol w:w="4508"/>
      </w:tblGrid>
      <w:tr w:rsidR="009D5F5C" w:rsidRPr="00252B36" w14:paraId="014B7010" w14:textId="77777777" w:rsidTr="0062573B">
        <w:tc>
          <w:tcPr>
            <w:tcW w:w="4508" w:type="dxa"/>
          </w:tcPr>
          <w:p w14:paraId="3221A563" w14:textId="77777777" w:rsidR="009D5F5C" w:rsidRPr="00252B36" w:rsidRDefault="009D5F5C" w:rsidP="00252B36">
            <w:pPr>
              <w:jc w:val="both"/>
              <w:rPr>
                <w:rFonts w:ascii="Arial" w:hAnsi="Arial" w:cs="Arial"/>
                <w:sz w:val="20"/>
                <w:szCs w:val="20"/>
              </w:rPr>
            </w:pPr>
            <w:r w:rsidRPr="00252B36">
              <w:rPr>
                <w:rFonts w:ascii="Arial" w:hAnsi="Arial" w:cs="Arial"/>
                <w:sz w:val="20"/>
                <w:szCs w:val="20"/>
              </w:rPr>
              <w:t>Competitive Rivalry</w:t>
            </w:r>
          </w:p>
          <w:p w14:paraId="4FD2909E" w14:textId="77777777" w:rsidR="009D5F5C" w:rsidRPr="00252B36" w:rsidRDefault="009D5F5C" w:rsidP="00252B36">
            <w:pPr>
              <w:pStyle w:val="ListParagraph"/>
              <w:numPr>
                <w:ilvl w:val="0"/>
                <w:numId w:val="2"/>
              </w:numPr>
              <w:jc w:val="both"/>
              <w:rPr>
                <w:rFonts w:ascii="Arial" w:hAnsi="Arial" w:cs="Arial"/>
                <w:sz w:val="20"/>
                <w:szCs w:val="20"/>
              </w:rPr>
            </w:pPr>
            <w:r w:rsidRPr="00252B36">
              <w:rPr>
                <w:rFonts w:ascii="Arial" w:hAnsi="Arial" w:cs="Arial"/>
                <w:sz w:val="20"/>
                <w:szCs w:val="20"/>
              </w:rPr>
              <w:t>Very High</w:t>
            </w:r>
          </w:p>
          <w:p w14:paraId="5C02EC71" w14:textId="77777777" w:rsidR="009D5F5C" w:rsidRPr="00252B36" w:rsidRDefault="009D5F5C" w:rsidP="00252B36">
            <w:pPr>
              <w:pStyle w:val="ListParagraph"/>
              <w:numPr>
                <w:ilvl w:val="0"/>
                <w:numId w:val="2"/>
              </w:numPr>
              <w:jc w:val="both"/>
              <w:rPr>
                <w:rFonts w:ascii="Arial" w:hAnsi="Arial" w:cs="Arial"/>
                <w:sz w:val="20"/>
                <w:szCs w:val="20"/>
              </w:rPr>
            </w:pPr>
            <w:r w:rsidRPr="00252B36">
              <w:rPr>
                <w:rFonts w:ascii="Arial" w:hAnsi="Arial" w:cs="Arial"/>
                <w:sz w:val="20"/>
                <w:szCs w:val="20"/>
              </w:rPr>
              <w:t>Competitive rivalry in the Indian market is significantly high.</w:t>
            </w:r>
          </w:p>
          <w:p w14:paraId="77358C3B" w14:textId="77777777" w:rsidR="009D5F5C" w:rsidRPr="00252B36" w:rsidRDefault="009D5F5C" w:rsidP="00252B36">
            <w:pPr>
              <w:pStyle w:val="ListParagraph"/>
              <w:numPr>
                <w:ilvl w:val="0"/>
                <w:numId w:val="2"/>
              </w:numPr>
              <w:jc w:val="both"/>
              <w:rPr>
                <w:rFonts w:ascii="Arial" w:hAnsi="Arial" w:cs="Arial"/>
                <w:sz w:val="20"/>
                <w:szCs w:val="20"/>
              </w:rPr>
            </w:pPr>
            <w:r w:rsidRPr="00252B36">
              <w:rPr>
                <w:rFonts w:ascii="Arial" w:hAnsi="Arial" w:cs="Arial"/>
                <w:sz w:val="20"/>
                <w:szCs w:val="20"/>
              </w:rPr>
              <w:t>Incumbents like Tata Motors, Mahindra, Hyundai and Nissan all have EV vehicles that are launched in India.</w:t>
            </w:r>
          </w:p>
          <w:p w14:paraId="5C51A3D3" w14:textId="77777777" w:rsidR="009D5F5C" w:rsidRPr="00252B36" w:rsidRDefault="009D5F5C" w:rsidP="00252B36">
            <w:pPr>
              <w:jc w:val="both"/>
              <w:rPr>
                <w:rFonts w:ascii="Arial" w:hAnsi="Arial" w:cs="Arial"/>
                <w:sz w:val="20"/>
                <w:szCs w:val="20"/>
              </w:rPr>
            </w:pPr>
          </w:p>
        </w:tc>
        <w:tc>
          <w:tcPr>
            <w:tcW w:w="4508" w:type="dxa"/>
          </w:tcPr>
          <w:p w14:paraId="4306C12D" w14:textId="77777777" w:rsidR="009D5F5C" w:rsidRPr="00252B36" w:rsidRDefault="009D5F5C" w:rsidP="00252B36">
            <w:pPr>
              <w:jc w:val="both"/>
              <w:rPr>
                <w:rFonts w:ascii="Arial" w:hAnsi="Arial" w:cs="Arial"/>
                <w:sz w:val="20"/>
                <w:szCs w:val="20"/>
              </w:rPr>
            </w:pPr>
            <w:r w:rsidRPr="00252B36">
              <w:rPr>
                <w:rFonts w:ascii="Arial" w:hAnsi="Arial" w:cs="Arial"/>
                <w:sz w:val="20"/>
                <w:szCs w:val="20"/>
              </w:rPr>
              <w:t>Supplier Power</w:t>
            </w:r>
          </w:p>
          <w:p w14:paraId="752DA7EC" w14:textId="77777777" w:rsidR="009D5F5C" w:rsidRPr="00252B36" w:rsidRDefault="009D5F5C" w:rsidP="00252B36">
            <w:pPr>
              <w:pStyle w:val="ListParagraph"/>
              <w:numPr>
                <w:ilvl w:val="0"/>
                <w:numId w:val="3"/>
              </w:numPr>
              <w:jc w:val="both"/>
              <w:rPr>
                <w:rFonts w:ascii="Arial" w:hAnsi="Arial" w:cs="Arial"/>
                <w:sz w:val="20"/>
                <w:szCs w:val="20"/>
              </w:rPr>
            </w:pPr>
            <w:r w:rsidRPr="00252B36">
              <w:rPr>
                <w:rFonts w:ascii="Arial" w:hAnsi="Arial" w:cs="Arial"/>
                <w:sz w:val="20"/>
                <w:szCs w:val="20"/>
              </w:rPr>
              <w:t xml:space="preserve">Very high. </w:t>
            </w:r>
          </w:p>
          <w:p w14:paraId="738FFAFF" w14:textId="36576163" w:rsidR="009D5F5C" w:rsidRPr="00252B36" w:rsidRDefault="009D5F5C" w:rsidP="00252B36">
            <w:pPr>
              <w:pStyle w:val="ListParagraph"/>
              <w:numPr>
                <w:ilvl w:val="0"/>
                <w:numId w:val="3"/>
              </w:numPr>
              <w:jc w:val="both"/>
              <w:rPr>
                <w:rFonts w:ascii="Arial" w:hAnsi="Arial" w:cs="Arial"/>
                <w:sz w:val="20"/>
                <w:szCs w:val="20"/>
              </w:rPr>
            </w:pPr>
            <w:r w:rsidRPr="00252B36">
              <w:rPr>
                <w:rFonts w:ascii="Arial" w:hAnsi="Arial" w:cs="Arial"/>
                <w:sz w:val="20"/>
                <w:szCs w:val="20"/>
              </w:rPr>
              <w:t>High level of geographic concentration of battery material and rare earth elements make the supplier power quite valuable (KPMG, 202</w:t>
            </w:r>
            <w:r w:rsidR="008C035E" w:rsidRPr="00252B36">
              <w:rPr>
                <w:rFonts w:ascii="Arial" w:hAnsi="Arial" w:cs="Arial"/>
                <w:sz w:val="20"/>
                <w:szCs w:val="20"/>
              </w:rPr>
              <w:t>5</w:t>
            </w:r>
            <w:r w:rsidRPr="00252B36">
              <w:rPr>
                <w:rFonts w:ascii="Arial" w:hAnsi="Arial" w:cs="Arial"/>
                <w:sz w:val="20"/>
                <w:szCs w:val="20"/>
              </w:rPr>
              <w:t xml:space="preserve">). </w:t>
            </w:r>
          </w:p>
          <w:p w14:paraId="759D08FC" w14:textId="77777777" w:rsidR="009D5F5C" w:rsidRPr="00252B36" w:rsidRDefault="009D5F5C" w:rsidP="00252B36">
            <w:pPr>
              <w:pStyle w:val="ListParagraph"/>
              <w:numPr>
                <w:ilvl w:val="0"/>
                <w:numId w:val="3"/>
              </w:numPr>
              <w:jc w:val="both"/>
              <w:rPr>
                <w:rFonts w:ascii="Arial" w:hAnsi="Arial" w:cs="Arial"/>
                <w:sz w:val="20"/>
                <w:szCs w:val="20"/>
              </w:rPr>
            </w:pPr>
            <w:r w:rsidRPr="00252B36">
              <w:rPr>
                <w:rFonts w:ascii="Arial" w:hAnsi="Arial" w:cs="Arial"/>
                <w:sz w:val="20"/>
                <w:szCs w:val="20"/>
              </w:rPr>
              <w:t>Surge in pricing can increase costs of manufacturing of EV (Singh, 2024)</w:t>
            </w:r>
          </w:p>
          <w:p w14:paraId="246EB198" w14:textId="77777777" w:rsidR="009D5F5C" w:rsidRPr="00252B36" w:rsidRDefault="009D5F5C" w:rsidP="00252B36">
            <w:pPr>
              <w:pStyle w:val="ListParagraph"/>
              <w:numPr>
                <w:ilvl w:val="0"/>
                <w:numId w:val="3"/>
              </w:numPr>
              <w:jc w:val="both"/>
              <w:rPr>
                <w:rFonts w:ascii="Arial" w:hAnsi="Arial" w:cs="Arial"/>
                <w:sz w:val="20"/>
                <w:szCs w:val="20"/>
              </w:rPr>
            </w:pPr>
            <w:r w:rsidRPr="00252B36">
              <w:rPr>
                <w:rFonts w:ascii="Arial" w:hAnsi="Arial" w:cs="Arial"/>
                <w:sz w:val="20"/>
                <w:szCs w:val="20"/>
              </w:rPr>
              <w:t xml:space="preserve">Localisation push has led to 50% manufacturing of smaller components and motors at 30%. </w:t>
            </w:r>
          </w:p>
          <w:p w14:paraId="459FEC69" w14:textId="1D7D8BB0" w:rsidR="009D5F5C" w:rsidRPr="00252B36" w:rsidRDefault="009D5F5C" w:rsidP="00252B36">
            <w:pPr>
              <w:pStyle w:val="ListParagraph"/>
              <w:numPr>
                <w:ilvl w:val="0"/>
                <w:numId w:val="3"/>
              </w:numPr>
              <w:jc w:val="both"/>
              <w:rPr>
                <w:rFonts w:ascii="Arial" w:hAnsi="Arial" w:cs="Arial"/>
                <w:sz w:val="20"/>
                <w:szCs w:val="20"/>
              </w:rPr>
            </w:pPr>
            <w:r w:rsidRPr="00252B36">
              <w:rPr>
                <w:rFonts w:ascii="Arial" w:hAnsi="Arial" w:cs="Arial"/>
                <w:sz w:val="20"/>
                <w:szCs w:val="20"/>
              </w:rPr>
              <w:t>Lack of robust R&amp;D ecosystem to manage local supply chains can create a potential gap in the domestic supply chain (KPMG, 202</w:t>
            </w:r>
            <w:r w:rsidR="008C035E" w:rsidRPr="00252B36">
              <w:rPr>
                <w:rFonts w:ascii="Arial" w:hAnsi="Arial" w:cs="Arial"/>
                <w:sz w:val="20"/>
                <w:szCs w:val="20"/>
              </w:rPr>
              <w:t>5</w:t>
            </w:r>
            <w:r w:rsidRPr="00252B36">
              <w:rPr>
                <w:rFonts w:ascii="Arial" w:hAnsi="Arial" w:cs="Arial"/>
                <w:sz w:val="20"/>
                <w:szCs w:val="20"/>
              </w:rPr>
              <w:t>).</w:t>
            </w:r>
          </w:p>
          <w:p w14:paraId="233D49F8" w14:textId="77777777" w:rsidR="009D5F5C" w:rsidRPr="00252B36" w:rsidRDefault="009D5F5C" w:rsidP="00252B36">
            <w:pPr>
              <w:jc w:val="both"/>
              <w:rPr>
                <w:rFonts w:ascii="Arial" w:hAnsi="Arial" w:cs="Arial"/>
                <w:sz w:val="20"/>
                <w:szCs w:val="20"/>
              </w:rPr>
            </w:pPr>
          </w:p>
        </w:tc>
      </w:tr>
      <w:tr w:rsidR="009D5F5C" w:rsidRPr="00252B36" w14:paraId="5716CBE7" w14:textId="77777777" w:rsidTr="0062573B">
        <w:tc>
          <w:tcPr>
            <w:tcW w:w="4508" w:type="dxa"/>
          </w:tcPr>
          <w:p w14:paraId="4616B56F" w14:textId="77777777" w:rsidR="009D5F5C" w:rsidRPr="00252B36" w:rsidRDefault="009D5F5C" w:rsidP="00252B36">
            <w:pPr>
              <w:jc w:val="both"/>
              <w:rPr>
                <w:rFonts w:ascii="Arial" w:hAnsi="Arial" w:cs="Arial"/>
                <w:sz w:val="20"/>
                <w:szCs w:val="20"/>
              </w:rPr>
            </w:pPr>
            <w:r w:rsidRPr="00252B36">
              <w:rPr>
                <w:rFonts w:ascii="Arial" w:hAnsi="Arial" w:cs="Arial"/>
                <w:sz w:val="20"/>
                <w:szCs w:val="20"/>
              </w:rPr>
              <w:t>Buyer Power</w:t>
            </w:r>
          </w:p>
          <w:p w14:paraId="703B2FD3" w14:textId="77777777" w:rsidR="009D5F5C" w:rsidRPr="00252B36" w:rsidRDefault="009D5F5C" w:rsidP="00252B36">
            <w:pPr>
              <w:pStyle w:val="ListParagraph"/>
              <w:numPr>
                <w:ilvl w:val="0"/>
                <w:numId w:val="4"/>
              </w:numPr>
              <w:jc w:val="both"/>
              <w:rPr>
                <w:rFonts w:ascii="Arial" w:hAnsi="Arial" w:cs="Arial"/>
                <w:sz w:val="20"/>
                <w:szCs w:val="20"/>
              </w:rPr>
            </w:pPr>
            <w:r w:rsidRPr="00252B36">
              <w:rPr>
                <w:rFonts w:ascii="Arial" w:hAnsi="Arial" w:cs="Arial"/>
                <w:sz w:val="20"/>
                <w:szCs w:val="20"/>
              </w:rPr>
              <w:t>Buyer power is significantly high.</w:t>
            </w:r>
          </w:p>
          <w:p w14:paraId="29A6A86A" w14:textId="77777777" w:rsidR="009D5F5C" w:rsidRPr="00252B36" w:rsidRDefault="009D5F5C" w:rsidP="00252B36">
            <w:pPr>
              <w:pStyle w:val="ListParagraph"/>
              <w:numPr>
                <w:ilvl w:val="0"/>
                <w:numId w:val="4"/>
              </w:numPr>
              <w:jc w:val="both"/>
              <w:rPr>
                <w:rFonts w:ascii="Arial" w:hAnsi="Arial" w:cs="Arial"/>
                <w:sz w:val="20"/>
                <w:szCs w:val="20"/>
              </w:rPr>
            </w:pPr>
            <w:r w:rsidRPr="00252B36">
              <w:rPr>
                <w:rFonts w:ascii="Arial" w:hAnsi="Arial" w:cs="Arial"/>
                <w:sz w:val="20"/>
                <w:szCs w:val="20"/>
              </w:rPr>
              <w:t>Price sensitive buyers comparing several factors including total cost of ownership (Sharma et al., 2024).</w:t>
            </w:r>
          </w:p>
          <w:p w14:paraId="7997C099" w14:textId="77777777" w:rsidR="009D5F5C" w:rsidRPr="00252B36" w:rsidRDefault="009D5F5C" w:rsidP="00252B36">
            <w:pPr>
              <w:pStyle w:val="ListParagraph"/>
              <w:numPr>
                <w:ilvl w:val="0"/>
                <w:numId w:val="4"/>
              </w:numPr>
              <w:jc w:val="both"/>
              <w:rPr>
                <w:rFonts w:ascii="Arial" w:hAnsi="Arial" w:cs="Arial"/>
                <w:sz w:val="20"/>
                <w:szCs w:val="20"/>
              </w:rPr>
            </w:pPr>
            <w:r w:rsidRPr="00252B36">
              <w:rPr>
                <w:rFonts w:ascii="Arial" w:hAnsi="Arial" w:cs="Arial"/>
                <w:sz w:val="20"/>
                <w:szCs w:val="20"/>
              </w:rPr>
              <w:t>Number of EVs in the SUV segment is moderately lower.</w:t>
            </w:r>
          </w:p>
          <w:p w14:paraId="4DC4A278" w14:textId="77777777" w:rsidR="009D5F5C" w:rsidRPr="00252B36" w:rsidRDefault="009D5F5C" w:rsidP="00252B36">
            <w:pPr>
              <w:pStyle w:val="ListParagraph"/>
              <w:numPr>
                <w:ilvl w:val="0"/>
                <w:numId w:val="4"/>
              </w:numPr>
              <w:jc w:val="both"/>
              <w:rPr>
                <w:rFonts w:ascii="Arial" w:hAnsi="Arial" w:cs="Arial"/>
                <w:sz w:val="20"/>
                <w:szCs w:val="20"/>
              </w:rPr>
            </w:pPr>
            <w:r w:rsidRPr="00252B36">
              <w:rPr>
                <w:rFonts w:ascii="Arial" w:hAnsi="Arial" w:cs="Arial"/>
                <w:sz w:val="20"/>
                <w:szCs w:val="20"/>
              </w:rPr>
              <w:t>Financing options and affordability will continue to impact market (Viswanathan, 2024).</w:t>
            </w:r>
          </w:p>
          <w:p w14:paraId="397159E9" w14:textId="77777777" w:rsidR="009D5F5C" w:rsidRPr="00252B36" w:rsidRDefault="009D5F5C" w:rsidP="00252B36">
            <w:pPr>
              <w:jc w:val="both"/>
              <w:rPr>
                <w:rFonts w:ascii="Arial" w:hAnsi="Arial" w:cs="Arial"/>
                <w:sz w:val="20"/>
                <w:szCs w:val="20"/>
              </w:rPr>
            </w:pPr>
          </w:p>
        </w:tc>
        <w:tc>
          <w:tcPr>
            <w:tcW w:w="4508" w:type="dxa"/>
          </w:tcPr>
          <w:p w14:paraId="4C930614" w14:textId="77777777" w:rsidR="009D5F5C" w:rsidRPr="00252B36" w:rsidRDefault="009D5F5C" w:rsidP="00252B36">
            <w:pPr>
              <w:jc w:val="both"/>
              <w:rPr>
                <w:rFonts w:ascii="Arial" w:hAnsi="Arial" w:cs="Arial"/>
                <w:sz w:val="20"/>
                <w:szCs w:val="20"/>
              </w:rPr>
            </w:pPr>
            <w:r w:rsidRPr="00252B36">
              <w:rPr>
                <w:rFonts w:ascii="Arial" w:hAnsi="Arial" w:cs="Arial"/>
                <w:sz w:val="20"/>
                <w:szCs w:val="20"/>
              </w:rPr>
              <w:t>Threat of New Entrants</w:t>
            </w:r>
          </w:p>
          <w:p w14:paraId="3F5CFD37" w14:textId="77777777" w:rsidR="009D5F5C" w:rsidRPr="00252B36" w:rsidRDefault="009D5F5C" w:rsidP="00252B36">
            <w:pPr>
              <w:pStyle w:val="ListParagraph"/>
              <w:numPr>
                <w:ilvl w:val="0"/>
                <w:numId w:val="5"/>
              </w:numPr>
              <w:jc w:val="both"/>
              <w:rPr>
                <w:rFonts w:ascii="Arial" w:hAnsi="Arial" w:cs="Arial"/>
                <w:sz w:val="20"/>
                <w:szCs w:val="20"/>
              </w:rPr>
            </w:pPr>
            <w:r w:rsidRPr="00252B36">
              <w:rPr>
                <w:rFonts w:ascii="Arial" w:hAnsi="Arial" w:cs="Arial"/>
                <w:sz w:val="20"/>
                <w:szCs w:val="20"/>
              </w:rPr>
              <w:t>Threat of new entrants is modest.</w:t>
            </w:r>
          </w:p>
          <w:p w14:paraId="6D6AF98D" w14:textId="77777777" w:rsidR="009D5F5C" w:rsidRPr="00252B36" w:rsidRDefault="009D5F5C" w:rsidP="00252B36">
            <w:pPr>
              <w:pStyle w:val="ListParagraph"/>
              <w:numPr>
                <w:ilvl w:val="0"/>
                <w:numId w:val="5"/>
              </w:numPr>
              <w:jc w:val="both"/>
              <w:rPr>
                <w:rFonts w:ascii="Arial" w:hAnsi="Arial" w:cs="Arial"/>
                <w:sz w:val="20"/>
                <w:szCs w:val="20"/>
              </w:rPr>
            </w:pPr>
            <w:r w:rsidRPr="00252B36">
              <w:rPr>
                <w:rFonts w:ascii="Arial" w:hAnsi="Arial" w:cs="Arial"/>
                <w:sz w:val="20"/>
                <w:szCs w:val="20"/>
              </w:rPr>
              <w:t>High investment by external player. E.g. VINFAST recently made a $500 million investment in India (</w:t>
            </w:r>
            <w:proofErr w:type="spellStart"/>
            <w:r w:rsidRPr="00252B36">
              <w:rPr>
                <w:rFonts w:ascii="Arial" w:hAnsi="Arial" w:cs="Arial"/>
                <w:sz w:val="20"/>
                <w:szCs w:val="20"/>
              </w:rPr>
              <w:t>Vinfast</w:t>
            </w:r>
            <w:proofErr w:type="spellEnd"/>
            <w:r w:rsidRPr="00252B36">
              <w:rPr>
                <w:rFonts w:ascii="Arial" w:hAnsi="Arial" w:cs="Arial"/>
                <w:sz w:val="20"/>
                <w:szCs w:val="20"/>
              </w:rPr>
              <w:t xml:space="preserve"> India, 2024). </w:t>
            </w:r>
          </w:p>
          <w:p w14:paraId="3BF47682" w14:textId="54683D1F" w:rsidR="009D5F5C" w:rsidRPr="00252B36" w:rsidRDefault="009D5F5C" w:rsidP="00252B36">
            <w:pPr>
              <w:pStyle w:val="ListParagraph"/>
              <w:numPr>
                <w:ilvl w:val="0"/>
                <w:numId w:val="5"/>
              </w:numPr>
              <w:jc w:val="both"/>
              <w:rPr>
                <w:rFonts w:ascii="Arial" w:hAnsi="Arial" w:cs="Arial"/>
                <w:sz w:val="20"/>
                <w:szCs w:val="20"/>
              </w:rPr>
            </w:pPr>
            <w:r w:rsidRPr="00252B36">
              <w:rPr>
                <w:rFonts w:ascii="Arial" w:hAnsi="Arial" w:cs="Arial"/>
                <w:sz w:val="20"/>
                <w:szCs w:val="20"/>
              </w:rPr>
              <w:t>Lowering of import duties for EV investment is expected to bring in more new players (IBEF, 202</w:t>
            </w:r>
            <w:r w:rsidR="008C035E" w:rsidRPr="00252B36">
              <w:rPr>
                <w:rFonts w:ascii="Arial" w:hAnsi="Arial" w:cs="Arial"/>
                <w:sz w:val="20"/>
                <w:szCs w:val="20"/>
              </w:rPr>
              <w:t>5</w:t>
            </w:r>
            <w:r w:rsidRPr="00252B36">
              <w:rPr>
                <w:rFonts w:ascii="Arial" w:hAnsi="Arial" w:cs="Arial"/>
                <w:sz w:val="20"/>
                <w:szCs w:val="20"/>
              </w:rPr>
              <w:t xml:space="preserve">). </w:t>
            </w:r>
          </w:p>
          <w:p w14:paraId="2C731C70" w14:textId="77777777" w:rsidR="009D5F5C" w:rsidRPr="00252B36" w:rsidRDefault="009D5F5C" w:rsidP="00252B36">
            <w:pPr>
              <w:jc w:val="both"/>
              <w:rPr>
                <w:rFonts w:ascii="Arial" w:hAnsi="Arial" w:cs="Arial"/>
                <w:sz w:val="20"/>
                <w:szCs w:val="20"/>
              </w:rPr>
            </w:pPr>
          </w:p>
        </w:tc>
      </w:tr>
      <w:tr w:rsidR="009D5F5C" w:rsidRPr="00252B36" w14:paraId="41279E06" w14:textId="77777777" w:rsidTr="0062573B">
        <w:tc>
          <w:tcPr>
            <w:tcW w:w="9016" w:type="dxa"/>
            <w:gridSpan w:val="2"/>
          </w:tcPr>
          <w:p w14:paraId="2099473E" w14:textId="77777777" w:rsidR="009D5F5C" w:rsidRPr="00252B36" w:rsidRDefault="009D5F5C" w:rsidP="00252B36">
            <w:pPr>
              <w:jc w:val="both"/>
              <w:rPr>
                <w:rFonts w:ascii="Arial" w:hAnsi="Arial" w:cs="Arial"/>
                <w:sz w:val="20"/>
                <w:szCs w:val="20"/>
              </w:rPr>
            </w:pPr>
            <w:r w:rsidRPr="00252B36">
              <w:rPr>
                <w:rFonts w:ascii="Arial" w:hAnsi="Arial" w:cs="Arial"/>
                <w:sz w:val="20"/>
                <w:szCs w:val="20"/>
              </w:rPr>
              <w:t>Threat of Substitutes</w:t>
            </w:r>
          </w:p>
          <w:p w14:paraId="334EE5B3" w14:textId="77777777" w:rsidR="009D5F5C" w:rsidRPr="00252B36" w:rsidRDefault="009D5F5C" w:rsidP="00252B36">
            <w:pPr>
              <w:pStyle w:val="ListParagraph"/>
              <w:numPr>
                <w:ilvl w:val="0"/>
                <w:numId w:val="6"/>
              </w:numPr>
              <w:jc w:val="both"/>
              <w:rPr>
                <w:rFonts w:ascii="Arial" w:hAnsi="Arial" w:cs="Arial"/>
                <w:sz w:val="20"/>
                <w:szCs w:val="20"/>
              </w:rPr>
            </w:pPr>
            <w:r w:rsidRPr="00252B36">
              <w:rPr>
                <w:rFonts w:ascii="Arial" w:hAnsi="Arial" w:cs="Arial"/>
                <w:sz w:val="20"/>
                <w:szCs w:val="20"/>
              </w:rPr>
              <w:t>Moderate.</w:t>
            </w:r>
          </w:p>
          <w:p w14:paraId="74CEC523" w14:textId="4387FC3E" w:rsidR="009D5F5C" w:rsidRPr="00252B36" w:rsidRDefault="009D5F5C" w:rsidP="00252B36">
            <w:pPr>
              <w:pStyle w:val="ListParagraph"/>
              <w:numPr>
                <w:ilvl w:val="0"/>
                <w:numId w:val="6"/>
              </w:numPr>
              <w:jc w:val="both"/>
              <w:rPr>
                <w:rFonts w:ascii="Arial" w:hAnsi="Arial" w:cs="Arial"/>
                <w:sz w:val="20"/>
                <w:szCs w:val="20"/>
              </w:rPr>
            </w:pPr>
            <w:r w:rsidRPr="00252B36">
              <w:rPr>
                <w:rFonts w:ascii="Arial" w:hAnsi="Arial" w:cs="Arial"/>
                <w:sz w:val="20"/>
                <w:szCs w:val="20"/>
              </w:rPr>
              <w:t>Alternatives like hybrid vehicles or CNG vehicles may remain attractive in the next ten years</w:t>
            </w:r>
            <w:r w:rsidR="008C035E" w:rsidRPr="00252B36">
              <w:rPr>
                <w:rFonts w:ascii="Arial" w:hAnsi="Arial" w:cs="Arial"/>
                <w:color w:val="222222"/>
                <w:sz w:val="20"/>
                <w:szCs w:val="20"/>
                <w:shd w:val="clear" w:color="auto" w:fill="FFFFFF"/>
              </w:rPr>
              <w:t xml:space="preserve"> (Saurabh and Majumdar, 2022</w:t>
            </w:r>
            <w:r w:rsidRPr="00252B36">
              <w:rPr>
                <w:rFonts w:ascii="Arial" w:hAnsi="Arial" w:cs="Arial"/>
                <w:sz w:val="20"/>
                <w:szCs w:val="20"/>
              </w:rPr>
              <w:t>).</w:t>
            </w:r>
          </w:p>
          <w:p w14:paraId="3B6DCA00" w14:textId="77777777" w:rsidR="009D5F5C" w:rsidRPr="00252B36" w:rsidRDefault="009D5F5C" w:rsidP="00252B36">
            <w:pPr>
              <w:pStyle w:val="ListParagraph"/>
              <w:numPr>
                <w:ilvl w:val="0"/>
                <w:numId w:val="6"/>
              </w:numPr>
              <w:jc w:val="both"/>
              <w:rPr>
                <w:rFonts w:ascii="Arial" w:hAnsi="Arial" w:cs="Arial"/>
                <w:sz w:val="20"/>
                <w:szCs w:val="20"/>
              </w:rPr>
            </w:pPr>
            <w:r w:rsidRPr="00252B36">
              <w:rPr>
                <w:rFonts w:ascii="Arial" w:hAnsi="Arial" w:cs="Arial"/>
                <w:sz w:val="20"/>
                <w:szCs w:val="20"/>
              </w:rPr>
              <w:t xml:space="preserve">Rise of affordable and connective public transport may act as a substitute barrier. </w:t>
            </w:r>
          </w:p>
          <w:p w14:paraId="7DEB2642" w14:textId="77777777" w:rsidR="009D5F5C" w:rsidRPr="00252B36" w:rsidRDefault="009D5F5C" w:rsidP="00252B36">
            <w:pPr>
              <w:jc w:val="both"/>
              <w:rPr>
                <w:rFonts w:ascii="Arial" w:hAnsi="Arial" w:cs="Arial"/>
                <w:sz w:val="20"/>
                <w:szCs w:val="20"/>
              </w:rPr>
            </w:pPr>
          </w:p>
        </w:tc>
      </w:tr>
    </w:tbl>
    <w:p w14:paraId="7EF90429" w14:textId="77777777" w:rsidR="009D5F5C" w:rsidRPr="008C035E" w:rsidRDefault="009D5F5C" w:rsidP="008C035E">
      <w:pPr>
        <w:spacing w:line="360" w:lineRule="auto"/>
        <w:jc w:val="both"/>
        <w:rPr>
          <w:rFonts w:ascii="Arial" w:hAnsi="Arial" w:cs="Arial"/>
          <w:sz w:val="24"/>
          <w:szCs w:val="24"/>
        </w:rPr>
      </w:pPr>
    </w:p>
    <w:p w14:paraId="75F0F167" w14:textId="1AF906C5" w:rsidR="00304A20" w:rsidRPr="00787D47" w:rsidRDefault="009D5F5C" w:rsidP="008C035E">
      <w:pPr>
        <w:spacing w:line="360" w:lineRule="auto"/>
        <w:jc w:val="both"/>
        <w:rPr>
          <w:rFonts w:ascii="Arial" w:hAnsi="Arial" w:cs="Arial"/>
          <w:color w:val="222222"/>
          <w:sz w:val="24"/>
          <w:szCs w:val="24"/>
          <w:shd w:val="clear" w:color="auto" w:fill="FFFFFF"/>
        </w:rPr>
      </w:pPr>
      <w:r w:rsidRPr="008C035E">
        <w:rPr>
          <w:rFonts w:ascii="Arial" w:hAnsi="Arial" w:cs="Arial"/>
          <w:sz w:val="24"/>
          <w:szCs w:val="24"/>
        </w:rPr>
        <w:t xml:space="preserve">From the above analysis some important implications for Rivian can be made. For example, the competitive rivalry in the Indian electric vehicle market is </w:t>
      </w:r>
      <w:r w:rsidR="00D6620F" w:rsidRPr="008C035E">
        <w:rPr>
          <w:rFonts w:ascii="Arial" w:hAnsi="Arial" w:cs="Arial"/>
          <w:sz w:val="24"/>
          <w:szCs w:val="24"/>
        </w:rPr>
        <w:t>exceedingly high</w:t>
      </w:r>
      <w:r w:rsidRPr="008C035E">
        <w:rPr>
          <w:rFonts w:ascii="Arial" w:hAnsi="Arial" w:cs="Arial"/>
          <w:sz w:val="24"/>
          <w:szCs w:val="24"/>
        </w:rPr>
        <w:t xml:space="preserve"> as there is evidence of many established players like </w:t>
      </w:r>
      <w:r w:rsidR="00C00851" w:rsidRPr="008C035E">
        <w:rPr>
          <w:rFonts w:ascii="Arial" w:hAnsi="Arial" w:cs="Arial"/>
          <w:sz w:val="24"/>
          <w:szCs w:val="24"/>
        </w:rPr>
        <w:t xml:space="preserve">Tata Motors and Mahindra who have entered the EV market with multiple new products. These incumbents clearly have more opportunities for growth in India as they have strong brand recognition and an extensive dealer network which makes it easier to reach </w:t>
      </w:r>
      <w:r w:rsidR="00C00851" w:rsidRPr="008C035E">
        <w:rPr>
          <w:rFonts w:ascii="Arial" w:hAnsi="Arial" w:cs="Arial"/>
          <w:sz w:val="24"/>
          <w:szCs w:val="24"/>
        </w:rPr>
        <w:lastRenderedPageBreak/>
        <w:t xml:space="preserve">consumers. For Rivian, such an intensive competitive creates significant challenges. </w:t>
      </w:r>
      <w:r w:rsidR="00A61E9E" w:rsidRPr="008C035E">
        <w:rPr>
          <w:rFonts w:ascii="Arial" w:hAnsi="Arial" w:cs="Arial"/>
          <w:sz w:val="24"/>
          <w:szCs w:val="24"/>
        </w:rPr>
        <w:t>However, given the rise of demand for SUV and limited vehicles I the premium electric SUV segment, it is possible that in this segment the overall rivalry is less. This creates a niche for Rivian where</w:t>
      </w:r>
      <w:r w:rsidR="00DE130F" w:rsidRPr="008C035E">
        <w:rPr>
          <w:rFonts w:ascii="Arial" w:hAnsi="Arial" w:cs="Arial"/>
          <w:sz w:val="24"/>
          <w:szCs w:val="24"/>
        </w:rPr>
        <w:t xml:space="preserve"> can potentially expand in this sector. Supplier power is also significantly high. This is attributed to the rise in geographic concentration of specific material needed for battery </w:t>
      </w:r>
      <w:r w:rsidR="004B1E5B" w:rsidRPr="008C035E">
        <w:rPr>
          <w:rFonts w:ascii="Arial" w:hAnsi="Arial" w:cs="Arial"/>
          <w:sz w:val="24"/>
          <w:szCs w:val="24"/>
        </w:rPr>
        <w:t>and other EV parts (</w:t>
      </w:r>
      <w:r w:rsidR="006C2F01" w:rsidRPr="008C035E">
        <w:rPr>
          <w:rFonts w:ascii="Arial" w:hAnsi="Arial" w:cs="Arial"/>
          <w:sz w:val="24"/>
          <w:szCs w:val="24"/>
        </w:rPr>
        <w:t>e.g.,</w:t>
      </w:r>
      <w:r w:rsidR="004B1E5B" w:rsidRPr="008C035E">
        <w:rPr>
          <w:rFonts w:ascii="Arial" w:hAnsi="Arial" w:cs="Arial"/>
          <w:sz w:val="24"/>
          <w:szCs w:val="24"/>
        </w:rPr>
        <w:t xml:space="preserve"> rare earth materials). This in addition to the potential volatility of global batter</w:t>
      </w:r>
      <w:r w:rsidR="00025C08" w:rsidRPr="008C035E">
        <w:rPr>
          <w:rFonts w:ascii="Arial" w:hAnsi="Arial" w:cs="Arial"/>
          <w:sz w:val="24"/>
          <w:szCs w:val="24"/>
        </w:rPr>
        <w:t xml:space="preserve">y </w:t>
      </w:r>
      <w:r w:rsidR="004B1E5B" w:rsidRPr="008C035E">
        <w:rPr>
          <w:rFonts w:ascii="Arial" w:hAnsi="Arial" w:cs="Arial"/>
          <w:sz w:val="24"/>
          <w:szCs w:val="24"/>
        </w:rPr>
        <w:t>costs (</w:t>
      </w:r>
      <w:r w:rsidR="003F686B" w:rsidRPr="008C035E">
        <w:rPr>
          <w:rFonts w:ascii="Arial" w:hAnsi="Arial" w:cs="Arial"/>
          <w:color w:val="222222"/>
          <w:sz w:val="24"/>
          <w:szCs w:val="24"/>
          <w:shd w:val="clear" w:color="auto" w:fill="FFFFFF"/>
        </w:rPr>
        <w:t>Mauler et al., 2021</w:t>
      </w:r>
      <w:r w:rsidR="004B1E5B" w:rsidRPr="008C035E">
        <w:rPr>
          <w:rFonts w:ascii="Arial" w:hAnsi="Arial" w:cs="Arial"/>
          <w:sz w:val="24"/>
          <w:szCs w:val="24"/>
        </w:rPr>
        <w:t xml:space="preserve">) could impact margins for the OEM manufacturers like Rivian. The localisation policies in India do support local manufacturing o components. However, most of the long-term contracts are </w:t>
      </w:r>
      <w:r w:rsidR="006C2F01" w:rsidRPr="008C035E">
        <w:rPr>
          <w:rFonts w:ascii="Arial" w:hAnsi="Arial" w:cs="Arial"/>
          <w:sz w:val="24"/>
          <w:szCs w:val="24"/>
        </w:rPr>
        <w:t>reliant on global supply chains which could have some potential geopolitical risks (</w:t>
      </w:r>
      <w:r w:rsidR="004C4B99" w:rsidRPr="008C035E">
        <w:rPr>
          <w:rFonts w:ascii="Arial" w:hAnsi="Arial" w:cs="Arial"/>
          <w:color w:val="222222"/>
          <w:sz w:val="24"/>
          <w:szCs w:val="24"/>
          <w:shd w:val="clear" w:color="auto" w:fill="FFFFFF"/>
        </w:rPr>
        <w:t>Ren et al., 2024</w:t>
      </w:r>
      <w:r w:rsidR="006C2F01" w:rsidRPr="008C035E">
        <w:rPr>
          <w:rFonts w:ascii="Arial" w:hAnsi="Arial" w:cs="Arial"/>
          <w:sz w:val="24"/>
          <w:szCs w:val="24"/>
        </w:rPr>
        <w:t>). Buyer power is another factor that should be recognised. Despite the rise of brand loyalty, price sensitivity (</w:t>
      </w:r>
      <w:r w:rsidR="004C4B99" w:rsidRPr="008C035E">
        <w:rPr>
          <w:rFonts w:ascii="Arial" w:hAnsi="Arial" w:cs="Arial"/>
          <w:color w:val="222222"/>
          <w:sz w:val="24"/>
          <w:szCs w:val="24"/>
          <w:shd w:val="clear" w:color="auto" w:fill="FFFFFF"/>
        </w:rPr>
        <w:t>Kumar et al., 2024</w:t>
      </w:r>
      <w:r w:rsidR="006C2F01" w:rsidRPr="008C035E">
        <w:rPr>
          <w:rFonts w:ascii="Arial" w:hAnsi="Arial" w:cs="Arial"/>
          <w:sz w:val="24"/>
          <w:szCs w:val="24"/>
        </w:rPr>
        <w:t xml:space="preserve">) remains dominant and factors of cost of switching will continue to impact buyer intent to purchase the products.  An analysis of the threat of new entrants and threat of substitutes shows that they are moderate. New entrants could potentially enter the Indian market due to the rise of </w:t>
      </w:r>
      <w:r w:rsidR="00D571D3" w:rsidRPr="008C035E">
        <w:rPr>
          <w:rFonts w:ascii="Arial" w:hAnsi="Arial" w:cs="Arial"/>
          <w:sz w:val="24"/>
          <w:szCs w:val="24"/>
        </w:rPr>
        <w:t xml:space="preserve">capital investments and policy incentives (e.g. </w:t>
      </w:r>
      <w:proofErr w:type="spellStart"/>
      <w:r w:rsidR="00D571D3" w:rsidRPr="008C035E">
        <w:rPr>
          <w:rFonts w:ascii="Arial" w:hAnsi="Arial" w:cs="Arial"/>
          <w:sz w:val="24"/>
          <w:szCs w:val="24"/>
        </w:rPr>
        <w:t>VinFAST</w:t>
      </w:r>
      <w:proofErr w:type="spellEnd"/>
      <w:r w:rsidR="00D571D3" w:rsidRPr="008C035E">
        <w:rPr>
          <w:rFonts w:ascii="Arial" w:hAnsi="Arial" w:cs="Arial"/>
          <w:sz w:val="24"/>
          <w:szCs w:val="24"/>
        </w:rPr>
        <w:t xml:space="preserve"> investment in India). Threat of substitutes could be broader challenges including hybrid vehicles or other </w:t>
      </w:r>
      <w:r w:rsidR="00FF6084" w:rsidRPr="008C035E">
        <w:rPr>
          <w:rFonts w:ascii="Arial" w:hAnsi="Arial" w:cs="Arial"/>
          <w:sz w:val="24"/>
          <w:szCs w:val="24"/>
        </w:rPr>
        <w:t xml:space="preserve">cars (e.g. CNG). Furthermore, the push for public transportation including launch of metros across Indian cities also influence some threat of substitution. </w:t>
      </w:r>
      <w:proofErr w:type="gramStart"/>
      <w:r w:rsidR="00FF6084" w:rsidRPr="008C035E">
        <w:rPr>
          <w:rFonts w:ascii="Arial" w:hAnsi="Arial" w:cs="Arial"/>
          <w:sz w:val="24"/>
          <w:szCs w:val="24"/>
        </w:rPr>
        <w:t>All of</w:t>
      </w:r>
      <w:proofErr w:type="gramEnd"/>
      <w:r w:rsidR="00FF6084" w:rsidRPr="008C035E">
        <w:rPr>
          <w:rFonts w:ascii="Arial" w:hAnsi="Arial" w:cs="Arial"/>
          <w:sz w:val="24"/>
          <w:szCs w:val="24"/>
        </w:rPr>
        <w:t xml:space="preserve"> these forces suggest that Rivian in India may be impacted by most of the </w:t>
      </w:r>
      <w:proofErr w:type="spellStart"/>
      <w:r w:rsidR="00FF6084" w:rsidRPr="008C035E">
        <w:rPr>
          <w:rFonts w:ascii="Arial" w:hAnsi="Arial" w:cs="Arial"/>
          <w:sz w:val="24"/>
          <w:szCs w:val="24"/>
        </w:rPr>
        <w:t>meso</w:t>
      </w:r>
      <w:proofErr w:type="spellEnd"/>
      <w:r w:rsidR="00FF6084" w:rsidRPr="008C035E">
        <w:rPr>
          <w:rFonts w:ascii="Arial" w:hAnsi="Arial" w:cs="Arial"/>
          <w:sz w:val="24"/>
          <w:szCs w:val="24"/>
        </w:rPr>
        <w:t xml:space="preserve"> environmental factors and being aware of these is essential if they would like to be successful in the Indian market. </w:t>
      </w:r>
    </w:p>
    <w:p w14:paraId="3C843555" w14:textId="39C02E8B" w:rsidR="00304A20" w:rsidRPr="008C035E" w:rsidRDefault="00FF6084" w:rsidP="00D831EE">
      <w:pPr>
        <w:pStyle w:val="Heading2"/>
        <w:numPr>
          <w:ilvl w:val="1"/>
          <w:numId w:val="13"/>
        </w:numPr>
      </w:pPr>
      <w:bookmarkStart w:id="14" w:name="_Toc217240570"/>
      <w:r w:rsidRPr="008C035E">
        <w:t>SWOT Analysis</w:t>
      </w:r>
      <w:bookmarkEnd w:id="14"/>
    </w:p>
    <w:p w14:paraId="12A762A5" w14:textId="6BC017E8" w:rsidR="00694339" w:rsidRPr="008C035E" w:rsidRDefault="00694339" w:rsidP="008C035E">
      <w:pPr>
        <w:spacing w:line="360" w:lineRule="auto"/>
        <w:jc w:val="both"/>
        <w:rPr>
          <w:rFonts w:ascii="Arial" w:hAnsi="Arial" w:cs="Arial"/>
          <w:sz w:val="24"/>
          <w:szCs w:val="24"/>
        </w:rPr>
      </w:pPr>
      <w:r w:rsidRPr="008C035E">
        <w:rPr>
          <w:rFonts w:ascii="Arial" w:hAnsi="Arial" w:cs="Arial"/>
          <w:sz w:val="24"/>
          <w:szCs w:val="24"/>
        </w:rPr>
        <w:t xml:space="preserve">There are some important SWOT elements that need to be highlighted. </w:t>
      </w:r>
    </w:p>
    <w:p w14:paraId="478C4229" w14:textId="5E15EF64" w:rsidR="000C3871" w:rsidRPr="008C035E" w:rsidRDefault="00694339" w:rsidP="008C035E">
      <w:pPr>
        <w:spacing w:line="360" w:lineRule="auto"/>
        <w:jc w:val="both"/>
        <w:rPr>
          <w:rFonts w:ascii="Arial" w:hAnsi="Arial" w:cs="Arial"/>
          <w:sz w:val="24"/>
          <w:szCs w:val="24"/>
        </w:rPr>
      </w:pPr>
      <w:r w:rsidRPr="008C035E">
        <w:rPr>
          <w:rFonts w:ascii="Arial" w:hAnsi="Arial" w:cs="Arial"/>
          <w:sz w:val="24"/>
          <w:szCs w:val="24"/>
        </w:rPr>
        <w:t>At a strength level, Rivian’s growth is largely linked to its technological strength and structural realities that may exist within the Indian market</w:t>
      </w:r>
      <w:r w:rsidR="00BA7215" w:rsidRPr="008C035E">
        <w:rPr>
          <w:rFonts w:ascii="Arial" w:hAnsi="Arial" w:cs="Arial"/>
          <w:sz w:val="24"/>
          <w:szCs w:val="24"/>
        </w:rPr>
        <w:t xml:space="preserve">. </w:t>
      </w:r>
      <w:r w:rsidRPr="008C035E">
        <w:rPr>
          <w:rFonts w:ascii="Arial" w:hAnsi="Arial" w:cs="Arial"/>
          <w:sz w:val="24"/>
          <w:szCs w:val="24"/>
        </w:rPr>
        <w:t xml:space="preserve"> </w:t>
      </w:r>
      <w:proofErr w:type="gramStart"/>
      <w:r w:rsidRPr="008C035E">
        <w:rPr>
          <w:rFonts w:ascii="Arial" w:hAnsi="Arial" w:cs="Arial"/>
          <w:sz w:val="24"/>
          <w:szCs w:val="24"/>
        </w:rPr>
        <w:t>In particular, their</w:t>
      </w:r>
      <w:proofErr w:type="gramEnd"/>
      <w:r w:rsidRPr="008C035E">
        <w:rPr>
          <w:rFonts w:ascii="Arial" w:hAnsi="Arial" w:cs="Arial"/>
          <w:sz w:val="24"/>
          <w:szCs w:val="24"/>
        </w:rPr>
        <w:t xml:space="preserve"> advantage can be attributed to its advanced EV technology </w:t>
      </w:r>
      <w:r w:rsidR="00C46FBC" w:rsidRPr="008C035E">
        <w:rPr>
          <w:rFonts w:ascii="Arial" w:hAnsi="Arial" w:cs="Arial"/>
          <w:sz w:val="24"/>
          <w:szCs w:val="24"/>
        </w:rPr>
        <w:t>and their continued software design related innovations</w:t>
      </w:r>
      <w:r w:rsidR="00BA7215" w:rsidRPr="008C035E">
        <w:rPr>
          <w:rFonts w:ascii="Arial" w:hAnsi="Arial" w:cs="Arial"/>
          <w:sz w:val="24"/>
          <w:szCs w:val="24"/>
        </w:rPr>
        <w:t xml:space="preserve"> including investment in artificial intelligence</w:t>
      </w:r>
      <w:r w:rsidR="00C46FBC" w:rsidRPr="008C035E">
        <w:rPr>
          <w:rFonts w:ascii="Arial" w:hAnsi="Arial" w:cs="Arial"/>
          <w:sz w:val="24"/>
          <w:szCs w:val="24"/>
        </w:rPr>
        <w:t xml:space="preserve"> (</w:t>
      </w:r>
      <w:r w:rsidR="004C4B99" w:rsidRPr="008C035E">
        <w:rPr>
          <w:rStyle w:val="cf01"/>
          <w:rFonts w:ascii="Arial" w:hAnsi="Arial" w:cs="Arial"/>
          <w:sz w:val="24"/>
          <w:szCs w:val="24"/>
        </w:rPr>
        <w:t>Yahoo Finance, 2025</w:t>
      </w:r>
      <w:r w:rsidR="00C46FBC" w:rsidRPr="008C035E">
        <w:rPr>
          <w:rFonts w:ascii="Arial" w:hAnsi="Arial" w:cs="Arial"/>
          <w:sz w:val="24"/>
          <w:szCs w:val="24"/>
        </w:rPr>
        <w:t xml:space="preserve">). Another important strength is that they are introducing a product in a growing segment of the Indian car industry, i.e. the SUV market. Their product strength </w:t>
      </w:r>
      <w:r w:rsidR="004C4C8F" w:rsidRPr="008C035E">
        <w:rPr>
          <w:rFonts w:ascii="Arial" w:hAnsi="Arial" w:cs="Arial"/>
          <w:sz w:val="24"/>
          <w:szCs w:val="24"/>
        </w:rPr>
        <w:t>in this</w:t>
      </w:r>
      <w:r w:rsidR="00C46FBC" w:rsidRPr="008C035E">
        <w:rPr>
          <w:rFonts w:ascii="Arial" w:hAnsi="Arial" w:cs="Arial"/>
          <w:sz w:val="24"/>
          <w:szCs w:val="24"/>
        </w:rPr>
        <w:t xml:space="preserve"> category accompanied by the demand in the Indian market is another strength that could help create the transition to premium EV vehicles by Indian </w:t>
      </w:r>
      <w:r w:rsidR="00C46FBC" w:rsidRPr="008C035E">
        <w:rPr>
          <w:rFonts w:ascii="Arial" w:hAnsi="Arial" w:cs="Arial"/>
          <w:sz w:val="24"/>
          <w:szCs w:val="24"/>
        </w:rPr>
        <w:lastRenderedPageBreak/>
        <w:t>consumers. Rivian also supports a strong environmental awareness push focusing on a sustainability narrative</w:t>
      </w:r>
      <w:r w:rsidR="000C3871" w:rsidRPr="008C035E">
        <w:rPr>
          <w:rFonts w:ascii="Arial" w:hAnsi="Arial" w:cs="Arial"/>
          <w:sz w:val="24"/>
          <w:szCs w:val="24"/>
        </w:rPr>
        <w:t xml:space="preserve"> which could further contribute to their brand reputations</w:t>
      </w:r>
      <w:r w:rsidR="004C4B99" w:rsidRPr="008C035E">
        <w:rPr>
          <w:rFonts w:ascii="Arial" w:hAnsi="Arial" w:cs="Arial"/>
          <w:sz w:val="24"/>
          <w:szCs w:val="24"/>
        </w:rPr>
        <w:t xml:space="preserve"> (</w:t>
      </w:r>
      <w:r w:rsidR="004C4B99" w:rsidRPr="008C035E">
        <w:rPr>
          <w:rStyle w:val="cf01"/>
          <w:rFonts w:ascii="Arial" w:hAnsi="Arial" w:cs="Arial"/>
          <w:sz w:val="24"/>
          <w:szCs w:val="24"/>
        </w:rPr>
        <w:t>Rivian, 2025b)</w:t>
      </w:r>
      <w:r w:rsidR="000C3871" w:rsidRPr="008C035E">
        <w:rPr>
          <w:rFonts w:ascii="Arial" w:hAnsi="Arial" w:cs="Arial"/>
          <w:sz w:val="24"/>
          <w:szCs w:val="24"/>
        </w:rPr>
        <w:t xml:space="preserve">. </w:t>
      </w:r>
      <w:r w:rsidR="00406B1C" w:rsidRPr="008C035E">
        <w:rPr>
          <w:rFonts w:ascii="Arial" w:hAnsi="Arial" w:cs="Arial"/>
          <w:sz w:val="24"/>
          <w:szCs w:val="24"/>
        </w:rPr>
        <w:t xml:space="preserve"> Though it faced an initial slump in early 2025, they have continued to increase its sales in the US market. For example, they have</w:t>
      </w:r>
      <w:r w:rsidR="00242C97" w:rsidRPr="008C035E">
        <w:rPr>
          <w:rFonts w:ascii="Arial" w:hAnsi="Arial" w:cs="Arial"/>
          <w:sz w:val="24"/>
          <w:szCs w:val="24"/>
        </w:rPr>
        <w:t xml:space="preserve"> grown by 32% YOY</w:t>
      </w:r>
      <w:r w:rsidR="00594DCD">
        <w:rPr>
          <w:rFonts w:ascii="Arial" w:hAnsi="Arial" w:cs="Arial"/>
          <w:sz w:val="24"/>
          <w:szCs w:val="24"/>
        </w:rPr>
        <w:t xml:space="preserve"> (</w:t>
      </w:r>
      <w:r w:rsidR="00594DCD" w:rsidRPr="008C035E">
        <w:rPr>
          <w:rStyle w:val="cf01"/>
          <w:rFonts w:ascii="Arial" w:hAnsi="Arial" w:cs="Arial"/>
          <w:sz w:val="24"/>
          <w:szCs w:val="24"/>
        </w:rPr>
        <w:t>Alpha Spread, 2025</w:t>
      </w:r>
      <w:r w:rsidR="00594DCD">
        <w:rPr>
          <w:rStyle w:val="cf01"/>
          <w:rFonts w:ascii="Arial" w:hAnsi="Arial" w:cs="Arial"/>
          <w:sz w:val="24"/>
          <w:szCs w:val="24"/>
        </w:rPr>
        <w:t>)</w:t>
      </w:r>
      <w:r w:rsidR="00FD0C5B" w:rsidRPr="008C035E">
        <w:rPr>
          <w:rFonts w:ascii="Arial" w:hAnsi="Arial" w:cs="Arial"/>
          <w:sz w:val="24"/>
          <w:szCs w:val="24"/>
        </w:rPr>
        <w:t xml:space="preserve">. </w:t>
      </w:r>
      <w:r w:rsidR="00242C97" w:rsidRPr="008C035E">
        <w:rPr>
          <w:rFonts w:ascii="Arial" w:hAnsi="Arial" w:cs="Arial"/>
          <w:sz w:val="24"/>
          <w:szCs w:val="24"/>
        </w:rPr>
        <w:t xml:space="preserve">They have also formed an important joint-venture with Volkswagen Group </w:t>
      </w:r>
      <w:r w:rsidR="000E5F3B" w:rsidRPr="008C035E">
        <w:rPr>
          <w:rFonts w:ascii="Arial" w:hAnsi="Arial" w:cs="Arial"/>
          <w:sz w:val="24"/>
          <w:szCs w:val="24"/>
        </w:rPr>
        <w:t>for $5.8 billion intended to bring in next-generation electric vehicle architecture for the future vehicles of the two organisations (</w:t>
      </w:r>
      <w:r w:rsidR="00594DCD" w:rsidRPr="008C035E">
        <w:rPr>
          <w:rStyle w:val="cf01"/>
          <w:rFonts w:ascii="Arial" w:hAnsi="Arial" w:cs="Arial"/>
          <w:sz w:val="24"/>
          <w:szCs w:val="24"/>
        </w:rPr>
        <w:t>Rivian, 2024a</w:t>
      </w:r>
      <w:r w:rsidR="000E5F3B" w:rsidRPr="008C035E">
        <w:rPr>
          <w:rFonts w:ascii="Arial" w:hAnsi="Arial" w:cs="Arial"/>
          <w:sz w:val="24"/>
          <w:szCs w:val="24"/>
        </w:rPr>
        <w:t xml:space="preserve">). </w:t>
      </w:r>
      <w:r w:rsidR="007E1189" w:rsidRPr="008C035E">
        <w:rPr>
          <w:rFonts w:ascii="Arial" w:hAnsi="Arial" w:cs="Arial"/>
          <w:sz w:val="24"/>
          <w:szCs w:val="24"/>
        </w:rPr>
        <w:t>It is expected that after dealing with manufacturing challenges and the launch of new subscription service, it is possible that they have a more stable long-term income which could make it financially stable</w:t>
      </w:r>
      <w:r w:rsidR="00251D99" w:rsidRPr="008C035E">
        <w:rPr>
          <w:rFonts w:ascii="Arial" w:hAnsi="Arial" w:cs="Arial"/>
          <w:sz w:val="24"/>
          <w:szCs w:val="24"/>
        </w:rPr>
        <w:t xml:space="preserve"> (</w:t>
      </w:r>
      <w:r w:rsidR="00594DCD">
        <w:rPr>
          <w:rStyle w:val="cf01"/>
        </w:rPr>
        <w:t>CNBC, 2025</w:t>
      </w:r>
      <w:r w:rsidR="00251D99" w:rsidRPr="008C035E">
        <w:rPr>
          <w:rStyle w:val="cf01"/>
          <w:rFonts w:ascii="Arial" w:hAnsi="Arial" w:cs="Arial"/>
          <w:sz w:val="24"/>
          <w:szCs w:val="24"/>
        </w:rPr>
        <w:t>)</w:t>
      </w:r>
      <w:r w:rsidR="007E1189" w:rsidRPr="008C035E">
        <w:rPr>
          <w:rFonts w:ascii="Arial" w:hAnsi="Arial" w:cs="Arial"/>
          <w:sz w:val="24"/>
          <w:szCs w:val="24"/>
        </w:rPr>
        <w:t xml:space="preserve">. </w:t>
      </w:r>
    </w:p>
    <w:p w14:paraId="4B662745" w14:textId="07A9E6AD" w:rsidR="00694339" w:rsidRPr="008C035E" w:rsidRDefault="009C61BD" w:rsidP="008C035E">
      <w:pPr>
        <w:spacing w:line="360" w:lineRule="auto"/>
        <w:jc w:val="both"/>
        <w:rPr>
          <w:rFonts w:ascii="Arial" w:hAnsi="Arial" w:cs="Arial"/>
          <w:sz w:val="24"/>
          <w:szCs w:val="24"/>
        </w:rPr>
      </w:pPr>
      <w:r w:rsidRPr="008C035E">
        <w:rPr>
          <w:rFonts w:ascii="Arial" w:hAnsi="Arial" w:cs="Arial"/>
          <w:sz w:val="24"/>
          <w:szCs w:val="24"/>
        </w:rPr>
        <w:t xml:space="preserve">There are some weaknesses that Rivian is facing that need to be acknowledged. The first is that </w:t>
      </w:r>
      <w:r w:rsidR="00140D63" w:rsidRPr="008C035E">
        <w:rPr>
          <w:rFonts w:ascii="Arial" w:hAnsi="Arial" w:cs="Arial"/>
          <w:sz w:val="24"/>
          <w:szCs w:val="24"/>
        </w:rPr>
        <w:t xml:space="preserve">the firm is facing significant production challenges linked to supply chain disruptions impacting its scaling. </w:t>
      </w:r>
      <w:r w:rsidR="007E1189" w:rsidRPr="008C035E">
        <w:rPr>
          <w:rFonts w:ascii="Arial" w:hAnsi="Arial" w:cs="Arial"/>
          <w:sz w:val="24"/>
          <w:szCs w:val="24"/>
        </w:rPr>
        <w:t xml:space="preserve"> Similarly, a challenge that Rivian will face with its growth strategy is its premium cost structure. Entry into the market to maintain this high-cost structure would require local manufacturing, a feat they have not tried before. Unlike incumbents in the Indian industry, they do not have a local supply chain network which may make it difficult to operate in an emerging market. </w:t>
      </w:r>
    </w:p>
    <w:p w14:paraId="7EF62C16" w14:textId="6892FB0D" w:rsidR="00FF6084" w:rsidRDefault="007E1189" w:rsidP="008C035E">
      <w:pPr>
        <w:spacing w:line="360" w:lineRule="auto"/>
        <w:jc w:val="both"/>
        <w:rPr>
          <w:rFonts w:ascii="Arial" w:hAnsi="Arial" w:cs="Arial"/>
          <w:sz w:val="24"/>
          <w:szCs w:val="24"/>
        </w:rPr>
      </w:pPr>
      <w:r w:rsidRPr="008C035E">
        <w:rPr>
          <w:rFonts w:ascii="Arial" w:hAnsi="Arial" w:cs="Arial"/>
          <w:sz w:val="24"/>
          <w:szCs w:val="24"/>
        </w:rPr>
        <w:t>There are several opportunities that R</w:t>
      </w:r>
      <w:r w:rsidR="00EC27FF" w:rsidRPr="008C035E">
        <w:rPr>
          <w:rFonts w:ascii="Arial" w:hAnsi="Arial" w:cs="Arial"/>
          <w:sz w:val="24"/>
          <w:szCs w:val="24"/>
        </w:rPr>
        <w:t>i</w:t>
      </w:r>
      <w:r w:rsidRPr="008C035E">
        <w:rPr>
          <w:rFonts w:ascii="Arial" w:hAnsi="Arial" w:cs="Arial"/>
          <w:sz w:val="24"/>
          <w:szCs w:val="24"/>
        </w:rPr>
        <w:t xml:space="preserve">vian should take into consideration. Firstly, the opportunities that are available in the Indian EV market </w:t>
      </w:r>
      <w:r w:rsidR="00EC27FF" w:rsidRPr="008C035E">
        <w:rPr>
          <w:rFonts w:ascii="Arial" w:hAnsi="Arial" w:cs="Arial"/>
          <w:sz w:val="24"/>
          <w:szCs w:val="24"/>
        </w:rPr>
        <w:t>especially in the luxury SUV segment</w:t>
      </w:r>
      <w:r w:rsidR="00251D99" w:rsidRPr="008C035E">
        <w:rPr>
          <w:rFonts w:ascii="Arial" w:hAnsi="Arial" w:cs="Arial"/>
          <w:sz w:val="24"/>
          <w:szCs w:val="24"/>
        </w:rPr>
        <w:t xml:space="preserve"> (</w:t>
      </w:r>
      <w:r w:rsidR="00251D99" w:rsidRPr="008C035E">
        <w:rPr>
          <w:rFonts w:ascii="Arial" w:hAnsi="Arial" w:cs="Arial"/>
          <w:color w:val="222222"/>
          <w:sz w:val="24"/>
          <w:szCs w:val="24"/>
          <w:shd w:val="clear" w:color="auto" w:fill="FFFFFF"/>
        </w:rPr>
        <w:t>Malhotra, 2022)</w:t>
      </w:r>
      <w:r w:rsidR="00EC27FF" w:rsidRPr="008C035E">
        <w:rPr>
          <w:rFonts w:ascii="Arial" w:hAnsi="Arial" w:cs="Arial"/>
          <w:sz w:val="24"/>
          <w:szCs w:val="24"/>
        </w:rPr>
        <w:t>. Therefore, the premium electric SUV segment has created an important space for stakeholders to grow. Another potential opportunity is the saturation in the US market. The potential uncertainty regarding credits or benefits for EV vehicle purchase in the US accompanied by growth of other players (</w:t>
      </w:r>
      <w:r w:rsidR="00251D99" w:rsidRPr="008C035E">
        <w:rPr>
          <w:rStyle w:val="cf01"/>
          <w:rFonts w:ascii="Arial" w:hAnsi="Arial" w:cs="Arial"/>
          <w:sz w:val="24"/>
          <w:szCs w:val="24"/>
        </w:rPr>
        <w:t>Eckert, 2025</w:t>
      </w:r>
      <w:r w:rsidR="00EC27FF" w:rsidRPr="008C035E">
        <w:rPr>
          <w:rFonts w:ascii="Arial" w:hAnsi="Arial" w:cs="Arial"/>
          <w:sz w:val="24"/>
          <w:szCs w:val="24"/>
        </w:rPr>
        <w:t>), could create opportunities for Rivian to look beyond its current market and identify other alternatives.  Clearly there are significant competitive threats that also exist. The</w:t>
      </w:r>
      <w:r w:rsidR="0072244F" w:rsidRPr="008C035E">
        <w:rPr>
          <w:rFonts w:ascii="Arial" w:hAnsi="Arial" w:cs="Arial"/>
          <w:sz w:val="24"/>
          <w:szCs w:val="24"/>
        </w:rPr>
        <w:t xml:space="preserve"> existing domestic manufacturers are more likely to have cost advantages and distribution networks. This accompanied by the potentially slow growth in the luxury EV segment in India (</w:t>
      </w:r>
      <w:r w:rsidR="00251D99" w:rsidRPr="008C035E">
        <w:rPr>
          <w:rStyle w:val="cf01"/>
          <w:rFonts w:ascii="Arial" w:hAnsi="Arial" w:cs="Arial"/>
          <w:sz w:val="24"/>
          <w:szCs w:val="24"/>
        </w:rPr>
        <w:t>Economic Times, 2025</w:t>
      </w:r>
      <w:r w:rsidR="0072244F" w:rsidRPr="008C035E">
        <w:rPr>
          <w:rFonts w:ascii="Arial" w:hAnsi="Arial" w:cs="Arial"/>
          <w:sz w:val="24"/>
          <w:szCs w:val="24"/>
        </w:rPr>
        <w:t xml:space="preserve">), especially outside cities could be a core threat which may impact the growth of the brand in India. </w:t>
      </w:r>
      <w:r w:rsidR="0033265D" w:rsidRPr="008C035E">
        <w:rPr>
          <w:rFonts w:ascii="Arial" w:hAnsi="Arial" w:cs="Arial"/>
          <w:sz w:val="24"/>
          <w:szCs w:val="24"/>
        </w:rPr>
        <w:t xml:space="preserve"> </w:t>
      </w:r>
      <w:r w:rsidR="0072244F" w:rsidRPr="008C035E">
        <w:rPr>
          <w:rFonts w:ascii="Arial" w:hAnsi="Arial" w:cs="Arial"/>
          <w:sz w:val="24"/>
          <w:szCs w:val="24"/>
        </w:rPr>
        <w:t xml:space="preserve">Strategically, it is important for </w:t>
      </w:r>
      <w:r w:rsidR="006E55E4" w:rsidRPr="008C035E">
        <w:rPr>
          <w:rFonts w:ascii="Arial" w:hAnsi="Arial" w:cs="Arial"/>
          <w:sz w:val="24"/>
          <w:szCs w:val="24"/>
        </w:rPr>
        <w:t xml:space="preserve">Rivian to consider these elements before they consider entry into India. </w:t>
      </w:r>
    </w:p>
    <w:p w14:paraId="6B8F3ED2" w14:textId="77777777" w:rsidR="00377F5F" w:rsidRDefault="00377F5F" w:rsidP="008C035E">
      <w:pPr>
        <w:spacing w:line="360" w:lineRule="auto"/>
        <w:jc w:val="both"/>
        <w:rPr>
          <w:rFonts w:ascii="Arial" w:hAnsi="Arial" w:cs="Arial"/>
          <w:sz w:val="24"/>
          <w:szCs w:val="24"/>
        </w:rPr>
      </w:pPr>
    </w:p>
    <w:p w14:paraId="4C7EBB77" w14:textId="77777777" w:rsidR="00377F5F" w:rsidRPr="008C035E" w:rsidRDefault="00377F5F" w:rsidP="008C035E">
      <w:pPr>
        <w:spacing w:line="360" w:lineRule="auto"/>
        <w:jc w:val="both"/>
        <w:rPr>
          <w:rFonts w:ascii="Arial" w:hAnsi="Arial" w:cs="Arial"/>
          <w:sz w:val="24"/>
          <w:szCs w:val="24"/>
        </w:rPr>
      </w:pPr>
    </w:p>
    <w:p w14:paraId="3A18B049" w14:textId="2A1C3425" w:rsidR="00594DCD" w:rsidRPr="00594DCD" w:rsidRDefault="00594DCD" w:rsidP="00594DCD">
      <w:pPr>
        <w:pStyle w:val="Caption"/>
        <w:rPr>
          <w:rFonts w:ascii="Arial" w:hAnsi="Arial" w:cs="Arial"/>
          <w:b/>
          <w:bCs/>
          <w:i w:val="0"/>
          <w:iCs w:val="0"/>
          <w:color w:val="auto"/>
          <w:sz w:val="24"/>
          <w:szCs w:val="24"/>
        </w:rPr>
      </w:pPr>
      <w:bookmarkStart w:id="15" w:name="_Toc217240588"/>
      <w:r w:rsidRPr="00594DCD">
        <w:rPr>
          <w:rFonts w:ascii="Arial" w:hAnsi="Arial" w:cs="Arial"/>
          <w:b/>
          <w:bCs/>
          <w:i w:val="0"/>
          <w:iCs w:val="0"/>
          <w:color w:val="auto"/>
          <w:sz w:val="24"/>
          <w:szCs w:val="24"/>
        </w:rPr>
        <w:lastRenderedPageBreak/>
        <w:t xml:space="preserve">Table </w:t>
      </w:r>
      <w:r w:rsidRPr="00594DCD">
        <w:rPr>
          <w:rFonts w:ascii="Arial" w:hAnsi="Arial" w:cs="Arial"/>
          <w:b/>
          <w:bCs/>
          <w:i w:val="0"/>
          <w:iCs w:val="0"/>
          <w:color w:val="auto"/>
          <w:sz w:val="24"/>
          <w:szCs w:val="24"/>
        </w:rPr>
        <w:fldChar w:fldCharType="begin"/>
      </w:r>
      <w:r w:rsidRPr="00594DCD">
        <w:rPr>
          <w:rFonts w:ascii="Arial" w:hAnsi="Arial" w:cs="Arial"/>
          <w:b/>
          <w:bCs/>
          <w:i w:val="0"/>
          <w:iCs w:val="0"/>
          <w:color w:val="auto"/>
          <w:sz w:val="24"/>
          <w:szCs w:val="24"/>
        </w:rPr>
        <w:instrText xml:space="preserve"> SEQ Table \* ARABIC </w:instrText>
      </w:r>
      <w:r w:rsidRPr="00594DCD">
        <w:rPr>
          <w:rFonts w:ascii="Arial" w:hAnsi="Arial" w:cs="Arial"/>
          <w:b/>
          <w:bCs/>
          <w:i w:val="0"/>
          <w:iCs w:val="0"/>
          <w:color w:val="auto"/>
          <w:sz w:val="24"/>
          <w:szCs w:val="24"/>
        </w:rPr>
        <w:fldChar w:fldCharType="separate"/>
      </w:r>
      <w:r w:rsidR="00C566AC">
        <w:rPr>
          <w:rFonts w:ascii="Arial" w:hAnsi="Arial" w:cs="Arial"/>
          <w:b/>
          <w:bCs/>
          <w:i w:val="0"/>
          <w:iCs w:val="0"/>
          <w:noProof/>
          <w:color w:val="auto"/>
          <w:sz w:val="24"/>
          <w:szCs w:val="24"/>
        </w:rPr>
        <w:t>3</w:t>
      </w:r>
      <w:r w:rsidRPr="00594DCD">
        <w:rPr>
          <w:rFonts w:ascii="Arial" w:hAnsi="Arial" w:cs="Arial"/>
          <w:b/>
          <w:bCs/>
          <w:i w:val="0"/>
          <w:iCs w:val="0"/>
          <w:color w:val="auto"/>
          <w:sz w:val="24"/>
          <w:szCs w:val="24"/>
        </w:rPr>
        <w:fldChar w:fldCharType="end"/>
      </w:r>
      <w:r w:rsidRPr="00594DCD">
        <w:rPr>
          <w:rFonts w:ascii="Arial" w:hAnsi="Arial" w:cs="Arial"/>
          <w:b/>
          <w:bCs/>
          <w:i w:val="0"/>
          <w:iCs w:val="0"/>
          <w:color w:val="auto"/>
          <w:sz w:val="24"/>
          <w:szCs w:val="24"/>
        </w:rPr>
        <w:t xml:space="preserve">: </w:t>
      </w:r>
      <w:r w:rsidR="005C3C90" w:rsidRPr="00594DCD">
        <w:rPr>
          <w:rFonts w:ascii="Arial" w:hAnsi="Arial" w:cs="Arial"/>
          <w:b/>
          <w:bCs/>
          <w:i w:val="0"/>
          <w:iCs w:val="0"/>
          <w:color w:val="auto"/>
          <w:sz w:val="24"/>
          <w:szCs w:val="24"/>
        </w:rPr>
        <w:t>SWOT Analysis</w:t>
      </w:r>
      <w:bookmarkEnd w:id="15"/>
    </w:p>
    <w:tbl>
      <w:tblPr>
        <w:tblStyle w:val="TableGrid"/>
        <w:tblW w:w="0" w:type="auto"/>
        <w:tblLook w:val="04A0" w:firstRow="1" w:lastRow="0" w:firstColumn="1" w:lastColumn="0" w:noHBand="0" w:noVBand="1"/>
      </w:tblPr>
      <w:tblGrid>
        <w:gridCol w:w="4106"/>
        <w:gridCol w:w="4910"/>
      </w:tblGrid>
      <w:tr w:rsidR="0086161D" w:rsidRPr="00594DCD" w14:paraId="7DBA017F" w14:textId="77777777" w:rsidTr="005C3C90">
        <w:tc>
          <w:tcPr>
            <w:tcW w:w="4106" w:type="dxa"/>
            <w:hideMark/>
          </w:tcPr>
          <w:p w14:paraId="361A3D93" w14:textId="77777777" w:rsidR="0086161D" w:rsidRPr="00594DCD" w:rsidRDefault="0086161D" w:rsidP="00594DCD">
            <w:pPr>
              <w:spacing w:after="160"/>
              <w:jc w:val="both"/>
              <w:rPr>
                <w:rFonts w:ascii="Arial" w:hAnsi="Arial" w:cs="Arial"/>
                <w:b/>
                <w:bCs/>
                <w:sz w:val="20"/>
                <w:szCs w:val="20"/>
              </w:rPr>
            </w:pPr>
            <w:r w:rsidRPr="00594DCD">
              <w:rPr>
                <w:rFonts w:ascii="Arial" w:hAnsi="Arial" w:cs="Arial"/>
                <w:b/>
                <w:bCs/>
                <w:sz w:val="20"/>
                <w:szCs w:val="20"/>
              </w:rPr>
              <w:t>Strengths</w:t>
            </w:r>
          </w:p>
        </w:tc>
        <w:tc>
          <w:tcPr>
            <w:tcW w:w="4910" w:type="dxa"/>
            <w:hideMark/>
          </w:tcPr>
          <w:p w14:paraId="27B8F5CA" w14:textId="77777777" w:rsidR="0086161D" w:rsidRPr="00594DCD" w:rsidRDefault="0086161D" w:rsidP="00594DCD">
            <w:pPr>
              <w:spacing w:after="160"/>
              <w:jc w:val="both"/>
              <w:rPr>
                <w:rFonts w:ascii="Arial" w:hAnsi="Arial" w:cs="Arial"/>
                <w:b/>
                <w:bCs/>
                <w:sz w:val="20"/>
                <w:szCs w:val="20"/>
              </w:rPr>
            </w:pPr>
            <w:r w:rsidRPr="00594DCD">
              <w:rPr>
                <w:rFonts w:ascii="Arial" w:hAnsi="Arial" w:cs="Arial"/>
                <w:b/>
                <w:bCs/>
                <w:sz w:val="20"/>
                <w:szCs w:val="20"/>
              </w:rPr>
              <w:t>Weaknesses</w:t>
            </w:r>
          </w:p>
        </w:tc>
      </w:tr>
      <w:tr w:rsidR="0086161D" w:rsidRPr="00594DCD" w14:paraId="26BEF195" w14:textId="77777777" w:rsidTr="005C3C90">
        <w:tc>
          <w:tcPr>
            <w:tcW w:w="4106" w:type="dxa"/>
            <w:hideMark/>
          </w:tcPr>
          <w:p w14:paraId="63D87167" w14:textId="663479DC"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Advanced electric vehicle technology and strong software-led innovation</w:t>
            </w:r>
          </w:p>
        </w:tc>
        <w:tc>
          <w:tcPr>
            <w:tcW w:w="4910" w:type="dxa"/>
            <w:hideMark/>
          </w:tcPr>
          <w:p w14:paraId="01835776" w14:textId="567C6B35"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Ongoing production challenges linked to supply chain disruptions</w:t>
            </w:r>
            <w:r w:rsidR="006759EA" w:rsidRPr="00594DCD">
              <w:rPr>
                <w:rFonts w:ascii="Arial" w:hAnsi="Arial" w:cs="Arial"/>
                <w:sz w:val="20"/>
                <w:szCs w:val="20"/>
              </w:rPr>
              <w:t xml:space="preserve">. </w:t>
            </w:r>
          </w:p>
        </w:tc>
      </w:tr>
      <w:tr w:rsidR="0086161D" w:rsidRPr="00594DCD" w14:paraId="3948FAA2" w14:textId="77777777" w:rsidTr="005C3C90">
        <w:tc>
          <w:tcPr>
            <w:tcW w:w="4106" w:type="dxa"/>
            <w:hideMark/>
          </w:tcPr>
          <w:p w14:paraId="06469EF3" w14:textId="0633CCE9"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Strong positioning in the SUV segment</w:t>
            </w:r>
          </w:p>
        </w:tc>
        <w:tc>
          <w:tcPr>
            <w:tcW w:w="4910" w:type="dxa"/>
            <w:hideMark/>
          </w:tcPr>
          <w:p w14:paraId="5E4C89A2" w14:textId="7E29B614"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Premium cost structure </w:t>
            </w:r>
          </w:p>
        </w:tc>
      </w:tr>
      <w:tr w:rsidR="0086161D" w:rsidRPr="00594DCD" w14:paraId="15E3C5AE" w14:textId="77777777" w:rsidTr="005C3C90">
        <w:tc>
          <w:tcPr>
            <w:tcW w:w="4106" w:type="dxa"/>
            <w:hideMark/>
          </w:tcPr>
          <w:p w14:paraId="3FC3F4DD" w14:textId="0C48ADE9"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Alignment between Rivian’s premium SUV offerings </w:t>
            </w:r>
          </w:p>
        </w:tc>
        <w:tc>
          <w:tcPr>
            <w:tcW w:w="4910" w:type="dxa"/>
            <w:hideMark/>
          </w:tcPr>
          <w:p w14:paraId="5B959E39" w14:textId="4D0E8A25"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Lack of local manufacturing experience </w:t>
            </w:r>
          </w:p>
        </w:tc>
      </w:tr>
      <w:tr w:rsidR="0086161D" w:rsidRPr="00594DCD" w14:paraId="64E13327" w14:textId="77777777" w:rsidTr="005C3C90">
        <w:tc>
          <w:tcPr>
            <w:tcW w:w="4106" w:type="dxa"/>
            <w:hideMark/>
          </w:tcPr>
          <w:p w14:paraId="5E2356F0" w14:textId="2306EB41"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Strong sustainability narrative </w:t>
            </w:r>
          </w:p>
        </w:tc>
        <w:tc>
          <w:tcPr>
            <w:tcW w:w="4910" w:type="dxa"/>
            <w:hideMark/>
          </w:tcPr>
          <w:p w14:paraId="0CCB0DE8" w14:textId="5B1EF0F3"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Dependence on global supply chains</w:t>
            </w:r>
          </w:p>
        </w:tc>
      </w:tr>
      <w:tr w:rsidR="0086161D" w:rsidRPr="00594DCD" w14:paraId="6E1AC5E0" w14:textId="77777777" w:rsidTr="005C3C90">
        <w:tc>
          <w:tcPr>
            <w:tcW w:w="4106" w:type="dxa"/>
            <w:hideMark/>
          </w:tcPr>
          <w:p w14:paraId="2E745003" w14:textId="0951E8B6"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Improving financial performance</w:t>
            </w:r>
          </w:p>
        </w:tc>
        <w:tc>
          <w:tcPr>
            <w:tcW w:w="4910" w:type="dxa"/>
            <w:hideMark/>
          </w:tcPr>
          <w:p w14:paraId="3F2E4BB2" w14:textId="2DE59201"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Limited experience operating in emerging markets </w:t>
            </w:r>
          </w:p>
        </w:tc>
      </w:tr>
      <w:tr w:rsidR="0086161D" w:rsidRPr="00594DCD" w14:paraId="4CD35001" w14:textId="77777777" w:rsidTr="005C3C90">
        <w:tc>
          <w:tcPr>
            <w:tcW w:w="4106" w:type="dxa"/>
            <w:hideMark/>
          </w:tcPr>
          <w:p w14:paraId="142616E4" w14:textId="2659468A"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Strategic joint venture with Volkswagen Group </w:t>
            </w:r>
          </w:p>
        </w:tc>
        <w:tc>
          <w:tcPr>
            <w:tcW w:w="4910" w:type="dxa"/>
            <w:hideMark/>
          </w:tcPr>
          <w:p w14:paraId="1448EDB1" w14:textId="49F3ED5B" w:rsidR="0086161D" w:rsidRPr="00594DCD" w:rsidRDefault="0086161D" w:rsidP="00594DCD">
            <w:pPr>
              <w:spacing w:after="160"/>
              <w:jc w:val="both"/>
              <w:rPr>
                <w:rFonts w:ascii="Arial" w:hAnsi="Arial" w:cs="Arial"/>
                <w:sz w:val="20"/>
                <w:szCs w:val="20"/>
              </w:rPr>
            </w:pPr>
            <w:r w:rsidRPr="00594DCD">
              <w:rPr>
                <w:rFonts w:ascii="Arial" w:hAnsi="Arial" w:cs="Arial"/>
                <w:sz w:val="20"/>
                <w:szCs w:val="20"/>
              </w:rPr>
              <w:t xml:space="preserve">High capital requirements </w:t>
            </w:r>
          </w:p>
        </w:tc>
      </w:tr>
      <w:tr w:rsidR="005C3C90" w:rsidRPr="00594DCD" w14:paraId="612B90D6" w14:textId="77777777" w:rsidTr="005C3C90">
        <w:tc>
          <w:tcPr>
            <w:tcW w:w="4106" w:type="dxa"/>
            <w:hideMark/>
          </w:tcPr>
          <w:p w14:paraId="3FD004F0" w14:textId="77777777" w:rsidR="005C3C90" w:rsidRPr="00594DCD" w:rsidRDefault="005C3C90" w:rsidP="00594DCD">
            <w:pPr>
              <w:spacing w:after="160"/>
              <w:jc w:val="both"/>
              <w:rPr>
                <w:rFonts w:ascii="Arial" w:hAnsi="Arial" w:cs="Arial"/>
                <w:b/>
                <w:bCs/>
                <w:sz w:val="20"/>
                <w:szCs w:val="20"/>
              </w:rPr>
            </w:pPr>
            <w:r w:rsidRPr="00594DCD">
              <w:rPr>
                <w:rFonts w:ascii="Arial" w:hAnsi="Arial" w:cs="Arial"/>
                <w:b/>
                <w:bCs/>
                <w:sz w:val="20"/>
                <w:szCs w:val="20"/>
              </w:rPr>
              <w:t>Opportunities</w:t>
            </w:r>
          </w:p>
        </w:tc>
        <w:tc>
          <w:tcPr>
            <w:tcW w:w="4910" w:type="dxa"/>
            <w:hideMark/>
          </w:tcPr>
          <w:p w14:paraId="2A5A318C" w14:textId="77777777" w:rsidR="005C3C90" w:rsidRPr="00594DCD" w:rsidRDefault="005C3C90" w:rsidP="00594DCD">
            <w:pPr>
              <w:spacing w:after="160"/>
              <w:jc w:val="both"/>
              <w:rPr>
                <w:rFonts w:ascii="Arial" w:hAnsi="Arial" w:cs="Arial"/>
                <w:b/>
                <w:bCs/>
                <w:sz w:val="20"/>
                <w:szCs w:val="20"/>
              </w:rPr>
            </w:pPr>
            <w:r w:rsidRPr="00594DCD">
              <w:rPr>
                <w:rFonts w:ascii="Arial" w:hAnsi="Arial" w:cs="Arial"/>
                <w:b/>
                <w:bCs/>
                <w:sz w:val="20"/>
                <w:szCs w:val="20"/>
              </w:rPr>
              <w:t>Threats</w:t>
            </w:r>
          </w:p>
        </w:tc>
      </w:tr>
      <w:tr w:rsidR="005C3C90" w:rsidRPr="00594DCD" w14:paraId="16D1BE7A" w14:textId="77777777" w:rsidTr="005C3C90">
        <w:tc>
          <w:tcPr>
            <w:tcW w:w="4106" w:type="dxa"/>
            <w:hideMark/>
          </w:tcPr>
          <w:p w14:paraId="5F605ECC" w14:textId="03ECB170"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Rapid growth of the Indian EV market, </w:t>
            </w:r>
          </w:p>
        </w:tc>
        <w:tc>
          <w:tcPr>
            <w:tcW w:w="4910" w:type="dxa"/>
            <w:hideMark/>
          </w:tcPr>
          <w:p w14:paraId="0F219805" w14:textId="346F2915"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Strong competition from domestic manufacturers </w:t>
            </w:r>
          </w:p>
        </w:tc>
      </w:tr>
      <w:tr w:rsidR="005C3C90" w:rsidRPr="00594DCD" w14:paraId="15395FFA" w14:textId="77777777" w:rsidTr="005C3C90">
        <w:tc>
          <w:tcPr>
            <w:tcW w:w="4106" w:type="dxa"/>
            <w:hideMark/>
          </w:tcPr>
          <w:p w14:paraId="07850CD0" w14:textId="2A5FBBD4"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Underdeveloped premium electric SUV </w:t>
            </w:r>
          </w:p>
        </w:tc>
        <w:tc>
          <w:tcPr>
            <w:tcW w:w="4910" w:type="dxa"/>
            <w:hideMark/>
          </w:tcPr>
          <w:p w14:paraId="16494DC6" w14:textId="7E524006"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Slower adoption of luxury EVs </w:t>
            </w:r>
          </w:p>
        </w:tc>
      </w:tr>
      <w:tr w:rsidR="005C3C90" w:rsidRPr="00594DCD" w14:paraId="1830DA1D" w14:textId="77777777" w:rsidTr="005C3C90">
        <w:tc>
          <w:tcPr>
            <w:tcW w:w="4106" w:type="dxa"/>
            <w:hideMark/>
          </w:tcPr>
          <w:p w14:paraId="5523B264" w14:textId="35B578F3"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Government support for EV adoption </w:t>
            </w:r>
          </w:p>
        </w:tc>
        <w:tc>
          <w:tcPr>
            <w:tcW w:w="4910" w:type="dxa"/>
            <w:hideMark/>
          </w:tcPr>
          <w:p w14:paraId="557F857C" w14:textId="090711BA"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Intense price sensitivity </w:t>
            </w:r>
          </w:p>
        </w:tc>
      </w:tr>
      <w:tr w:rsidR="005C3C90" w:rsidRPr="00594DCD" w14:paraId="3378FA01" w14:textId="77777777" w:rsidTr="005C3C90">
        <w:tc>
          <w:tcPr>
            <w:tcW w:w="4106" w:type="dxa"/>
            <w:hideMark/>
          </w:tcPr>
          <w:p w14:paraId="252C4BE0" w14:textId="77777777"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Saturation and increasing competitive pressure in the US EV market</w:t>
            </w:r>
          </w:p>
        </w:tc>
        <w:tc>
          <w:tcPr>
            <w:tcW w:w="4910" w:type="dxa"/>
            <w:hideMark/>
          </w:tcPr>
          <w:p w14:paraId="2F6792D6" w14:textId="7D35839D"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Infrastructure limitation</w:t>
            </w:r>
          </w:p>
        </w:tc>
      </w:tr>
      <w:tr w:rsidR="005C3C90" w:rsidRPr="00594DCD" w14:paraId="7FCBEB78" w14:textId="77777777" w:rsidTr="005C3C90">
        <w:tc>
          <w:tcPr>
            <w:tcW w:w="4106" w:type="dxa"/>
            <w:hideMark/>
          </w:tcPr>
          <w:p w14:paraId="431BBF2C" w14:textId="79C33553"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Potential to leverage partnerships </w:t>
            </w:r>
          </w:p>
        </w:tc>
        <w:tc>
          <w:tcPr>
            <w:tcW w:w="4910" w:type="dxa"/>
            <w:hideMark/>
          </w:tcPr>
          <w:p w14:paraId="1A81C76A" w14:textId="50E1B04E" w:rsidR="005C3C90" w:rsidRPr="00594DCD" w:rsidRDefault="005C3C90" w:rsidP="00594DCD">
            <w:pPr>
              <w:spacing w:after="160"/>
              <w:jc w:val="both"/>
              <w:rPr>
                <w:rFonts w:ascii="Arial" w:hAnsi="Arial" w:cs="Arial"/>
                <w:sz w:val="20"/>
                <w:szCs w:val="20"/>
              </w:rPr>
            </w:pPr>
            <w:r w:rsidRPr="00594DCD">
              <w:rPr>
                <w:rFonts w:ascii="Arial" w:hAnsi="Arial" w:cs="Arial"/>
                <w:sz w:val="20"/>
                <w:szCs w:val="20"/>
              </w:rPr>
              <w:t xml:space="preserve">Policy uncertainty and changes in EV incentives </w:t>
            </w:r>
          </w:p>
        </w:tc>
      </w:tr>
    </w:tbl>
    <w:p w14:paraId="6FFC23D6" w14:textId="77777777" w:rsidR="001F76C0" w:rsidRPr="008C035E" w:rsidRDefault="001F76C0" w:rsidP="008C035E">
      <w:pPr>
        <w:spacing w:line="360" w:lineRule="auto"/>
        <w:jc w:val="both"/>
        <w:rPr>
          <w:rFonts w:ascii="Arial" w:hAnsi="Arial" w:cs="Arial"/>
          <w:sz w:val="24"/>
          <w:szCs w:val="24"/>
        </w:rPr>
      </w:pPr>
    </w:p>
    <w:p w14:paraId="5894984D" w14:textId="06440505" w:rsidR="001F76C0" w:rsidRPr="008C035E" w:rsidRDefault="001F76C0" w:rsidP="00D831EE">
      <w:pPr>
        <w:pStyle w:val="Heading2"/>
        <w:numPr>
          <w:ilvl w:val="1"/>
          <w:numId w:val="13"/>
        </w:numPr>
      </w:pPr>
      <w:bookmarkStart w:id="16" w:name="_Toc217240571"/>
      <w:r w:rsidRPr="008C035E">
        <w:t>Critical Analysis</w:t>
      </w:r>
      <w:bookmarkEnd w:id="16"/>
      <w:r w:rsidRPr="008C035E">
        <w:t xml:space="preserve"> </w:t>
      </w:r>
    </w:p>
    <w:p w14:paraId="76BFCC94" w14:textId="77777777" w:rsidR="001F76C0" w:rsidRPr="008C035E" w:rsidRDefault="001F76C0" w:rsidP="008C035E">
      <w:pPr>
        <w:spacing w:line="360" w:lineRule="auto"/>
        <w:jc w:val="both"/>
        <w:rPr>
          <w:rFonts w:ascii="Arial" w:hAnsi="Arial" w:cs="Arial"/>
          <w:sz w:val="24"/>
          <w:szCs w:val="24"/>
        </w:rPr>
      </w:pPr>
      <w:r w:rsidRPr="008C035E">
        <w:rPr>
          <w:rFonts w:ascii="Arial" w:hAnsi="Arial" w:cs="Arial"/>
          <w:sz w:val="24"/>
          <w:szCs w:val="24"/>
        </w:rPr>
        <w:t>From this comprehensive analysis, some of the following insights are arrived at.</w:t>
      </w:r>
    </w:p>
    <w:p w14:paraId="416DEC82" w14:textId="4D280F10" w:rsidR="00B879E0" w:rsidRPr="008C035E" w:rsidRDefault="001F76C0" w:rsidP="008C035E">
      <w:pPr>
        <w:spacing w:line="360" w:lineRule="auto"/>
        <w:jc w:val="both"/>
        <w:rPr>
          <w:rFonts w:ascii="Arial" w:hAnsi="Arial" w:cs="Arial"/>
          <w:sz w:val="24"/>
          <w:szCs w:val="24"/>
        </w:rPr>
      </w:pPr>
      <w:r w:rsidRPr="008C035E">
        <w:rPr>
          <w:rFonts w:ascii="Arial" w:hAnsi="Arial" w:cs="Arial"/>
          <w:sz w:val="24"/>
          <w:szCs w:val="24"/>
        </w:rPr>
        <w:t>PESTLE analysis is indicative of a potentially positive environment with structural support, positive demographic trend and sustainability awareness.</w:t>
      </w:r>
      <w:r w:rsidR="005C3C90" w:rsidRPr="008C035E">
        <w:rPr>
          <w:rFonts w:ascii="Arial" w:hAnsi="Arial" w:cs="Arial"/>
          <w:sz w:val="24"/>
          <w:szCs w:val="24"/>
        </w:rPr>
        <w:t xml:space="preserve"> </w:t>
      </w:r>
      <w:r w:rsidRPr="008C035E">
        <w:rPr>
          <w:rFonts w:ascii="Arial" w:hAnsi="Arial" w:cs="Arial"/>
          <w:sz w:val="24"/>
          <w:szCs w:val="24"/>
        </w:rPr>
        <w:t xml:space="preserve">Porter's Five Force analysis shows a competitive </w:t>
      </w:r>
      <w:r w:rsidR="005C3C90" w:rsidRPr="008C035E">
        <w:rPr>
          <w:rFonts w:ascii="Arial" w:hAnsi="Arial" w:cs="Arial"/>
          <w:sz w:val="24"/>
          <w:szCs w:val="24"/>
        </w:rPr>
        <w:t>industry</w:t>
      </w:r>
      <w:r w:rsidRPr="008C035E">
        <w:rPr>
          <w:rFonts w:ascii="Arial" w:hAnsi="Arial" w:cs="Arial"/>
          <w:sz w:val="24"/>
          <w:szCs w:val="24"/>
        </w:rPr>
        <w:t xml:space="preserve"> where there is high rivalry and strong </w:t>
      </w:r>
      <w:r w:rsidR="005C3C90" w:rsidRPr="008C035E">
        <w:rPr>
          <w:rFonts w:ascii="Arial" w:hAnsi="Arial" w:cs="Arial"/>
          <w:sz w:val="24"/>
          <w:szCs w:val="24"/>
        </w:rPr>
        <w:t>buyer</w:t>
      </w:r>
      <w:r w:rsidRPr="008C035E">
        <w:rPr>
          <w:rFonts w:ascii="Arial" w:hAnsi="Arial" w:cs="Arial"/>
          <w:sz w:val="24"/>
          <w:szCs w:val="24"/>
        </w:rPr>
        <w:t xml:space="preserve"> power. There is also strong dependence on supplier which could limit margin potential for an organisation like Rivin. The SWOT analysis highlights some important strengths including SUV focus and </w:t>
      </w:r>
      <w:r w:rsidR="005C3C90" w:rsidRPr="008C035E">
        <w:rPr>
          <w:rFonts w:ascii="Arial" w:hAnsi="Arial" w:cs="Arial"/>
          <w:sz w:val="24"/>
          <w:szCs w:val="24"/>
        </w:rPr>
        <w:t>sustainability</w:t>
      </w:r>
      <w:r w:rsidRPr="008C035E">
        <w:rPr>
          <w:rFonts w:ascii="Arial" w:hAnsi="Arial" w:cs="Arial"/>
          <w:sz w:val="24"/>
          <w:szCs w:val="24"/>
        </w:rPr>
        <w:t xml:space="preserve">. However, there are some constraints in the external environment (threats) and their own weakness which may impact its </w:t>
      </w:r>
      <w:r w:rsidR="005C3C90" w:rsidRPr="008C035E">
        <w:rPr>
          <w:rFonts w:ascii="Arial" w:hAnsi="Arial" w:cs="Arial"/>
          <w:sz w:val="24"/>
          <w:szCs w:val="24"/>
        </w:rPr>
        <w:t>growth,</w:t>
      </w:r>
      <w:r w:rsidRPr="008C035E">
        <w:rPr>
          <w:rFonts w:ascii="Arial" w:hAnsi="Arial" w:cs="Arial"/>
          <w:sz w:val="24"/>
          <w:szCs w:val="24"/>
        </w:rPr>
        <w:t xml:space="preserve"> and the organisation needs to be aware of these challenges. </w:t>
      </w:r>
    </w:p>
    <w:p w14:paraId="5A4D497F" w14:textId="629FF19D" w:rsidR="00B879E0" w:rsidRPr="008C035E" w:rsidRDefault="00D910B7" w:rsidP="00687C25">
      <w:pPr>
        <w:pStyle w:val="Heading1"/>
      </w:pPr>
      <w:bookmarkStart w:id="17" w:name="_Toc217240572"/>
      <w:r w:rsidRPr="008C035E">
        <w:t>Section 3: Strategy Development and Formulation</w:t>
      </w:r>
      <w:bookmarkEnd w:id="17"/>
    </w:p>
    <w:p w14:paraId="4C378F1B" w14:textId="77777777" w:rsidR="00594DCD" w:rsidRPr="00594DCD" w:rsidRDefault="00594DCD" w:rsidP="00D831EE">
      <w:pPr>
        <w:pStyle w:val="ListParagraph"/>
        <w:numPr>
          <w:ilvl w:val="0"/>
          <w:numId w:val="13"/>
        </w:numPr>
        <w:spacing w:line="360" w:lineRule="auto"/>
        <w:jc w:val="both"/>
        <w:outlineLvl w:val="1"/>
        <w:rPr>
          <w:rFonts w:ascii="Arial" w:hAnsi="Arial" w:cs="Arial"/>
          <w:b/>
          <w:vanish/>
          <w:sz w:val="24"/>
          <w:szCs w:val="24"/>
        </w:rPr>
      </w:pPr>
      <w:bookmarkStart w:id="18" w:name="_Toc217070185"/>
      <w:bookmarkStart w:id="19" w:name="_Toc217116809"/>
      <w:bookmarkStart w:id="20" w:name="_Toc217240482"/>
      <w:bookmarkStart w:id="21" w:name="_Toc217240573"/>
      <w:bookmarkEnd w:id="18"/>
      <w:bookmarkEnd w:id="19"/>
      <w:bookmarkEnd w:id="20"/>
      <w:bookmarkEnd w:id="21"/>
    </w:p>
    <w:p w14:paraId="41E5E2C3" w14:textId="1A4B0CD2" w:rsidR="00A9059D" w:rsidRPr="008C035E" w:rsidRDefault="00A9059D" w:rsidP="00D831EE">
      <w:pPr>
        <w:pStyle w:val="Heading2"/>
        <w:numPr>
          <w:ilvl w:val="1"/>
          <w:numId w:val="13"/>
        </w:numPr>
      </w:pPr>
      <w:bookmarkStart w:id="22" w:name="_Toc217240574"/>
      <w:r w:rsidRPr="008C035E">
        <w:t>Strategic Direction and Rationale</w:t>
      </w:r>
      <w:bookmarkEnd w:id="22"/>
      <w:r w:rsidRPr="008C035E">
        <w:t xml:space="preserve"> </w:t>
      </w:r>
    </w:p>
    <w:p w14:paraId="4A2C2FA0" w14:textId="32001861"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Long term strategy for Rivan is to reduce material costs, improve commercial production and focus on increasing production capacity. The organisation operates in </w:t>
      </w:r>
      <w:r w:rsidRPr="008C035E">
        <w:rPr>
          <w:rFonts w:ascii="Arial" w:hAnsi="Arial" w:cs="Arial"/>
          <w:sz w:val="24"/>
          <w:szCs w:val="24"/>
        </w:rPr>
        <w:lastRenderedPageBreak/>
        <w:t>a capital-intensive sector where scale is essential to improving margin of growth (</w:t>
      </w:r>
      <w:r w:rsidR="00CB152E" w:rsidRPr="008C035E">
        <w:rPr>
          <w:rFonts w:ascii="Arial" w:hAnsi="Arial" w:cs="Arial"/>
          <w:color w:val="222222"/>
          <w:sz w:val="24"/>
          <w:szCs w:val="24"/>
          <w:shd w:val="clear" w:color="auto" w:fill="FFFFFF"/>
        </w:rPr>
        <w:t xml:space="preserve">Jaspers </w:t>
      </w:r>
      <w:r w:rsidR="00824B25" w:rsidRPr="008C035E">
        <w:rPr>
          <w:rFonts w:ascii="Arial" w:hAnsi="Arial" w:cs="Arial"/>
          <w:color w:val="222222"/>
          <w:sz w:val="24"/>
          <w:szCs w:val="24"/>
          <w:shd w:val="clear" w:color="auto" w:fill="FFFFFF"/>
        </w:rPr>
        <w:t>and</w:t>
      </w:r>
      <w:r w:rsidR="00CB152E" w:rsidRPr="008C035E">
        <w:rPr>
          <w:rFonts w:ascii="Arial" w:hAnsi="Arial" w:cs="Arial"/>
          <w:color w:val="222222"/>
          <w:sz w:val="24"/>
          <w:szCs w:val="24"/>
          <w:shd w:val="clear" w:color="auto" w:fill="FFFFFF"/>
        </w:rPr>
        <w:t xml:space="preserve"> </w:t>
      </w:r>
      <w:proofErr w:type="spellStart"/>
      <w:r w:rsidR="00CB152E" w:rsidRPr="008C035E">
        <w:rPr>
          <w:rFonts w:ascii="Arial" w:hAnsi="Arial" w:cs="Arial"/>
          <w:color w:val="222222"/>
          <w:sz w:val="24"/>
          <w:szCs w:val="24"/>
          <w:shd w:val="clear" w:color="auto" w:fill="FFFFFF"/>
        </w:rPr>
        <w:t>Proff</w:t>
      </w:r>
      <w:proofErr w:type="spellEnd"/>
      <w:r w:rsidR="00CB152E" w:rsidRPr="008C035E">
        <w:rPr>
          <w:rFonts w:ascii="Arial" w:hAnsi="Arial" w:cs="Arial"/>
          <w:color w:val="222222"/>
          <w:sz w:val="24"/>
          <w:szCs w:val="24"/>
          <w:shd w:val="clear" w:color="auto" w:fill="FFFFFF"/>
        </w:rPr>
        <w:t>, 2025</w:t>
      </w:r>
      <w:r w:rsidRPr="008C035E">
        <w:rPr>
          <w:rFonts w:ascii="Arial" w:hAnsi="Arial" w:cs="Arial"/>
          <w:sz w:val="24"/>
          <w:szCs w:val="24"/>
        </w:rPr>
        <w:t>). A core long-term objective should be to improve production volume by also focusing on alternatives like geographical reac</w:t>
      </w:r>
      <w:r w:rsidR="00392355" w:rsidRPr="008C035E">
        <w:rPr>
          <w:rFonts w:ascii="Arial" w:hAnsi="Arial" w:cs="Arial"/>
          <w:sz w:val="24"/>
          <w:szCs w:val="24"/>
        </w:rPr>
        <w:t>h.</w:t>
      </w:r>
      <w:r w:rsidRPr="008C035E">
        <w:rPr>
          <w:rFonts w:ascii="Arial" w:hAnsi="Arial" w:cs="Arial"/>
          <w:sz w:val="24"/>
          <w:szCs w:val="24"/>
        </w:rPr>
        <w:t xml:space="preserve"> The intensification of competitive positioning in the Global EV market is indicative of a need to differentiate itself as a global brand. One way to do this is to look at emerging markets which can improve earl</w:t>
      </w:r>
      <w:r w:rsidR="00392355" w:rsidRPr="008C035E">
        <w:rPr>
          <w:rFonts w:ascii="Arial" w:hAnsi="Arial" w:cs="Arial"/>
          <w:sz w:val="24"/>
          <w:szCs w:val="24"/>
        </w:rPr>
        <w:t>y</w:t>
      </w:r>
      <w:r w:rsidRPr="008C035E">
        <w:rPr>
          <w:rFonts w:ascii="Arial" w:hAnsi="Arial" w:cs="Arial"/>
          <w:sz w:val="24"/>
          <w:szCs w:val="24"/>
        </w:rPr>
        <w:t>-mover advantage targeting premium EV (</w:t>
      </w:r>
      <w:r w:rsidR="00824B25" w:rsidRPr="008C035E">
        <w:rPr>
          <w:rFonts w:ascii="Arial" w:hAnsi="Arial" w:cs="Arial"/>
          <w:color w:val="222222"/>
          <w:sz w:val="24"/>
          <w:szCs w:val="24"/>
          <w:shd w:val="clear" w:color="auto" w:fill="FFFFFF"/>
        </w:rPr>
        <w:t>Cho et al., 2025</w:t>
      </w:r>
      <w:r w:rsidRPr="008C035E">
        <w:rPr>
          <w:rFonts w:ascii="Arial" w:hAnsi="Arial" w:cs="Arial"/>
          <w:sz w:val="24"/>
          <w:szCs w:val="24"/>
        </w:rPr>
        <w:t xml:space="preserve">). According to </w:t>
      </w:r>
      <w:r w:rsidR="00824B25" w:rsidRPr="008C035E">
        <w:rPr>
          <w:rStyle w:val="cf01"/>
          <w:rFonts w:ascii="Arial" w:hAnsi="Arial" w:cs="Arial"/>
          <w:sz w:val="24"/>
          <w:szCs w:val="24"/>
        </w:rPr>
        <w:t xml:space="preserve">Mammen et al. </w:t>
      </w:r>
      <w:r w:rsidRPr="008C035E">
        <w:rPr>
          <w:rFonts w:ascii="Arial" w:hAnsi="Arial" w:cs="Arial"/>
          <w:sz w:val="24"/>
          <w:szCs w:val="24"/>
        </w:rPr>
        <w:t>(</w:t>
      </w:r>
      <w:r w:rsidR="00824B25" w:rsidRPr="008C035E">
        <w:rPr>
          <w:rFonts w:ascii="Arial" w:hAnsi="Arial" w:cs="Arial"/>
          <w:sz w:val="24"/>
          <w:szCs w:val="24"/>
        </w:rPr>
        <w:t>2021</w:t>
      </w:r>
      <w:r w:rsidRPr="008C035E">
        <w:rPr>
          <w:rFonts w:ascii="Arial" w:hAnsi="Arial" w:cs="Arial"/>
          <w:sz w:val="24"/>
          <w:szCs w:val="24"/>
        </w:rPr>
        <w:t xml:space="preserve">), it is important to evaluate both product and geographic diversification together. Global trends in the EV industry show that growth is expected to come from newer more developing markets. Therefore, diversification to these segments would be useful for Rivian. Also, as </w:t>
      </w:r>
      <w:r w:rsidR="00A0670C" w:rsidRPr="008C035E">
        <w:rPr>
          <w:rStyle w:val="cf01"/>
          <w:rFonts w:ascii="Arial" w:hAnsi="Arial" w:cs="Arial"/>
          <w:sz w:val="24"/>
          <w:szCs w:val="24"/>
        </w:rPr>
        <w:t xml:space="preserve">Castellano et al. </w:t>
      </w:r>
      <w:r w:rsidRPr="008C035E">
        <w:rPr>
          <w:rFonts w:ascii="Arial" w:hAnsi="Arial" w:cs="Arial"/>
          <w:sz w:val="24"/>
          <w:szCs w:val="24"/>
        </w:rPr>
        <w:t>(</w:t>
      </w:r>
      <w:r w:rsidR="00A0670C" w:rsidRPr="008C035E">
        <w:rPr>
          <w:rFonts w:ascii="Arial" w:hAnsi="Arial" w:cs="Arial"/>
          <w:sz w:val="24"/>
          <w:szCs w:val="24"/>
        </w:rPr>
        <w:t>2015</w:t>
      </w:r>
      <w:r w:rsidRPr="008C035E">
        <w:rPr>
          <w:rFonts w:ascii="Arial" w:hAnsi="Arial" w:cs="Arial"/>
          <w:sz w:val="24"/>
          <w:szCs w:val="24"/>
        </w:rPr>
        <w:t xml:space="preserve">) contend a challenge that the EV supply chain faces </w:t>
      </w:r>
      <w:proofErr w:type="gramStart"/>
      <w:r w:rsidRPr="008C035E">
        <w:rPr>
          <w:rFonts w:ascii="Arial" w:hAnsi="Arial" w:cs="Arial"/>
          <w:sz w:val="24"/>
          <w:szCs w:val="24"/>
        </w:rPr>
        <w:t>is</w:t>
      </w:r>
      <w:proofErr w:type="gramEnd"/>
      <w:r w:rsidRPr="008C035E">
        <w:rPr>
          <w:rFonts w:ascii="Arial" w:hAnsi="Arial" w:cs="Arial"/>
          <w:sz w:val="24"/>
          <w:szCs w:val="24"/>
        </w:rPr>
        <w:t xml:space="preserve"> its access to critical components. By diversification of both suppliers and production sites it could help protect against disruptions and potential challenges of trade-wars. </w:t>
      </w:r>
    </w:p>
    <w:p w14:paraId="5CA153E2" w14:textId="1821BD2A"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argues that Rivian wants to achieve growth and become a leader in EV by enhancing production capacity. But this expansion can only help meet the needs of the US market until there is saturation. One way to address this is to take steps to identify external market. Unlike other firms like Tesla, which has gone the route of looking at markets in Europe and Australia (</w:t>
      </w:r>
      <w:r w:rsidR="00886C35" w:rsidRPr="008C035E">
        <w:rPr>
          <w:rFonts w:ascii="Arial" w:hAnsi="Arial" w:cs="Arial"/>
          <w:color w:val="222222"/>
          <w:sz w:val="24"/>
          <w:szCs w:val="24"/>
          <w:shd w:val="clear" w:color="auto" w:fill="FFFFFF"/>
        </w:rPr>
        <w:t>Liu, 2021; Mortimore et al., 2024</w:t>
      </w:r>
      <w:r w:rsidRPr="008C035E">
        <w:rPr>
          <w:rFonts w:ascii="Arial" w:hAnsi="Arial" w:cs="Arial"/>
          <w:sz w:val="24"/>
          <w:szCs w:val="24"/>
        </w:rPr>
        <w:t xml:space="preserve">), Rivian can consider an opportunity to gain experience in an emerging market like India. </w:t>
      </w:r>
    </w:p>
    <w:p w14:paraId="341BE2B0" w14:textId="77777777" w:rsidR="00A9059D" w:rsidRPr="008C035E" w:rsidRDefault="00A9059D" w:rsidP="008C035E">
      <w:pPr>
        <w:spacing w:line="360" w:lineRule="auto"/>
        <w:jc w:val="both"/>
        <w:rPr>
          <w:rFonts w:ascii="Arial" w:hAnsi="Arial" w:cs="Arial"/>
          <w:sz w:val="24"/>
          <w:szCs w:val="24"/>
        </w:rPr>
      </w:pPr>
    </w:p>
    <w:p w14:paraId="2CD44EC2" w14:textId="77777777" w:rsidR="00A9059D" w:rsidRPr="008C035E" w:rsidRDefault="00A9059D" w:rsidP="00D831EE">
      <w:pPr>
        <w:pStyle w:val="Heading2"/>
        <w:numPr>
          <w:ilvl w:val="1"/>
          <w:numId w:val="13"/>
        </w:numPr>
      </w:pPr>
      <w:bookmarkStart w:id="23" w:name="_Toc217240575"/>
      <w:r w:rsidRPr="008C035E">
        <w:t>Strategic Growth Model</w:t>
      </w:r>
      <w:bookmarkEnd w:id="23"/>
    </w:p>
    <w:p w14:paraId="6FA96770" w14:textId="646E69F0"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focuses on the Ansoff Matrix to identify the most ideal way to grow. A strategic planning tool that connects a company's marketing strategy to its overall strategic orientation is the Ansoff Matrix, as stated by</w:t>
      </w:r>
      <w:r w:rsidR="00C5283F" w:rsidRPr="00C5283F">
        <w:rPr>
          <w:rFonts w:ascii="Arial" w:hAnsi="Arial" w:cs="Arial"/>
          <w:color w:val="222222"/>
          <w:sz w:val="20"/>
          <w:szCs w:val="20"/>
          <w:shd w:val="clear" w:color="auto" w:fill="FFFFFF"/>
        </w:rPr>
        <w:t xml:space="preserve"> </w:t>
      </w:r>
      <w:r w:rsidR="00C5283F">
        <w:rPr>
          <w:rFonts w:ascii="Arial" w:hAnsi="Arial" w:cs="Arial"/>
          <w:color w:val="222222"/>
          <w:sz w:val="20"/>
          <w:szCs w:val="20"/>
          <w:shd w:val="clear" w:color="auto" w:fill="FFFFFF"/>
        </w:rPr>
        <w:t xml:space="preserve">Pereira Ferraz Soares Ferreira and </w:t>
      </w:r>
      <w:proofErr w:type="gramStart"/>
      <w:r w:rsidR="00C5283F">
        <w:rPr>
          <w:rFonts w:ascii="Arial" w:hAnsi="Arial" w:cs="Arial"/>
          <w:color w:val="222222"/>
          <w:sz w:val="20"/>
          <w:szCs w:val="20"/>
          <w:shd w:val="clear" w:color="auto" w:fill="FFFFFF"/>
        </w:rPr>
        <w:t>Marques  (</w:t>
      </w:r>
      <w:proofErr w:type="gramEnd"/>
      <w:r w:rsidR="00C5283F">
        <w:rPr>
          <w:rFonts w:ascii="Arial" w:hAnsi="Arial" w:cs="Arial"/>
          <w:color w:val="222222"/>
          <w:sz w:val="20"/>
          <w:szCs w:val="20"/>
          <w:shd w:val="clear" w:color="auto" w:fill="FFFFFF"/>
        </w:rPr>
        <w:t>2024</w:t>
      </w:r>
      <w:r w:rsidRPr="008C035E">
        <w:rPr>
          <w:rFonts w:ascii="Arial" w:hAnsi="Arial" w:cs="Arial"/>
          <w:sz w:val="24"/>
          <w:szCs w:val="24"/>
        </w:rPr>
        <w:t>). If you want to know how to expand and enhance your business by applying one or more product-market strategies, this matrix will show you the best way to do so. A company's attempt to boost sales without straying from its initial product-market plan is known as market penetration. Increasing sales volume to current customers or discovering new clients for current items are two ways the corporation aims to increase its performance</w:t>
      </w:r>
      <w:r w:rsidR="00886C35" w:rsidRPr="008C035E">
        <w:rPr>
          <w:rFonts w:ascii="Arial" w:hAnsi="Arial" w:cs="Arial"/>
          <w:sz w:val="24"/>
          <w:szCs w:val="24"/>
        </w:rPr>
        <w:t xml:space="preserve"> (</w:t>
      </w:r>
      <w:r w:rsidR="00886C35" w:rsidRPr="008C035E">
        <w:rPr>
          <w:rFonts w:ascii="Arial" w:hAnsi="Arial" w:cs="Arial"/>
          <w:color w:val="222222"/>
          <w:sz w:val="24"/>
          <w:szCs w:val="24"/>
          <w:shd w:val="clear" w:color="auto" w:fill="FFFFFF"/>
        </w:rPr>
        <w:t>Loredana, 2016)</w:t>
      </w:r>
      <w:r w:rsidRPr="008C035E">
        <w:rPr>
          <w:rFonts w:ascii="Arial" w:hAnsi="Arial" w:cs="Arial"/>
          <w:sz w:val="24"/>
          <w:szCs w:val="24"/>
        </w:rPr>
        <w:t xml:space="preserve">. As part of their Market Development strategy, businesses try to expand their current product line into new markets. </w:t>
      </w:r>
      <w:r w:rsidR="00533D2E" w:rsidRPr="008C035E">
        <w:rPr>
          <w:rFonts w:ascii="Arial" w:hAnsi="Arial" w:cs="Arial"/>
          <w:sz w:val="24"/>
          <w:szCs w:val="24"/>
        </w:rPr>
        <w:t xml:space="preserve"> </w:t>
      </w:r>
      <w:r w:rsidRPr="008C035E">
        <w:rPr>
          <w:rFonts w:ascii="Arial" w:hAnsi="Arial" w:cs="Arial"/>
          <w:sz w:val="24"/>
          <w:szCs w:val="24"/>
        </w:rPr>
        <w:t xml:space="preserve">Consequently, </w:t>
      </w:r>
      <w:proofErr w:type="gramStart"/>
      <w:r w:rsidRPr="008C035E">
        <w:rPr>
          <w:rFonts w:ascii="Arial" w:hAnsi="Arial" w:cs="Arial"/>
          <w:sz w:val="24"/>
          <w:szCs w:val="24"/>
        </w:rPr>
        <w:t>in order to</w:t>
      </w:r>
      <w:proofErr w:type="gramEnd"/>
      <w:r w:rsidRPr="008C035E">
        <w:rPr>
          <w:rFonts w:ascii="Arial" w:hAnsi="Arial" w:cs="Arial"/>
          <w:sz w:val="24"/>
          <w:szCs w:val="24"/>
        </w:rPr>
        <w:t xml:space="preserve"> appeal to a wider range of customers, the company </w:t>
      </w:r>
      <w:r w:rsidRPr="008C035E">
        <w:rPr>
          <w:rFonts w:ascii="Arial" w:hAnsi="Arial" w:cs="Arial"/>
          <w:sz w:val="24"/>
          <w:szCs w:val="24"/>
        </w:rPr>
        <w:lastRenderedPageBreak/>
        <w:t>will have to modify some aspects of its current offerings. Product development, on the other hand, focusses on retaining the current market while creating added items with unique features that boost the company's efficiency</w:t>
      </w:r>
      <w:r w:rsidR="00886C35" w:rsidRPr="008C035E">
        <w:rPr>
          <w:rFonts w:ascii="Arial" w:hAnsi="Arial" w:cs="Arial"/>
          <w:sz w:val="24"/>
          <w:szCs w:val="24"/>
        </w:rPr>
        <w:t xml:space="preserve"> (</w:t>
      </w:r>
      <w:r w:rsidR="00886C35" w:rsidRPr="008C035E">
        <w:rPr>
          <w:rFonts w:ascii="Arial" w:hAnsi="Arial" w:cs="Arial"/>
          <w:color w:val="222222"/>
          <w:sz w:val="24"/>
          <w:szCs w:val="24"/>
          <w:shd w:val="clear" w:color="auto" w:fill="FFFFFF"/>
        </w:rPr>
        <w:t>Zugay and Zakaria, 2023)</w:t>
      </w:r>
      <w:r w:rsidRPr="008C035E">
        <w:rPr>
          <w:rFonts w:ascii="Arial" w:hAnsi="Arial" w:cs="Arial"/>
          <w:sz w:val="24"/>
          <w:szCs w:val="24"/>
        </w:rPr>
        <w:t xml:space="preserve">. Lastly, </w:t>
      </w:r>
      <w:proofErr w:type="gramStart"/>
      <w:r w:rsidRPr="008C035E">
        <w:rPr>
          <w:rFonts w:ascii="Arial" w:hAnsi="Arial" w:cs="Arial"/>
          <w:sz w:val="24"/>
          <w:szCs w:val="24"/>
        </w:rPr>
        <w:t>in order to</w:t>
      </w:r>
      <w:proofErr w:type="gramEnd"/>
      <w:r w:rsidRPr="008C035E">
        <w:rPr>
          <w:rFonts w:ascii="Arial" w:hAnsi="Arial" w:cs="Arial"/>
          <w:sz w:val="24"/>
          <w:szCs w:val="24"/>
        </w:rPr>
        <w:t xml:space="preserve"> diversify, it is necessary to simultaneously abandon the current product line and market structure.</w:t>
      </w:r>
    </w:p>
    <w:p w14:paraId="0291B8E6" w14:textId="7592CD22" w:rsidR="009A376C"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In this report, the choice of a market development strategy is preferred. Rivian should enter a new market, India. This is because they can use their existing EV and SUV product portfolio. According to </w:t>
      </w:r>
      <w:r w:rsidR="00A02FD7" w:rsidRPr="008C035E">
        <w:rPr>
          <w:rStyle w:val="cf01"/>
          <w:rFonts w:ascii="Arial" w:hAnsi="Arial" w:cs="Arial"/>
          <w:sz w:val="24"/>
          <w:szCs w:val="24"/>
        </w:rPr>
        <w:t>Rivian (2024a</w:t>
      </w:r>
      <w:r w:rsidRPr="008C035E">
        <w:rPr>
          <w:rFonts w:ascii="Arial" w:hAnsi="Arial" w:cs="Arial"/>
          <w:sz w:val="24"/>
          <w:szCs w:val="24"/>
        </w:rPr>
        <w:t xml:space="preserve">), Rivian has made an important investment in building its software and innovation infrastructure with significant investment. Given that this is a strength for the organisation, the focus of the organisation should be on this. This further reduces the product-related uncertainty for the organisation given its ongoing cost </w:t>
      </w:r>
      <w:proofErr w:type="gramStart"/>
      <w:r w:rsidRPr="008C035E">
        <w:rPr>
          <w:rFonts w:ascii="Arial" w:hAnsi="Arial" w:cs="Arial"/>
          <w:sz w:val="24"/>
          <w:szCs w:val="24"/>
        </w:rPr>
        <w:t>challenges .</w:t>
      </w:r>
      <w:proofErr w:type="gramEnd"/>
      <w:r w:rsidRPr="008C035E">
        <w:rPr>
          <w:rFonts w:ascii="Arial" w:hAnsi="Arial" w:cs="Arial"/>
          <w:sz w:val="24"/>
          <w:szCs w:val="24"/>
        </w:rPr>
        <w:t xml:space="preserve"> Market penetration for Rivian challenging as it is may be difficult for the organisation to reach more segments. Given that it is already in the US where there is approach to market saturation (</w:t>
      </w:r>
      <w:r w:rsidR="0090500F" w:rsidRPr="008C035E">
        <w:rPr>
          <w:rFonts w:ascii="Arial" w:hAnsi="Arial" w:cs="Arial"/>
          <w:sz w:val="24"/>
          <w:szCs w:val="24"/>
        </w:rPr>
        <w:t>Isenstadt and Pennington, 2025</w:t>
      </w:r>
      <w:r w:rsidRPr="008C035E">
        <w:rPr>
          <w:rFonts w:ascii="Arial" w:hAnsi="Arial" w:cs="Arial"/>
          <w:sz w:val="24"/>
          <w:szCs w:val="24"/>
        </w:rPr>
        <w:t>), there can be limitations of future growth for the firm. Product development also requires significant R&amp;D investment which may not be possible as a strategy. While Rivian continues to invest in innovative growth, the firm should first look at stabilisations. The organisation is very new and should not look at diversification as they are not having operational maturity.</w:t>
      </w:r>
    </w:p>
    <w:p w14:paraId="60DDF3BF" w14:textId="6444653C" w:rsidR="00FE45FE" w:rsidRPr="00252B36" w:rsidRDefault="00252B36" w:rsidP="00252B36">
      <w:pPr>
        <w:pStyle w:val="Caption"/>
        <w:rPr>
          <w:rFonts w:ascii="Arial" w:hAnsi="Arial" w:cs="Arial"/>
          <w:b/>
          <w:bCs/>
          <w:i w:val="0"/>
          <w:iCs w:val="0"/>
          <w:sz w:val="24"/>
          <w:szCs w:val="24"/>
        </w:rPr>
      </w:pPr>
      <w:bookmarkStart w:id="24" w:name="_Toc217240591"/>
      <w:r w:rsidRPr="00252B36">
        <w:rPr>
          <w:rFonts w:ascii="Arial" w:hAnsi="Arial" w:cs="Arial"/>
          <w:b/>
          <w:bCs/>
          <w:i w:val="0"/>
          <w:iCs w:val="0"/>
          <w:sz w:val="24"/>
          <w:szCs w:val="24"/>
        </w:rPr>
        <w:t xml:space="preserve">Figure </w:t>
      </w:r>
      <w:r w:rsidRPr="00252B36">
        <w:rPr>
          <w:rFonts w:ascii="Arial" w:hAnsi="Arial" w:cs="Arial"/>
          <w:b/>
          <w:bCs/>
          <w:i w:val="0"/>
          <w:iCs w:val="0"/>
          <w:sz w:val="24"/>
          <w:szCs w:val="24"/>
        </w:rPr>
        <w:fldChar w:fldCharType="begin"/>
      </w:r>
      <w:r w:rsidRPr="00252B36">
        <w:rPr>
          <w:rFonts w:ascii="Arial" w:hAnsi="Arial" w:cs="Arial"/>
          <w:b/>
          <w:bCs/>
          <w:i w:val="0"/>
          <w:iCs w:val="0"/>
          <w:sz w:val="24"/>
          <w:szCs w:val="24"/>
        </w:rPr>
        <w:instrText xml:space="preserve"> SEQ Figure \* ARABIC </w:instrText>
      </w:r>
      <w:r w:rsidRPr="00252B36">
        <w:rPr>
          <w:rFonts w:ascii="Arial" w:hAnsi="Arial" w:cs="Arial"/>
          <w:b/>
          <w:bCs/>
          <w:i w:val="0"/>
          <w:iCs w:val="0"/>
          <w:sz w:val="24"/>
          <w:szCs w:val="24"/>
        </w:rPr>
        <w:fldChar w:fldCharType="separate"/>
      </w:r>
      <w:r w:rsidRPr="00252B36">
        <w:rPr>
          <w:rFonts w:ascii="Arial" w:hAnsi="Arial" w:cs="Arial"/>
          <w:b/>
          <w:bCs/>
          <w:i w:val="0"/>
          <w:iCs w:val="0"/>
          <w:noProof/>
          <w:sz w:val="24"/>
          <w:szCs w:val="24"/>
        </w:rPr>
        <w:t>1</w:t>
      </w:r>
      <w:r w:rsidRPr="00252B36">
        <w:rPr>
          <w:rFonts w:ascii="Arial" w:hAnsi="Arial" w:cs="Arial"/>
          <w:b/>
          <w:bCs/>
          <w:i w:val="0"/>
          <w:iCs w:val="0"/>
          <w:sz w:val="24"/>
          <w:szCs w:val="24"/>
        </w:rPr>
        <w:fldChar w:fldCharType="end"/>
      </w:r>
      <w:r w:rsidRPr="00252B36">
        <w:rPr>
          <w:rFonts w:ascii="Arial" w:hAnsi="Arial" w:cs="Arial"/>
          <w:b/>
          <w:bCs/>
          <w:i w:val="0"/>
          <w:iCs w:val="0"/>
          <w:sz w:val="24"/>
          <w:szCs w:val="24"/>
        </w:rPr>
        <w:t xml:space="preserve">: </w:t>
      </w:r>
      <w:r w:rsidR="00FE45FE" w:rsidRPr="00252B36">
        <w:rPr>
          <w:rFonts w:ascii="Arial" w:hAnsi="Arial" w:cs="Arial"/>
          <w:b/>
          <w:bCs/>
          <w:i w:val="0"/>
          <w:iCs w:val="0"/>
          <w:sz w:val="24"/>
          <w:szCs w:val="24"/>
        </w:rPr>
        <w:t>Ansoff Matrix</w:t>
      </w:r>
      <w:bookmarkEnd w:id="24"/>
    </w:p>
    <w:p w14:paraId="049A3404" w14:textId="697B7CC7" w:rsidR="00FE45FE" w:rsidRDefault="00FE45FE" w:rsidP="008C035E">
      <w:pPr>
        <w:spacing w:line="360" w:lineRule="auto"/>
        <w:jc w:val="both"/>
        <w:rPr>
          <w:rFonts w:ascii="Arial" w:hAnsi="Arial" w:cs="Arial"/>
          <w:sz w:val="24"/>
          <w:szCs w:val="24"/>
        </w:rPr>
      </w:pPr>
      <w:r w:rsidRPr="00FE45FE">
        <w:rPr>
          <w:rFonts w:ascii="Arial" w:hAnsi="Arial" w:cs="Arial"/>
          <w:noProof/>
          <w:sz w:val="24"/>
          <w:szCs w:val="24"/>
        </w:rPr>
        <w:drawing>
          <wp:inline distT="0" distB="0" distL="0" distR="0" wp14:anchorId="416EDBA6" wp14:editId="49ED3841">
            <wp:extent cx="4916102" cy="2771775"/>
            <wp:effectExtent l="0" t="0" r="0" b="0"/>
            <wp:docPr id="15845741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574186" name=""/>
                    <pic:cNvPicPr/>
                  </pic:nvPicPr>
                  <pic:blipFill>
                    <a:blip r:embed="rId10"/>
                    <a:stretch>
                      <a:fillRect/>
                    </a:stretch>
                  </pic:blipFill>
                  <pic:spPr>
                    <a:xfrm>
                      <a:off x="0" y="0"/>
                      <a:ext cx="4919343" cy="2773603"/>
                    </a:xfrm>
                    <a:prstGeom prst="rect">
                      <a:avLst/>
                    </a:prstGeom>
                  </pic:spPr>
                </pic:pic>
              </a:graphicData>
            </a:graphic>
          </wp:inline>
        </w:drawing>
      </w:r>
    </w:p>
    <w:p w14:paraId="416A516B" w14:textId="77777777" w:rsidR="00FE45FE" w:rsidRPr="008C035E" w:rsidRDefault="00FE45FE" w:rsidP="008C035E">
      <w:pPr>
        <w:spacing w:line="360" w:lineRule="auto"/>
        <w:jc w:val="both"/>
        <w:rPr>
          <w:rFonts w:ascii="Arial" w:hAnsi="Arial" w:cs="Arial"/>
          <w:sz w:val="24"/>
          <w:szCs w:val="24"/>
        </w:rPr>
      </w:pPr>
    </w:p>
    <w:p w14:paraId="0221F0F1" w14:textId="77777777" w:rsidR="00A9059D" w:rsidRPr="008C035E" w:rsidRDefault="00A9059D" w:rsidP="00D831EE">
      <w:pPr>
        <w:pStyle w:val="Heading2"/>
        <w:numPr>
          <w:ilvl w:val="1"/>
          <w:numId w:val="13"/>
        </w:numPr>
      </w:pPr>
      <w:bookmarkStart w:id="25" w:name="_Toc217240576"/>
      <w:r w:rsidRPr="008C035E">
        <w:lastRenderedPageBreak/>
        <w:t>Market Entry and Strategy Mode</w:t>
      </w:r>
      <w:bookmarkEnd w:id="25"/>
    </w:p>
    <w:p w14:paraId="6B24EC32" w14:textId="0790423A"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 xml:space="preserve">Polyak and </w:t>
      </w:r>
      <w:proofErr w:type="spellStart"/>
      <w:r w:rsidRPr="008C035E">
        <w:rPr>
          <w:rFonts w:ascii="Arial" w:hAnsi="Arial" w:cs="Arial"/>
          <w:sz w:val="24"/>
          <w:szCs w:val="24"/>
        </w:rPr>
        <w:t>Voitovich</w:t>
      </w:r>
      <w:proofErr w:type="spellEnd"/>
      <w:r w:rsidRPr="008C035E">
        <w:rPr>
          <w:rFonts w:ascii="Arial" w:hAnsi="Arial" w:cs="Arial"/>
          <w:sz w:val="24"/>
          <w:szCs w:val="24"/>
        </w:rPr>
        <w:t xml:space="preserve"> (2020) distinguish between "active internationalisation" and "passive internationalisation," two approaches to global marketing. Exporting is the most fashionable way for businesses to reach customers in other countries, and there are many good reasons for this (Grin, 2015). This strategy calls for little adjustments to the company's product line, takes little expenditure, and offers minimal risk while entering the market and quick exit if needed. Joint entrepreneurial activity, which includes four primary forms, is another tactic for breaking into international markets (</w:t>
      </w:r>
      <w:proofErr w:type="spellStart"/>
      <w:r w:rsidRPr="008C035E">
        <w:rPr>
          <w:rFonts w:ascii="Arial" w:hAnsi="Arial" w:cs="Arial"/>
          <w:sz w:val="24"/>
          <w:szCs w:val="24"/>
        </w:rPr>
        <w:t>Polyuga</w:t>
      </w:r>
      <w:proofErr w:type="spellEnd"/>
      <w:r w:rsidRPr="008C035E">
        <w:rPr>
          <w:rFonts w:ascii="Arial" w:hAnsi="Arial" w:cs="Arial"/>
          <w:sz w:val="24"/>
          <w:szCs w:val="24"/>
        </w:rPr>
        <w:t>, 2018). By allowing businesses to pool their resources and work together, this strategy paves the way for a more cooperative entry into global markets. The joint business operations can be licensing, contract manufacturing, contract management, or jointly owned enterprise</w:t>
      </w:r>
      <w:r w:rsidR="009A376C" w:rsidRPr="008C035E">
        <w:rPr>
          <w:rFonts w:ascii="Arial" w:hAnsi="Arial" w:cs="Arial"/>
          <w:sz w:val="24"/>
          <w:szCs w:val="24"/>
        </w:rPr>
        <w:t xml:space="preserve">. </w:t>
      </w:r>
      <w:r w:rsidRPr="008C035E">
        <w:rPr>
          <w:rFonts w:ascii="Arial" w:hAnsi="Arial" w:cs="Arial"/>
          <w:sz w:val="24"/>
          <w:szCs w:val="24"/>
        </w:rPr>
        <w:t xml:space="preserve"> Since medium-sized firms often do not have the capital to invest directly, exposing themselves to more risk, exports and joint ventures provide an excellent alternative. Companies with a lot of capital can use any of the </w:t>
      </w:r>
      <w:proofErr w:type="gramStart"/>
      <w:r w:rsidRPr="008C035E">
        <w:rPr>
          <w:rFonts w:ascii="Arial" w:hAnsi="Arial" w:cs="Arial"/>
          <w:sz w:val="24"/>
          <w:szCs w:val="24"/>
        </w:rPr>
        <w:t>aforementioned methods</w:t>
      </w:r>
      <w:proofErr w:type="gramEnd"/>
      <w:r w:rsidRPr="008C035E">
        <w:rPr>
          <w:rFonts w:ascii="Arial" w:hAnsi="Arial" w:cs="Arial"/>
          <w:sz w:val="24"/>
          <w:szCs w:val="24"/>
        </w:rPr>
        <w:t xml:space="preserve"> to break into international markets, but direct investment is the way to go if a specific market is </w:t>
      </w:r>
      <w:proofErr w:type="gramStart"/>
      <w:r w:rsidRPr="008C035E">
        <w:rPr>
          <w:rFonts w:ascii="Arial" w:hAnsi="Arial" w:cs="Arial"/>
          <w:sz w:val="24"/>
          <w:szCs w:val="24"/>
        </w:rPr>
        <w:t>really important</w:t>
      </w:r>
      <w:proofErr w:type="gramEnd"/>
      <w:r w:rsidRPr="008C035E">
        <w:rPr>
          <w:rFonts w:ascii="Arial" w:hAnsi="Arial" w:cs="Arial"/>
          <w:sz w:val="24"/>
          <w:szCs w:val="24"/>
        </w:rPr>
        <w:t xml:space="preserve"> to them</w:t>
      </w:r>
      <w:r w:rsidR="00A87100" w:rsidRPr="008C035E">
        <w:rPr>
          <w:rFonts w:ascii="Arial" w:hAnsi="Arial" w:cs="Arial"/>
          <w:sz w:val="24"/>
          <w:szCs w:val="24"/>
        </w:rPr>
        <w:t xml:space="preserve"> (</w:t>
      </w:r>
      <w:proofErr w:type="spellStart"/>
      <w:r w:rsidR="00A87100" w:rsidRPr="008C035E">
        <w:rPr>
          <w:rFonts w:ascii="Arial" w:hAnsi="Arial" w:cs="Arial"/>
          <w:color w:val="222222"/>
          <w:sz w:val="24"/>
          <w:szCs w:val="24"/>
          <w:shd w:val="clear" w:color="auto" w:fill="FFFFFF"/>
        </w:rPr>
        <w:t>Kostruba</w:t>
      </w:r>
      <w:proofErr w:type="spellEnd"/>
      <w:r w:rsidR="00A87100" w:rsidRPr="008C035E">
        <w:rPr>
          <w:rFonts w:ascii="Arial" w:hAnsi="Arial" w:cs="Arial"/>
          <w:color w:val="222222"/>
          <w:sz w:val="24"/>
          <w:szCs w:val="24"/>
          <w:shd w:val="clear" w:color="auto" w:fill="FFFFFF"/>
        </w:rPr>
        <w:t xml:space="preserve"> and </w:t>
      </w:r>
      <w:proofErr w:type="spellStart"/>
      <w:r w:rsidR="00A87100" w:rsidRPr="008C035E">
        <w:rPr>
          <w:rFonts w:ascii="Arial" w:hAnsi="Arial" w:cs="Arial"/>
          <w:color w:val="222222"/>
          <w:sz w:val="24"/>
          <w:szCs w:val="24"/>
          <w:shd w:val="clear" w:color="auto" w:fill="FFFFFF"/>
        </w:rPr>
        <w:t>Kostruba</w:t>
      </w:r>
      <w:proofErr w:type="spellEnd"/>
      <w:r w:rsidR="00A87100" w:rsidRPr="008C035E">
        <w:rPr>
          <w:rFonts w:ascii="Arial" w:hAnsi="Arial" w:cs="Arial"/>
          <w:color w:val="222222"/>
          <w:sz w:val="24"/>
          <w:szCs w:val="24"/>
          <w:shd w:val="clear" w:color="auto" w:fill="FFFFFF"/>
        </w:rPr>
        <w:t>, 2025)</w:t>
      </w:r>
      <w:r w:rsidRPr="008C035E">
        <w:rPr>
          <w:rFonts w:ascii="Arial" w:hAnsi="Arial" w:cs="Arial"/>
          <w:sz w:val="24"/>
          <w:szCs w:val="24"/>
        </w:rPr>
        <w:t>.</w:t>
      </w:r>
    </w:p>
    <w:p w14:paraId="720EF889" w14:textId="21C88F1E"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recommends the choice of joint ventures in India. This could present the firm an opportunity to balance between overall risks of entering a new market and identifying ways to create local integration.</w:t>
      </w:r>
      <w:r w:rsidR="009A376C" w:rsidRPr="008C035E">
        <w:rPr>
          <w:rFonts w:ascii="Arial" w:hAnsi="Arial" w:cs="Arial"/>
          <w:sz w:val="24"/>
          <w:szCs w:val="24"/>
        </w:rPr>
        <w:t xml:space="preserve"> </w:t>
      </w:r>
      <w:r w:rsidRPr="008C035E">
        <w:rPr>
          <w:rFonts w:ascii="Arial" w:hAnsi="Arial" w:cs="Arial"/>
          <w:sz w:val="24"/>
          <w:szCs w:val="24"/>
        </w:rPr>
        <w:t xml:space="preserve">The preference of a joint venture is considered ideal as it allows access to local market knowledge. According to </w:t>
      </w:r>
      <w:r w:rsidR="00A87100" w:rsidRPr="008C035E">
        <w:rPr>
          <w:rStyle w:val="cf01"/>
          <w:rFonts w:ascii="Arial" w:hAnsi="Arial" w:cs="Arial"/>
          <w:sz w:val="24"/>
          <w:szCs w:val="24"/>
        </w:rPr>
        <w:t xml:space="preserve">Madic et al. </w:t>
      </w:r>
      <w:r w:rsidRPr="008C035E">
        <w:rPr>
          <w:rFonts w:ascii="Arial" w:hAnsi="Arial" w:cs="Arial"/>
          <w:sz w:val="24"/>
          <w:szCs w:val="24"/>
        </w:rPr>
        <w:t>(</w:t>
      </w:r>
      <w:r w:rsidR="00A87100" w:rsidRPr="008C035E">
        <w:rPr>
          <w:rFonts w:ascii="Arial" w:hAnsi="Arial" w:cs="Arial"/>
          <w:sz w:val="24"/>
          <w:szCs w:val="24"/>
        </w:rPr>
        <w:t>2021</w:t>
      </w:r>
      <w:r w:rsidRPr="008C035E">
        <w:rPr>
          <w:rFonts w:ascii="Arial" w:hAnsi="Arial" w:cs="Arial"/>
          <w:sz w:val="24"/>
          <w:szCs w:val="24"/>
        </w:rPr>
        <w:t xml:space="preserve">), large automotive firms should look at JV strategies as it would help in reducing costs of set-up and to get access to distribution networks. Secondly, given the labour-intensive nature, it would also require identifying the right talent. This report suggests that given the Indian government's push for local investment and domestic operations, a potential joint venture with an established incumbent in India could help in reducing the costs of entry into the Indian market. </w:t>
      </w:r>
    </w:p>
    <w:p w14:paraId="2FE40AE3" w14:textId="5409443A"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t>This report suggests that the use of exporting should be avoiding as three are both prohibitive costs of coordination and significant custom duties and import taxes in India (</w:t>
      </w:r>
      <w:r w:rsidR="00A87100" w:rsidRPr="008C035E">
        <w:rPr>
          <w:rFonts w:ascii="Arial" w:hAnsi="Arial" w:cs="Arial"/>
          <w:color w:val="222222"/>
          <w:sz w:val="24"/>
          <w:szCs w:val="24"/>
          <w:shd w:val="clear" w:color="auto" w:fill="FFFFFF"/>
        </w:rPr>
        <w:t>Chakraborty et al., 2020</w:t>
      </w:r>
      <w:r w:rsidRPr="008C035E">
        <w:rPr>
          <w:rFonts w:ascii="Arial" w:hAnsi="Arial" w:cs="Arial"/>
          <w:sz w:val="24"/>
          <w:szCs w:val="24"/>
        </w:rPr>
        <w:t>). Secondly, while licensing can reduce potential costs it could lead to risks of misuse of intellectual property and loss of brand control.</w:t>
      </w:r>
    </w:p>
    <w:p w14:paraId="5A826375" w14:textId="77777777" w:rsidR="00A9059D" w:rsidRPr="008C035E" w:rsidRDefault="00A9059D" w:rsidP="00D831EE">
      <w:pPr>
        <w:pStyle w:val="Heading2"/>
        <w:numPr>
          <w:ilvl w:val="1"/>
          <w:numId w:val="13"/>
        </w:numPr>
      </w:pPr>
      <w:bookmarkStart w:id="26" w:name="_Toc217240577"/>
      <w:r w:rsidRPr="008C035E">
        <w:t>Competitive Positioning</w:t>
      </w:r>
      <w:bookmarkEnd w:id="26"/>
    </w:p>
    <w:p w14:paraId="2751A036" w14:textId="01B756D4" w:rsidR="00A9059D" w:rsidRPr="008C035E" w:rsidRDefault="00E711BB" w:rsidP="008C035E">
      <w:pPr>
        <w:spacing w:line="360" w:lineRule="auto"/>
        <w:jc w:val="both"/>
        <w:rPr>
          <w:rFonts w:ascii="Arial" w:hAnsi="Arial" w:cs="Arial"/>
          <w:sz w:val="24"/>
          <w:szCs w:val="24"/>
        </w:rPr>
      </w:pPr>
      <w:r w:rsidRPr="008C035E">
        <w:rPr>
          <w:rFonts w:ascii="Arial" w:hAnsi="Arial" w:cs="Arial"/>
          <w:sz w:val="24"/>
          <w:szCs w:val="24"/>
        </w:rPr>
        <w:lastRenderedPageBreak/>
        <w:t xml:space="preserve">Porter (1980) created Porter's Generic Strategies in the 1980s to help businesses figure out how to compete. Cost leadership, distinctiveness, and focus are the three primary sorts of these techniques. Producing goods or services at the lowest feasible cost </w:t>
      </w:r>
      <w:proofErr w:type="gramStart"/>
      <w:r w:rsidRPr="008C035E">
        <w:rPr>
          <w:rFonts w:ascii="Arial" w:hAnsi="Arial" w:cs="Arial"/>
          <w:sz w:val="24"/>
          <w:szCs w:val="24"/>
        </w:rPr>
        <w:t>in order to</w:t>
      </w:r>
      <w:proofErr w:type="gramEnd"/>
      <w:r w:rsidRPr="008C035E">
        <w:rPr>
          <w:rFonts w:ascii="Arial" w:hAnsi="Arial" w:cs="Arial"/>
          <w:sz w:val="24"/>
          <w:szCs w:val="24"/>
        </w:rPr>
        <w:t xml:space="preserve"> attract a broad consumer base is the focus of the cost leadership approach</w:t>
      </w:r>
      <w:r w:rsidR="00A87100" w:rsidRPr="008C035E">
        <w:rPr>
          <w:rFonts w:ascii="Arial" w:hAnsi="Arial" w:cs="Arial"/>
          <w:sz w:val="24"/>
          <w:szCs w:val="24"/>
        </w:rPr>
        <w:t xml:space="preserve"> (</w:t>
      </w:r>
      <w:r w:rsidR="00A87100" w:rsidRPr="008C035E">
        <w:rPr>
          <w:rFonts w:ascii="Arial" w:hAnsi="Arial" w:cs="Arial"/>
          <w:color w:val="222222"/>
          <w:sz w:val="24"/>
          <w:szCs w:val="24"/>
          <w:shd w:val="clear" w:color="auto" w:fill="FFFFFF"/>
        </w:rPr>
        <w:t>Akan et al., 2006)</w:t>
      </w:r>
      <w:r w:rsidRPr="008C035E">
        <w:rPr>
          <w:rFonts w:ascii="Arial" w:hAnsi="Arial" w:cs="Arial"/>
          <w:sz w:val="24"/>
          <w:szCs w:val="24"/>
        </w:rPr>
        <w:t>. A product or service can be differentiated from the competition by focussing on what makes it stand out from the crowd. In contrast, the focus strategy seeks out niche markets where companies can meet the unique demands of a subset of their customers. The "Middle of the Road" strategy, in which organisations aim to excel in all sectors simultaneously, is argued against by Porter's model, which suggests that firms should focus on one strategy to keep a noticeable identity and competitive advantage</w:t>
      </w:r>
      <w:r w:rsidR="00F6442E" w:rsidRPr="008C035E">
        <w:rPr>
          <w:rFonts w:ascii="Arial" w:hAnsi="Arial" w:cs="Arial"/>
          <w:sz w:val="24"/>
          <w:szCs w:val="24"/>
        </w:rPr>
        <w:t xml:space="preserve"> (</w:t>
      </w:r>
      <w:r w:rsidR="00F6442E" w:rsidRPr="008C035E">
        <w:rPr>
          <w:rFonts w:ascii="Arial" w:hAnsi="Arial" w:cs="Arial"/>
          <w:color w:val="222222"/>
          <w:sz w:val="24"/>
          <w:szCs w:val="24"/>
          <w:shd w:val="clear" w:color="auto" w:fill="FFFFFF"/>
        </w:rPr>
        <w:t>Tanwar, 2013)</w:t>
      </w:r>
      <w:r w:rsidRPr="008C035E">
        <w:rPr>
          <w:rFonts w:ascii="Arial" w:hAnsi="Arial" w:cs="Arial"/>
          <w:sz w:val="24"/>
          <w:szCs w:val="24"/>
        </w:rPr>
        <w:t>.</w:t>
      </w:r>
      <w:r w:rsidR="00512A58" w:rsidRPr="008C035E">
        <w:rPr>
          <w:rFonts w:ascii="Arial" w:hAnsi="Arial" w:cs="Arial"/>
          <w:sz w:val="24"/>
          <w:szCs w:val="24"/>
        </w:rPr>
        <w:t xml:space="preserve"> </w:t>
      </w:r>
      <w:r w:rsidR="00A9059D" w:rsidRPr="008C035E">
        <w:rPr>
          <w:rFonts w:ascii="Arial" w:hAnsi="Arial" w:cs="Arial"/>
          <w:sz w:val="24"/>
          <w:szCs w:val="24"/>
        </w:rPr>
        <w:t xml:space="preserve">For Rivian, the goal should be to look at a focused differentiation strategy. Rivian already has a clear product structure which supports this approach. They </w:t>
      </w:r>
      <w:proofErr w:type="gramStart"/>
      <w:r w:rsidR="00A9059D" w:rsidRPr="008C035E">
        <w:rPr>
          <w:rFonts w:ascii="Arial" w:hAnsi="Arial" w:cs="Arial"/>
          <w:sz w:val="24"/>
          <w:szCs w:val="24"/>
        </w:rPr>
        <w:t>are able to</w:t>
      </w:r>
      <w:proofErr w:type="gramEnd"/>
      <w:r w:rsidR="00A9059D" w:rsidRPr="008C035E">
        <w:rPr>
          <w:rFonts w:ascii="Arial" w:hAnsi="Arial" w:cs="Arial"/>
          <w:sz w:val="24"/>
          <w:szCs w:val="24"/>
        </w:rPr>
        <w:t xml:space="preserve"> target a specific segment (i.e., EV consumers who look for a premium vehicle like an SUV). They can target urban SUV buyers who are found to give importance to sustainability and brand identity. This strategy allows the brand to avoid direct competition with domestic manufacturers. Additionally, they have advanced software capabilities which supports a value-based pricing approach. </w:t>
      </w:r>
    </w:p>
    <w:p w14:paraId="71FACC46" w14:textId="0F9DDDDD" w:rsidR="00A9059D" w:rsidRPr="0059122A" w:rsidRDefault="00C5283F" w:rsidP="00C5283F">
      <w:pPr>
        <w:pStyle w:val="Caption"/>
        <w:rPr>
          <w:rFonts w:ascii="Arial" w:hAnsi="Arial" w:cs="Arial"/>
          <w:b/>
          <w:bCs/>
          <w:i w:val="0"/>
          <w:iCs w:val="0"/>
          <w:color w:val="auto"/>
          <w:sz w:val="24"/>
          <w:szCs w:val="24"/>
        </w:rPr>
      </w:pPr>
      <w:bookmarkStart w:id="27" w:name="_Toc217240589"/>
      <w:r w:rsidRPr="0059122A">
        <w:rPr>
          <w:rFonts w:ascii="Arial" w:hAnsi="Arial" w:cs="Arial"/>
          <w:b/>
          <w:bCs/>
          <w:i w:val="0"/>
          <w:iCs w:val="0"/>
          <w:color w:val="auto"/>
          <w:sz w:val="24"/>
          <w:szCs w:val="24"/>
        </w:rPr>
        <w:t xml:space="preserve">Table </w:t>
      </w:r>
      <w:r w:rsidRPr="0059122A">
        <w:rPr>
          <w:rFonts w:ascii="Arial" w:hAnsi="Arial" w:cs="Arial"/>
          <w:b/>
          <w:bCs/>
          <w:i w:val="0"/>
          <w:iCs w:val="0"/>
          <w:color w:val="auto"/>
          <w:sz w:val="24"/>
          <w:szCs w:val="24"/>
        </w:rPr>
        <w:fldChar w:fldCharType="begin"/>
      </w:r>
      <w:r w:rsidRPr="0059122A">
        <w:rPr>
          <w:rFonts w:ascii="Arial" w:hAnsi="Arial" w:cs="Arial"/>
          <w:b/>
          <w:bCs/>
          <w:i w:val="0"/>
          <w:iCs w:val="0"/>
          <w:color w:val="auto"/>
          <w:sz w:val="24"/>
          <w:szCs w:val="24"/>
        </w:rPr>
        <w:instrText xml:space="preserve"> SEQ Table \* ARABIC </w:instrText>
      </w:r>
      <w:r w:rsidRPr="0059122A">
        <w:rPr>
          <w:rFonts w:ascii="Arial" w:hAnsi="Arial" w:cs="Arial"/>
          <w:b/>
          <w:bCs/>
          <w:i w:val="0"/>
          <w:iCs w:val="0"/>
          <w:color w:val="auto"/>
          <w:sz w:val="24"/>
          <w:szCs w:val="24"/>
        </w:rPr>
        <w:fldChar w:fldCharType="separate"/>
      </w:r>
      <w:r w:rsidR="00C566AC">
        <w:rPr>
          <w:rFonts w:ascii="Arial" w:hAnsi="Arial" w:cs="Arial"/>
          <w:b/>
          <w:bCs/>
          <w:i w:val="0"/>
          <w:iCs w:val="0"/>
          <w:noProof/>
          <w:color w:val="auto"/>
          <w:sz w:val="24"/>
          <w:szCs w:val="24"/>
        </w:rPr>
        <w:t>4</w:t>
      </w:r>
      <w:r w:rsidRPr="0059122A">
        <w:rPr>
          <w:rFonts w:ascii="Arial" w:hAnsi="Arial" w:cs="Arial"/>
          <w:b/>
          <w:bCs/>
          <w:i w:val="0"/>
          <w:iCs w:val="0"/>
          <w:color w:val="auto"/>
          <w:sz w:val="24"/>
          <w:szCs w:val="24"/>
        </w:rPr>
        <w:fldChar w:fldCharType="end"/>
      </w:r>
      <w:r w:rsidRPr="0059122A">
        <w:rPr>
          <w:rFonts w:ascii="Arial" w:hAnsi="Arial" w:cs="Arial"/>
          <w:b/>
          <w:bCs/>
          <w:i w:val="0"/>
          <w:iCs w:val="0"/>
          <w:color w:val="auto"/>
          <w:sz w:val="24"/>
          <w:szCs w:val="24"/>
        </w:rPr>
        <w:t xml:space="preserve">: </w:t>
      </w:r>
      <w:r w:rsidR="00A9059D" w:rsidRPr="0059122A">
        <w:rPr>
          <w:rFonts w:ascii="Arial" w:hAnsi="Arial" w:cs="Arial"/>
          <w:b/>
          <w:bCs/>
          <w:i w:val="0"/>
          <w:iCs w:val="0"/>
          <w:color w:val="auto"/>
          <w:sz w:val="24"/>
          <w:szCs w:val="24"/>
        </w:rPr>
        <w:t>VRIO Analysis</w:t>
      </w:r>
      <w:bookmarkEnd w:id="27"/>
    </w:p>
    <w:tbl>
      <w:tblPr>
        <w:tblStyle w:val="TableGrid"/>
        <w:tblW w:w="0" w:type="auto"/>
        <w:tblLook w:val="04A0" w:firstRow="1" w:lastRow="0" w:firstColumn="1" w:lastColumn="0" w:noHBand="0" w:noVBand="1"/>
      </w:tblPr>
      <w:tblGrid>
        <w:gridCol w:w="2361"/>
        <w:gridCol w:w="1150"/>
        <w:gridCol w:w="1206"/>
        <w:gridCol w:w="1249"/>
        <w:gridCol w:w="1439"/>
        <w:gridCol w:w="1611"/>
      </w:tblGrid>
      <w:tr w:rsidR="00512A58" w:rsidRPr="00C5283F" w14:paraId="47592866" w14:textId="77777777" w:rsidTr="00512A58">
        <w:tc>
          <w:tcPr>
            <w:tcW w:w="0" w:type="auto"/>
            <w:hideMark/>
          </w:tcPr>
          <w:p w14:paraId="30F17E0F" w14:textId="77777777" w:rsidR="00512A58" w:rsidRPr="00251EC0" w:rsidRDefault="00512A58" w:rsidP="00C5283F">
            <w:pPr>
              <w:spacing w:after="160"/>
              <w:jc w:val="both"/>
              <w:rPr>
                <w:rFonts w:ascii="Arial" w:hAnsi="Arial" w:cs="Arial"/>
                <w:b/>
                <w:bCs/>
                <w:sz w:val="20"/>
                <w:szCs w:val="20"/>
              </w:rPr>
            </w:pPr>
            <w:r w:rsidRPr="00251EC0">
              <w:rPr>
                <w:rFonts w:ascii="Arial" w:hAnsi="Arial" w:cs="Arial"/>
                <w:b/>
                <w:bCs/>
                <w:sz w:val="20"/>
                <w:szCs w:val="20"/>
              </w:rPr>
              <w:t>Resource / Capability</w:t>
            </w:r>
          </w:p>
        </w:tc>
        <w:tc>
          <w:tcPr>
            <w:tcW w:w="0" w:type="auto"/>
            <w:hideMark/>
          </w:tcPr>
          <w:p w14:paraId="3B7DC5D0" w14:textId="77777777" w:rsidR="00512A58" w:rsidRPr="00251EC0" w:rsidRDefault="00512A58" w:rsidP="00C5283F">
            <w:pPr>
              <w:spacing w:after="160"/>
              <w:jc w:val="both"/>
              <w:rPr>
                <w:rFonts w:ascii="Arial" w:hAnsi="Arial" w:cs="Arial"/>
                <w:b/>
                <w:bCs/>
                <w:sz w:val="20"/>
                <w:szCs w:val="20"/>
              </w:rPr>
            </w:pPr>
            <w:r w:rsidRPr="00251EC0">
              <w:rPr>
                <w:rFonts w:ascii="Arial" w:hAnsi="Arial" w:cs="Arial"/>
                <w:b/>
                <w:bCs/>
                <w:sz w:val="20"/>
                <w:szCs w:val="20"/>
              </w:rPr>
              <w:t>Valuable?</w:t>
            </w:r>
          </w:p>
        </w:tc>
        <w:tc>
          <w:tcPr>
            <w:tcW w:w="0" w:type="auto"/>
            <w:hideMark/>
          </w:tcPr>
          <w:p w14:paraId="631A9786" w14:textId="77777777" w:rsidR="00512A58" w:rsidRPr="00251EC0" w:rsidRDefault="00512A58" w:rsidP="00C5283F">
            <w:pPr>
              <w:spacing w:after="160"/>
              <w:jc w:val="both"/>
              <w:rPr>
                <w:rFonts w:ascii="Arial" w:hAnsi="Arial" w:cs="Arial"/>
                <w:b/>
                <w:bCs/>
                <w:sz w:val="20"/>
                <w:szCs w:val="20"/>
              </w:rPr>
            </w:pPr>
            <w:r w:rsidRPr="00251EC0">
              <w:rPr>
                <w:rFonts w:ascii="Arial" w:hAnsi="Arial" w:cs="Arial"/>
                <w:b/>
                <w:bCs/>
                <w:sz w:val="20"/>
                <w:szCs w:val="20"/>
              </w:rPr>
              <w:t>Rare?</w:t>
            </w:r>
          </w:p>
        </w:tc>
        <w:tc>
          <w:tcPr>
            <w:tcW w:w="0" w:type="auto"/>
            <w:hideMark/>
          </w:tcPr>
          <w:p w14:paraId="0E33DD27" w14:textId="77777777" w:rsidR="00512A58" w:rsidRPr="00251EC0" w:rsidRDefault="00512A58" w:rsidP="00C5283F">
            <w:pPr>
              <w:spacing w:after="160"/>
              <w:jc w:val="both"/>
              <w:rPr>
                <w:rFonts w:ascii="Arial" w:hAnsi="Arial" w:cs="Arial"/>
                <w:b/>
                <w:bCs/>
                <w:sz w:val="20"/>
                <w:szCs w:val="20"/>
              </w:rPr>
            </w:pPr>
            <w:r w:rsidRPr="00251EC0">
              <w:rPr>
                <w:rFonts w:ascii="Arial" w:hAnsi="Arial" w:cs="Arial"/>
                <w:b/>
                <w:bCs/>
                <w:sz w:val="20"/>
                <w:szCs w:val="20"/>
              </w:rPr>
              <w:t>Costly to Imitate?</w:t>
            </w:r>
          </w:p>
        </w:tc>
        <w:tc>
          <w:tcPr>
            <w:tcW w:w="0" w:type="auto"/>
            <w:hideMark/>
          </w:tcPr>
          <w:p w14:paraId="76B7E31A" w14:textId="77777777" w:rsidR="00512A58" w:rsidRPr="00251EC0" w:rsidRDefault="00512A58" w:rsidP="00C5283F">
            <w:pPr>
              <w:spacing w:after="160"/>
              <w:jc w:val="both"/>
              <w:rPr>
                <w:rFonts w:ascii="Arial" w:hAnsi="Arial" w:cs="Arial"/>
                <w:b/>
                <w:bCs/>
                <w:sz w:val="20"/>
                <w:szCs w:val="20"/>
              </w:rPr>
            </w:pPr>
            <w:r w:rsidRPr="00251EC0">
              <w:rPr>
                <w:rFonts w:ascii="Arial" w:hAnsi="Arial" w:cs="Arial"/>
                <w:b/>
                <w:bCs/>
                <w:sz w:val="20"/>
                <w:szCs w:val="20"/>
              </w:rPr>
              <w:t>Organized to Exploit?</w:t>
            </w:r>
          </w:p>
        </w:tc>
        <w:tc>
          <w:tcPr>
            <w:tcW w:w="0" w:type="auto"/>
            <w:hideMark/>
          </w:tcPr>
          <w:p w14:paraId="079056A8" w14:textId="77777777" w:rsidR="00512A58" w:rsidRPr="00251EC0" w:rsidRDefault="00512A58" w:rsidP="00C5283F">
            <w:pPr>
              <w:spacing w:after="160"/>
              <w:jc w:val="both"/>
              <w:rPr>
                <w:rFonts w:ascii="Arial" w:hAnsi="Arial" w:cs="Arial"/>
                <w:b/>
                <w:bCs/>
                <w:sz w:val="20"/>
                <w:szCs w:val="20"/>
              </w:rPr>
            </w:pPr>
            <w:r w:rsidRPr="00251EC0">
              <w:rPr>
                <w:rFonts w:ascii="Arial" w:hAnsi="Arial" w:cs="Arial"/>
                <w:b/>
                <w:bCs/>
                <w:sz w:val="20"/>
                <w:szCs w:val="20"/>
              </w:rPr>
              <w:t>Competitive Implication</w:t>
            </w:r>
          </w:p>
        </w:tc>
      </w:tr>
      <w:tr w:rsidR="00512A58" w:rsidRPr="00C5283F" w14:paraId="7BBEF5FE" w14:textId="77777777" w:rsidTr="00512A58">
        <w:tc>
          <w:tcPr>
            <w:tcW w:w="0" w:type="auto"/>
            <w:hideMark/>
          </w:tcPr>
          <w:p w14:paraId="426FA1D4" w14:textId="2F3BAEEA" w:rsidR="00512A58" w:rsidRPr="00C5283F" w:rsidRDefault="004E3D6A" w:rsidP="00C5283F">
            <w:pPr>
              <w:spacing w:after="160"/>
              <w:jc w:val="both"/>
              <w:rPr>
                <w:rFonts w:ascii="Arial" w:hAnsi="Arial" w:cs="Arial"/>
                <w:sz w:val="20"/>
                <w:szCs w:val="20"/>
              </w:rPr>
            </w:pPr>
            <w:r>
              <w:rPr>
                <w:rFonts w:ascii="Arial" w:hAnsi="Arial" w:cs="Arial"/>
                <w:sz w:val="20"/>
                <w:szCs w:val="20"/>
              </w:rPr>
              <w:t>Vehicle design and R&amp;D</w:t>
            </w:r>
          </w:p>
        </w:tc>
        <w:tc>
          <w:tcPr>
            <w:tcW w:w="0" w:type="auto"/>
            <w:hideMark/>
          </w:tcPr>
          <w:p w14:paraId="4FA0148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4B3FBEE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78B9189"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705B2B0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48DB754" w14:textId="64C234E9" w:rsidR="00512A58" w:rsidRPr="00C5283F" w:rsidRDefault="0049006A" w:rsidP="00C5283F">
            <w:pPr>
              <w:spacing w:after="160"/>
              <w:jc w:val="both"/>
              <w:rPr>
                <w:rFonts w:ascii="Arial" w:hAnsi="Arial" w:cs="Arial"/>
                <w:sz w:val="20"/>
                <w:szCs w:val="20"/>
              </w:rPr>
            </w:pPr>
            <w:r>
              <w:rPr>
                <w:rFonts w:ascii="Arial" w:hAnsi="Arial" w:cs="Arial"/>
                <w:sz w:val="20"/>
                <w:szCs w:val="20"/>
              </w:rPr>
              <w:t>Temporary</w:t>
            </w:r>
          </w:p>
        </w:tc>
      </w:tr>
      <w:tr w:rsidR="00512A58" w:rsidRPr="00C5283F" w14:paraId="002DE8E8" w14:textId="77777777" w:rsidTr="00512A58">
        <w:tc>
          <w:tcPr>
            <w:tcW w:w="0" w:type="auto"/>
            <w:hideMark/>
          </w:tcPr>
          <w:p w14:paraId="67F00170" w14:textId="066CB384" w:rsidR="00512A58" w:rsidRPr="00C5283F" w:rsidRDefault="004E3D6A" w:rsidP="00C5283F">
            <w:pPr>
              <w:spacing w:after="160"/>
              <w:jc w:val="both"/>
              <w:rPr>
                <w:rFonts w:ascii="Arial" w:hAnsi="Arial" w:cs="Arial"/>
                <w:sz w:val="20"/>
                <w:szCs w:val="20"/>
              </w:rPr>
            </w:pPr>
            <w:r>
              <w:rPr>
                <w:rFonts w:ascii="Arial" w:hAnsi="Arial" w:cs="Arial"/>
                <w:sz w:val="20"/>
                <w:szCs w:val="20"/>
              </w:rPr>
              <w:t>Stakeholder</w:t>
            </w:r>
            <w:r w:rsidR="00512A58" w:rsidRPr="00C5283F">
              <w:rPr>
                <w:rFonts w:ascii="Arial" w:hAnsi="Arial" w:cs="Arial"/>
                <w:sz w:val="20"/>
                <w:szCs w:val="20"/>
              </w:rPr>
              <w:t xml:space="preserve"> EV Platform </w:t>
            </w:r>
          </w:p>
        </w:tc>
        <w:tc>
          <w:tcPr>
            <w:tcW w:w="0" w:type="auto"/>
            <w:hideMark/>
          </w:tcPr>
          <w:p w14:paraId="7D7422BD"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B65B2E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Moderately</w:t>
            </w:r>
          </w:p>
        </w:tc>
        <w:tc>
          <w:tcPr>
            <w:tcW w:w="0" w:type="auto"/>
            <w:hideMark/>
          </w:tcPr>
          <w:p w14:paraId="378E417C"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772F09C"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3F858436" w14:textId="3867EEFA" w:rsidR="00512A58" w:rsidRPr="00C5283F" w:rsidRDefault="0049006A" w:rsidP="00C5283F">
            <w:pPr>
              <w:spacing w:after="160"/>
              <w:jc w:val="both"/>
              <w:rPr>
                <w:rFonts w:ascii="Arial" w:hAnsi="Arial" w:cs="Arial"/>
                <w:sz w:val="20"/>
                <w:szCs w:val="20"/>
              </w:rPr>
            </w:pPr>
            <w:r>
              <w:rPr>
                <w:rFonts w:ascii="Arial" w:hAnsi="Arial" w:cs="Arial"/>
                <w:sz w:val="20"/>
                <w:szCs w:val="20"/>
              </w:rPr>
              <w:t>Temporary</w:t>
            </w:r>
          </w:p>
        </w:tc>
      </w:tr>
      <w:tr w:rsidR="00512A58" w:rsidRPr="00C5283F" w14:paraId="7B168BAE" w14:textId="77777777" w:rsidTr="00512A58">
        <w:tc>
          <w:tcPr>
            <w:tcW w:w="0" w:type="auto"/>
            <w:hideMark/>
          </w:tcPr>
          <w:p w14:paraId="7C4CC539" w14:textId="2B7D0256" w:rsidR="00512A58" w:rsidRPr="00C5283F" w:rsidRDefault="004E3D6A" w:rsidP="00C5283F">
            <w:pPr>
              <w:spacing w:after="160"/>
              <w:jc w:val="both"/>
              <w:rPr>
                <w:rFonts w:ascii="Arial" w:hAnsi="Arial" w:cs="Arial"/>
                <w:sz w:val="20"/>
                <w:szCs w:val="20"/>
              </w:rPr>
            </w:pPr>
            <w:r>
              <w:rPr>
                <w:rFonts w:ascii="Arial" w:hAnsi="Arial" w:cs="Arial"/>
                <w:sz w:val="20"/>
                <w:szCs w:val="20"/>
              </w:rPr>
              <w:t>Brand identity</w:t>
            </w:r>
          </w:p>
        </w:tc>
        <w:tc>
          <w:tcPr>
            <w:tcW w:w="0" w:type="auto"/>
            <w:hideMark/>
          </w:tcPr>
          <w:p w14:paraId="28371DB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57B96AC"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Moderately</w:t>
            </w:r>
          </w:p>
        </w:tc>
        <w:tc>
          <w:tcPr>
            <w:tcW w:w="0" w:type="auto"/>
            <w:hideMark/>
          </w:tcPr>
          <w:p w14:paraId="5150303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0C5728EB"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6C97EEA" w14:textId="6DDD4BCA" w:rsidR="00512A58" w:rsidRPr="00C5283F" w:rsidRDefault="0049006A" w:rsidP="00C5283F">
            <w:pPr>
              <w:spacing w:after="160"/>
              <w:jc w:val="both"/>
              <w:rPr>
                <w:rFonts w:ascii="Arial" w:hAnsi="Arial" w:cs="Arial"/>
                <w:sz w:val="20"/>
                <w:szCs w:val="20"/>
              </w:rPr>
            </w:pPr>
            <w:r>
              <w:rPr>
                <w:rFonts w:ascii="Arial" w:hAnsi="Arial" w:cs="Arial"/>
                <w:sz w:val="20"/>
                <w:szCs w:val="20"/>
              </w:rPr>
              <w:t>Temporary</w:t>
            </w:r>
          </w:p>
        </w:tc>
      </w:tr>
      <w:tr w:rsidR="00512A58" w:rsidRPr="00C5283F" w14:paraId="46BF9A75" w14:textId="77777777" w:rsidTr="00512A58">
        <w:tc>
          <w:tcPr>
            <w:tcW w:w="0" w:type="auto"/>
            <w:hideMark/>
          </w:tcPr>
          <w:p w14:paraId="2AF986A7" w14:textId="198E1EF1" w:rsidR="00512A58" w:rsidRPr="00C5283F" w:rsidRDefault="004E3D6A" w:rsidP="00C5283F">
            <w:pPr>
              <w:spacing w:after="160"/>
              <w:jc w:val="both"/>
              <w:rPr>
                <w:rFonts w:ascii="Arial" w:hAnsi="Arial" w:cs="Arial"/>
                <w:sz w:val="20"/>
                <w:szCs w:val="20"/>
              </w:rPr>
            </w:pPr>
            <w:r>
              <w:rPr>
                <w:rFonts w:ascii="Arial" w:hAnsi="Arial" w:cs="Arial"/>
                <w:sz w:val="20"/>
                <w:szCs w:val="20"/>
              </w:rPr>
              <w:t xml:space="preserve">Partnership with </w:t>
            </w:r>
            <w:r w:rsidR="0049006A">
              <w:rPr>
                <w:rFonts w:ascii="Arial" w:hAnsi="Arial" w:cs="Arial"/>
                <w:sz w:val="20"/>
                <w:szCs w:val="20"/>
              </w:rPr>
              <w:t>Volkswagen</w:t>
            </w:r>
          </w:p>
        </w:tc>
        <w:tc>
          <w:tcPr>
            <w:tcW w:w="0" w:type="auto"/>
            <w:hideMark/>
          </w:tcPr>
          <w:p w14:paraId="41AF72A2"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2CD930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238D8B9F"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83208B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2851692" w14:textId="307FE2C9" w:rsidR="00512A58" w:rsidRPr="00C5283F" w:rsidRDefault="0049006A" w:rsidP="00C5283F">
            <w:pPr>
              <w:spacing w:after="160"/>
              <w:jc w:val="both"/>
              <w:rPr>
                <w:rFonts w:ascii="Arial" w:hAnsi="Arial" w:cs="Arial"/>
                <w:sz w:val="20"/>
                <w:szCs w:val="20"/>
              </w:rPr>
            </w:pPr>
            <w:r>
              <w:rPr>
                <w:rFonts w:ascii="Arial" w:hAnsi="Arial" w:cs="Arial"/>
                <w:sz w:val="20"/>
                <w:szCs w:val="20"/>
              </w:rPr>
              <w:t>Sustained</w:t>
            </w:r>
          </w:p>
        </w:tc>
      </w:tr>
      <w:tr w:rsidR="00512A58" w:rsidRPr="00C5283F" w14:paraId="49A6E28F" w14:textId="77777777" w:rsidTr="00512A58">
        <w:tc>
          <w:tcPr>
            <w:tcW w:w="0" w:type="auto"/>
            <w:hideMark/>
          </w:tcPr>
          <w:p w14:paraId="2C62DF81" w14:textId="10380EEB" w:rsidR="00512A58" w:rsidRPr="00C5283F" w:rsidRDefault="0049006A" w:rsidP="00C5283F">
            <w:pPr>
              <w:spacing w:after="160"/>
              <w:jc w:val="both"/>
              <w:rPr>
                <w:rFonts w:ascii="Arial" w:hAnsi="Arial" w:cs="Arial"/>
                <w:sz w:val="20"/>
                <w:szCs w:val="20"/>
              </w:rPr>
            </w:pPr>
            <w:r>
              <w:rPr>
                <w:rFonts w:ascii="Arial" w:hAnsi="Arial" w:cs="Arial"/>
                <w:sz w:val="20"/>
                <w:szCs w:val="20"/>
              </w:rPr>
              <w:t>Large manufacturing capacities</w:t>
            </w:r>
          </w:p>
        </w:tc>
        <w:tc>
          <w:tcPr>
            <w:tcW w:w="0" w:type="auto"/>
            <w:hideMark/>
          </w:tcPr>
          <w:p w14:paraId="682528C9"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49A877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w:t>
            </w:r>
          </w:p>
        </w:tc>
        <w:tc>
          <w:tcPr>
            <w:tcW w:w="0" w:type="auto"/>
            <w:hideMark/>
          </w:tcPr>
          <w:p w14:paraId="674B3E36"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No</w:t>
            </w:r>
          </w:p>
        </w:tc>
        <w:tc>
          <w:tcPr>
            <w:tcW w:w="0" w:type="auto"/>
            <w:hideMark/>
          </w:tcPr>
          <w:p w14:paraId="4C9E8C2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7972F17B" w14:textId="00008315" w:rsidR="00512A58" w:rsidRPr="00C5283F" w:rsidRDefault="0049006A" w:rsidP="00C5283F">
            <w:pPr>
              <w:spacing w:after="160"/>
              <w:jc w:val="both"/>
              <w:rPr>
                <w:rFonts w:ascii="Arial" w:hAnsi="Arial" w:cs="Arial"/>
                <w:sz w:val="20"/>
                <w:szCs w:val="20"/>
              </w:rPr>
            </w:pPr>
            <w:r>
              <w:rPr>
                <w:rFonts w:ascii="Arial" w:hAnsi="Arial" w:cs="Arial"/>
                <w:sz w:val="20"/>
                <w:szCs w:val="20"/>
              </w:rPr>
              <w:t>Temporary</w:t>
            </w:r>
          </w:p>
        </w:tc>
      </w:tr>
      <w:tr w:rsidR="00512A58" w:rsidRPr="00C5283F" w14:paraId="1940542D" w14:textId="77777777" w:rsidTr="00512A58">
        <w:tc>
          <w:tcPr>
            <w:tcW w:w="0" w:type="auto"/>
            <w:hideMark/>
          </w:tcPr>
          <w:p w14:paraId="224E70ED" w14:textId="03F155B5" w:rsidR="00512A58" w:rsidRPr="00C5283F" w:rsidRDefault="0049006A" w:rsidP="00C5283F">
            <w:pPr>
              <w:spacing w:after="160"/>
              <w:jc w:val="both"/>
              <w:rPr>
                <w:rFonts w:ascii="Arial" w:hAnsi="Arial" w:cs="Arial"/>
                <w:sz w:val="20"/>
                <w:szCs w:val="20"/>
              </w:rPr>
            </w:pPr>
            <w:r>
              <w:rPr>
                <w:rFonts w:ascii="Arial" w:hAnsi="Arial" w:cs="Arial"/>
                <w:sz w:val="20"/>
                <w:szCs w:val="20"/>
              </w:rPr>
              <w:t>Early mover advantage in SUV and others</w:t>
            </w:r>
          </w:p>
        </w:tc>
        <w:tc>
          <w:tcPr>
            <w:tcW w:w="0" w:type="auto"/>
            <w:hideMark/>
          </w:tcPr>
          <w:p w14:paraId="364EF9EF"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0ED70465"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69D03D8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Declining</w:t>
            </w:r>
          </w:p>
        </w:tc>
        <w:tc>
          <w:tcPr>
            <w:tcW w:w="0" w:type="auto"/>
            <w:hideMark/>
          </w:tcPr>
          <w:p w14:paraId="74D45B25"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11B9A01E" w14:textId="478BC6C4" w:rsidR="00512A58" w:rsidRPr="00C5283F" w:rsidRDefault="0049006A" w:rsidP="00C5283F">
            <w:pPr>
              <w:spacing w:after="160"/>
              <w:jc w:val="both"/>
              <w:rPr>
                <w:rFonts w:ascii="Arial" w:hAnsi="Arial" w:cs="Arial"/>
                <w:sz w:val="20"/>
                <w:szCs w:val="20"/>
              </w:rPr>
            </w:pPr>
            <w:r>
              <w:rPr>
                <w:rFonts w:ascii="Arial" w:hAnsi="Arial" w:cs="Arial"/>
                <w:sz w:val="20"/>
                <w:szCs w:val="20"/>
              </w:rPr>
              <w:t>Temporary</w:t>
            </w:r>
          </w:p>
        </w:tc>
      </w:tr>
      <w:tr w:rsidR="00512A58" w:rsidRPr="00C5283F" w14:paraId="5F1AC56F" w14:textId="77777777" w:rsidTr="00512A58">
        <w:tc>
          <w:tcPr>
            <w:tcW w:w="0" w:type="auto"/>
            <w:hideMark/>
          </w:tcPr>
          <w:p w14:paraId="53E9FB71"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Vertical Integration (hardware + software + vehicle design)</w:t>
            </w:r>
          </w:p>
        </w:tc>
        <w:tc>
          <w:tcPr>
            <w:tcW w:w="0" w:type="auto"/>
            <w:hideMark/>
          </w:tcPr>
          <w:p w14:paraId="526007A0"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49115C57"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Moderate</w:t>
            </w:r>
          </w:p>
        </w:tc>
        <w:tc>
          <w:tcPr>
            <w:tcW w:w="0" w:type="auto"/>
            <w:hideMark/>
          </w:tcPr>
          <w:p w14:paraId="3A105FEE"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213CFDA3" w14:textId="77777777" w:rsidR="00512A58" w:rsidRPr="00C5283F" w:rsidRDefault="00512A58" w:rsidP="00C5283F">
            <w:pPr>
              <w:spacing w:after="160"/>
              <w:jc w:val="both"/>
              <w:rPr>
                <w:rFonts w:ascii="Arial" w:hAnsi="Arial" w:cs="Arial"/>
                <w:sz w:val="20"/>
                <w:szCs w:val="20"/>
              </w:rPr>
            </w:pPr>
            <w:r w:rsidRPr="00C5283F">
              <w:rPr>
                <w:rFonts w:ascii="Arial" w:hAnsi="Arial" w:cs="Arial"/>
                <w:sz w:val="20"/>
                <w:szCs w:val="20"/>
              </w:rPr>
              <w:t>Yes</w:t>
            </w:r>
          </w:p>
        </w:tc>
        <w:tc>
          <w:tcPr>
            <w:tcW w:w="0" w:type="auto"/>
            <w:hideMark/>
          </w:tcPr>
          <w:p w14:paraId="3BDB1754" w14:textId="37028EE0" w:rsidR="00512A58" w:rsidRPr="00C5283F" w:rsidRDefault="0049006A" w:rsidP="00C5283F">
            <w:pPr>
              <w:spacing w:after="160"/>
              <w:jc w:val="both"/>
              <w:rPr>
                <w:rFonts w:ascii="Arial" w:hAnsi="Arial" w:cs="Arial"/>
                <w:sz w:val="20"/>
                <w:szCs w:val="20"/>
              </w:rPr>
            </w:pPr>
            <w:r>
              <w:rPr>
                <w:rFonts w:ascii="Arial" w:hAnsi="Arial" w:cs="Arial"/>
                <w:sz w:val="20"/>
                <w:szCs w:val="20"/>
              </w:rPr>
              <w:t>Sustained</w:t>
            </w:r>
          </w:p>
        </w:tc>
      </w:tr>
    </w:tbl>
    <w:p w14:paraId="4207CA42" w14:textId="77777777" w:rsidR="00512A58" w:rsidRPr="008C035E" w:rsidRDefault="00512A58" w:rsidP="008C035E">
      <w:pPr>
        <w:spacing w:line="360" w:lineRule="auto"/>
        <w:jc w:val="both"/>
        <w:rPr>
          <w:rFonts w:ascii="Arial" w:hAnsi="Arial" w:cs="Arial"/>
          <w:sz w:val="24"/>
          <w:szCs w:val="24"/>
        </w:rPr>
      </w:pPr>
    </w:p>
    <w:p w14:paraId="7F002B91" w14:textId="5B9855EB" w:rsidR="00A9059D" w:rsidRPr="008C035E" w:rsidRDefault="00A9059D" w:rsidP="008C035E">
      <w:pPr>
        <w:spacing w:line="360" w:lineRule="auto"/>
        <w:jc w:val="both"/>
        <w:rPr>
          <w:rFonts w:ascii="Arial" w:hAnsi="Arial" w:cs="Arial"/>
          <w:sz w:val="24"/>
          <w:szCs w:val="24"/>
        </w:rPr>
      </w:pPr>
      <w:r w:rsidRPr="008C035E">
        <w:rPr>
          <w:rFonts w:ascii="Arial" w:hAnsi="Arial" w:cs="Arial"/>
          <w:sz w:val="24"/>
          <w:szCs w:val="24"/>
        </w:rPr>
        <w:lastRenderedPageBreak/>
        <w:t xml:space="preserve">VRIO analysis of Rivian shows that the firm has the advantage of the ideal EV platform, strong brand identity, and strategic partnerships. However, apart from its own in-house development </w:t>
      </w:r>
      <w:r w:rsidR="00D07287" w:rsidRPr="008C035E">
        <w:rPr>
          <w:rFonts w:ascii="Arial" w:hAnsi="Arial" w:cs="Arial"/>
          <w:sz w:val="24"/>
          <w:szCs w:val="24"/>
        </w:rPr>
        <w:t xml:space="preserve">and </w:t>
      </w:r>
      <w:r w:rsidR="00D07287">
        <w:rPr>
          <w:rFonts w:ascii="Arial" w:hAnsi="Arial" w:cs="Arial"/>
          <w:sz w:val="24"/>
          <w:szCs w:val="24"/>
        </w:rPr>
        <w:t>software</w:t>
      </w:r>
      <w:r w:rsidRPr="008C035E">
        <w:rPr>
          <w:rFonts w:ascii="Arial" w:hAnsi="Arial" w:cs="Arial"/>
          <w:sz w:val="24"/>
          <w:szCs w:val="24"/>
        </w:rPr>
        <w:t xml:space="preserve"> capabilities, the others do not provide long-term competitive advantage to the firm. When applying to India, there is a need to acknowledge that there is a </w:t>
      </w:r>
      <w:proofErr w:type="gramStart"/>
      <w:r w:rsidRPr="008C035E">
        <w:rPr>
          <w:rFonts w:ascii="Arial" w:hAnsi="Arial" w:cs="Arial"/>
          <w:sz w:val="24"/>
          <w:szCs w:val="24"/>
        </w:rPr>
        <w:t>definitely capability</w:t>
      </w:r>
      <w:proofErr w:type="gramEnd"/>
      <w:r w:rsidRPr="008C035E">
        <w:rPr>
          <w:rFonts w:ascii="Arial" w:hAnsi="Arial" w:cs="Arial"/>
          <w:sz w:val="24"/>
          <w:szCs w:val="24"/>
        </w:rPr>
        <w:t xml:space="preserve"> gap</w:t>
      </w:r>
      <w:r w:rsidR="00251EC0">
        <w:rPr>
          <w:rFonts w:ascii="Arial" w:hAnsi="Arial" w:cs="Arial"/>
          <w:sz w:val="24"/>
          <w:szCs w:val="24"/>
        </w:rPr>
        <w:t xml:space="preserve"> in translating many of these to the local environment</w:t>
      </w:r>
      <w:r w:rsidRPr="008C035E">
        <w:rPr>
          <w:rFonts w:ascii="Arial" w:hAnsi="Arial" w:cs="Arial"/>
          <w:sz w:val="24"/>
          <w:szCs w:val="24"/>
        </w:rPr>
        <w:t>.</w:t>
      </w:r>
      <w:r w:rsidR="00251EC0">
        <w:rPr>
          <w:rFonts w:ascii="Arial" w:hAnsi="Arial" w:cs="Arial"/>
          <w:sz w:val="24"/>
          <w:szCs w:val="24"/>
        </w:rPr>
        <w:t xml:space="preserve"> </w:t>
      </w:r>
      <w:r w:rsidRPr="008C035E">
        <w:rPr>
          <w:rFonts w:ascii="Arial" w:hAnsi="Arial" w:cs="Arial"/>
          <w:sz w:val="24"/>
          <w:szCs w:val="24"/>
        </w:rPr>
        <w:t xml:space="preserve"> They do not have experience in emerging markets and </w:t>
      </w:r>
      <w:proofErr w:type="gramStart"/>
      <w:r w:rsidRPr="008C035E">
        <w:rPr>
          <w:rFonts w:ascii="Arial" w:hAnsi="Arial" w:cs="Arial"/>
          <w:sz w:val="24"/>
          <w:szCs w:val="24"/>
        </w:rPr>
        <w:t>have to</w:t>
      </w:r>
      <w:proofErr w:type="gramEnd"/>
      <w:r w:rsidRPr="008C035E">
        <w:rPr>
          <w:rFonts w:ascii="Arial" w:hAnsi="Arial" w:cs="Arial"/>
          <w:sz w:val="24"/>
          <w:szCs w:val="24"/>
        </w:rPr>
        <w:t xml:space="preserve"> depend on the local partner. This also supports the need for partnerships and phased entry.</w:t>
      </w:r>
    </w:p>
    <w:p w14:paraId="15A921C8" w14:textId="201E0596" w:rsidR="0040361D" w:rsidRDefault="0040361D" w:rsidP="00D831EE">
      <w:pPr>
        <w:pStyle w:val="Heading2"/>
        <w:numPr>
          <w:ilvl w:val="1"/>
          <w:numId w:val="13"/>
        </w:numPr>
      </w:pPr>
      <w:bookmarkStart w:id="28" w:name="_Toc217240578"/>
      <w:r w:rsidRPr="008C035E">
        <w:t>Strategy Implementation</w:t>
      </w:r>
      <w:bookmarkEnd w:id="28"/>
      <w:r w:rsidRPr="008C035E">
        <w:t xml:space="preserve"> </w:t>
      </w:r>
    </w:p>
    <w:p w14:paraId="7898ADB2" w14:textId="636E6C63" w:rsidR="000D68F0" w:rsidRDefault="000D68F0" w:rsidP="000D68F0">
      <w:pPr>
        <w:spacing w:line="360" w:lineRule="auto"/>
        <w:jc w:val="both"/>
        <w:rPr>
          <w:rFonts w:ascii="Arial" w:hAnsi="Arial" w:cs="Arial"/>
          <w:sz w:val="24"/>
          <w:szCs w:val="32"/>
        </w:rPr>
      </w:pPr>
      <w:r w:rsidRPr="000D68F0">
        <w:rPr>
          <w:rFonts w:ascii="Arial" w:hAnsi="Arial" w:cs="Arial"/>
          <w:sz w:val="24"/>
          <w:szCs w:val="32"/>
        </w:rPr>
        <w:t xml:space="preserve">The final section of strategy development focuses on strategy implementation and risk mitigation. </w:t>
      </w:r>
      <w:r w:rsidR="0042039B">
        <w:rPr>
          <w:rFonts w:ascii="Arial" w:hAnsi="Arial" w:cs="Arial"/>
          <w:sz w:val="24"/>
          <w:szCs w:val="32"/>
        </w:rPr>
        <w:t xml:space="preserve">The choice of a joint-venture approach is considered ideal. The firm should identify a local partner who can help bring in phased implementation. In particular, the report recommends that </w:t>
      </w:r>
      <w:r w:rsidR="00E34936">
        <w:rPr>
          <w:rFonts w:ascii="Arial" w:hAnsi="Arial" w:cs="Arial"/>
          <w:sz w:val="24"/>
          <w:szCs w:val="32"/>
        </w:rPr>
        <w:t>a phased approach is recommended.</w:t>
      </w:r>
    </w:p>
    <w:p w14:paraId="3BC2AE16" w14:textId="6CB18140" w:rsidR="00E34936" w:rsidRPr="0042039B" w:rsidRDefault="00E34936" w:rsidP="000D68F0">
      <w:pPr>
        <w:spacing w:line="360" w:lineRule="auto"/>
        <w:jc w:val="both"/>
        <w:rPr>
          <w:rFonts w:ascii="Arial" w:hAnsi="Arial" w:cs="Arial"/>
          <w:b/>
          <w:bCs/>
          <w:sz w:val="24"/>
          <w:szCs w:val="32"/>
        </w:rPr>
      </w:pPr>
      <w:r>
        <w:rPr>
          <w:rFonts w:ascii="Arial" w:hAnsi="Arial" w:cs="Arial"/>
          <w:sz w:val="24"/>
          <w:szCs w:val="32"/>
        </w:rPr>
        <w:t xml:space="preserve">The choice of </w:t>
      </w:r>
      <w:r w:rsidR="003D028E">
        <w:rPr>
          <w:rFonts w:ascii="Arial" w:hAnsi="Arial" w:cs="Arial"/>
          <w:sz w:val="24"/>
          <w:szCs w:val="32"/>
        </w:rPr>
        <w:t>joint venture</w:t>
      </w:r>
      <w:r>
        <w:rPr>
          <w:rFonts w:ascii="Arial" w:hAnsi="Arial" w:cs="Arial"/>
          <w:sz w:val="24"/>
          <w:szCs w:val="32"/>
        </w:rPr>
        <w:t xml:space="preserve"> is intended to provide a staged capital commitment. This involves ensuring that operational involvement and localisation is targeting specific segments withing India. In phase 1, this report recommends that Rivian take a step to enter urban markets through </w:t>
      </w:r>
      <w:r w:rsidR="009C1885">
        <w:rPr>
          <w:rFonts w:ascii="Arial" w:hAnsi="Arial" w:cs="Arial"/>
          <w:sz w:val="24"/>
          <w:szCs w:val="32"/>
        </w:rPr>
        <w:t xml:space="preserve">specific cities (e.g. top tier 1 cities). </w:t>
      </w:r>
      <w:r w:rsidR="00E63557">
        <w:rPr>
          <w:rFonts w:ascii="Arial" w:hAnsi="Arial" w:cs="Arial"/>
          <w:sz w:val="24"/>
          <w:szCs w:val="32"/>
        </w:rPr>
        <w:t xml:space="preserve">These provide an opportunity for the firm to refine value proposition and build brand credibility.  The </w:t>
      </w:r>
      <w:r w:rsidR="00251EC0">
        <w:rPr>
          <w:rFonts w:ascii="Arial" w:hAnsi="Arial" w:cs="Arial"/>
          <w:sz w:val="24"/>
          <w:szCs w:val="32"/>
        </w:rPr>
        <w:t>capital-intensive</w:t>
      </w:r>
      <w:r w:rsidR="00E63557">
        <w:rPr>
          <w:rFonts w:ascii="Arial" w:hAnsi="Arial" w:cs="Arial"/>
          <w:sz w:val="24"/>
          <w:szCs w:val="32"/>
        </w:rPr>
        <w:t xml:space="preserve"> nature of EV manufacturing requires Rivian to look at such a staged investment approach. </w:t>
      </w:r>
    </w:p>
    <w:p w14:paraId="698DF780" w14:textId="1B6CBA4C" w:rsidR="00227EC5" w:rsidRDefault="00227EC5" w:rsidP="00E34936">
      <w:pPr>
        <w:spacing w:line="360" w:lineRule="auto"/>
        <w:jc w:val="both"/>
        <w:rPr>
          <w:rFonts w:ascii="Arial" w:hAnsi="Arial" w:cs="Arial"/>
          <w:sz w:val="24"/>
          <w:szCs w:val="24"/>
        </w:rPr>
      </w:pPr>
      <w:r>
        <w:rPr>
          <w:rFonts w:ascii="Arial" w:hAnsi="Arial" w:cs="Arial"/>
          <w:sz w:val="24"/>
          <w:szCs w:val="24"/>
        </w:rPr>
        <w:t xml:space="preserve">Prior research on JVs in India have shown that the local partner is intended to address challenges of institutional complexity and to address risk of regulatory compliances (). By identifying such a </w:t>
      </w:r>
      <w:r w:rsidR="006D7188">
        <w:rPr>
          <w:rFonts w:ascii="Arial" w:hAnsi="Arial" w:cs="Arial"/>
          <w:sz w:val="24"/>
          <w:szCs w:val="24"/>
        </w:rPr>
        <w:t>partner,</w:t>
      </w:r>
      <w:r>
        <w:rPr>
          <w:rFonts w:ascii="Arial" w:hAnsi="Arial" w:cs="Arial"/>
          <w:sz w:val="24"/>
          <w:szCs w:val="24"/>
        </w:rPr>
        <w:t xml:space="preserve"> it is possible for Rivian to access established supplier networks </w:t>
      </w:r>
      <w:r w:rsidR="003D028E">
        <w:rPr>
          <w:rFonts w:ascii="Arial" w:hAnsi="Arial" w:cs="Arial"/>
          <w:sz w:val="24"/>
          <w:szCs w:val="24"/>
        </w:rPr>
        <w:t xml:space="preserve">and distribution networks within India. The phased integration and joint venture approach provides the right opportunities needed to develop capabilities in the local market. </w:t>
      </w:r>
      <w:r w:rsidR="004E3D6A">
        <w:rPr>
          <w:rFonts w:ascii="Arial" w:hAnsi="Arial" w:cs="Arial"/>
          <w:sz w:val="24"/>
          <w:szCs w:val="24"/>
        </w:rPr>
        <w:t xml:space="preserve"> </w:t>
      </w:r>
      <w:r w:rsidR="004E3D6A" w:rsidRPr="004E3D6A">
        <w:rPr>
          <w:rFonts w:ascii="Arial" w:hAnsi="Arial" w:cs="Arial"/>
          <w:sz w:val="24"/>
          <w:szCs w:val="24"/>
        </w:rPr>
        <w:t xml:space="preserve">This report suggests the use of Tata Motors as the primary </w:t>
      </w:r>
      <w:r w:rsidR="00251EC0" w:rsidRPr="004E3D6A">
        <w:rPr>
          <w:rFonts w:ascii="Arial" w:hAnsi="Arial" w:cs="Arial"/>
          <w:sz w:val="24"/>
          <w:szCs w:val="24"/>
        </w:rPr>
        <w:t>organisation</w:t>
      </w:r>
      <w:r w:rsidR="004E3D6A" w:rsidRPr="004E3D6A">
        <w:rPr>
          <w:rFonts w:ascii="Arial" w:hAnsi="Arial" w:cs="Arial"/>
          <w:sz w:val="24"/>
          <w:szCs w:val="24"/>
        </w:rPr>
        <w:t xml:space="preserve"> which can provide EV manufacturing and marketing support. Tata </w:t>
      </w:r>
      <w:r w:rsidR="00251EC0" w:rsidRPr="004E3D6A">
        <w:rPr>
          <w:rFonts w:ascii="Arial" w:hAnsi="Arial" w:cs="Arial"/>
          <w:sz w:val="24"/>
          <w:szCs w:val="24"/>
        </w:rPr>
        <w:t>already has</w:t>
      </w:r>
      <w:r w:rsidR="004E3D6A" w:rsidRPr="004E3D6A">
        <w:rPr>
          <w:rFonts w:ascii="Arial" w:hAnsi="Arial" w:cs="Arial"/>
          <w:sz w:val="24"/>
          <w:szCs w:val="24"/>
        </w:rPr>
        <w:t xml:space="preserve"> support and has gained benefits of local funding.</w:t>
      </w:r>
    </w:p>
    <w:p w14:paraId="1DDA0556" w14:textId="77777777" w:rsidR="00251EC0" w:rsidRDefault="00251EC0" w:rsidP="00E34936">
      <w:pPr>
        <w:spacing w:line="360" w:lineRule="auto"/>
        <w:jc w:val="both"/>
        <w:rPr>
          <w:rFonts w:ascii="Arial" w:hAnsi="Arial" w:cs="Arial"/>
          <w:sz w:val="24"/>
          <w:szCs w:val="24"/>
        </w:rPr>
      </w:pPr>
    </w:p>
    <w:p w14:paraId="65668819" w14:textId="77777777" w:rsidR="00251EC0" w:rsidRDefault="00251EC0" w:rsidP="00E34936">
      <w:pPr>
        <w:spacing w:line="360" w:lineRule="auto"/>
        <w:jc w:val="both"/>
        <w:rPr>
          <w:rFonts w:ascii="Arial" w:hAnsi="Arial" w:cs="Arial"/>
          <w:sz w:val="24"/>
          <w:szCs w:val="24"/>
        </w:rPr>
      </w:pPr>
    </w:p>
    <w:p w14:paraId="3153B104" w14:textId="77777777" w:rsidR="00251EC0" w:rsidRDefault="00251EC0" w:rsidP="00E34936">
      <w:pPr>
        <w:spacing w:line="360" w:lineRule="auto"/>
        <w:jc w:val="both"/>
        <w:rPr>
          <w:rFonts w:ascii="Arial" w:hAnsi="Arial" w:cs="Arial"/>
          <w:sz w:val="24"/>
          <w:szCs w:val="24"/>
        </w:rPr>
      </w:pPr>
    </w:p>
    <w:p w14:paraId="5AF722D7" w14:textId="0383A732" w:rsidR="00E34936" w:rsidRPr="00252B36" w:rsidRDefault="00C566AC" w:rsidP="00C566AC">
      <w:pPr>
        <w:pStyle w:val="Caption"/>
        <w:rPr>
          <w:rFonts w:ascii="Arial" w:hAnsi="Arial" w:cs="Arial"/>
          <w:b/>
          <w:bCs/>
          <w:i w:val="0"/>
          <w:iCs w:val="0"/>
          <w:sz w:val="24"/>
          <w:szCs w:val="24"/>
        </w:rPr>
      </w:pPr>
      <w:bookmarkStart w:id="29" w:name="_Toc217240590"/>
      <w:r w:rsidRPr="00252B36">
        <w:rPr>
          <w:rFonts w:ascii="Arial" w:hAnsi="Arial" w:cs="Arial"/>
          <w:b/>
          <w:bCs/>
          <w:i w:val="0"/>
          <w:iCs w:val="0"/>
          <w:sz w:val="24"/>
          <w:szCs w:val="24"/>
        </w:rPr>
        <w:lastRenderedPageBreak/>
        <w:t xml:space="preserve">Table </w:t>
      </w:r>
      <w:r w:rsidRPr="00252B36">
        <w:rPr>
          <w:rFonts w:ascii="Arial" w:hAnsi="Arial" w:cs="Arial"/>
          <w:b/>
          <w:bCs/>
          <w:i w:val="0"/>
          <w:iCs w:val="0"/>
          <w:sz w:val="24"/>
          <w:szCs w:val="24"/>
        </w:rPr>
        <w:fldChar w:fldCharType="begin"/>
      </w:r>
      <w:r w:rsidRPr="00252B36">
        <w:rPr>
          <w:rFonts w:ascii="Arial" w:hAnsi="Arial" w:cs="Arial"/>
          <w:b/>
          <w:bCs/>
          <w:i w:val="0"/>
          <w:iCs w:val="0"/>
          <w:sz w:val="24"/>
          <w:szCs w:val="24"/>
        </w:rPr>
        <w:instrText xml:space="preserve"> SEQ Table \* ARABIC </w:instrText>
      </w:r>
      <w:r w:rsidRPr="00252B36">
        <w:rPr>
          <w:rFonts w:ascii="Arial" w:hAnsi="Arial" w:cs="Arial"/>
          <w:b/>
          <w:bCs/>
          <w:i w:val="0"/>
          <w:iCs w:val="0"/>
          <w:sz w:val="24"/>
          <w:szCs w:val="24"/>
        </w:rPr>
        <w:fldChar w:fldCharType="separate"/>
      </w:r>
      <w:r w:rsidRPr="00252B36">
        <w:rPr>
          <w:rFonts w:ascii="Arial" w:hAnsi="Arial" w:cs="Arial"/>
          <w:b/>
          <w:bCs/>
          <w:i w:val="0"/>
          <w:iCs w:val="0"/>
          <w:noProof/>
          <w:sz w:val="24"/>
          <w:szCs w:val="24"/>
        </w:rPr>
        <w:t>5</w:t>
      </w:r>
      <w:r w:rsidRPr="00252B36">
        <w:rPr>
          <w:rFonts w:ascii="Arial" w:hAnsi="Arial" w:cs="Arial"/>
          <w:b/>
          <w:bCs/>
          <w:i w:val="0"/>
          <w:iCs w:val="0"/>
          <w:sz w:val="24"/>
          <w:szCs w:val="24"/>
        </w:rPr>
        <w:fldChar w:fldCharType="end"/>
      </w:r>
      <w:r w:rsidRPr="00252B36">
        <w:rPr>
          <w:rFonts w:ascii="Arial" w:hAnsi="Arial" w:cs="Arial"/>
          <w:b/>
          <w:bCs/>
          <w:i w:val="0"/>
          <w:iCs w:val="0"/>
          <w:sz w:val="24"/>
          <w:szCs w:val="24"/>
        </w:rPr>
        <w:t>: Phased Entry into Indian market</w:t>
      </w:r>
      <w:bookmarkEnd w:id="29"/>
    </w:p>
    <w:tbl>
      <w:tblPr>
        <w:tblStyle w:val="TableGrid"/>
        <w:tblW w:w="0" w:type="auto"/>
        <w:tblLook w:val="04A0" w:firstRow="1" w:lastRow="0" w:firstColumn="1" w:lastColumn="0" w:noHBand="0" w:noVBand="1"/>
      </w:tblPr>
      <w:tblGrid>
        <w:gridCol w:w="3219"/>
        <w:gridCol w:w="2519"/>
        <w:gridCol w:w="3278"/>
      </w:tblGrid>
      <w:tr w:rsidR="00225545" w:rsidRPr="00252B36" w14:paraId="0EA748DA" w14:textId="77777777" w:rsidTr="00225545">
        <w:tc>
          <w:tcPr>
            <w:tcW w:w="0" w:type="auto"/>
            <w:hideMark/>
          </w:tcPr>
          <w:p w14:paraId="53095E20" w14:textId="77777777" w:rsidR="00225545" w:rsidRPr="00252B36" w:rsidRDefault="00225545" w:rsidP="00252B36">
            <w:pPr>
              <w:spacing w:after="160"/>
              <w:jc w:val="both"/>
              <w:rPr>
                <w:rFonts w:ascii="Arial" w:hAnsi="Arial" w:cs="Arial"/>
                <w:b/>
                <w:bCs/>
                <w:sz w:val="20"/>
                <w:szCs w:val="20"/>
              </w:rPr>
            </w:pPr>
            <w:r w:rsidRPr="00252B36">
              <w:rPr>
                <w:rFonts w:ascii="Arial" w:hAnsi="Arial" w:cs="Arial"/>
                <w:b/>
                <w:bCs/>
                <w:sz w:val="20"/>
                <w:szCs w:val="20"/>
              </w:rPr>
              <w:t>Phase</w:t>
            </w:r>
          </w:p>
        </w:tc>
        <w:tc>
          <w:tcPr>
            <w:tcW w:w="0" w:type="auto"/>
            <w:hideMark/>
          </w:tcPr>
          <w:p w14:paraId="296CDFC5" w14:textId="51DDCCC8" w:rsidR="00225545" w:rsidRPr="00252B36" w:rsidRDefault="00225545" w:rsidP="00252B36">
            <w:pPr>
              <w:spacing w:after="160"/>
              <w:jc w:val="both"/>
              <w:rPr>
                <w:rFonts w:ascii="Arial" w:hAnsi="Arial" w:cs="Arial"/>
                <w:b/>
                <w:bCs/>
                <w:sz w:val="20"/>
                <w:szCs w:val="20"/>
              </w:rPr>
            </w:pPr>
            <w:r w:rsidRPr="00252B36">
              <w:rPr>
                <w:rFonts w:ascii="Arial" w:hAnsi="Arial" w:cs="Arial"/>
                <w:b/>
                <w:bCs/>
                <w:sz w:val="20"/>
                <w:szCs w:val="20"/>
              </w:rPr>
              <w:t xml:space="preserve">JV Structure </w:t>
            </w:r>
          </w:p>
        </w:tc>
        <w:tc>
          <w:tcPr>
            <w:tcW w:w="0" w:type="auto"/>
            <w:hideMark/>
          </w:tcPr>
          <w:p w14:paraId="50D162DB" w14:textId="77777777" w:rsidR="00225545" w:rsidRPr="00252B36" w:rsidRDefault="00225545" w:rsidP="00252B36">
            <w:pPr>
              <w:spacing w:after="160"/>
              <w:jc w:val="both"/>
              <w:rPr>
                <w:rFonts w:ascii="Arial" w:hAnsi="Arial" w:cs="Arial"/>
                <w:b/>
                <w:bCs/>
                <w:sz w:val="20"/>
                <w:szCs w:val="20"/>
              </w:rPr>
            </w:pPr>
            <w:r w:rsidRPr="00252B36">
              <w:rPr>
                <w:rFonts w:ascii="Arial" w:hAnsi="Arial" w:cs="Arial"/>
                <w:b/>
                <w:bCs/>
                <w:sz w:val="20"/>
                <w:szCs w:val="20"/>
              </w:rPr>
              <w:t>Key Activities</w:t>
            </w:r>
          </w:p>
        </w:tc>
      </w:tr>
      <w:tr w:rsidR="00225545" w:rsidRPr="00252B36" w14:paraId="6CAE5633" w14:textId="77777777" w:rsidTr="00225545">
        <w:tc>
          <w:tcPr>
            <w:tcW w:w="0" w:type="auto"/>
            <w:hideMark/>
          </w:tcPr>
          <w:p w14:paraId="42A289D1" w14:textId="1B2BA34D" w:rsidR="00225545" w:rsidRPr="00252B36" w:rsidRDefault="00225545" w:rsidP="00252B36">
            <w:pPr>
              <w:spacing w:after="160"/>
              <w:jc w:val="both"/>
              <w:rPr>
                <w:rFonts w:ascii="Arial" w:hAnsi="Arial" w:cs="Arial"/>
                <w:sz w:val="20"/>
                <w:szCs w:val="20"/>
              </w:rPr>
            </w:pPr>
            <w:r w:rsidRPr="00252B36">
              <w:rPr>
                <w:rFonts w:ascii="Arial" w:hAnsi="Arial" w:cs="Arial"/>
                <w:b/>
                <w:bCs/>
                <w:sz w:val="20"/>
                <w:szCs w:val="20"/>
              </w:rPr>
              <w:t>Phase 1: Market Entry &amp; Testing</w:t>
            </w:r>
          </w:p>
        </w:tc>
        <w:tc>
          <w:tcPr>
            <w:tcW w:w="0" w:type="auto"/>
            <w:hideMark/>
          </w:tcPr>
          <w:p w14:paraId="708E00B9" w14:textId="08CFF3A4"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Minority stake</w:t>
            </w:r>
          </w:p>
        </w:tc>
        <w:tc>
          <w:tcPr>
            <w:tcW w:w="0" w:type="auto"/>
            <w:hideMark/>
          </w:tcPr>
          <w:p w14:paraId="12BEA555" w14:textId="02E5855E"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Pilot launch in Tier 1 cities (Mumbai, Bangalore, Delhi)</w:t>
            </w:r>
          </w:p>
        </w:tc>
      </w:tr>
      <w:tr w:rsidR="00225545" w:rsidRPr="00252B36" w14:paraId="0C275B8A" w14:textId="77777777" w:rsidTr="00225545">
        <w:tc>
          <w:tcPr>
            <w:tcW w:w="0" w:type="auto"/>
            <w:hideMark/>
          </w:tcPr>
          <w:p w14:paraId="772DC5BB" w14:textId="77777777"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Limited vehicle volumes</w:t>
            </w:r>
          </w:p>
        </w:tc>
        <w:tc>
          <w:tcPr>
            <w:tcW w:w="0" w:type="auto"/>
            <w:hideMark/>
          </w:tcPr>
          <w:p w14:paraId="320783A8" w14:textId="77777777" w:rsidR="00225545" w:rsidRPr="00252B36" w:rsidRDefault="00225545" w:rsidP="00252B36">
            <w:pPr>
              <w:spacing w:after="160"/>
              <w:jc w:val="both"/>
              <w:rPr>
                <w:rFonts w:ascii="Arial" w:hAnsi="Arial" w:cs="Arial"/>
                <w:sz w:val="20"/>
                <w:szCs w:val="20"/>
              </w:rPr>
            </w:pPr>
          </w:p>
        </w:tc>
        <w:tc>
          <w:tcPr>
            <w:tcW w:w="0" w:type="auto"/>
            <w:hideMark/>
          </w:tcPr>
          <w:p w14:paraId="65528D16" w14:textId="483B4CE5"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Two-years</w:t>
            </w:r>
          </w:p>
        </w:tc>
      </w:tr>
      <w:tr w:rsidR="00225545" w:rsidRPr="00252B36" w14:paraId="2BB3E812" w14:textId="77777777" w:rsidTr="00225545">
        <w:tc>
          <w:tcPr>
            <w:tcW w:w="0" w:type="auto"/>
            <w:hideMark/>
          </w:tcPr>
          <w:p w14:paraId="5CEF781A" w14:textId="5E1A3131"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Focusing on brand building</w:t>
            </w:r>
          </w:p>
        </w:tc>
        <w:tc>
          <w:tcPr>
            <w:tcW w:w="0" w:type="auto"/>
            <w:hideMark/>
          </w:tcPr>
          <w:p w14:paraId="69DF5569" w14:textId="77777777" w:rsidR="00225545" w:rsidRPr="00252B36" w:rsidRDefault="00225545" w:rsidP="00252B36">
            <w:pPr>
              <w:spacing w:after="160"/>
              <w:jc w:val="both"/>
              <w:rPr>
                <w:rFonts w:ascii="Arial" w:hAnsi="Arial" w:cs="Arial"/>
                <w:sz w:val="20"/>
                <w:szCs w:val="20"/>
              </w:rPr>
            </w:pPr>
          </w:p>
        </w:tc>
        <w:tc>
          <w:tcPr>
            <w:tcW w:w="0" w:type="auto"/>
            <w:hideMark/>
          </w:tcPr>
          <w:p w14:paraId="37DC806D" w14:textId="77777777" w:rsidR="00225545" w:rsidRPr="00252B36" w:rsidRDefault="00225545" w:rsidP="00252B36">
            <w:pPr>
              <w:spacing w:after="160"/>
              <w:jc w:val="both"/>
              <w:rPr>
                <w:rFonts w:ascii="Arial" w:hAnsi="Arial" w:cs="Arial"/>
                <w:sz w:val="20"/>
                <w:szCs w:val="20"/>
              </w:rPr>
            </w:pPr>
          </w:p>
        </w:tc>
      </w:tr>
      <w:tr w:rsidR="00225545" w:rsidRPr="00252B36" w14:paraId="767FA153" w14:textId="77777777" w:rsidTr="00225545">
        <w:tc>
          <w:tcPr>
            <w:tcW w:w="0" w:type="auto"/>
            <w:hideMark/>
          </w:tcPr>
          <w:p w14:paraId="2FDAD714" w14:textId="77777777"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Use of Tata’s existing supplier and service network</w:t>
            </w:r>
          </w:p>
        </w:tc>
        <w:tc>
          <w:tcPr>
            <w:tcW w:w="0" w:type="auto"/>
            <w:hideMark/>
          </w:tcPr>
          <w:p w14:paraId="7979DA40" w14:textId="4A61600A"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xml:space="preserve">Validating demand </w:t>
            </w:r>
          </w:p>
        </w:tc>
        <w:tc>
          <w:tcPr>
            <w:tcW w:w="0" w:type="auto"/>
          </w:tcPr>
          <w:p w14:paraId="52B6CE19" w14:textId="14AE3175" w:rsidR="00225545" w:rsidRPr="00252B36" w:rsidRDefault="00225545" w:rsidP="00252B36">
            <w:pPr>
              <w:spacing w:after="160"/>
              <w:jc w:val="both"/>
              <w:rPr>
                <w:rFonts w:ascii="Arial" w:hAnsi="Arial" w:cs="Arial"/>
                <w:sz w:val="20"/>
                <w:szCs w:val="20"/>
              </w:rPr>
            </w:pPr>
          </w:p>
        </w:tc>
      </w:tr>
      <w:tr w:rsidR="00225545" w:rsidRPr="00252B36" w14:paraId="70546C48" w14:textId="77777777" w:rsidTr="00225545">
        <w:tc>
          <w:tcPr>
            <w:tcW w:w="0" w:type="auto"/>
            <w:hideMark/>
          </w:tcPr>
          <w:p w14:paraId="195CEB7C" w14:textId="1A1CA4BF" w:rsidR="00225545" w:rsidRPr="00252B36" w:rsidRDefault="00225545" w:rsidP="00252B36">
            <w:pPr>
              <w:spacing w:after="160"/>
              <w:jc w:val="both"/>
              <w:rPr>
                <w:rFonts w:ascii="Arial" w:hAnsi="Arial" w:cs="Arial"/>
                <w:sz w:val="20"/>
                <w:szCs w:val="20"/>
              </w:rPr>
            </w:pPr>
            <w:r w:rsidRPr="00252B36">
              <w:rPr>
                <w:rFonts w:ascii="Arial" w:hAnsi="Arial" w:cs="Arial"/>
                <w:b/>
                <w:bCs/>
                <w:sz w:val="20"/>
                <w:szCs w:val="20"/>
              </w:rPr>
              <w:t xml:space="preserve">Phase 2: Expansion &amp; Localisation </w:t>
            </w:r>
          </w:p>
        </w:tc>
        <w:tc>
          <w:tcPr>
            <w:tcW w:w="0" w:type="auto"/>
            <w:hideMark/>
          </w:tcPr>
          <w:p w14:paraId="1CC2BC81" w14:textId="1ACA7FA1"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Same minority stake</w:t>
            </w:r>
          </w:p>
        </w:tc>
        <w:tc>
          <w:tcPr>
            <w:tcW w:w="0" w:type="auto"/>
            <w:hideMark/>
          </w:tcPr>
          <w:p w14:paraId="75C66D23" w14:textId="28B16BAB"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Increase production volume</w:t>
            </w:r>
          </w:p>
        </w:tc>
      </w:tr>
      <w:tr w:rsidR="00225545" w:rsidRPr="00252B36" w14:paraId="64346103" w14:textId="77777777" w:rsidTr="00225545">
        <w:tc>
          <w:tcPr>
            <w:tcW w:w="0" w:type="auto"/>
            <w:hideMark/>
          </w:tcPr>
          <w:p w14:paraId="71CB0BC0" w14:textId="5CCC17BE"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Partial local manufacturing</w:t>
            </w:r>
          </w:p>
        </w:tc>
        <w:tc>
          <w:tcPr>
            <w:tcW w:w="0" w:type="auto"/>
            <w:hideMark/>
          </w:tcPr>
          <w:p w14:paraId="158EBFDC" w14:textId="77777777" w:rsidR="00225545" w:rsidRPr="00252B36" w:rsidRDefault="00225545" w:rsidP="00252B36">
            <w:pPr>
              <w:spacing w:after="160"/>
              <w:jc w:val="both"/>
              <w:rPr>
                <w:rFonts w:ascii="Arial" w:hAnsi="Arial" w:cs="Arial"/>
                <w:sz w:val="20"/>
                <w:szCs w:val="20"/>
              </w:rPr>
            </w:pPr>
          </w:p>
        </w:tc>
        <w:tc>
          <w:tcPr>
            <w:tcW w:w="0" w:type="auto"/>
            <w:hideMark/>
          </w:tcPr>
          <w:p w14:paraId="20631F2F" w14:textId="3F6D0E24"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Four-years</w:t>
            </w:r>
          </w:p>
        </w:tc>
      </w:tr>
      <w:tr w:rsidR="00225545" w:rsidRPr="00252B36" w14:paraId="503DD6F9" w14:textId="77777777" w:rsidTr="00225545">
        <w:tc>
          <w:tcPr>
            <w:tcW w:w="0" w:type="auto"/>
            <w:hideMark/>
          </w:tcPr>
          <w:p w14:paraId="487A8CA0" w14:textId="521480FC"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xml:space="preserve">• Localise supplier roles </w:t>
            </w:r>
          </w:p>
        </w:tc>
        <w:tc>
          <w:tcPr>
            <w:tcW w:w="0" w:type="auto"/>
            <w:hideMark/>
          </w:tcPr>
          <w:p w14:paraId="2071BC7B" w14:textId="77777777" w:rsidR="00225545" w:rsidRPr="00252B36" w:rsidRDefault="00225545" w:rsidP="00252B36">
            <w:pPr>
              <w:spacing w:after="160"/>
              <w:jc w:val="both"/>
              <w:rPr>
                <w:rFonts w:ascii="Arial" w:hAnsi="Arial" w:cs="Arial"/>
                <w:sz w:val="20"/>
                <w:szCs w:val="20"/>
              </w:rPr>
            </w:pPr>
          </w:p>
        </w:tc>
        <w:tc>
          <w:tcPr>
            <w:tcW w:w="0" w:type="auto"/>
            <w:hideMark/>
          </w:tcPr>
          <w:p w14:paraId="465872CE" w14:textId="77777777" w:rsidR="00225545" w:rsidRPr="00252B36" w:rsidRDefault="00225545" w:rsidP="00252B36">
            <w:pPr>
              <w:spacing w:after="160"/>
              <w:jc w:val="both"/>
              <w:rPr>
                <w:rFonts w:ascii="Arial" w:hAnsi="Arial" w:cs="Arial"/>
                <w:sz w:val="20"/>
                <w:szCs w:val="20"/>
              </w:rPr>
            </w:pPr>
          </w:p>
        </w:tc>
      </w:tr>
      <w:tr w:rsidR="00225545" w:rsidRPr="00252B36" w14:paraId="3372FC2C" w14:textId="77777777" w:rsidTr="00225545">
        <w:tc>
          <w:tcPr>
            <w:tcW w:w="0" w:type="auto"/>
            <w:hideMark/>
          </w:tcPr>
          <w:p w14:paraId="6F6CE60C" w14:textId="73818631"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xml:space="preserve">• </w:t>
            </w:r>
            <w:r w:rsidR="00C566AC" w:rsidRPr="00252B36">
              <w:rPr>
                <w:rFonts w:ascii="Arial" w:hAnsi="Arial" w:cs="Arial"/>
                <w:sz w:val="20"/>
                <w:szCs w:val="20"/>
              </w:rPr>
              <w:t>Identify best way to provide service support</w:t>
            </w:r>
          </w:p>
        </w:tc>
        <w:tc>
          <w:tcPr>
            <w:tcW w:w="0" w:type="auto"/>
            <w:hideMark/>
          </w:tcPr>
          <w:p w14:paraId="3FC24129" w14:textId="658F002E" w:rsidR="00225545" w:rsidRPr="00252B36" w:rsidRDefault="00225545" w:rsidP="00252B36">
            <w:pPr>
              <w:spacing w:after="160"/>
              <w:jc w:val="both"/>
              <w:rPr>
                <w:rFonts w:ascii="Arial" w:hAnsi="Arial" w:cs="Arial"/>
                <w:sz w:val="20"/>
                <w:szCs w:val="20"/>
              </w:rPr>
            </w:pPr>
          </w:p>
        </w:tc>
        <w:tc>
          <w:tcPr>
            <w:tcW w:w="0" w:type="auto"/>
            <w:hideMark/>
          </w:tcPr>
          <w:p w14:paraId="1A4AA3D4" w14:textId="3A06C37F" w:rsidR="00225545" w:rsidRPr="00252B36" w:rsidRDefault="00225545" w:rsidP="00252B36">
            <w:pPr>
              <w:spacing w:after="160"/>
              <w:jc w:val="both"/>
              <w:rPr>
                <w:rFonts w:ascii="Arial" w:hAnsi="Arial" w:cs="Arial"/>
                <w:sz w:val="20"/>
                <w:szCs w:val="20"/>
              </w:rPr>
            </w:pPr>
          </w:p>
        </w:tc>
      </w:tr>
      <w:tr w:rsidR="00225545" w:rsidRPr="00252B36" w14:paraId="4BD24E51" w14:textId="77777777" w:rsidTr="00225545">
        <w:tc>
          <w:tcPr>
            <w:tcW w:w="0" w:type="auto"/>
            <w:hideMark/>
          </w:tcPr>
          <w:p w14:paraId="5D40F308" w14:textId="77777777" w:rsidR="00225545" w:rsidRPr="00252B36" w:rsidRDefault="00225545" w:rsidP="00252B36">
            <w:pPr>
              <w:spacing w:after="160"/>
              <w:jc w:val="both"/>
              <w:rPr>
                <w:rFonts w:ascii="Arial" w:hAnsi="Arial" w:cs="Arial"/>
                <w:sz w:val="20"/>
                <w:szCs w:val="20"/>
              </w:rPr>
            </w:pPr>
            <w:r w:rsidRPr="00252B36">
              <w:rPr>
                <w:rFonts w:ascii="Arial" w:hAnsi="Arial" w:cs="Arial"/>
                <w:b/>
                <w:bCs/>
                <w:sz w:val="20"/>
                <w:szCs w:val="20"/>
              </w:rPr>
              <w:t>Phase 3: Strategic Deepening (Years 5+)</w:t>
            </w:r>
          </w:p>
        </w:tc>
        <w:tc>
          <w:tcPr>
            <w:tcW w:w="0" w:type="auto"/>
            <w:hideMark/>
          </w:tcPr>
          <w:p w14:paraId="1FB86BF3" w14:textId="0D610414"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Engage in Long-term JV</w:t>
            </w:r>
          </w:p>
        </w:tc>
        <w:tc>
          <w:tcPr>
            <w:tcW w:w="0" w:type="auto"/>
            <w:hideMark/>
          </w:tcPr>
          <w:p w14:paraId="01120E4A" w14:textId="77777777" w:rsidR="00225545" w:rsidRPr="00252B36" w:rsidRDefault="00225545" w:rsidP="00252B36">
            <w:pPr>
              <w:spacing w:after="160"/>
              <w:jc w:val="both"/>
              <w:rPr>
                <w:rFonts w:ascii="Arial" w:hAnsi="Arial" w:cs="Arial"/>
                <w:sz w:val="20"/>
                <w:szCs w:val="20"/>
              </w:rPr>
            </w:pPr>
            <w:r w:rsidRPr="00252B36">
              <w:rPr>
                <w:rFonts w:ascii="Arial" w:hAnsi="Arial" w:cs="Arial"/>
                <w:sz w:val="20"/>
                <w:szCs w:val="20"/>
              </w:rPr>
              <w:t>• Advanced EV platform deployment</w:t>
            </w:r>
          </w:p>
        </w:tc>
      </w:tr>
      <w:tr w:rsidR="00225545" w:rsidRPr="00252B36" w14:paraId="5F2EE18D" w14:textId="77777777" w:rsidTr="00225545">
        <w:tc>
          <w:tcPr>
            <w:tcW w:w="0" w:type="auto"/>
            <w:hideMark/>
          </w:tcPr>
          <w:p w14:paraId="5E1367C2" w14:textId="6991A08B"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More localisation</w:t>
            </w:r>
          </w:p>
        </w:tc>
        <w:tc>
          <w:tcPr>
            <w:tcW w:w="0" w:type="auto"/>
            <w:hideMark/>
          </w:tcPr>
          <w:p w14:paraId="2980560B" w14:textId="3B13678E"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Achieve long-term competitiveness</w:t>
            </w:r>
          </w:p>
        </w:tc>
        <w:tc>
          <w:tcPr>
            <w:tcW w:w="0" w:type="auto"/>
            <w:hideMark/>
          </w:tcPr>
          <w:p w14:paraId="3B71B24C" w14:textId="77777777" w:rsidR="00225545" w:rsidRPr="00252B36" w:rsidRDefault="00225545" w:rsidP="00252B36">
            <w:pPr>
              <w:spacing w:after="160"/>
              <w:jc w:val="both"/>
              <w:rPr>
                <w:rFonts w:ascii="Arial" w:hAnsi="Arial" w:cs="Arial"/>
                <w:sz w:val="20"/>
                <w:szCs w:val="20"/>
              </w:rPr>
            </w:pPr>
          </w:p>
        </w:tc>
      </w:tr>
      <w:tr w:rsidR="00225545" w:rsidRPr="00252B36" w14:paraId="6AA49AC4" w14:textId="77777777" w:rsidTr="00225545">
        <w:tc>
          <w:tcPr>
            <w:tcW w:w="0" w:type="auto"/>
            <w:hideMark/>
          </w:tcPr>
          <w:p w14:paraId="248FD5BC" w14:textId="5FAC6127" w:rsidR="00225545" w:rsidRPr="00252B36" w:rsidRDefault="00C566AC" w:rsidP="00252B36">
            <w:pPr>
              <w:spacing w:after="160"/>
              <w:jc w:val="both"/>
              <w:rPr>
                <w:rFonts w:ascii="Arial" w:hAnsi="Arial" w:cs="Arial"/>
                <w:sz w:val="20"/>
                <w:szCs w:val="20"/>
              </w:rPr>
            </w:pPr>
            <w:r w:rsidRPr="00252B36">
              <w:rPr>
                <w:rFonts w:ascii="Arial" w:hAnsi="Arial" w:cs="Arial"/>
                <w:sz w:val="20"/>
                <w:szCs w:val="20"/>
              </w:rPr>
              <w:t>Increase local R&amp;D</w:t>
            </w:r>
          </w:p>
        </w:tc>
        <w:tc>
          <w:tcPr>
            <w:tcW w:w="0" w:type="auto"/>
            <w:hideMark/>
          </w:tcPr>
          <w:p w14:paraId="3D075C46" w14:textId="77777777" w:rsidR="00225545" w:rsidRPr="00252B36" w:rsidRDefault="00225545" w:rsidP="00252B36">
            <w:pPr>
              <w:spacing w:after="160"/>
              <w:jc w:val="both"/>
              <w:rPr>
                <w:rFonts w:ascii="Arial" w:hAnsi="Arial" w:cs="Arial"/>
                <w:sz w:val="20"/>
                <w:szCs w:val="20"/>
              </w:rPr>
            </w:pPr>
          </w:p>
        </w:tc>
        <w:tc>
          <w:tcPr>
            <w:tcW w:w="0" w:type="auto"/>
            <w:hideMark/>
          </w:tcPr>
          <w:p w14:paraId="5E6BAE23" w14:textId="77777777" w:rsidR="00225545" w:rsidRPr="00252B36" w:rsidRDefault="00225545" w:rsidP="00252B36">
            <w:pPr>
              <w:spacing w:after="160"/>
              <w:jc w:val="both"/>
              <w:rPr>
                <w:rFonts w:ascii="Arial" w:hAnsi="Arial" w:cs="Arial"/>
                <w:sz w:val="20"/>
                <w:szCs w:val="20"/>
              </w:rPr>
            </w:pPr>
          </w:p>
        </w:tc>
      </w:tr>
      <w:tr w:rsidR="00225545" w:rsidRPr="00252B36" w14:paraId="7945674C" w14:textId="77777777" w:rsidTr="00225545">
        <w:tc>
          <w:tcPr>
            <w:tcW w:w="0" w:type="auto"/>
            <w:hideMark/>
          </w:tcPr>
          <w:p w14:paraId="47D23EF9" w14:textId="7317FD04" w:rsidR="00225545" w:rsidRPr="00252B36" w:rsidRDefault="00225545" w:rsidP="00252B36">
            <w:pPr>
              <w:spacing w:after="160"/>
              <w:jc w:val="both"/>
              <w:rPr>
                <w:rFonts w:ascii="Arial" w:hAnsi="Arial" w:cs="Arial"/>
                <w:sz w:val="20"/>
                <w:szCs w:val="20"/>
              </w:rPr>
            </w:pPr>
          </w:p>
        </w:tc>
        <w:tc>
          <w:tcPr>
            <w:tcW w:w="0" w:type="auto"/>
            <w:hideMark/>
          </w:tcPr>
          <w:p w14:paraId="67C6B444" w14:textId="04475A94" w:rsidR="00225545" w:rsidRPr="00252B36" w:rsidRDefault="00225545" w:rsidP="00252B36">
            <w:pPr>
              <w:spacing w:after="160"/>
              <w:jc w:val="both"/>
              <w:rPr>
                <w:rFonts w:ascii="Arial" w:hAnsi="Arial" w:cs="Arial"/>
                <w:sz w:val="20"/>
                <w:szCs w:val="20"/>
              </w:rPr>
            </w:pPr>
          </w:p>
        </w:tc>
        <w:tc>
          <w:tcPr>
            <w:tcW w:w="0" w:type="auto"/>
            <w:hideMark/>
          </w:tcPr>
          <w:p w14:paraId="4CFE7E6D" w14:textId="406A9809" w:rsidR="00225545" w:rsidRPr="00252B36" w:rsidRDefault="00225545" w:rsidP="00252B36">
            <w:pPr>
              <w:spacing w:after="160"/>
              <w:jc w:val="both"/>
              <w:rPr>
                <w:rFonts w:ascii="Arial" w:hAnsi="Arial" w:cs="Arial"/>
                <w:sz w:val="20"/>
                <w:szCs w:val="20"/>
              </w:rPr>
            </w:pPr>
          </w:p>
        </w:tc>
      </w:tr>
    </w:tbl>
    <w:p w14:paraId="6CD1345C" w14:textId="77777777" w:rsidR="00225545" w:rsidRDefault="00225545" w:rsidP="008C035E">
      <w:pPr>
        <w:spacing w:line="360" w:lineRule="auto"/>
        <w:jc w:val="both"/>
        <w:rPr>
          <w:rFonts w:ascii="Arial" w:hAnsi="Arial" w:cs="Arial"/>
          <w:sz w:val="24"/>
          <w:szCs w:val="24"/>
        </w:rPr>
      </w:pPr>
    </w:p>
    <w:p w14:paraId="5EE8219E" w14:textId="77777777" w:rsidR="00637554" w:rsidRPr="00417EF3" w:rsidRDefault="00637554" w:rsidP="00417EF3">
      <w:pPr>
        <w:pStyle w:val="Heading1"/>
      </w:pPr>
      <w:bookmarkStart w:id="30" w:name="_Toc217240579"/>
      <w:r w:rsidRPr="00417EF3">
        <w:t>Section 4: Performance Evaluation Framework</w:t>
      </w:r>
      <w:bookmarkEnd w:id="30"/>
    </w:p>
    <w:p w14:paraId="0A5E8657" w14:textId="059EBCCF" w:rsidR="00637554" w:rsidRPr="00417EF3" w:rsidRDefault="00251EC0" w:rsidP="00417EF3">
      <w:pPr>
        <w:spacing w:line="360" w:lineRule="auto"/>
        <w:jc w:val="both"/>
        <w:rPr>
          <w:rFonts w:ascii="Arial" w:hAnsi="Arial" w:cs="Arial"/>
          <w:sz w:val="24"/>
          <w:szCs w:val="24"/>
        </w:rPr>
      </w:pPr>
      <w:r w:rsidRPr="00417EF3">
        <w:rPr>
          <w:rFonts w:ascii="Arial" w:hAnsi="Arial" w:cs="Arial"/>
          <w:sz w:val="24"/>
          <w:szCs w:val="24"/>
        </w:rPr>
        <w:t xml:space="preserve">The purpose of this section is to present a performance evaluation framework to assess if Rivian’s expansion will meet its strategic, financial and overall brand goals and outcomes. This section looks at the Balanced Score Card (BSC) and the Triple Bottom Line (TBL) framework to assess the impact. </w:t>
      </w:r>
    </w:p>
    <w:p w14:paraId="2A808391" w14:textId="77777777" w:rsidR="0059122A" w:rsidRPr="00417EF3" w:rsidRDefault="0059122A" w:rsidP="00417EF3">
      <w:pPr>
        <w:pStyle w:val="ListParagraph"/>
        <w:numPr>
          <w:ilvl w:val="0"/>
          <w:numId w:val="13"/>
        </w:numPr>
        <w:spacing w:line="360" w:lineRule="auto"/>
        <w:jc w:val="both"/>
        <w:outlineLvl w:val="1"/>
        <w:rPr>
          <w:rFonts w:ascii="Arial" w:hAnsi="Arial" w:cs="Arial"/>
          <w:b/>
          <w:vanish/>
          <w:sz w:val="24"/>
          <w:szCs w:val="24"/>
        </w:rPr>
      </w:pPr>
      <w:bookmarkStart w:id="31" w:name="_Toc217070192"/>
      <w:bookmarkStart w:id="32" w:name="_Toc217116816"/>
      <w:bookmarkStart w:id="33" w:name="_Toc217240489"/>
      <w:bookmarkStart w:id="34" w:name="_Toc217240580"/>
      <w:bookmarkEnd w:id="31"/>
      <w:bookmarkEnd w:id="32"/>
      <w:bookmarkEnd w:id="33"/>
      <w:bookmarkEnd w:id="34"/>
    </w:p>
    <w:p w14:paraId="67546635" w14:textId="4F0C6B63" w:rsidR="00637554" w:rsidRPr="00417EF3" w:rsidRDefault="00637554" w:rsidP="00417EF3">
      <w:pPr>
        <w:pStyle w:val="Heading2"/>
        <w:numPr>
          <w:ilvl w:val="1"/>
          <w:numId w:val="13"/>
        </w:numPr>
      </w:pPr>
      <w:bookmarkStart w:id="35" w:name="_Toc217240581"/>
      <w:r w:rsidRPr="00417EF3">
        <w:t>Balanced Scorecard Framework</w:t>
      </w:r>
      <w:bookmarkEnd w:id="35"/>
    </w:p>
    <w:p w14:paraId="70844CBB" w14:textId="6C0A1DCB" w:rsidR="00116831" w:rsidRPr="00417EF3" w:rsidRDefault="00116831" w:rsidP="00417EF3">
      <w:pPr>
        <w:spacing w:after="0" w:line="360" w:lineRule="auto"/>
        <w:jc w:val="both"/>
        <w:rPr>
          <w:rFonts w:ascii="Arial" w:eastAsia="Times New Roman" w:hAnsi="Arial" w:cs="Arial"/>
          <w:kern w:val="0"/>
          <w:sz w:val="24"/>
          <w:szCs w:val="24"/>
          <w:lang w:eastAsia="en-IN" w:bidi="ar-SA"/>
          <w14:ligatures w14:val="none"/>
        </w:rPr>
      </w:pPr>
      <w:r w:rsidRPr="00417EF3">
        <w:rPr>
          <w:rFonts w:ascii="Arial" w:eastAsia="Times New Roman" w:hAnsi="Arial" w:cs="Arial"/>
          <w:kern w:val="0"/>
          <w:sz w:val="24"/>
          <w:szCs w:val="24"/>
          <w:lang w:eastAsia="en-IN" w:bidi="ar-SA"/>
          <w14:ligatures w14:val="none"/>
        </w:rPr>
        <w:t xml:space="preserve">When conventional financial measures failed to adequately assess the health and </w:t>
      </w:r>
      <w:proofErr w:type="gramStart"/>
      <w:r w:rsidRPr="00417EF3">
        <w:rPr>
          <w:rFonts w:ascii="Arial" w:eastAsia="Times New Roman" w:hAnsi="Arial" w:cs="Arial"/>
          <w:kern w:val="0"/>
          <w:sz w:val="24"/>
          <w:szCs w:val="24"/>
          <w:lang w:eastAsia="en-IN" w:bidi="ar-SA"/>
          <w14:ligatures w14:val="none"/>
        </w:rPr>
        <w:t>future prospects</w:t>
      </w:r>
      <w:proofErr w:type="gramEnd"/>
      <w:r w:rsidRPr="00417EF3">
        <w:rPr>
          <w:rFonts w:ascii="Arial" w:eastAsia="Times New Roman" w:hAnsi="Arial" w:cs="Arial"/>
          <w:kern w:val="0"/>
          <w:sz w:val="24"/>
          <w:szCs w:val="24"/>
          <w:lang w:eastAsia="en-IN" w:bidi="ar-SA"/>
          <w14:ligatures w14:val="none"/>
        </w:rPr>
        <w:t xml:space="preserve"> of organisations in the 1980s and 1990s, the BSC was born as a solution </w:t>
      </w:r>
      <w:r w:rsidR="0055786B">
        <w:rPr>
          <w:rFonts w:ascii="Arial" w:eastAsia="Times New Roman" w:hAnsi="Arial" w:cs="Arial"/>
          <w:kern w:val="0"/>
          <w:sz w:val="24"/>
          <w:szCs w:val="24"/>
          <w:lang w:eastAsia="en-IN" w:bidi="ar-SA"/>
          <w14:ligatures w14:val="none"/>
        </w:rPr>
        <w:t xml:space="preserve">(Kaplan, 2009). </w:t>
      </w:r>
      <w:r w:rsidRPr="00417EF3">
        <w:rPr>
          <w:rFonts w:ascii="Arial" w:eastAsia="Times New Roman" w:hAnsi="Arial" w:cs="Arial"/>
          <w:kern w:val="0"/>
          <w:sz w:val="24"/>
          <w:szCs w:val="24"/>
          <w:lang w:eastAsia="en-IN" w:bidi="ar-SA"/>
          <w14:ligatures w14:val="none"/>
        </w:rPr>
        <w:t xml:space="preserve">Organisations are now more likely to strike a balance between immediate financial needs and more important long-term objectives </w:t>
      </w:r>
      <w:proofErr w:type="gramStart"/>
      <w:r w:rsidRPr="00417EF3">
        <w:rPr>
          <w:rFonts w:ascii="Arial" w:eastAsia="Times New Roman" w:hAnsi="Arial" w:cs="Arial"/>
          <w:kern w:val="0"/>
          <w:sz w:val="24"/>
          <w:szCs w:val="24"/>
          <w:lang w:eastAsia="en-IN" w:bidi="ar-SA"/>
          <w14:ligatures w14:val="none"/>
        </w:rPr>
        <w:t>as a result of</w:t>
      </w:r>
      <w:proofErr w:type="gramEnd"/>
      <w:r w:rsidRPr="00417EF3">
        <w:rPr>
          <w:rFonts w:ascii="Arial" w:eastAsia="Times New Roman" w:hAnsi="Arial" w:cs="Arial"/>
          <w:kern w:val="0"/>
          <w:sz w:val="24"/>
          <w:szCs w:val="24"/>
          <w:lang w:eastAsia="en-IN" w:bidi="ar-SA"/>
          <w14:ligatures w14:val="none"/>
        </w:rPr>
        <w:t xml:space="preserve"> the structured BSC approach, which has changed the way decisions are made and helped to turn strategies into measurable achievements</w:t>
      </w:r>
      <w:r w:rsidR="0020475E">
        <w:rPr>
          <w:rFonts w:ascii="Arial" w:eastAsia="Times New Roman" w:hAnsi="Arial" w:cs="Arial"/>
          <w:kern w:val="0"/>
          <w:sz w:val="24"/>
          <w:szCs w:val="24"/>
          <w:lang w:eastAsia="en-IN" w:bidi="ar-SA"/>
          <w14:ligatures w14:val="none"/>
        </w:rPr>
        <w:t xml:space="preserve"> (Norton and Kaplan, 2018)</w:t>
      </w:r>
      <w:r w:rsidRPr="00417EF3">
        <w:rPr>
          <w:rFonts w:ascii="Arial" w:eastAsia="Times New Roman" w:hAnsi="Arial" w:cs="Arial"/>
          <w:kern w:val="0"/>
          <w:sz w:val="24"/>
          <w:szCs w:val="24"/>
          <w:lang w:eastAsia="en-IN" w:bidi="ar-SA"/>
          <w14:ligatures w14:val="none"/>
        </w:rPr>
        <w:t xml:space="preserve">. By encouraging managers to think holistically and over the long term, the BSC can help reduce problems of sub-optimization and short-termism in the workplace </w:t>
      </w:r>
      <w:r w:rsidR="0020475E">
        <w:rPr>
          <w:rFonts w:ascii="Arial" w:eastAsia="Times New Roman" w:hAnsi="Arial" w:cs="Arial"/>
          <w:kern w:val="0"/>
          <w:sz w:val="24"/>
          <w:szCs w:val="24"/>
          <w:lang w:eastAsia="en-IN" w:bidi="ar-SA"/>
          <w14:ligatures w14:val="none"/>
        </w:rPr>
        <w:t xml:space="preserve">(Norton and </w:t>
      </w:r>
      <w:r w:rsidR="0020475E">
        <w:rPr>
          <w:rFonts w:ascii="Arial" w:eastAsia="Times New Roman" w:hAnsi="Arial" w:cs="Arial"/>
          <w:kern w:val="0"/>
          <w:sz w:val="24"/>
          <w:szCs w:val="24"/>
          <w:lang w:eastAsia="en-IN" w:bidi="ar-SA"/>
          <w14:ligatures w14:val="none"/>
        </w:rPr>
        <w:lastRenderedPageBreak/>
        <w:t xml:space="preserve">Kaplan, 2018). </w:t>
      </w:r>
      <w:r w:rsidRPr="00417EF3">
        <w:rPr>
          <w:rFonts w:ascii="Arial" w:eastAsia="Times New Roman" w:hAnsi="Arial" w:cs="Arial"/>
          <w:kern w:val="0"/>
          <w:sz w:val="24"/>
          <w:szCs w:val="24"/>
          <w:lang w:eastAsia="en-IN" w:bidi="ar-SA"/>
          <w14:ligatures w14:val="none"/>
        </w:rPr>
        <w:t xml:space="preserve">The use of BSC is preferred in this report as it helps Rivian identify key steps or mechanisms through which they can evaluate their growth or success in India. </w:t>
      </w:r>
    </w:p>
    <w:p w14:paraId="41970ED5" w14:textId="77777777" w:rsidR="00542D49" w:rsidRPr="00417EF3" w:rsidRDefault="00542D49" w:rsidP="00417EF3">
      <w:pPr>
        <w:spacing w:line="360" w:lineRule="auto"/>
        <w:jc w:val="both"/>
        <w:rPr>
          <w:rFonts w:ascii="Arial" w:hAnsi="Arial" w:cs="Arial"/>
          <w:sz w:val="24"/>
          <w:szCs w:val="24"/>
        </w:rPr>
      </w:pPr>
    </w:p>
    <w:p w14:paraId="5559E1A3" w14:textId="3CE98E5B" w:rsidR="00FC3E2A" w:rsidRPr="00417EF3" w:rsidRDefault="00542D49" w:rsidP="00417EF3">
      <w:pPr>
        <w:spacing w:line="360" w:lineRule="auto"/>
        <w:jc w:val="both"/>
        <w:rPr>
          <w:rFonts w:ascii="Arial" w:hAnsi="Arial" w:cs="Arial"/>
          <w:sz w:val="24"/>
          <w:szCs w:val="24"/>
        </w:rPr>
      </w:pPr>
      <w:r w:rsidRPr="00417EF3">
        <w:rPr>
          <w:rFonts w:ascii="Arial" w:hAnsi="Arial" w:cs="Arial"/>
          <w:sz w:val="24"/>
          <w:szCs w:val="24"/>
        </w:rPr>
        <w:t xml:space="preserve">Financial perspective, the primary goal would be to develop a business model that is scalable while managing internal risks.  In this context, the goal would be to assess metrics relating at the level of each </w:t>
      </w:r>
      <w:r w:rsidR="00154000" w:rsidRPr="00417EF3">
        <w:rPr>
          <w:rFonts w:ascii="Arial" w:hAnsi="Arial" w:cs="Arial"/>
          <w:sz w:val="24"/>
          <w:szCs w:val="24"/>
        </w:rPr>
        <w:t>vehicle (contribution margin), cost reduction through localisatio</w:t>
      </w:r>
      <w:r w:rsidR="00F235F1" w:rsidRPr="00417EF3">
        <w:rPr>
          <w:rFonts w:ascii="Arial" w:hAnsi="Arial" w:cs="Arial"/>
          <w:sz w:val="24"/>
          <w:szCs w:val="24"/>
        </w:rPr>
        <w:t xml:space="preserve">n, and </w:t>
      </w:r>
      <w:r w:rsidR="00116831" w:rsidRPr="00417EF3">
        <w:rPr>
          <w:rFonts w:ascii="Arial" w:hAnsi="Arial" w:cs="Arial"/>
          <w:sz w:val="24"/>
          <w:szCs w:val="24"/>
        </w:rPr>
        <w:t>determine if phased entry is possible and is working for the organisation. The customer perspective on the other hand focuses</w:t>
      </w:r>
      <w:r w:rsidR="004F2AEE" w:rsidRPr="00417EF3">
        <w:rPr>
          <w:rFonts w:ascii="Arial" w:hAnsi="Arial" w:cs="Arial"/>
          <w:sz w:val="24"/>
          <w:szCs w:val="24"/>
        </w:rPr>
        <w:t xml:space="preserve"> on customer centric metrics. </w:t>
      </w:r>
      <w:r w:rsidR="00FC3E2A" w:rsidRPr="00417EF3">
        <w:rPr>
          <w:rFonts w:ascii="Arial" w:hAnsi="Arial" w:cs="Arial"/>
          <w:sz w:val="24"/>
          <w:szCs w:val="24"/>
        </w:rPr>
        <w:t xml:space="preserve">From this point of view, one can see how well the business is meeting their needs and how satisfied they are with the goods and services that they offer. The happiness of the business's consumers is a measure of its success. Obviously, the profitability of a business can be impacted by how it handles its consumers. Some of the core metrics will include evaluating acquisition rate, brand recognition, brand equity, referral intent. Customer perception of service quality and expectations of charging convenience is also important. </w:t>
      </w:r>
      <w:r w:rsidR="003E573B" w:rsidRPr="00417EF3">
        <w:rPr>
          <w:rFonts w:ascii="Arial" w:hAnsi="Arial" w:cs="Arial"/>
          <w:sz w:val="24"/>
          <w:szCs w:val="24"/>
        </w:rPr>
        <w:t xml:space="preserve">For Rivian to perform very well, it is important that they take advantage of their focused differentiation and improve customer perception of service quality. </w:t>
      </w:r>
    </w:p>
    <w:p w14:paraId="207857E7" w14:textId="1008ADEB" w:rsidR="003E573B" w:rsidRPr="00417EF3" w:rsidRDefault="003E573B" w:rsidP="00417EF3">
      <w:pPr>
        <w:spacing w:line="360" w:lineRule="auto"/>
        <w:jc w:val="both"/>
        <w:rPr>
          <w:rFonts w:ascii="Arial" w:hAnsi="Arial" w:cs="Arial"/>
          <w:sz w:val="24"/>
          <w:szCs w:val="24"/>
        </w:rPr>
      </w:pPr>
      <w:r w:rsidRPr="00417EF3">
        <w:rPr>
          <w:rFonts w:ascii="Arial" w:hAnsi="Arial" w:cs="Arial"/>
          <w:sz w:val="24"/>
          <w:szCs w:val="24"/>
        </w:rPr>
        <w:t xml:space="preserve">The role of internal processes is intended to evaluate how Rivian </w:t>
      </w:r>
      <w:proofErr w:type="gramStart"/>
      <w:r w:rsidRPr="00417EF3">
        <w:rPr>
          <w:rFonts w:ascii="Arial" w:hAnsi="Arial" w:cs="Arial"/>
          <w:sz w:val="24"/>
          <w:szCs w:val="24"/>
        </w:rPr>
        <w:t>is able to</w:t>
      </w:r>
      <w:proofErr w:type="gramEnd"/>
      <w:r w:rsidRPr="00417EF3">
        <w:rPr>
          <w:rFonts w:ascii="Arial" w:hAnsi="Arial" w:cs="Arial"/>
          <w:sz w:val="24"/>
          <w:szCs w:val="24"/>
        </w:rPr>
        <w:t xml:space="preserve"> manage its overall entry and localisation. </w:t>
      </w:r>
      <w:proofErr w:type="gramStart"/>
      <w:r w:rsidRPr="00417EF3">
        <w:rPr>
          <w:rFonts w:ascii="Arial" w:hAnsi="Arial" w:cs="Arial"/>
          <w:sz w:val="24"/>
          <w:szCs w:val="24"/>
        </w:rPr>
        <w:t>In particular it</w:t>
      </w:r>
      <w:proofErr w:type="gramEnd"/>
      <w:r w:rsidRPr="00417EF3">
        <w:rPr>
          <w:rFonts w:ascii="Arial" w:hAnsi="Arial" w:cs="Arial"/>
          <w:sz w:val="24"/>
          <w:szCs w:val="24"/>
        </w:rPr>
        <w:t xml:space="preserve"> examines the efficacy of internal processes of the organisation. Key indicators that Rivian could include is identifying the effectiveness of its JV partners, identifying local components, examining supplier reliability, managing production lead time and overall quality management. Progress in these categories could be indicative of Rivian being able to overcome operational weakness with respect to its local supply chain. </w:t>
      </w:r>
    </w:p>
    <w:p w14:paraId="037C29F7" w14:textId="229F772C" w:rsidR="00AF32E1" w:rsidRDefault="00AF32E1" w:rsidP="00417EF3">
      <w:pPr>
        <w:spacing w:line="360" w:lineRule="auto"/>
        <w:jc w:val="both"/>
        <w:rPr>
          <w:rFonts w:ascii="Arial" w:hAnsi="Arial" w:cs="Arial"/>
          <w:sz w:val="24"/>
          <w:szCs w:val="24"/>
        </w:rPr>
      </w:pPr>
      <w:r w:rsidRPr="00417EF3">
        <w:rPr>
          <w:rFonts w:ascii="Arial" w:hAnsi="Arial" w:cs="Arial"/>
          <w:sz w:val="24"/>
          <w:szCs w:val="24"/>
        </w:rPr>
        <w:t>The learning growth perspective is intended to evaluate the ability of the organisation to learn and grow. This can evaluate determinants like leadership, culture of the entity</w:t>
      </w:r>
      <w:r w:rsidR="00B92829" w:rsidRPr="00417EF3">
        <w:rPr>
          <w:rFonts w:ascii="Arial" w:hAnsi="Arial" w:cs="Arial"/>
          <w:sz w:val="24"/>
          <w:szCs w:val="24"/>
        </w:rPr>
        <w:t xml:space="preserve"> and underlying skills set. Indicators of workforce </w:t>
      </w:r>
      <w:r w:rsidR="00417EF3" w:rsidRPr="00417EF3">
        <w:rPr>
          <w:rFonts w:ascii="Arial" w:hAnsi="Arial" w:cs="Arial"/>
          <w:sz w:val="24"/>
          <w:szCs w:val="24"/>
        </w:rPr>
        <w:t xml:space="preserve">development will include investment in local R&amp;D and engineering, improving learning and evaluation frameworks, adapting digital innovation to local needs, learning from the partner organisation. </w:t>
      </w:r>
      <w:r w:rsidR="004045B1">
        <w:rPr>
          <w:rFonts w:ascii="Arial" w:hAnsi="Arial" w:cs="Arial"/>
          <w:sz w:val="24"/>
          <w:szCs w:val="24"/>
        </w:rPr>
        <w:t>This dimension is important given the reliance on technology</w:t>
      </w:r>
      <w:r w:rsidR="00EE37F6">
        <w:rPr>
          <w:rFonts w:ascii="Arial" w:hAnsi="Arial" w:cs="Arial"/>
          <w:sz w:val="24"/>
          <w:szCs w:val="24"/>
        </w:rPr>
        <w:t xml:space="preserve"> and the need to provide the JV partner with its software driven innovation. </w:t>
      </w:r>
    </w:p>
    <w:p w14:paraId="6521FFE5" w14:textId="77777777" w:rsidR="00C52331" w:rsidRDefault="00C52331" w:rsidP="00417EF3">
      <w:pPr>
        <w:spacing w:line="360" w:lineRule="auto"/>
        <w:jc w:val="both"/>
        <w:rPr>
          <w:rFonts w:ascii="Arial" w:hAnsi="Arial" w:cs="Arial"/>
          <w:sz w:val="24"/>
          <w:szCs w:val="24"/>
        </w:rPr>
      </w:pPr>
    </w:p>
    <w:p w14:paraId="52526E47" w14:textId="201A79CA" w:rsidR="00215F27" w:rsidRPr="00252B36" w:rsidRDefault="00215F27" w:rsidP="00215F27">
      <w:pPr>
        <w:pStyle w:val="Caption"/>
        <w:rPr>
          <w:rFonts w:ascii="Arial" w:hAnsi="Arial" w:cs="Arial"/>
          <w:b/>
          <w:bCs/>
          <w:i w:val="0"/>
          <w:iCs w:val="0"/>
          <w:color w:val="auto"/>
          <w:sz w:val="24"/>
          <w:szCs w:val="24"/>
        </w:rPr>
      </w:pPr>
      <w:bookmarkStart w:id="36" w:name="_Toc217240592"/>
      <w:r w:rsidRPr="00252B36">
        <w:rPr>
          <w:rFonts w:ascii="Arial" w:hAnsi="Arial" w:cs="Arial"/>
          <w:b/>
          <w:bCs/>
          <w:i w:val="0"/>
          <w:iCs w:val="0"/>
          <w:color w:val="auto"/>
          <w:sz w:val="24"/>
          <w:szCs w:val="24"/>
        </w:rPr>
        <w:lastRenderedPageBreak/>
        <w:t xml:space="preserve">Figure </w:t>
      </w:r>
      <w:r w:rsidRPr="00252B36">
        <w:rPr>
          <w:rFonts w:ascii="Arial" w:hAnsi="Arial" w:cs="Arial"/>
          <w:b/>
          <w:bCs/>
          <w:i w:val="0"/>
          <w:iCs w:val="0"/>
          <w:color w:val="auto"/>
          <w:sz w:val="24"/>
          <w:szCs w:val="24"/>
        </w:rPr>
        <w:fldChar w:fldCharType="begin"/>
      </w:r>
      <w:r w:rsidRPr="00252B36">
        <w:rPr>
          <w:rFonts w:ascii="Arial" w:hAnsi="Arial" w:cs="Arial"/>
          <w:b/>
          <w:bCs/>
          <w:i w:val="0"/>
          <w:iCs w:val="0"/>
          <w:color w:val="auto"/>
          <w:sz w:val="24"/>
          <w:szCs w:val="24"/>
        </w:rPr>
        <w:instrText xml:space="preserve"> SEQ Figure \* ARABIC </w:instrText>
      </w:r>
      <w:r w:rsidRPr="00252B36">
        <w:rPr>
          <w:rFonts w:ascii="Arial" w:hAnsi="Arial" w:cs="Arial"/>
          <w:b/>
          <w:bCs/>
          <w:i w:val="0"/>
          <w:iCs w:val="0"/>
          <w:color w:val="auto"/>
          <w:sz w:val="24"/>
          <w:szCs w:val="24"/>
        </w:rPr>
        <w:fldChar w:fldCharType="separate"/>
      </w:r>
      <w:r w:rsidR="00252B36">
        <w:rPr>
          <w:rFonts w:ascii="Arial" w:hAnsi="Arial" w:cs="Arial"/>
          <w:b/>
          <w:bCs/>
          <w:i w:val="0"/>
          <w:iCs w:val="0"/>
          <w:noProof/>
          <w:color w:val="auto"/>
          <w:sz w:val="24"/>
          <w:szCs w:val="24"/>
        </w:rPr>
        <w:t>2</w:t>
      </w:r>
      <w:r w:rsidRPr="00252B36">
        <w:rPr>
          <w:rFonts w:ascii="Arial" w:hAnsi="Arial" w:cs="Arial"/>
          <w:b/>
          <w:bCs/>
          <w:i w:val="0"/>
          <w:iCs w:val="0"/>
          <w:color w:val="auto"/>
          <w:sz w:val="24"/>
          <w:szCs w:val="24"/>
        </w:rPr>
        <w:fldChar w:fldCharType="end"/>
      </w:r>
      <w:r w:rsidRPr="00252B36">
        <w:rPr>
          <w:rFonts w:ascii="Arial" w:hAnsi="Arial" w:cs="Arial"/>
          <w:b/>
          <w:bCs/>
          <w:i w:val="0"/>
          <w:iCs w:val="0"/>
          <w:color w:val="auto"/>
          <w:sz w:val="24"/>
          <w:szCs w:val="24"/>
        </w:rPr>
        <w:t>: Balanced Score Card</w:t>
      </w:r>
      <w:bookmarkEnd w:id="36"/>
    </w:p>
    <w:p w14:paraId="5D77462E" w14:textId="3C5E8E89" w:rsidR="00215F27" w:rsidRDefault="00215F27" w:rsidP="00417EF3">
      <w:pPr>
        <w:spacing w:line="360" w:lineRule="auto"/>
        <w:jc w:val="both"/>
        <w:rPr>
          <w:rFonts w:ascii="Arial" w:hAnsi="Arial" w:cs="Arial"/>
          <w:sz w:val="24"/>
          <w:szCs w:val="24"/>
        </w:rPr>
      </w:pPr>
      <w:r w:rsidRPr="00215F27">
        <w:rPr>
          <w:rFonts w:ascii="Arial" w:hAnsi="Arial" w:cs="Arial"/>
          <w:noProof/>
          <w:sz w:val="24"/>
          <w:szCs w:val="24"/>
        </w:rPr>
        <w:drawing>
          <wp:inline distT="0" distB="0" distL="0" distR="0" wp14:anchorId="128EFB95" wp14:editId="1AF0AC3B">
            <wp:extent cx="5124450" cy="2491258"/>
            <wp:effectExtent l="0" t="0" r="0" b="4445"/>
            <wp:docPr id="1972363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363715" name=""/>
                    <pic:cNvPicPr/>
                  </pic:nvPicPr>
                  <pic:blipFill>
                    <a:blip r:embed="rId11"/>
                    <a:stretch>
                      <a:fillRect/>
                    </a:stretch>
                  </pic:blipFill>
                  <pic:spPr>
                    <a:xfrm>
                      <a:off x="0" y="0"/>
                      <a:ext cx="5127585" cy="2492782"/>
                    </a:xfrm>
                    <a:prstGeom prst="rect">
                      <a:avLst/>
                    </a:prstGeom>
                  </pic:spPr>
                </pic:pic>
              </a:graphicData>
            </a:graphic>
          </wp:inline>
        </w:drawing>
      </w:r>
    </w:p>
    <w:p w14:paraId="50AB10B6" w14:textId="77777777" w:rsidR="00C52331" w:rsidRPr="00417EF3" w:rsidRDefault="00C52331" w:rsidP="00417EF3">
      <w:pPr>
        <w:spacing w:line="360" w:lineRule="auto"/>
        <w:jc w:val="both"/>
        <w:rPr>
          <w:rFonts w:ascii="Arial" w:hAnsi="Arial" w:cs="Arial"/>
          <w:sz w:val="24"/>
          <w:szCs w:val="24"/>
        </w:rPr>
      </w:pPr>
    </w:p>
    <w:p w14:paraId="77B6C341" w14:textId="0145C333" w:rsidR="00637554" w:rsidRDefault="00637554" w:rsidP="00D831EE">
      <w:pPr>
        <w:pStyle w:val="Heading2"/>
        <w:numPr>
          <w:ilvl w:val="1"/>
          <w:numId w:val="13"/>
        </w:numPr>
      </w:pPr>
      <w:bookmarkStart w:id="37" w:name="_Toc217240582"/>
      <w:r w:rsidRPr="008C035E">
        <w:t>Triple Bottom Line Integration</w:t>
      </w:r>
      <w:bookmarkEnd w:id="37"/>
    </w:p>
    <w:p w14:paraId="39DD8C5C" w14:textId="77777777" w:rsidR="00FB35A7" w:rsidRDefault="00FB35A7" w:rsidP="008C035E">
      <w:pPr>
        <w:spacing w:line="360" w:lineRule="auto"/>
        <w:jc w:val="both"/>
        <w:rPr>
          <w:rFonts w:ascii="Arial" w:hAnsi="Arial" w:cs="Arial"/>
          <w:sz w:val="24"/>
          <w:szCs w:val="24"/>
        </w:rPr>
      </w:pPr>
      <w:r>
        <w:rPr>
          <w:rFonts w:ascii="Arial" w:hAnsi="Arial" w:cs="Arial"/>
          <w:sz w:val="24"/>
          <w:szCs w:val="24"/>
        </w:rPr>
        <w:t xml:space="preserve">Triple bottom line focuses on balancing economic, social and environmental indicators. </w:t>
      </w:r>
    </w:p>
    <w:p w14:paraId="235B4D08" w14:textId="11711273" w:rsidR="00EB527D" w:rsidRDefault="004A6C01" w:rsidP="008C035E">
      <w:pPr>
        <w:spacing w:line="360" w:lineRule="auto"/>
        <w:jc w:val="both"/>
        <w:rPr>
          <w:rFonts w:ascii="Arial" w:hAnsi="Arial" w:cs="Arial"/>
          <w:sz w:val="24"/>
          <w:szCs w:val="24"/>
        </w:rPr>
      </w:pPr>
      <w:r>
        <w:rPr>
          <w:rFonts w:ascii="Arial" w:hAnsi="Arial" w:cs="Arial"/>
          <w:sz w:val="24"/>
          <w:szCs w:val="24"/>
        </w:rPr>
        <w:t xml:space="preserve">From an economic perspective, it is important that any monitoring of growth that occurs takes place with a focus on long-term economic sustainability. Though immediate profits are not expected it is important to recognise if Rivian through its expansion to India would be able to achieve cost-efficiency long term (10 years). Furthermore, from an economic perspective, it is important to examine if Rivian </w:t>
      </w:r>
      <w:proofErr w:type="gramStart"/>
      <w:r>
        <w:rPr>
          <w:rFonts w:ascii="Arial" w:hAnsi="Arial" w:cs="Arial"/>
          <w:sz w:val="24"/>
          <w:szCs w:val="24"/>
        </w:rPr>
        <w:t>is able to</w:t>
      </w:r>
      <w:proofErr w:type="gramEnd"/>
      <w:r>
        <w:rPr>
          <w:rFonts w:ascii="Arial" w:hAnsi="Arial" w:cs="Arial"/>
          <w:sz w:val="24"/>
          <w:szCs w:val="24"/>
        </w:rPr>
        <w:t xml:space="preserve"> become economically sustainable in accessing the local EV ecosystem. This will directly translate to long-term </w:t>
      </w:r>
      <w:r w:rsidR="00EB527D">
        <w:rPr>
          <w:rFonts w:ascii="Arial" w:hAnsi="Arial" w:cs="Arial"/>
          <w:sz w:val="24"/>
          <w:szCs w:val="24"/>
        </w:rPr>
        <w:t xml:space="preserve">ability of the firm to get more ownership in the joint-partnership.  They need to be able to maintain operations in India without excessive reliance on subsidies or external financing. </w:t>
      </w:r>
    </w:p>
    <w:p w14:paraId="3A327BD9" w14:textId="08E86FA5" w:rsidR="00637554" w:rsidRPr="008C035E" w:rsidRDefault="00EB527D" w:rsidP="00EB527D">
      <w:pPr>
        <w:spacing w:line="360" w:lineRule="auto"/>
        <w:jc w:val="both"/>
        <w:rPr>
          <w:rFonts w:ascii="Arial" w:hAnsi="Arial" w:cs="Arial"/>
          <w:sz w:val="24"/>
          <w:szCs w:val="24"/>
        </w:rPr>
      </w:pPr>
      <w:r>
        <w:rPr>
          <w:rFonts w:ascii="Arial" w:hAnsi="Arial" w:cs="Arial"/>
          <w:sz w:val="24"/>
          <w:szCs w:val="24"/>
        </w:rPr>
        <w:t xml:space="preserve">From a social perspective, Rivian can look at building the EV ecosystem. They can form policy initiatives and engagements with state and central governments to improve skills. They can work to identify better pathways to job creations and workforce diversity and development.  From an environmental perspective, </w:t>
      </w:r>
      <w:r w:rsidR="00FB35A7">
        <w:rPr>
          <w:rFonts w:ascii="Arial" w:hAnsi="Arial" w:cs="Arial"/>
          <w:sz w:val="24"/>
          <w:szCs w:val="24"/>
        </w:rPr>
        <w:t xml:space="preserve">the focus would be on improving overall total cost of ownership and impact, lifecycle emission, energy efficiency, circular economy. Additionally, they should also look at transparent reporting strategies. </w:t>
      </w:r>
    </w:p>
    <w:p w14:paraId="719CF5F0" w14:textId="129538F1" w:rsidR="00637554" w:rsidRPr="008C035E" w:rsidRDefault="00637554" w:rsidP="00D831EE">
      <w:pPr>
        <w:pStyle w:val="Heading2"/>
        <w:numPr>
          <w:ilvl w:val="1"/>
          <w:numId w:val="13"/>
        </w:numPr>
      </w:pPr>
      <w:bookmarkStart w:id="38" w:name="_Toc217240583"/>
      <w:r w:rsidRPr="008C035E">
        <w:lastRenderedPageBreak/>
        <w:t>Monitoring and Governance Mechanisms</w:t>
      </w:r>
      <w:bookmarkEnd w:id="38"/>
    </w:p>
    <w:p w14:paraId="2D93F6F8" w14:textId="473F1EB3" w:rsidR="00637554" w:rsidRDefault="001C40E0" w:rsidP="008C035E">
      <w:pPr>
        <w:spacing w:line="360" w:lineRule="auto"/>
        <w:jc w:val="both"/>
        <w:rPr>
          <w:rFonts w:ascii="Arial" w:hAnsi="Arial" w:cs="Arial"/>
          <w:sz w:val="24"/>
          <w:szCs w:val="24"/>
        </w:rPr>
      </w:pPr>
      <w:r>
        <w:rPr>
          <w:rFonts w:ascii="Arial" w:hAnsi="Arial" w:cs="Arial"/>
          <w:sz w:val="24"/>
          <w:szCs w:val="24"/>
        </w:rPr>
        <w:t xml:space="preserve">There is also a need to establish the right monitoring and governing mechanisms. They should </w:t>
      </w:r>
      <w:proofErr w:type="gramStart"/>
      <w:r>
        <w:rPr>
          <w:rFonts w:ascii="Arial" w:hAnsi="Arial" w:cs="Arial"/>
          <w:sz w:val="24"/>
          <w:szCs w:val="24"/>
        </w:rPr>
        <w:t>in particular create</w:t>
      </w:r>
      <w:proofErr w:type="gramEnd"/>
      <w:r>
        <w:rPr>
          <w:rFonts w:ascii="Arial" w:hAnsi="Arial" w:cs="Arial"/>
          <w:sz w:val="24"/>
          <w:szCs w:val="24"/>
        </w:rPr>
        <w:t xml:space="preserve"> ways for senior management in India as well as the home country to evaluate progress. Additionally, focusing on dashboard and digital reporting </w:t>
      </w:r>
      <w:r w:rsidR="00323A1B">
        <w:rPr>
          <w:rFonts w:ascii="Arial" w:hAnsi="Arial" w:cs="Arial"/>
          <w:sz w:val="24"/>
          <w:szCs w:val="24"/>
        </w:rPr>
        <w:t>strategies can improve overall transparency protocols. Board oversight is also needed</w:t>
      </w:r>
      <w:r w:rsidR="00146AA0">
        <w:rPr>
          <w:rFonts w:ascii="Arial" w:hAnsi="Arial" w:cs="Arial"/>
          <w:sz w:val="24"/>
          <w:szCs w:val="24"/>
        </w:rPr>
        <w:t xml:space="preserve">. There should be independent evaluation of CSR guidelines and governance goals in India by the board. </w:t>
      </w:r>
    </w:p>
    <w:p w14:paraId="65635792" w14:textId="77777777" w:rsidR="00115096" w:rsidRDefault="00115096" w:rsidP="008C035E">
      <w:pPr>
        <w:spacing w:line="360" w:lineRule="auto"/>
        <w:jc w:val="both"/>
        <w:rPr>
          <w:rFonts w:ascii="Arial" w:hAnsi="Arial" w:cs="Arial"/>
          <w:sz w:val="24"/>
          <w:szCs w:val="24"/>
        </w:rPr>
      </w:pPr>
    </w:p>
    <w:p w14:paraId="7D2EC18A" w14:textId="116DCCAB" w:rsidR="00115096" w:rsidRDefault="00662C57" w:rsidP="00662C57">
      <w:pPr>
        <w:pStyle w:val="Heading1"/>
      </w:pPr>
      <w:bookmarkStart w:id="39" w:name="_Toc217240584"/>
      <w:r>
        <w:t>Conclusion</w:t>
      </w:r>
      <w:bookmarkEnd w:id="39"/>
    </w:p>
    <w:p w14:paraId="0F0A2ACC" w14:textId="0817E18C" w:rsidR="007D6C5F" w:rsidRPr="00662C57" w:rsidRDefault="00662C57" w:rsidP="007D6C5F">
      <w:pPr>
        <w:spacing w:line="360" w:lineRule="auto"/>
        <w:jc w:val="both"/>
        <w:rPr>
          <w:rFonts w:ascii="Arial" w:hAnsi="Arial" w:cs="Arial"/>
          <w:sz w:val="24"/>
          <w:szCs w:val="32"/>
        </w:rPr>
      </w:pPr>
      <w:r>
        <w:rPr>
          <w:rFonts w:ascii="Arial" w:hAnsi="Arial" w:cs="Arial"/>
          <w:sz w:val="24"/>
          <w:szCs w:val="32"/>
        </w:rPr>
        <w:t xml:space="preserve">This report focuses on the expansion potential for Rivian in India. There has been a comprehensive strategy analysis with strong evidence of Indian </w:t>
      </w:r>
      <w:r w:rsidR="007D6C5F">
        <w:rPr>
          <w:rFonts w:ascii="Arial" w:hAnsi="Arial" w:cs="Arial"/>
          <w:sz w:val="24"/>
          <w:szCs w:val="32"/>
        </w:rPr>
        <w:t xml:space="preserve">electric vehicle growth and increasing demand for SUV. The strategy development highlights need for a joint venture approach using differentiated focus strategy and new market development. </w:t>
      </w:r>
      <w:proofErr w:type="gramStart"/>
      <w:r w:rsidR="007D6C5F">
        <w:rPr>
          <w:rFonts w:ascii="Arial" w:hAnsi="Arial" w:cs="Arial"/>
          <w:sz w:val="24"/>
          <w:szCs w:val="32"/>
        </w:rPr>
        <w:t>In particular a</w:t>
      </w:r>
      <w:proofErr w:type="gramEnd"/>
      <w:r w:rsidR="007D6C5F">
        <w:rPr>
          <w:rFonts w:ascii="Arial" w:hAnsi="Arial" w:cs="Arial"/>
          <w:sz w:val="24"/>
          <w:szCs w:val="32"/>
        </w:rPr>
        <w:t xml:space="preserve"> phased market development strategy is recommended to enhance balanc</w:t>
      </w:r>
      <w:r w:rsidR="00695B2A">
        <w:rPr>
          <w:rFonts w:ascii="Arial" w:hAnsi="Arial" w:cs="Arial"/>
          <w:sz w:val="24"/>
          <w:szCs w:val="32"/>
        </w:rPr>
        <w:t>ed</w:t>
      </w:r>
      <w:r w:rsidR="007D6C5F">
        <w:rPr>
          <w:rFonts w:ascii="Arial" w:hAnsi="Arial" w:cs="Arial"/>
          <w:sz w:val="24"/>
          <w:szCs w:val="32"/>
        </w:rPr>
        <w:t xml:space="preserve"> growth</w:t>
      </w:r>
      <w:r w:rsidR="00CD54F9">
        <w:rPr>
          <w:rFonts w:ascii="Arial" w:hAnsi="Arial" w:cs="Arial"/>
          <w:sz w:val="24"/>
          <w:szCs w:val="32"/>
        </w:rPr>
        <w:t xml:space="preserve">. </w:t>
      </w:r>
    </w:p>
    <w:p w14:paraId="17BB249D" w14:textId="77777777" w:rsidR="00662C57" w:rsidRPr="00662C57" w:rsidRDefault="00662C57" w:rsidP="00662C57"/>
    <w:p w14:paraId="44944ECA" w14:textId="77777777" w:rsidR="00A9059D" w:rsidRPr="008C035E" w:rsidRDefault="00A9059D" w:rsidP="008C035E">
      <w:pPr>
        <w:spacing w:line="360" w:lineRule="auto"/>
        <w:jc w:val="both"/>
        <w:rPr>
          <w:rFonts w:ascii="Arial" w:hAnsi="Arial" w:cs="Arial"/>
          <w:sz w:val="24"/>
          <w:szCs w:val="24"/>
        </w:rPr>
      </w:pPr>
    </w:p>
    <w:p w14:paraId="089F71A1" w14:textId="77777777" w:rsidR="00A9059D" w:rsidRPr="008C035E" w:rsidRDefault="00A9059D" w:rsidP="008C035E">
      <w:pPr>
        <w:spacing w:line="360" w:lineRule="auto"/>
        <w:jc w:val="both"/>
        <w:rPr>
          <w:rFonts w:ascii="Arial" w:hAnsi="Arial" w:cs="Arial"/>
          <w:sz w:val="24"/>
          <w:szCs w:val="24"/>
        </w:rPr>
      </w:pPr>
    </w:p>
    <w:p w14:paraId="67D6E396" w14:textId="77777777" w:rsidR="00A9059D" w:rsidRPr="008C035E" w:rsidRDefault="00A9059D" w:rsidP="008C035E">
      <w:pPr>
        <w:spacing w:line="360" w:lineRule="auto"/>
        <w:jc w:val="both"/>
        <w:rPr>
          <w:rFonts w:ascii="Arial" w:hAnsi="Arial" w:cs="Arial"/>
          <w:sz w:val="24"/>
          <w:szCs w:val="24"/>
        </w:rPr>
      </w:pPr>
    </w:p>
    <w:p w14:paraId="39E5D0E0" w14:textId="77777777" w:rsidR="00A9059D" w:rsidRPr="008C035E" w:rsidRDefault="00A9059D" w:rsidP="008C035E">
      <w:pPr>
        <w:spacing w:line="360" w:lineRule="auto"/>
        <w:jc w:val="both"/>
        <w:rPr>
          <w:rFonts w:ascii="Arial" w:hAnsi="Arial" w:cs="Arial"/>
          <w:sz w:val="24"/>
          <w:szCs w:val="24"/>
        </w:rPr>
      </w:pPr>
    </w:p>
    <w:p w14:paraId="30F7DCD6" w14:textId="26EB6B97" w:rsidR="00435CA1" w:rsidRDefault="00435CA1">
      <w:pPr>
        <w:rPr>
          <w:rFonts w:ascii="Arial" w:hAnsi="Arial" w:cs="Arial"/>
          <w:sz w:val="24"/>
          <w:szCs w:val="24"/>
        </w:rPr>
      </w:pPr>
      <w:r>
        <w:rPr>
          <w:rFonts w:ascii="Arial" w:hAnsi="Arial" w:cs="Arial"/>
          <w:sz w:val="24"/>
          <w:szCs w:val="24"/>
        </w:rPr>
        <w:br w:type="page"/>
      </w:r>
    </w:p>
    <w:p w14:paraId="308B568C" w14:textId="13DEF147" w:rsidR="005C3C90" w:rsidRDefault="00435CA1" w:rsidP="00435CA1">
      <w:pPr>
        <w:pStyle w:val="Heading1"/>
      </w:pPr>
      <w:bookmarkStart w:id="40" w:name="_Toc217240585"/>
      <w:r>
        <w:lastRenderedPageBreak/>
        <w:t>References</w:t>
      </w:r>
      <w:bookmarkEnd w:id="40"/>
      <w:r>
        <w:t xml:space="preserve"> </w:t>
      </w:r>
    </w:p>
    <w:p w14:paraId="0DBE27F1" w14:textId="18C6D891"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Akan, O., Allen, R.S., Helms, M.M. and </w:t>
      </w:r>
      <w:proofErr w:type="spellStart"/>
      <w:r w:rsidRPr="00416F39">
        <w:rPr>
          <w:rFonts w:ascii="Arial" w:hAnsi="Arial" w:cs="Arial"/>
          <w:sz w:val="24"/>
          <w:szCs w:val="24"/>
        </w:rPr>
        <w:t>Spralls</w:t>
      </w:r>
      <w:proofErr w:type="spellEnd"/>
      <w:r w:rsidRPr="00416F39">
        <w:rPr>
          <w:rFonts w:ascii="Arial" w:hAnsi="Arial" w:cs="Arial"/>
          <w:sz w:val="24"/>
          <w:szCs w:val="24"/>
        </w:rPr>
        <w:t xml:space="preserve"> III, S.A. (2006) ‘Critical tactics for implementing Porter’s generic strategies’, </w:t>
      </w:r>
      <w:r w:rsidRPr="00416F39">
        <w:rPr>
          <w:rFonts w:ascii="Arial" w:hAnsi="Arial" w:cs="Arial"/>
          <w:i/>
          <w:iCs/>
          <w:sz w:val="24"/>
          <w:szCs w:val="24"/>
        </w:rPr>
        <w:t>Journal of Business Strategy</w:t>
      </w:r>
      <w:r w:rsidRPr="00416F39">
        <w:rPr>
          <w:rFonts w:ascii="Arial" w:hAnsi="Arial" w:cs="Arial"/>
          <w:sz w:val="24"/>
          <w:szCs w:val="24"/>
        </w:rPr>
        <w:t>, 27(1), pp. 43–53.</w:t>
      </w:r>
      <w:r w:rsidR="00143526" w:rsidRPr="00416F39">
        <w:rPr>
          <w:rFonts w:ascii="Arial" w:hAnsi="Arial" w:cs="Arial"/>
          <w:sz w:val="24"/>
          <w:szCs w:val="24"/>
        </w:rPr>
        <w:t xml:space="preserve"> </w:t>
      </w:r>
      <w:hyperlink r:id="rId12" w:tgtFrame="_blank" w:history="1">
        <w:r w:rsidR="00143526" w:rsidRPr="00416F39">
          <w:rPr>
            <w:rStyle w:val="Hyperlink"/>
            <w:rFonts w:ascii="Arial" w:hAnsi="Arial" w:cs="Arial"/>
            <w:color w:val="38A6CB"/>
            <w:sz w:val="24"/>
            <w:szCs w:val="24"/>
            <w:shd w:val="clear" w:color="auto" w:fill="FFFFFF"/>
          </w:rPr>
          <w:t>https://doi.org/10.1108</w:t>
        </w:r>
        <w:r w:rsidR="00143526" w:rsidRPr="00416F39">
          <w:rPr>
            <w:rStyle w:val="Hyperlink"/>
            <w:rFonts w:ascii="Arial" w:hAnsi="Arial" w:cs="Arial"/>
            <w:color w:val="38A6CB"/>
            <w:sz w:val="24"/>
            <w:szCs w:val="24"/>
            <w:shd w:val="clear" w:color="auto" w:fill="FFFFFF"/>
          </w:rPr>
          <w:t>/</w:t>
        </w:r>
        <w:r w:rsidR="00143526" w:rsidRPr="00416F39">
          <w:rPr>
            <w:rStyle w:val="Hyperlink"/>
            <w:rFonts w:ascii="Arial" w:hAnsi="Arial" w:cs="Arial"/>
            <w:color w:val="38A6CB"/>
            <w:sz w:val="24"/>
            <w:szCs w:val="24"/>
            <w:shd w:val="clear" w:color="auto" w:fill="FFFFFF"/>
          </w:rPr>
          <w:t>02756660610640173 </w:t>
        </w:r>
      </w:hyperlink>
    </w:p>
    <w:p w14:paraId="530EF283" w14:textId="02660538"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Alpha Spread (2025) </w:t>
      </w:r>
      <w:r w:rsidRPr="00416F39">
        <w:rPr>
          <w:rFonts w:ascii="Arial" w:hAnsi="Arial" w:cs="Arial"/>
          <w:i/>
          <w:iCs/>
          <w:sz w:val="24"/>
          <w:szCs w:val="24"/>
        </w:rPr>
        <w:t>Rivian stock jumps 15% following analyst upgrade and positive outlook</w:t>
      </w:r>
      <w:r w:rsidRPr="00416F39">
        <w:rPr>
          <w:rFonts w:ascii="Arial" w:hAnsi="Arial" w:cs="Arial"/>
          <w:sz w:val="24"/>
          <w:szCs w:val="24"/>
        </w:rPr>
        <w:t xml:space="preserve">. </w:t>
      </w:r>
      <w:hyperlink r:id="rId13" w:tgtFrame="_new" w:history="1">
        <w:r w:rsidRPr="00416F39">
          <w:rPr>
            <w:rStyle w:val="Hyperlink"/>
            <w:rFonts w:ascii="Arial" w:hAnsi="Arial" w:cs="Arial"/>
            <w:sz w:val="24"/>
            <w:szCs w:val="24"/>
          </w:rPr>
          <w:t>https://www.alphaspread.com/market-news/analyst-ratings/rivian-stock-jumps-15-following-analyst-upgrade-and-positive-outlook</w:t>
        </w:r>
      </w:hyperlink>
      <w:r w:rsidRPr="00416F39">
        <w:rPr>
          <w:rFonts w:ascii="Arial" w:hAnsi="Arial" w:cs="Arial"/>
          <w:sz w:val="24"/>
          <w:szCs w:val="24"/>
        </w:rPr>
        <w:t xml:space="preserve"> (Accessed: 17 December 2025).</w:t>
      </w:r>
    </w:p>
    <w:p w14:paraId="7F7A5AA3"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Castellano, S., </w:t>
      </w:r>
      <w:proofErr w:type="spellStart"/>
      <w:r w:rsidRPr="00416F39">
        <w:rPr>
          <w:rFonts w:ascii="Arial" w:hAnsi="Arial" w:cs="Arial"/>
          <w:sz w:val="24"/>
          <w:szCs w:val="24"/>
        </w:rPr>
        <w:t>Maalaoui</w:t>
      </w:r>
      <w:proofErr w:type="spellEnd"/>
      <w:r w:rsidRPr="00416F39">
        <w:rPr>
          <w:rFonts w:ascii="Arial" w:hAnsi="Arial" w:cs="Arial"/>
          <w:sz w:val="24"/>
          <w:szCs w:val="24"/>
        </w:rPr>
        <w:t xml:space="preserve">, A. and </w:t>
      </w:r>
      <w:proofErr w:type="spellStart"/>
      <w:r w:rsidRPr="00416F39">
        <w:rPr>
          <w:rFonts w:ascii="Arial" w:hAnsi="Arial" w:cs="Arial"/>
          <w:sz w:val="24"/>
          <w:szCs w:val="24"/>
        </w:rPr>
        <w:t>Springuel</w:t>
      </w:r>
      <w:proofErr w:type="spellEnd"/>
      <w:r w:rsidRPr="00416F39">
        <w:rPr>
          <w:rFonts w:ascii="Arial" w:hAnsi="Arial" w:cs="Arial"/>
          <w:sz w:val="24"/>
          <w:szCs w:val="24"/>
        </w:rPr>
        <w:t xml:space="preserve">, A. (2015) ‘Expanding location advantages from agglomeration: a legitimacy perspective of global location portfolios in the electric vehicle industry’, </w:t>
      </w:r>
      <w:r w:rsidRPr="00416F39">
        <w:rPr>
          <w:rFonts w:ascii="Arial" w:hAnsi="Arial" w:cs="Arial"/>
          <w:i/>
          <w:iCs/>
          <w:sz w:val="24"/>
          <w:szCs w:val="24"/>
        </w:rPr>
        <w:t>International Journal of Entrepreneurship and Innovation Management</w:t>
      </w:r>
      <w:r w:rsidRPr="00416F39">
        <w:rPr>
          <w:rFonts w:ascii="Arial" w:hAnsi="Arial" w:cs="Arial"/>
          <w:sz w:val="24"/>
          <w:szCs w:val="24"/>
        </w:rPr>
        <w:t>, 19(5–6), pp. 343–362.</w:t>
      </w:r>
    </w:p>
    <w:p w14:paraId="13F41142" w14:textId="0CD83D7E"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Chakraborty, D., </w:t>
      </w:r>
      <w:proofErr w:type="spellStart"/>
      <w:r w:rsidRPr="00416F39">
        <w:rPr>
          <w:rFonts w:ascii="Arial" w:hAnsi="Arial" w:cs="Arial"/>
          <w:sz w:val="24"/>
          <w:szCs w:val="24"/>
        </w:rPr>
        <w:t>Chaisse</w:t>
      </w:r>
      <w:proofErr w:type="spellEnd"/>
      <w:r w:rsidRPr="00416F39">
        <w:rPr>
          <w:rFonts w:ascii="Arial" w:hAnsi="Arial" w:cs="Arial"/>
          <w:sz w:val="24"/>
          <w:szCs w:val="24"/>
        </w:rPr>
        <w:t xml:space="preserve">, J. and Pahari, S. (2020) ‘Global auto industry and product standards: a critical review of India’s economic and regulatory experience’, </w:t>
      </w:r>
      <w:r w:rsidRPr="00416F39">
        <w:rPr>
          <w:rFonts w:ascii="Arial" w:hAnsi="Arial" w:cs="Arial"/>
          <w:i/>
          <w:iCs/>
          <w:sz w:val="24"/>
          <w:szCs w:val="24"/>
        </w:rPr>
        <w:t>Journal of International Trade Law and Policy</w:t>
      </w:r>
      <w:r w:rsidRPr="00416F39">
        <w:rPr>
          <w:rFonts w:ascii="Arial" w:hAnsi="Arial" w:cs="Arial"/>
          <w:sz w:val="24"/>
          <w:szCs w:val="24"/>
        </w:rPr>
        <w:t>, 19(1), pp. 8–35.</w:t>
      </w:r>
      <w:r w:rsidR="00BA4FD7" w:rsidRPr="00416F39">
        <w:rPr>
          <w:rFonts w:ascii="Arial" w:hAnsi="Arial" w:cs="Arial"/>
          <w:sz w:val="24"/>
          <w:szCs w:val="24"/>
        </w:rPr>
        <w:t xml:space="preserve"> </w:t>
      </w:r>
      <w:hyperlink r:id="rId14" w:tgtFrame="_blank" w:history="1">
        <w:r w:rsidR="00BA4FD7" w:rsidRPr="00416F39">
          <w:rPr>
            <w:rStyle w:val="Hyperlink"/>
            <w:rFonts w:ascii="Arial" w:hAnsi="Arial" w:cs="Arial"/>
            <w:color w:val="38A6CB"/>
            <w:sz w:val="24"/>
            <w:szCs w:val="24"/>
            <w:shd w:val="clear" w:color="auto" w:fill="FFFFFF"/>
          </w:rPr>
          <w:t> https://doi.org/10.1108/jitlp-10-2019-0063 </w:t>
        </w:r>
      </w:hyperlink>
    </w:p>
    <w:p w14:paraId="1546D623" w14:textId="0DC0B1B9"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Cho, M.J., Bae, K., Byun, J. and Shin, J. (2025) ‘Expanding the identification of key resource combinations for mid- to long-term growth in electric vehicle market entry’, </w:t>
      </w:r>
      <w:r w:rsidRPr="00416F39">
        <w:rPr>
          <w:rFonts w:ascii="Arial" w:hAnsi="Arial" w:cs="Arial"/>
          <w:i/>
          <w:iCs/>
          <w:sz w:val="24"/>
          <w:szCs w:val="24"/>
        </w:rPr>
        <w:t>PLOS ONE</w:t>
      </w:r>
      <w:r w:rsidRPr="00416F39">
        <w:rPr>
          <w:rFonts w:ascii="Arial" w:hAnsi="Arial" w:cs="Arial"/>
          <w:sz w:val="24"/>
          <w:szCs w:val="24"/>
        </w:rPr>
        <w:t>, 20(8), pp. 328–563.</w:t>
      </w:r>
      <w:r w:rsidR="00BA4FD7" w:rsidRPr="00416F39">
        <w:rPr>
          <w:rFonts w:ascii="Arial" w:hAnsi="Arial" w:cs="Arial"/>
          <w:sz w:val="24"/>
          <w:szCs w:val="24"/>
        </w:rPr>
        <w:t xml:space="preserve"> </w:t>
      </w:r>
      <w:hyperlink r:id="rId15" w:tgtFrame="_blank" w:history="1">
        <w:r w:rsidR="00BA4FD7" w:rsidRPr="00416F39">
          <w:rPr>
            <w:rStyle w:val="Hyperlink"/>
            <w:rFonts w:ascii="Arial" w:hAnsi="Arial" w:cs="Arial"/>
            <w:color w:val="38A6CB"/>
            <w:sz w:val="24"/>
            <w:szCs w:val="24"/>
            <w:shd w:val="clear" w:color="auto" w:fill="FFFFFF"/>
          </w:rPr>
          <w:t> https://doi.org/10.1371/journal.pone.0328563 </w:t>
        </w:r>
      </w:hyperlink>
    </w:p>
    <w:p w14:paraId="5991C94A"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CNBC (2025) </w:t>
      </w:r>
      <w:r w:rsidRPr="00416F39">
        <w:rPr>
          <w:rFonts w:ascii="Arial" w:hAnsi="Arial" w:cs="Arial"/>
          <w:i/>
          <w:iCs/>
          <w:sz w:val="24"/>
          <w:szCs w:val="24"/>
        </w:rPr>
        <w:t>Rivian announces new AI tech, chip and robotaxi ambitions</w:t>
      </w:r>
      <w:r w:rsidRPr="00416F39">
        <w:rPr>
          <w:rFonts w:ascii="Arial" w:hAnsi="Arial" w:cs="Arial"/>
          <w:sz w:val="24"/>
          <w:szCs w:val="24"/>
        </w:rPr>
        <w:t xml:space="preserve">. Available at: </w:t>
      </w:r>
      <w:hyperlink r:id="rId16" w:tgtFrame="_new" w:history="1">
        <w:r w:rsidRPr="00416F39">
          <w:rPr>
            <w:rStyle w:val="Hyperlink"/>
            <w:rFonts w:ascii="Arial" w:hAnsi="Arial" w:cs="Arial"/>
            <w:sz w:val="24"/>
            <w:szCs w:val="24"/>
          </w:rPr>
          <w:t>https://www.cnbc.com/2025/12/11/rivian-autonomy-ai-day.html</w:t>
        </w:r>
      </w:hyperlink>
      <w:r w:rsidRPr="00416F39">
        <w:rPr>
          <w:rFonts w:ascii="Arial" w:hAnsi="Arial" w:cs="Arial"/>
          <w:sz w:val="24"/>
          <w:szCs w:val="24"/>
        </w:rPr>
        <w:t xml:space="preserve"> (Accessed: 18 December 2025).</w:t>
      </w:r>
    </w:p>
    <w:p w14:paraId="48E40E26" w14:textId="1EE2E1DA"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Eckert, N. (2025) </w:t>
      </w:r>
      <w:r w:rsidRPr="00416F39">
        <w:rPr>
          <w:rFonts w:ascii="Arial" w:hAnsi="Arial" w:cs="Arial"/>
          <w:i/>
          <w:iCs/>
          <w:sz w:val="24"/>
          <w:szCs w:val="24"/>
        </w:rPr>
        <w:t xml:space="preserve">End of EV tax subsidy sparks </w:t>
      </w:r>
      <w:proofErr w:type="gramStart"/>
      <w:r w:rsidRPr="00416F39">
        <w:rPr>
          <w:rFonts w:ascii="Arial" w:hAnsi="Arial" w:cs="Arial"/>
          <w:i/>
          <w:iCs/>
          <w:sz w:val="24"/>
          <w:szCs w:val="24"/>
        </w:rPr>
        <w:t>worries</w:t>
      </w:r>
      <w:proofErr w:type="gramEnd"/>
      <w:r w:rsidRPr="00416F39">
        <w:rPr>
          <w:rFonts w:ascii="Arial" w:hAnsi="Arial" w:cs="Arial"/>
          <w:i/>
          <w:iCs/>
          <w:sz w:val="24"/>
          <w:szCs w:val="24"/>
        </w:rPr>
        <w:t xml:space="preserve"> of collapse in US electric car sales</w:t>
      </w:r>
      <w:r w:rsidRPr="00416F39">
        <w:rPr>
          <w:rFonts w:ascii="Arial" w:hAnsi="Arial" w:cs="Arial"/>
          <w:sz w:val="24"/>
          <w:szCs w:val="24"/>
        </w:rPr>
        <w:t xml:space="preserve">. </w:t>
      </w:r>
      <w:hyperlink r:id="rId17" w:tgtFrame="_new" w:history="1">
        <w:r w:rsidRPr="00416F39">
          <w:rPr>
            <w:rStyle w:val="Hyperlink"/>
            <w:rFonts w:ascii="Arial" w:hAnsi="Arial" w:cs="Arial"/>
            <w:sz w:val="24"/>
            <w:szCs w:val="24"/>
          </w:rPr>
          <w:t>https://www.reuters.com/business/autos-transportation/car-executives-fear-collapse-ev-sales-us-tax-subsidy-vanishes-2025-10-01/</w:t>
        </w:r>
      </w:hyperlink>
      <w:r w:rsidRPr="00416F39">
        <w:rPr>
          <w:rFonts w:ascii="Arial" w:hAnsi="Arial" w:cs="Arial"/>
          <w:sz w:val="24"/>
          <w:szCs w:val="24"/>
        </w:rPr>
        <w:t xml:space="preserve"> (Accessed: 16 December 2025).</w:t>
      </w:r>
    </w:p>
    <w:p w14:paraId="6FFFA1B7"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Economic Times (2025) </w:t>
      </w:r>
      <w:r w:rsidRPr="00416F39">
        <w:rPr>
          <w:rFonts w:ascii="Arial" w:hAnsi="Arial" w:cs="Arial"/>
          <w:i/>
          <w:iCs/>
          <w:sz w:val="24"/>
          <w:szCs w:val="24"/>
        </w:rPr>
        <w:t>Luxury car sales enter the slow lane in H1</w:t>
      </w:r>
      <w:r w:rsidRPr="00416F39">
        <w:rPr>
          <w:rFonts w:ascii="Arial" w:hAnsi="Arial" w:cs="Arial"/>
          <w:sz w:val="24"/>
          <w:szCs w:val="24"/>
        </w:rPr>
        <w:t xml:space="preserve">. Available at: </w:t>
      </w:r>
      <w:hyperlink r:id="rId18" w:tgtFrame="_new" w:history="1">
        <w:r w:rsidRPr="00416F39">
          <w:rPr>
            <w:rStyle w:val="Hyperlink"/>
            <w:rFonts w:ascii="Arial" w:hAnsi="Arial" w:cs="Arial"/>
            <w:sz w:val="24"/>
            <w:szCs w:val="24"/>
          </w:rPr>
          <w:t>https://economictimes.indiatimes.com/industry/auto/auto-news/luxury-car-sales-enter-the-slow-lane-in-h1/articleshow/122394321.cms</w:t>
        </w:r>
      </w:hyperlink>
      <w:r w:rsidRPr="00416F39">
        <w:rPr>
          <w:rFonts w:ascii="Arial" w:hAnsi="Arial" w:cs="Arial"/>
          <w:sz w:val="24"/>
          <w:szCs w:val="24"/>
        </w:rPr>
        <w:t xml:space="preserve"> (Accessed: 17 December 2025).</w:t>
      </w:r>
    </w:p>
    <w:p w14:paraId="3CEBE87C"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Economist (2024) </w:t>
      </w:r>
      <w:r w:rsidRPr="00416F39">
        <w:rPr>
          <w:rFonts w:ascii="Arial" w:hAnsi="Arial" w:cs="Arial"/>
          <w:i/>
          <w:iCs/>
          <w:sz w:val="24"/>
          <w:szCs w:val="24"/>
        </w:rPr>
        <w:t>India is turning into an SUV country</w:t>
      </w:r>
      <w:r w:rsidRPr="00416F39">
        <w:rPr>
          <w:rFonts w:ascii="Arial" w:hAnsi="Arial" w:cs="Arial"/>
          <w:sz w:val="24"/>
          <w:szCs w:val="24"/>
        </w:rPr>
        <w:t xml:space="preserve">. Available at: </w:t>
      </w:r>
      <w:hyperlink r:id="rId19" w:tgtFrame="_new" w:history="1">
        <w:r w:rsidRPr="00416F39">
          <w:rPr>
            <w:rStyle w:val="Hyperlink"/>
            <w:rFonts w:ascii="Arial" w:hAnsi="Arial" w:cs="Arial"/>
            <w:sz w:val="24"/>
            <w:szCs w:val="24"/>
          </w:rPr>
          <w:t>https://www.economist.com/asia/2024/11/14/india-is-turning-into-an-suv-country</w:t>
        </w:r>
      </w:hyperlink>
      <w:r w:rsidRPr="00416F39">
        <w:rPr>
          <w:rFonts w:ascii="Arial" w:hAnsi="Arial" w:cs="Arial"/>
          <w:sz w:val="24"/>
          <w:szCs w:val="24"/>
        </w:rPr>
        <w:t xml:space="preserve"> (Accessed: 12 December 2025).</w:t>
      </w:r>
    </w:p>
    <w:p w14:paraId="4142B264"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Grand View Research (2025) </w:t>
      </w:r>
      <w:r w:rsidRPr="00416F39">
        <w:rPr>
          <w:rFonts w:ascii="Arial" w:hAnsi="Arial" w:cs="Arial"/>
          <w:i/>
          <w:iCs/>
          <w:sz w:val="24"/>
          <w:szCs w:val="24"/>
        </w:rPr>
        <w:t>India electric vehicle market size and trends</w:t>
      </w:r>
      <w:r w:rsidRPr="00416F39">
        <w:rPr>
          <w:rFonts w:ascii="Arial" w:hAnsi="Arial" w:cs="Arial"/>
          <w:sz w:val="24"/>
          <w:szCs w:val="24"/>
        </w:rPr>
        <w:t xml:space="preserve">. Available at: </w:t>
      </w:r>
      <w:hyperlink r:id="rId20" w:tgtFrame="_new" w:history="1">
        <w:r w:rsidRPr="00416F39">
          <w:rPr>
            <w:rStyle w:val="Hyperlink"/>
            <w:rFonts w:ascii="Arial" w:hAnsi="Arial" w:cs="Arial"/>
            <w:sz w:val="24"/>
            <w:szCs w:val="24"/>
          </w:rPr>
          <w:t>https://www.grandviewresearch.com/industry-analysis/india-electric-vehicle-market-report</w:t>
        </w:r>
      </w:hyperlink>
      <w:r w:rsidRPr="00416F39">
        <w:rPr>
          <w:rFonts w:ascii="Arial" w:hAnsi="Arial" w:cs="Arial"/>
          <w:sz w:val="24"/>
          <w:szCs w:val="24"/>
        </w:rPr>
        <w:t xml:space="preserve"> (Accessed: 13 December 2025).</w:t>
      </w:r>
    </w:p>
    <w:p w14:paraId="36C27BE6"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Grin, M.A. (2015) ‘The main ways for companies to enter the foreign market’, in </w:t>
      </w:r>
      <w:r w:rsidRPr="00416F39">
        <w:rPr>
          <w:rFonts w:ascii="Arial" w:hAnsi="Arial" w:cs="Arial"/>
          <w:i/>
          <w:iCs/>
          <w:sz w:val="24"/>
          <w:szCs w:val="24"/>
        </w:rPr>
        <w:t>Bulletin of the Student Scientific Society “</w:t>
      </w:r>
      <w:proofErr w:type="spellStart"/>
      <w:r w:rsidRPr="00416F39">
        <w:rPr>
          <w:rFonts w:ascii="Arial" w:hAnsi="Arial" w:cs="Arial"/>
          <w:i/>
          <w:iCs/>
          <w:sz w:val="24"/>
          <w:szCs w:val="24"/>
        </w:rPr>
        <w:t>Vatra</w:t>
      </w:r>
      <w:proofErr w:type="spellEnd"/>
      <w:r w:rsidRPr="00416F39">
        <w:rPr>
          <w:rFonts w:ascii="Arial" w:hAnsi="Arial" w:cs="Arial"/>
          <w:i/>
          <w:iCs/>
          <w:sz w:val="24"/>
          <w:szCs w:val="24"/>
        </w:rPr>
        <w:t>”</w:t>
      </w:r>
      <w:r w:rsidRPr="00416F39">
        <w:rPr>
          <w:rFonts w:ascii="Arial" w:hAnsi="Arial" w:cs="Arial"/>
          <w:sz w:val="24"/>
          <w:szCs w:val="24"/>
        </w:rPr>
        <w:t>. Vinnytsia: LBC, pp. 151–158.</w:t>
      </w:r>
    </w:p>
    <w:p w14:paraId="5E17EAAA" w14:textId="00FF3DFF"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IBEF (2025) </w:t>
      </w:r>
      <w:r w:rsidRPr="00416F39">
        <w:rPr>
          <w:rFonts w:ascii="Arial" w:hAnsi="Arial" w:cs="Arial"/>
          <w:i/>
          <w:iCs/>
          <w:sz w:val="24"/>
          <w:szCs w:val="24"/>
        </w:rPr>
        <w:t>Electric vehicle industry in India: growth, policy and market trends</w:t>
      </w:r>
      <w:r w:rsidRPr="00416F39">
        <w:rPr>
          <w:rFonts w:ascii="Arial" w:hAnsi="Arial" w:cs="Arial"/>
          <w:sz w:val="24"/>
          <w:szCs w:val="24"/>
        </w:rPr>
        <w:t xml:space="preserve">. </w:t>
      </w:r>
      <w:hyperlink r:id="rId21" w:tgtFrame="_new" w:history="1">
        <w:r w:rsidRPr="00416F39">
          <w:rPr>
            <w:rStyle w:val="Hyperlink"/>
            <w:rFonts w:ascii="Arial" w:hAnsi="Arial" w:cs="Arial"/>
            <w:sz w:val="24"/>
            <w:szCs w:val="24"/>
          </w:rPr>
          <w:t>https://www.ibef.org/industry/electric-vehicle</w:t>
        </w:r>
      </w:hyperlink>
      <w:r w:rsidRPr="00416F39">
        <w:rPr>
          <w:rFonts w:ascii="Arial" w:hAnsi="Arial" w:cs="Arial"/>
          <w:sz w:val="24"/>
          <w:szCs w:val="24"/>
        </w:rPr>
        <w:t xml:space="preserve"> (Accessed: 11 December 2025).</w:t>
      </w:r>
    </w:p>
    <w:p w14:paraId="569259DE" w14:textId="64760C3F" w:rsidR="00973E0E" w:rsidRPr="00416F39" w:rsidRDefault="00973E0E" w:rsidP="00416F39">
      <w:pPr>
        <w:jc w:val="both"/>
        <w:rPr>
          <w:rFonts w:ascii="Arial" w:hAnsi="Arial" w:cs="Arial"/>
          <w:sz w:val="24"/>
          <w:szCs w:val="24"/>
        </w:rPr>
      </w:pPr>
      <w:r w:rsidRPr="00416F39">
        <w:rPr>
          <w:rFonts w:ascii="Arial" w:hAnsi="Arial" w:cs="Arial"/>
          <w:sz w:val="24"/>
          <w:szCs w:val="24"/>
        </w:rPr>
        <w:lastRenderedPageBreak/>
        <w:t xml:space="preserve">Isenstadt, A. and Pennington, K. (2025) </w:t>
      </w:r>
      <w:r w:rsidRPr="00416F39">
        <w:rPr>
          <w:rFonts w:ascii="Arial" w:hAnsi="Arial" w:cs="Arial"/>
          <w:i/>
          <w:iCs/>
          <w:sz w:val="24"/>
          <w:szCs w:val="24"/>
        </w:rPr>
        <w:t xml:space="preserve">Record electric vehicle sales show American demand – will U.S. automakers deliver or </w:t>
      </w:r>
      <w:proofErr w:type="gramStart"/>
      <w:r w:rsidRPr="00416F39">
        <w:rPr>
          <w:rFonts w:ascii="Arial" w:hAnsi="Arial" w:cs="Arial"/>
          <w:i/>
          <w:iCs/>
          <w:sz w:val="24"/>
          <w:szCs w:val="24"/>
        </w:rPr>
        <w:t>retreat?</w:t>
      </w:r>
      <w:r w:rsidR="00A354C6" w:rsidRPr="00416F39">
        <w:rPr>
          <w:rFonts w:ascii="Arial" w:hAnsi="Arial" w:cs="Arial"/>
          <w:sz w:val="24"/>
          <w:szCs w:val="24"/>
        </w:rPr>
        <w:t>.</w:t>
      </w:r>
      <w:proofErr w:type="gramEnd"/>
      <w:r w:rsidR="00A354C6" w:rsidRPr="00416F39">
        <w:rPr>
          <w:rFonts w:ascii="Arial" w:hAnsi="Arial" w:cs="Arial"/>
          <w:sz w:val="24"/>
          <w:szCs w:val="24"/>
        </w:rPr>
        <w:t xml:space="preserve"> </w:t>
      </w:r>
      <w:hyperlink r:id="rId22" w:tgtFrame="_new" w:history="1">
        <w:r w:rsidRPr="00416F39">
          <w:rPr>
            <w:rStyle w:val="Hyperlink"/>
            <w:rFonts w:ascii="Arial" w:hAnsi="Arial" w:cs="Arial"/>
            <w:sz w:val="24"/>
            <w:szCs w:val="24"/>
          </w:rPr>
          <w:t>https://theicct.org/record-electric-vehicle-sales-show-american-demand-will-us-automakers-deliver-or-retreat-nov25/</w:t>
        </w:r>
      </w:hyperlink>
      <w:r w:rsidRPr="00416F39">
        <w:rPr>
          <w:rFonts w:ascii="Arial" w:hAnsi="Arial" w:cs="Arial"/>
          <w:sz w:val="24"/>
          <w:szCs w:val="24"/>
        </w:rPr>
        <w:t xml:space="preserve"> (Accessed: 14 December 2025).</w:t>
      </w:r>
    </w:p>
    <w:p w14:paraId="478E78E2" w14:textId="1A820F74"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Jaspers, D. and </w:t>
      </w:r>
      <w:proofErr w:type="spellStart"/>
      <w:r w:rsidRPr="00416F39">
        <w:rPr>
          <w:rFonts w:ascii="Arial" w:hAnsi="Arial" w:cs="Arial"/>
          <w:sz w:val="24"/>
          <w:szCs w:val="24"/>
        </w:rPr>
        <w:t>Proff</w:t>
      </w:r>
      <w:proofErr w:type="spellEnd"/>
      <w:r w:rsidRPr="00416F39">
        <w:rPr>
          <w:rFonts w:ascii="Arial" w:hAnsi="Arial" w:cs="Arial"/>
          <w:sz w:val="24"/>
          <w:szCs w:val="24"/>
        </w:rPr>
        <w:t xml:space="preserve">, H. (2025) ‘Strengthening capital-intensive companies in technology competition through innovation platforms’, </w:t>
      </w:r>
      <w:r w:rsidRPr="00416F39">
        <w:rPr>
          <w:rFonts w:ascii="Arial" w:hAnsi="Arial" w:cs="Arial"/>
          <w:i/>
          <w:iCs/>
          <w:sz w:val="24"/>
          <w:szCs w:val="24"/>
        </w:rPr>
        <w:t>European Journal of Innovation Management</w:t>
      </w:r>
      <w:r w:rsidRPr="00416F39">
        <w:rPr>
          <w:rFonts w:ascii="Arial" w:hAnsi="Arial" w:cs="Arial"/>
          <w:sz w:val="24"/>
          <w:szCs w:val="24"/>
        </w:rPr>
        <w:t>.</w:t>
      </w:r>
      <w:r w:rsidR="0056335C" w:rsidRPr="00416F39">
        <w:rPr>
          <w:rFonts w:ascii="Arial" w:hAnsi="Arial" w:cs="Arial"/>
          <w:sz w:val="24"/>
          <w:szCs w:val="24"/>
        </w:rPr>
        <w:t xml:space="preserve"> </w:t>
      </w:r>
      <w:hyperlink r:id="rId23" w:tgtFrame="_blank" w:history="1">
        <w:r w:rsidR="0056335C" w:rsidRPr="00416F39">
          <w:rPr>
            <w:rStyle w:val="Hyperlink"/>
            <w:rFonts w:ascii="Arial" w:hAnsi="Arial" w:cs="Arial"/>
            <w:color w:val="38A6CB"/>
            <w:sz w:val="24"/>
            <w:szCs w:val="24"/>
            <w:shd w:val="clear" w:color="auto" w:fill="FFFFFF"/>
          </w:rPr>
          <w:t>https://doi.org/10.1108/ejim-01-2024-0050 </w:t>
        </w:r>
      </w:hyperlink>
    </w:p>
    <w:p w14:paraId="59416AE3" w14:textId="2F61C94A" w:rsidR="0020475E" w:rsidRPr="00416F39" w:rsidRDefault="0020475E" w:rsidP="00416F39">
      <w:pPr>
        <w:jc w:val="both"/>
        <w:rPr>
          <w:rFonts w:ascii="Arial" w:hAnsi="Arial" w:cs="Arial"/>
          <w:sz w:val="24"/>
          <w:szCs w:val="24"/>
        </w:rPr>
      </w:pPr>
      <w:r w:rsidRPr="00416F39">
        <w:rPr>
          <w:rFonts w:ascii="Arial" w:hAnsi="Arial" w:cs="Arial"/>
          <w:sz w:val="24"/>
          <w:szCs w:val="24"/>
        </w:rPr>
        <w:t xml:space="preserve">Kaplan, R.S., </w:t>
      </w:r>
      <w:r w:rsidR="00902967" w:rsidRPr="00416F39">
        <w:rPr>
          <w:rFonts w:ascii="Arial" w:hAnsi="Arial" w:cs="Arial"/>
          <w:sz w:val="24"/>
          <w:szCs w:val="24"/>
        </w:rPr>
        <w:t>(</w:t>
      </w:r>
      <w:r w:rsidRPr="00416F39">
        <w:rPr>
          <w:rFonts w:ascii="Arial" w:hAnsi="Arial" w:cs="Arial"/>
          <w:sz w:val="24"/>
          <w:szCs w:val="24"/>
        </w:rPr>
        <w:t>2009</w:t>
      </w:r>
      <w:r w:rsidR="00902967" w:rsidRPr="00416F39">
        <w:rPr>
          <w:rFonts w:ascii="Arial" w:hAnsi="Arial" w:cs="Arial"/>
          <w:sz w:val="24"/>
          <w:szCs w:val="24"/>
        </w:rPr>
        <w:t>) ‘C</w:t>
      </w:r>
      <w:r w:rsidRPr="00416F39">
        <w:rPr>
          <w:rFonts w:ascii="Arial" w:hAnsi="Arial" w:cs="Arial"/>
          <w:sz w:val="24"/>
          <w:szCs w:val="24"/>
        </w:rPr>
        <w:t>onceptual foundations of the balanced scorecard. </w:t>
      </w:r>
      <w:r w:rsidRPr="00416F39">
        <w:rPr>
          <w:rFonts w:ascii="Arial" w:hAnsi="Arial" w:cs="Arial"/>
          <w:i/>
          <w:iCs/>
          <w:sz w:val="24"/>
          <w:szCs w:val="24"/>
        </w:rPr>
        <w:t xml:space="preserve">Handbooks of </w:t>
      </w:r>
      <w:r w:rsidR="00A354C6" w:rsidRPr="00416F39">
        <w:rPr>
          <w:rFonts w:ascii="Arial" w:hAnsi="Arial" w:cs="Arial"/>
          <w:i/>
          <w:iCs/>
          <w:sz w:val="24"/>
          <w:szCs w:val="24"/>
        </w:rPr>
        <w:t>Management Accounting Research</w:t>
      </w:r>
      <w:r w:rsidR="00A354C6" w:rsidRPr="00416F39">
        <w:rPr>
          <w:rFonts w:ascii="Arial" w:hAnsi="Arial" w:cs="Arial"/>
          <w:sz w:val="24"/>
          <w:szCs w:val="24"/>
        </w:rPr>
        <w:t>’</w:t>
      </w:r>
      <w:r w:rsidR="00902967" w:rsidRPr="00416F39">
        <w:rPr>
          <w:rFonts w:ascii="Arial" w:hAnsi="Arial" w:cs="Arial"/>
          <w:sz w:val="24"/>
          <w:szCs w:val="24"/>
        </w:rPr>
        <w:t xml:space="preserve">, </w:t>
      </w:r>
      <w:r w:rsidRPr="00416F39">
        <w:rPr>
          <w:rFonts w:ascii="Arial" w:hAnsi="Arial" w:cs="Arial"/>
          <w:sz w:val="24"/>
          <w:szCs w:val="24"/>
        </w:rPr>
        <w:t>3, pp.1253-1269.</w:t>
      </w:r>
      <w:r w:rsidR="0056335C" w:rsidRPr="00416F39">
        <w:rPr>
          <w:rFonts w:ascii="Arial" w:hAnsi="Arial" w:cs="Arial"/>
          <w:sz w:val="24"/>
          <w:szCs w:val="24"/>
        </w:rPr>
        <w:t xml:space="preserve"> </w:t>
      </w:r>
      <w:hyperlink r:id="rId24" w:tgtFrame="_blank" w:history="1">
        <w:r w:rsidR="0056335C" w:rsidRPr="00416F39">
          <w:rPr>
            <w:rStyle w:val="Hyperlink"/>
            <w:rFonts w:ascii="Arial" w:hAnsi="Arial" w:cs="Arial"/>
            <w:color w:val="38A6CB"/>
            <w:sz w:val="24"/>
            <w:szCs w:val="24"/>
            <w:shd w:val="clear" w:color="auto" w:fill="FFFFFF"/>
          </w:rPr>
          <w:t>https://doi.org/10.1016/s1751-3243(07)03003-9 </w:t>
        </w:r>
      </w:hyperlink>
    </w:p>
    <w:p w14:paraId="44F7CE24" w14:textId="118D5B93" w:rsidR="0020475E" w:rsidRPr="00416F39" w:rsidRDefault="00902967" w:rsidP="00416F39">
      <w:pPr>
        <w:jc w:val="both"/>
        <w:rPr>
          <w:rFonts w:ascii="Arial" w:hAnsi="Arial" w:cs="Arial"/>
          <w:sz w:val="24"/>
          <w:szCs w:val="24"/>
        </w:rPr>
      </w:pPr>
      <w:r w:rsidRPr="00416F39">
        <w:rPr>
          <w:rFonts w:ascii="Arial" w:hAnsi="Arial" w:cs="Arial"/>
          <w:sz w:val="24"/>
          <w:szCs w:val="24"/>
        </w:rPr>
        <w:t>Norton, D.P. and Kaplan, R.S., (2018). Balanced scorecard. In </w:t>
      </w:r>
      <w:r w:rsidRPr="00416F39">
        <w:rPr>
          <w:rFonts w:ascii="Arial" w:hAnsi="Arial" w:cs="Arial"/>
          <w:i/>
          <w:iCs/>
          <w:sz w:val="24"/>
          <w:szCs w:val="24"/>
        </w:rPr>
        <w:t xml:space="preserve">The Palgrave </w:t>
      </w:r>
      <w:proofErr w:type="spellStart"/>
      <w:r w:rsidRPr="00416F39">
        <w:rPr>
          <w:rFonts w:ascii="Arial" w:hAnsi="Arial" w:cs="Arial"/>
          <w:i/>
          <w:iCs/>
          <w:sz w:val="24"/>
          <w:szCs w:val="24"/>
        </w:rPr>
        <w:t>encyclopedia</w:t>
      </w:r>
      <w:proofErr w:type="spellEnd"/>
      <w:r w:rsidRPr="00416F39">
        <w:rPr>
          <w:rFonts w:ascii="Arial" w:hAnsi="Arial" w:cs="Arial"/>
          <w:i/>
          <w:iCs/>
          <w:sz w:val="24"/>
          <w:szCs w:val="24"/>
        </w:rPr>
        <w:t xml:space="preserve"> of strategic management</w:t>
      </w:r>
      <w:r w:rsidRPr="00416F39">
        <w:rPr>
          <w:rFonts w:ascii="Arial" w:hAnsi="Arial" w:cs="Arial"/>
          <w:sz w:val="24"/>
          <w:szCs w:val="24"/>
        </w:rPr>
        <w:t> (pp. 80-84). Palgrave Macmillan, London.</w:t>
      </w:r>
      <w:r w:rsidR="0056335C" w:rsidRPr="00416F39">
        <w:rPr>
          <w:rFonts w:ascii="Arial" w:hAnsi="Arial" w:cs="Arial"/>
          <w:sz w:val="24"/>
          <w:szCs w:val="24"/>
        </w:rPr>
        <w:t xml:space="preserve"> </w:t>
      </w:r>
      <w:hyperlink r:id="rId25" w:tgtFrame="_blank" w:history="1">
        <w:r w:rsidR="0056335C" w:rsidRPr="00416F39">
          <w:rPr>
            <w:rStyle w:val="Hyperlink"/>
            <w:rFonts w:ascii="Arial" w:hAnsi="Arial" w:cs="Arial"/>
            <w:color w:val="38A6CB"/>
            <w:sz w:val="24"/>
            <w:szCs w:val="24"/>
            <w:shd w:val="clear" w:color="auto" w:fill="FFFFFF"/>
          </w:rPr>
          <w:t>https://doi.org/10.1057/978-1-349-94848-2_683-1 </w:t>
        </w:r>
      </w:hyperlink>
    </w:p>
    <w:p w14:paraId="3FC04AC5" w14:textId="3F9ADA3C" w:rsidR="00973E0E" w:rsidRPr="00416F39" w:rsidRDefault="00973E0E" w:rsidP="00416F39">
      <w:pPr>
        <w:jc w:val="both"/>
        <w:rPr>
          <w:rFonts w:ascii="Arial" w:hAnsi="Arial" w:cs="Arial"/>
          <w:sz w:val="24"/>
          <w:szCs w:val="24"/>
        </w:rPr>
      </w:pPr>
      <w:proofErr w:type="spellStart"/>
      <w:r w:rsidRPr="00416F39">
        <w:rPr>
          <w:rFonts w:ascii="Arial" w:hAnsi="Arial" w:cs="Arial"/>
          <w:sz w:val="24"/>
          <w:szCs w:val="24"/>
        </w:rPr>
        <w:t>Kostruba</w:t>
      </w:r>
      <w:proofErr w:type="spellEnd"/>
      <w:r w:rsidRPr="00416F39">
        <w:rPr>
          <w:rFonts w:ascii="Arial" w:hAnsi="Arial" w:cs="Arial"/>
          <w:sz w:val="24"/>
          <w:szCs w:val="24"/>
        </w:rPr>
        <w:t xml:space="preserve">, A. and </w:t>
      </w:r>
      <w:proofErr w:type="spellStart"/>
      <w:r w:rsidRPr="00416F39">
        <w:rPr>
          <w:rFonts w:ascii="Arial" w:hAnsi="Arial" w:cs="Arial"/>
          <w:sz w:val="24"/>
          <w:szCs w:val="24"/>
        </w:rPr>
        <w:t>Kostruba</w:t>
      </w:r>
      <w:proofErr w:type="spellEnd"/>
      <w:r w:rsidRPr="00416F39">
        <w:rPr>
          <w:rFonts w:ascii="Arial" w:hAnsi="Arial" w:cs="Arial"/>
          <w:sz w:val="24"/>
          <w:szCs w:val="24"/>
        </w:rPr>
        <w:t xml:space="preserve">, O. (2025) ‘Strategies for companies to enter international markets: literature review and conceptualization’, </w:t>
      </w:r>
      <w:r w:rsidRPr="00416F39">
        <w:rPr>
          <w:rFonts w:ascii="Arial" w:hAnsi="Arial" w:cs="Arial"/>
          <w:i/>
          <w:iCs/>
          <w:sz w:val="24"/>
          <w:szCs w:val="24"/>
        </w:rPr>
        <w:t>Scientific Annals of the Danube Delta Institute</w:t>
      </w:r>
      <w:r w:rsidRPr="00416F39">
        <w:rPr>
          <w:rFonts w:ascii="Arial" w:hAnsi="Arial" w:cs="Arial"/>
          <w:sz w:val="24"/>
          <w:szCs w:val="24"/>
        </w:rPr>
        <w:t>, 16(2), pp. 154–175.</w:t>
      </w:r>
      <w:r w:rsidR="0078654B" w:rsidRPr="00416F39">
        <w:rPr>
          <w:rFonts w:ascii="Arial" w:hAnsi="Arial" w:cs="Arial"/>
          <w:sz w:val="24"/>
          <w:szCs w:val="24"/>
        </w:rPr>
        <w:t xml:space="preserve"> </w:t>
      </w:r>
      <w:hyperlink r:id="rId26" w:tgtFrame="_blank" w:history="1">
        <w:r w:rsidR="0078654B" w:rsidRPr="00416F39">
          <w:rPr>
            <w:rStyle w:val="Hyperlink"/>
            <w:rFonts w:ascii="Arial" w:hAnsi="Arial" w:cs="Arial"/>
            <w:color w:val="38A6CB"/>
            <w:sz w:val="24"/>
            <w:szCs w:val="24"/>
            <w:shd w:val="clear" w:color="auto" w:fill="FFFFFF"/>
          </w:rPr>
          <w:t> https://doi.org/10.2478/danb-2025-0008 </w:t>
        </w:r>
      </w:hyperlink>
    </w:p>
    <w:p w14:paraId="4F014B25" w14:textId="73058A2E"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KPMG (2025) </w:t>
      </w:r>
      <w:r w:rsidRPr="00416F39">
        <w:rPr>
          <w:rFonts w:ascii="Arial" w:hAnsi="Arial" w:cs="Arial"/>
          <w:i/>
          <w:iCs/>
          <w:sz w:val="24"/>
          <w:szCs w:val="24"/>
        </w:rPr>
        <w:t>Securing the supply chain: preparing for the electric vehicle raw material challenge</w:t>
      </w:r>
      <w:r w:rsidRPr="00416F39">
        <w:rPr>
          <w:rFonts w:ascii="Arial" w:hAnsi="Arial" w:cs="Arial"/>
          <w:sz w:val="24"/>
          <w:szCs w:val="24"/>
        </w:rPr>
        <w:t xml:space="preserve">. </w:t>
      </w:r>
      <w:hyperlink r:id="rId27" w:tgtFrame="_new" w:history="1">
        <w:r w:rsidRPr="00416F39">
          <w:rPr>
            <w:rStyle w:val="Hyperlink"/>
            <w:rFonts w:ascii="Arial" w:hAnsi="Arial" w:cs="Arial"/>
            <w:sz w:val="24"/>
            <w:szCs w:val="24"/>
          </w:rPr>
          <w:t>https://kpmg.com/in/en/insights/2025/12/securing-the-supply-chain-preparing-for-the-electric-vehicle-raw-material-challenge.html</w:t>
        </w:r>
      </w:hyperlink>
      <w:r w:rsidRPr="00416F39">
        <w:rPr>
          <w:rFonts w:ascii="Arial" w:hAnsi="Arial" w:cs="Arial"/>
          <w:sz w:val="24"/>
          <w:szCs w:val="24"/>
        </w:rPr>
        <w:t xml:space="preserve"> (Accessed: 16 December 2025).</w:t>
      </w:r>
    </w:p>
    <w:p w14:paraId="7FACB3A3" w14:textId="3810149D"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Kumar, R.R., Raj, A. and Sharma, P. (2024) ‘Heterogeneity in electric vehicle adoption: Indian consumer preferences’, </w:t>
      </w:r>
      <w:r w:rsidRPr="00416F39">
        <w:rPr>
          <w:rFonts w:ascii="Arial" w:hAnsi="Arial" w:cs="Arial"/>
          <w:i/>
          <w:iCs/>
          <w:sz w:val="24"/>
          <w:szCs w:val="24"/>
        </w:rPr>
        <w:t>IEEE Transactions on Engineering Management</w:t>
      </w:r>
      <w:r w:rsidRPr="00416F39">
        <w:rPr>
          <w:rFonts w:ascii="Arial" w:hAnsi="Arial" w:cs="Arial"/>
          <w:sz w:val="24"/>
          <w:szCs w:val="24"/>
        </w:rPr>
        <w:t>, 71, pp. 10833–10845.</w:t>
      </w:r>
      <w:r w:rsidR="0078654B" w:rsidRPr="00416F39">
        <w:rPr>
          <w:rFonts w:ascii="Arial" w:hAnsi="Arial" w:cs="Arial"/>
          <w:sz w:val="24"/>
          <w:szCs w:val="24"/>
        </w:rPr>
        <w:t xml:space="preserve"> </w:t>
      </w:r>
      <w:hyperlink r:id="rId28" w:tgtFrame="_blank" w:history="1">
        <w:r w:rsidR="0078654B" w:rsidRPr="00416F39">
          <w:rPr>
            <w:rStyle w:val="Hyperlink"/>
            <w:rFonts w:ascii="Arial" w:hAnsi="Arial" w:cs="Arial"/>
            <w:color w:val="38A6CB"/>
            <w:sz w:val="24"/>
            <w:szCs w:val="24"/>
            <w:shd w:val="clear" w:color="auto" w:fill="FFFFFF"/>
          </w:rPr>
          <w:t>https://doi.org/10.1109/tem.2024.3404787 </w:t>
        </w:r>
      </w:hyperlink>
    </w:p>
    <w:p w14:paraId="1F747552"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KV, S., Michael, L.K., </w:t>
      </w:r>
      <w:proofErr w:type="spellStart"/>
      <w:r w:rsidRPr="00416F39">
        <w:rPr>
          <w:rFonts w:ascii="Arial" w:hAnsi="Arial" w:cs="Arial"/>
          <w:sz w:val="24"/>
          <w:szCs w:val="24"/>
        </w:rPr>
        <w:t>Hungund</w:t>
      </w:r>
      <w:proofErr w:type="spellEnd"/>
      <w:r w:rsidRPr="00416F39">
        <w:rPr>
          <w:rFonts w:ascii="Arial" w:hAnsi="Arial" w:cs="Arial"/>
          <w:sz w:val="24"/>
          <w:szCs w:val="24"/>
        </w:rPr>
        <w:t xml:space="preserve">, S.S. and Fernandes, M. (2022) ‘Factors influencing adoption of electric vehicles: a case in India’, </w:t>
      </w:r>
      <w:r w:rsidRPr="00416F39">
        <w:rPr>
          <w:rFonts w:ascii="Arial" w:hAnsi="Arial" w:cs="Arial"/>
          <w:i/>
          <w:iCs/>
          <w:sz w:val="24"/>
          <w:szCs w:val="24"/>
        </w:rPr>
        <w:t>Cogent Engineering</w:t>
      </w:r>
      <w:r w:rsidRPr="00416F39">
        <w:rPr>
          <w:rFonts w:ascii="Arial" w:hAnsi="Arial" w:cs="Arial"/>
          <w:sz w:val="24"/>
          <w:szCs w:val="24"/>
        </w:rPr>
        <w:t>, 9(1), pp. 208–537.</w:t>
      </w:r>
    </w:p>
    <w:p w14:paraId="51C57D11" w14:textId="0AABC5C5"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Liu, S. (2021) ‘Competition and valuation: a case study of Tesla Motors’, in </w:t>
      </w:r>
      <w:r w:rsidRPr="00416F39">
        <w:rPr>
          <w:rFonts w:ascii="Arial" w:hAnsi="Arial" w:cs="Arial"/>
          <w:i/>
          <w:iCs/>
          <w:sz w:val="24"/>
          <w:szCs w:val="24"/>
        </w:rPr>
        <w:t>IOP Conference Series: Earth and Environmental Science</w:t>
      </w:r>
      <w:r w:rsidRPr="00416F39">
        <w:rPr>
          <w:rFonts w:ascii="Arial" w:hAnsi="Arial" w:cs="Arial"/>
          <w:sz w:val="24"/>
          <w:szCs w:val="24"/>
        </w:rPr>
        <w:t>, 692(2), p. 022103. Bristol: IOP Publishing.</w:t>
      </w:r>
      <w:r w:rsidR="007C46A9" w:rsidRPr="00416F39">
        <w:rPr>
          <w:rFonts w:ascii="Arial" w:hAnsi="Arial" w:cs="Arial"/>
          <w:sz w:val="24"/>
          <w:szCs w:val="24"/>
        </w:rPr>
        <w:t xml:space="preserve"> </w:t>
      </w:r>
      <w:hyperlink r:id="rId29" w:tgtFrame="_blank" w:history="1">
        <w:r w:rsidR="007C46A9" w:rsidRPr="00416F39">
          <w:rPr>
            <w:rStyle w:val="Hyperlink"/>
            <w:rFonts w:ascii="Arial" w:hAnsi="Arial" w:cs="Arial"/>
            <w:color w:val="38A6CB"/>
            <w:sz w:val="24"/>
            <w:szCs w:val="24"/>
            <w:shd w:val="clear" w:color="auto" w:fill="FFFFFF"/>
          </w:rPr>
          <w:t> https://doi.org/10.1088/1755-1315/692/2/022103 </w:t>
        </w:r>
      </w:hyperlink>
    </w:p>
    <w:p w14:paraId="205BCA72"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Loredana, E.M. (2016) ‘The use of Ansoff matrix in the field of business’, in </w:t>
      </w:r>
      <w:r w:rsidRPr="00416F39">
        <w:rPr>
          <w:rFonts w:ascii="Arial" w:hAnsi="Arial" w:cs="Arial"/>
          <w:i/>
          <w:iCs/>
          <w:sz w:val="24"/>
          <w:szCs w:val="24"/>
        </w:rPr>
        <w:t>MATEC Web of Conferences</w:t>
      </w:r>
      <w:r w:rsidRPr="00416F39">
        <w:rPr>
          <w:rFonts w:ascii="Arial" w:hAnsi="Arial" w:cs="Arial"/>
          <w:sz w:val="24"/>
          <w:szCs w:val="24"/>
        </w:rPr>
        <w:t>, 44, p. 01006. Les Ulis: EDP Sciences.</w:t>
      </w:r>
    </w:p>
    <w:p w14:paraId="7C724603" w14:textId="02D5A35A"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Madic, V., Marković, D. and Mijušković, V. (2021) ‘Competitive strategies in premium automotive segment’, </w:t>
      </w:r>
      <w:r w:rsidRPr="00416F39">
        <w:rPr>
          <w:rFonts w:ascii="Arial" w:hAnsi="Arial" w:cs="Arial"/>
          <w:i/>
          <w:iCs/>
          <w:sz w:val="24"/>
          <w:szCs w:val="24"/>
        </w:rPr>
        <w:t>Teme</w:t>
      </w:r>
      <w:r w:rsidRPr="00416F39">
        <w:rPr>
          <w:rFonts w:ascii="Arial" w:hAnsi="Arial" w:cs="Arial"/>
          <w:sz w:val="24"/>
          <w:szCs w:val="24"/>
        </w:rPr>
        <w:t>, pp. 639–659.</w:t>
      </w:r>
      <w:r w:rsidR="00942A7B" w:rsidRPr="00416F39">
        <w:rPr>
          <w:rFonts w:ascii="Arial" w:hAnsi="Arial" w:cs="Arial"/>
          <w:sz w:val="24"/>
          <w:szCs w:val="24"/>
        </w:rPr>
        <w:t xml:space="preserve"> </w:t>
      </w:r>
      <w:hyperlink r:id="rId30" w:tgtFrame="_blank" w:history="1">
        <w:r w:rsidR="00942A7B" w:rsidRPr="00416F39">
          <w:rPr>
            <w:rStyle w:val="Hyperlink"/>
            <w:rFonts w:ascii="Arial" w:hAnsi="Arial" w:cs="Arial"/>
            <w:color w:val="38A6CB"/>
            <w:sz w:val="24"/>
            <w:szCs w:val="24"/>
            <w:shd w:val="clear" w:color="auto" w:fill="FFFFFF"/>
          </w:rPr>
          <w:t> https://doi.org/10.22190/teme200528037m </w:t>
        </w:r>
      </w:hyperlink>
    </w:p>
    <w:p w14:paraId="46F4CFAF"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Malhotra, K. (2022) ‘Consumer buying </w:t>
      </w:r>
      <w:proofErr w:type="spellStart"/>
      <w:r w:rsidRPr="00416F39">
        <w:rPr>
          <w:rFonts w:ascii="Arial" w:hAnsi="Arial" w:cs="Arial"/>
          <w:sz w:val="24"/>
          <w:szCs w:val="24"/>
        </w:rPr>
        <w:t>behavior</w:t>
      </w:r>
      <w:proofErr w:type="spellEnd"/>
      <w:r w:rsidRPr="00416F39">
        <w:rPr>
          <w:rFonts w:ascii="Arial" w:hAnsi="Arial" w:cs="Arial"/>
          <w:sz w:val="24"/>
          <w:szCs w:val="24"/>
        </w:rPr>
        <w:t xml:space="preserve"> and brand choice in sport utility vehicle (SUV) segment: a literature review’, </w:t>
      </w:r>
      <w:r w:rsidRPr="00416F39">
        <w:rPr>
          <w:rFonts w:ascii="Arial" w:hAnsi="Arial" w:cs="Arial"/>
          <w:i/>
          <w:iCs/>
          <w:sz w:val="24"/>
          <w:szCs w:val="24"/>
        </w:rPr>
        <w:t>IUP Journal of Brand Management</w:t>
      </w:r>
      <w:r w:rsidRPr="00416F39">
        <w:rPr>
          <w:rFonts w:ascii="Arial" w:hAnsi="Arial" w:cs="Arial"/>
          <w:sz w:val="24"/>
          <w:szCs w:val="24"/>
        </w:rPr>
        <w:t>, 19(1), pp. 40–52.</w:t>
      </w:r>
    </w:p>
    <w:p w14:paraId="38D04A4F" w14:textId="0A72DD2F"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Mammen, J., Alessandri, T.M. and Weiss, M. (2021) ‘The risk implications of diversification: integrating the effects of product and geographic diversification’, </w:t>
      </w:r>
      <w:r w:rsidRPr="00416F39">
        <w:rPr>
          <w:rFonts w:ascii="Arial" w:hAnsi="Arial" w:cs="Arial"/>
          <w:i/>
          <w:iCs/>
          <w:sz w:val="24"/>
          <w:szCs w:val="24"/>
        </w:rPr>
        <w:t>Long Range Planning</w:t>
      </w:r>
      <w:r w:rsidRPr="00416F39">
        <w:rPr>
          <w:rFonts w:ascii="Arial" w:hAnsi="Arial" w:cs="Arial"/>
          <w:sz w:val="24"/>
          <w:szCs w:val="24"/>
        </w:rPr>
        <w:t xml:space="preserve">, 54(1), </w:t>
      </w:r>
      <w:r w:rsidR="006E1BA2" w:rsidRPr="00416F39">
        <w:rPr>
          <w:rFonts w:ascii="Arial" w:hAnsi="Arial" w:cs="Arial"/>
          <w:sz w:val="24"/>
          <w:szCs w:val="24"/>
        </w:rPr>
        <w:t>p</w:t>
      </w:r>
      <w:r w:rsidRPr="00416F39">
        <w:rPr>
          <w:rFonts w:ascii="Arial" w:hAnsi="Arial" w:cs="Arial"/>
          <w:sz w:val="24"/>
          <w:szCs w:val="24"/>
        </w:rPr>
        <w:t>p. 101</w:t>
      </w:r>
      <w:r w:rsidR="006E1BA2" w:rsidRPr="00416F39">
        <w:rPr>
          <w:rFonts w:ascii="Arial" w:hAnsi="Arial" w:cs="Arial"/>
          <w:sz w:val="24"/>
          <w:szCs w:val="24"/>
        </w:rPr>
        <w:t>-</w:t>
      </w:r>
      <w:r w:rsidRPr="00416F39">
        <w:rPr>
          <w:rFonts w:ascii="Arial" w:hAnsi="Arial" w:cs="Arial"/>
          <w:sz w:val="24"/>
          <w:szCs w:val="24"/>
        </w:rPr>
        <w:t>942.</w:t>
      </w:r>
      <w:r w:rsidR="006E1BA2" w:rsidRPr="00416F39">
        <w:rPr>
          <w:rFonts w:ascii="Arial" w:hAnsi="Arial" w:cs="Arial"/>
          <w:sz w:val="24"/>
          <w:szCs w:val="24"/>
        </w:rPr>
        <w:t xml:space="preserve"> </w:t>
      </w:r>
      <w:hyperlink r:id="rId31" w:tgtFrame="_blank" w:history="1">
        <w:r w:rsidR="006E1BA2" w:rsidRPr="00416F39">
          <w:rPr>
            <w:rStyle w:val="Hyperlink"/>
            <w:rFonts w:ascii="Arial" w:hAnsi="Arial" w:cs="Arial"/>
            <w:color w:val="38A6CB"/>
            <w:sz w:val="24"/>
            <w:szCs w:val="24"/>
            <w:shd w:val="clear" w:color="auto" w:fill="FFFFFF"/>
          </w:rPr>
          <w:t>https://doi.org/10.1016/j.lrp.2019.101942 </w:t>
        </w:r>
      </w:hyperlink>
    </w:p>
    <w:p w14:paraId="29BF9B75" w14:textId="69631707" w:rsidR="00973E0E" w:rsidRPr="00416F39" w:rsidRDefault="00973E0E" w:rsidP="00416F39">
      <w:pPr>
        <w:jc w:val="both"/>
        <w:rPr>
          <w:rFonts w:ascii="Arial" w:hAnsi="Arial" w:cs="Arial"/>
          <w:sz w:val="24"/>
          <w:szCs w:val="24"/>
        </w:rPr>
      </w:pPr>
      <w:r w:rsidRPr="00416F39">
        <w:rPr>
          <w:rFonts w:ascii="Arial" w:hAnsi="Arial" w:cs="Arial"/>
          <w:sz w:val="24"/>
          <w:szCs w:val="24"/>
        </w:rPr>
        <w:lastRenderedPageBreak/>
        <w:t xml:space="preserve">Mauler, L., Duffner, F., Zeier, W.G. and Leker, J. (2021) ‘Battery cost forecasting: a review of methods and results with an outlook to 2050’, </w:t>
      </w:r>
      <w:r w:rsidRPr="00416F39">
        <w:rPr>
          <w:rFonts w:ascii="Arial" w:hAnsi="Arial" w:cs="Arial"/>
          <w:i/>
          <w:iCs/>
          <w:sz w:val="24"/>
          <w:szCs w:val="24"/>
        </w:rPr>
        <w:t>Energy &amp; Environmental Science</w:t>
      </w:r>
      <w:r w:rsidRPr="00416F39">
        <w:rPr>
          <w:rFonts w:ascii="Arial" w:hAnsi="Arial" w:cs="Arial"/>
          <w:sz w:val="24"/>
          <w:szCs w:val="24"/>
        </w:rPr>
        <w:t>, 14(9), pp. 4712–4739.</w:t>
      </w:r>
      <w:r w:rsidR="006E1BA2" w:rsidRPr="00416F39">
        <w:rPr>
          <w:rFonts w:ascii="Arial" w:hAnsi="Arial" w:cs="Arial"/>
          <w:sz w:val="24"/>
          <w:szCs w:val="24"/>
        </w:rPr>
        <w:t xml:space="preserve"> </w:t>
      </w:r>
      <w:hyperlink r:id="rId32" w:tgtFrame="_blank" w:history="1">
        <w:r w:rsidR="006E1BA2" w:rsidRPr="00416F39">
          <w:rPr>
            <w:rStyle w:val="Hyperlink"/>
            <w:rFonts w:ascii="Arial" w:hAnsi="Arial" w:cs="Arial"/>
            <w:color w:val="38A6CB"/>
            <w:sz w:val="24"/>
            <w:szCs w:val="24"/>
            <w:shd w:val="clear" w:color="auto" w:fill="FFFFFF"/>
          </w:rPr>
          <w:t> https://doi.org/10.1039/d1ee01530c </w:t>
        </w:r>
      </w:hyperlink>
    </w:p>
    <w:p w14:paraId="36BB9A6A" w14:textId="3693021E"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McKinsey (2023) </w:t>
      </w:r>
      <w:r w:rsidRPr="00416F39">
        <w:rPr>
          <w:rFonts w:ascii="Arial" w:hAnsi="Arial" w:cs="Arial"/>
          <w:i/>
          <w:iCs/>
          <w:sz w:val="24"/>
          <w:szCs w:val="24"/>
        </w:rPr>
        <w:t>Consumers are driving the transition to electric cars in India</w:t>
      </w:r>
      <w:r w:rsidRPr="00416F39">
        <w:rPr>
          <w:rFonts w:ascii="Arial" w:hAnsi="Arial" w:cs="Arial"/>
          <w:sz w:val="24"/>
          <w:szCs w:val="24"/>
        </w:rPr>
        <w:t xml:space="preserve">. </w:t>
      </w:r>
      <w:hyperlink r:id="rId33" w:tgtFrame="_new" w:history="1">
        <w:r w:rsidRPr="00416F39">
          <w:rPr>
            <w:rStyle w:val="Hyperlink"/>
            <w:rFonts w:ascii="Arial" w:hAnsi="Arial" w:cs="Arial"/>
            <w:sz w:val="24"/>
            <w:szCs w:val="24"/>
          </w:rPr>
          <w:t>https://www.mckinsey.com/industries/automotive-and-assembly/our-insights/consumers-are-driving-the-transition-to-electric-cars-in-india</w:t>
        </w:r>
      </w:hyperlink>
      <w:r w:rsidRPr="00416F39">
        <w:rPr>
          <w:rFonts w:ascii="Arial" w:hAnsi="Arial" w:cs="Arial"/>
          <w:sz w:val="24"/>
          <w:szCs w:val="24"/>
        </w:rPr>
        <w:t xml:space="preserve"> (Accessed: 15 December 2025).</w:t>
      </w:r>
    </w:p>
    <w:p w14:paraId="561FB637" w14:textId="4EA461E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Mortimore, A., </w:t>
      </w:r>
      <w:proofErr w:type="spellStart"/>
      <w:r w:rsidRPr="00416F39">
        <w:rPr>
          <w:rFonts w:ascii="Arial" w:hAnsi="Arial" w:cs="Arial"/>
          <w:sz w:val="24"/>
          <w:szCs w:val="24"/>
        </w:rPr>
        <w:t>Ratnasiri</w:t>
      </w:r>
      <w:proofErr w:type="spellEnd"/>
      <w:r w:rsidRPr="00416F39">
        <w:rPr>
          <w:rFonts w:ascii="Arial" w:hAnsi="Arial" w:cs="Arial"/>
          <w:sz w:val="24"/>
          <w:szCs w:val="24"/>
        </w:rPr>
        <w:t xml:space="preserve">, S. and Iftekhar, M.S. (2024) ‘Who is buying electric vehicles in Australia? A study of early adopters’, </w:t>
      </w:r>
      <w:r w:rsidRPr="00416F39">
        <w:rPr>
          <w:rFonts w:ascii="Arial" w:hAnsi="Arial" w:cs="Arial"/>
          <w:i/>
          <w:iCs/>
          <w:sz w:val="24"/>
          <w:szCs w:val="24"/>
        </w:rPr>
        <w:t>Australasian Journal of Environmental Management</w:t>
      </w:r>
      <w:r w:rsidRPr="00416F39">
        <w:rPr>
          <w:rFonts w:ascii="Arial" w:hAnsi="Arial" w:cs="Arial"/>
          <w:sz w:val="24"/>
          <w:szCs w:val="24"/>
        </w:rPr>
        <w:t>, 31(2), pp. 136–160.</w:t>
      </w:r>
      <w:r w:rsidR="00E00E8C" w:rsidRPr="00416F39">
        <w:rPr>
          <w:rFonts w:ascii="Arial" w:hAnsi="Arial" w:cs="Arial"/>
          <w:sz w:val="24"/>
          <w:szCs w:val="24"/>
        </w:rPr>
        <w:t xml:space="preserve"> </w:t>
      </w:r>
      <w:hyperlink r:id="rId34" w:tgtFrame="_blank" w:history="1">
        <w:r w:rsidR="00E00E8C" w:rsidRPr="00416F39">
          <w:rPr>
            <w:rStyle w:val="Hyperlink"/>
            <w:rFonts w:ascii="Arial" w:hAnsi="Arial" w:cs="Arial"/>
            <w:color w:val="38A6CB"/>
            <w:sz w:val="24"/>
            <w:szCs w:val="24"/>
            <w:shd w:val="clear" w:color="auto" w:fill="FFFFFF"/>
          </w:rPr>
          <w:t>https://doi.org/10.1080/14486563.2024.2332281 </w:t>
        </w:r>
      </w:hyperlink>
    </w:p>
    <w:p w14:paraId="199E306D" w14:textId="37E413A6"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Pereira Ferraz Soares Ferreira, A.P. and Marques, M.B.P.D.S.M. (2024) ‘The importance of the Ansoff Matrix for the study of the information services market’, </w:t>
      </w:r>
      <w:r w:rsidRPr="00416F39">
        <w:rPr>
          <w:rFonts w:ascii="Arial" w:hAnsi="Arial" w:cs="Arial"/>
          <w:i/>
          <w:iCs/>
          <w:sz w:val="24"/>
          <w:szCs w:val="24"/>
        </w:rPr>
        <w:t>Canadian Journal of Information and Library Science</w:t>
      </w:r>
      <w:r w:rsidRPr="00416F39">
        <w:rPr>
          <w:rFonts w:ascii="Arial" w:hAnsi="Arial" w:cs="Arial"/>
          <w:sz w:val="24"/>
          <w:szCs w:val="24"/>
        </w:rPr>
        <w:t>, 47(2), pp. 78–84.</w:t>
      </w:r>
      <w:r w:rsidR="00E00E8C" w:rsidRPr="00416F39">
        <w:rPr>
          <w:rFonts w:ascii="Arial" w:hAnsi="Arial" w:cs="Arial"/>
          <w:sz w:val="24"/>
          <w:szCs w:val="24"/>
        </w:rPr>
        <w:t xml:space="preserve"> </w:t>
      </w:r>
      <w:hyperlink r:id="rId35" w:tgtFrame="_blank" w:history="1">
        <w:r w:rsidR="00E00E8C" w:rsidRPr="00416F39">
          <w:rPr>
            <w:rStyle w:val="Hyperlink"/>
            <w:rFonts w:ascii="Arial" w:hAnsi="Arial" w:cs="Arial"/>
            <w:color w:val="38A6CB"/>
            <w:sz w:val="24"/>
            <w:szCs w:val="24"/>
            <w:shd w:val="clear" w:color="auto" w:fill="FFFFFF"/>
          </w:rPr>
          <w:t> https://doi.org/10.5206/cjils-rcsib.v47i2.17432 </w:t>
        </w:r>
      </w:hyperlink>
    </w:p>
    <w:p w14:paraId="64B49445"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Polyak, </w:t>
      </w:r>
      <w:proofErr w:type="spellStart"/>
      <w:r w:rsidRPr="00416F39">
        <w:rPr>
          <w:rFonts w:ascii="Arial" w:hAnsi="Arial" w:cs="Arial"/>
          <w:sz w:val="24"/>
          <w:szCs w:val="24"/>
        </w:rPr>
        <w:t>Yu.Ya</w:t>
      </w:r>
      <w:proofErr w:type="spellEnd"/>
      <w:r w:rsidRPr="00416F39">
        <w:rPr>
          <w:rFonts w:ascii="Arial" w:hAnsi="Arial" w:cs="Arial"/>
          <w:sz w:val="24"/>
          <w:szCs w:val="24"/>
        </w:rPr>
        <w:t xml:space="preserve">. and </w:t>
      </w:r>
      <w:proofErr w:type="spellStart"/>
      <w:r w:rsidRPr="00416F39">
        <w:rPr>
          <w:rFonts w:ascii="Arial" w:hAnsi="Arial" w:cs="Arial"/>
          <w:sz w:val="24"/>
          <w:szCs w:val="24"/>
        </w:rPr>
        <w:t>Voitovich</w:t>
      </w:r>
      <w:proofErr w:type="spellEnd"/>
      <w:r w:rsidRPr="00416F39">
        <w:rPr>
          <w:rFonts w:ascii="Arial" w:hAnsi="Arial" w:cs="Arial"/>
          <w:sz w:val="24"/>
          <w:szCs w:val="24"/>
        </w:rPr>
        <w:t xml:space="preserve">, N.V. (2020) ‘The impact of foreign direct investment on the innovation processes of the Ukrainian economy’, </w:t>
      </w:r>
      <w:r w:rsidRPr="00416F39">
        <w:rPr>
          <w:rFonts w:ascii="Arial" w:hAnsi="Arial" w:cs="Arial"/>
          <w:i/>
          <w:iCs/>
          <w:sz w:val="24"/>
          <w:szCs w:val="24"/>
        </w:rPr>
        <w:t>Economics and Management of National Economy</w:t>
      </w:r>
      <w:r w:rsidRPr="00416F39">
        <w:rPr>
          <w:rFonts w:ascii="Arial" w:hAnsi="Arial" w:cs="Arial"/>
          <w:sz w:val="24"/>
          <w:szCs w:val="24"/>
        </w:rPr>
        <w:t>, 1(36), pp. 65–82.</w:t>
      </w:r>
    </w:p>
    <w:p w14:paraId="7EA910A0" w14:textId="77777777" w:rsidR="00973E0E" w:rsidRPr="00416F39" w:rsidRDefault="00973E0E" w:rsidP="00416F39">
      <w:pPr>
        <w:jc w:val="both"/>
        <w:rPr>
          <w:rFonts w:ascii="Arial" w:hAnsi="Arial" w:cs="Arial"/>
          <w:sz w:val="24"/>
          <w:szCs w:val="24"/>
        </w:rPr>
      </w:pPr>
      <w:proofErr w:type="spellStart"/>
      <w:r w:rsidRPr="00416F39">
        <w:rPr>
          <w:rFonts w:ascii="Arial" w:hAnsi="Arial" w:cs="Arial"/>
          <w:sz w:val="24"/>
          <w:szCs w:val="24"/>
        </w:rPr>
        <w:t>Polyuga</w:t>
      </w:r>
      <w:proofErr w:type="spellEnd"/>
      <w:r w:rsidRPr="00416F39">
        <w:rPr>
          <w:rFonts w:ascii="Arial" w:hAnsi="Arial" w:cs="Arial"/>
          <w:sz w:val="24"/>
          <w:szCs w:val="24"/>
        </w:rPr>
        <w:t xml:space="preserve">, V.M. (2018) </w:t>
      </w:r>
      <w:r w:rsidRPr="00416F39">
        <w:rPr>
          <w:rFonts w:ascii="Arial" w:hAnsi="Arial" w:cs="Arial"/>
          <w:i/>
          <w:iCs/>
          <w:sz w:val="24"/>
          <w:szCs w:val="24"/>
        </w:rPr>
        <w:t>Joint entrepreneurial activity as a form of entering the foreign market</w:t>
      </w:r>
      <w:r w:rsidRPr="00416F39">
        <w:rPr>
          <w:rFonts w:ascii="Arial" w:hAnsi="Arial" w:cs="Arial"/>
          <w:sz w:val="24"/>
          <w:szCs w:val="24"/>
        </w:rPr>
        <w:t>. Ternopil: Ternopil National Economic University.</w:t>
      </w:r>
    </w:p>
    <w:p w14:paraId="36EFCA1A" w14:textId="40C51908"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PwC (2023) </w:t>
      </w:r>
      <w:r w:rsidRPr="00416F39">
        <w:rPr>
          <w:rFonts w:ascii="Arial" w:hAnsi="Arial" w:cs="Arial"/>
          <w:i/>
          <w:iCs/>
          <w:sz w:val="24"/>
          <w:szCs w:val="24"/>
        </w:rPr>
        <w:t>How India spends: a deep dive into consumer spending behaviour</w:t>
      </w:r>
      <w:r w:rsidRPr="00416F39">
        <w:rPr>
          <w:rFonts w:ascii="Arial" w:hAnsi="Arial" w:cs="Arial"/>
          <w:sz w:val="24"/>
          <w:szCs w:val="24"/>
        </w:rPr>
        <w:t xml:space="preserve">. </w:t>
      </w:r>
      <w:hyperlink r:id="rId36" w:tgtFrame="_new" w:history="1">
        <w:r w:rsidRPr="00416F39">
          <w:rPr>
            <w:rStyle w:val="Hyperlink"/>
            <w:rFonts w:ascii="Arial" w:hAnsi="Arial" w:cs="Arial"/>
            <w:sz w:val="24"/>
            <w:szCs w:val="24"/>
          </w:rPr>
          <w:t>https://www.pwc.in/assets/pdfs/how-india-spends-a-deep-dive-into-consumers-pending-behaviour.pdf</w:t>
        </w:r>
      </w:hyperlink>
      <w:r w:rsidRPr="00416F39">
        <w:rPr>
          <w:rFonts w:ascii="Arial" w:hAnsi="Arial" w:cs="Arial"/>
          <w:sz w:val="24"/>
          <w:szCs w:val="24"/>
        </w:rPr>
        <w:t xml:space="preserve"> (Accessed: 12 December 2025).</w:t>
      </w:r>
    </w:p>
    <w:p w14:paraId="28292A94" w14:textId="2E4EF6E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Ren, H. et al. (2024) ‘Vulnerability to geopolitical disruptions of the global electric vehicle lithium-ion battery supply chain network’, </w:t>
      </w:r>
      <w:r w:rsidRPr="00416F39">
        <w:rPr>
          <w:rFonts w:ascii="Arial" w:hAnsi="Arial" w:cs="Arial"/>
          <w:i/>
          <w:iCs/>
          <w:sz w:val="24"/>
          <w:szCs w:val="24"/>
        </w:rPr>
        <w:t>Computers &amp; Industrial Engineering</w:t>
      </w:r>
      <w:r w:rsidRPr="00416F39">
        <w:rPr>
          <w:rFonts w:ascii="Arial" w:hAnsi="Arial" w:cs="Arial"/>
          <w:sz w:val="24"/>
          <w:szCs w:val="24"/>
        </w:rPr>
        <w:t xml:space="preserve">, 188, </w:t>
      </w:r>
      <w:r w:rsidR="001B7C97" w:rsidRPr="00416F39">
        <w:rPr>
          <w:rFonts w:ascii="Arial" w:hAnsi="Arial" w:cs="Arial"/>
          <w:sz w:val="24"/>
          <w:szCs w:val="24"/>
        </w:rPr>
        <w:t>pp</w:t>
      </w:r>
      <w:r w:rsidRPr="00416F39">
        <w:rPr>
          <w:rFonts w:ascii="Arial" w:hAnsi="Arial" w:cs="Arial"/>
          <w:sz w:val="24"/>
          <w:szCs w:val="24"/>
        </w:rPr>
        <w:t>. 109</w:t>
      </w:r>
      <w:r w:rsidR="001B7C97" w:rsidRPr="00416F39">
        <w:rPr>
          <w:rFonts w:ascii="Arial" w:hAnsi="Arial" w:cs="Arial"/>
          <w:sz w:val="24"/>
          <w:szCs w:val="24"/>
        </w:rPr>
        <w:t>-</w:t>
      </w:r>
      <w:r w:rsidRPr="00416F39">
        <w:rPr>
          <w:rFonts w:ascii="Arial" w:hAnsi="Arial" w:cs="Arial"/>
          <w:sz w:val="24"/>
          <w:szCs w:val="24"/>
        </w:rPr>
        <w:t>919.</w:t>
      </w:r>
      <w:r w:rsidR="001B7C97" w:rsidRPr="00416F39">
        <w:rPr>
          <w:rFonts w:ascii="Arial" w:hAnsi="Arial" w:cs="Arial"/>
          <w:sz w:val="24"/>
          <w:szCs w:val="24"/>
        </w:rPr>
        <w:t xml:space="preserve"> </w:t>
      </w:r>
      <w:hyperlink r:id="rId37" w:tgtFrame="_blank" w:history="1">
        <w:r w:rsidR="001B7C97" w:rsidRPr="00416F39">
          <w:rPr>
            <w:rStyle w:val="Hyperlink"/>
            <w:rFonts w:ascii="Arial" w:hAnsi="Arial" w:cs="Arial"/>
            <w:color w:val="38A6CB"/>
            <w:sz w:val="24"/>
            <w:szCs w:val="24"/>
            <w:shd w:val="clear" w:color="auto" w:fill="FFFFFF"/>
          </w:rPr>
          <w:t> https://doi.org/10.1016/j.cie.2024.109919 </w:t>
        </w:r>
      </w:hyperlink>
    </w:p>
    <w:p w14:paraId="4E532F28" w14:textId="645E23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Rivian (2024a) </w:t>
      </w:r>
      <w:r w:rsidRPr="00416F39">
        <w:rPr>
          <w:rFonts w:ascii="Arial" w:hAnsi="Arial" w:cs="Arial"/>
          <w:i/>
          <w:iCs/>
          <w:sz w:val="24"/>
          <w:szCs w:val="24"/>
        </w:rPr>
        <w:t>Rivian releases fourth quarter and full year 2024 financial results</w:t>
      </w:r>
      <w:r w:rsidRPr="00416F39">
        <w:rPr>
          <w:rFonts w:ascii="Arial" w:hAnsi="Arial" w:cs="Arial"/>
          <w:sz w:val="24"/>
          <w:szCs w:val="24"/>
        </w:rPr>
        <w:t xml:space="preserve">. </w:t>
      </w:r>
      <w:hyperlink r:id="rId38" w:tgtFrame="_new" w:history="1">
        <w:r w:rsidRPr="00416F39">
          <w:rPr>
            <w:rStyle w:val="Hyperlink"/>
            <w:rFonts w:ascii="Arial" w:hAnsi="Arial" w:cs="Arial"/>
            <w:sz w:val="24"/>
            <w:szCs w:val="24"/>
          </w:rPr>
          <w:t>https://rivian.com/newsroom/article/rivian-releases-fourth-quarter-full-year-2024-financial-results</w:t>
        </w:r>
      </w:hyperlink>
      <w:r w:rsidRPr="00416F39">
        <w:rPr>
          <w:rFonts w:ascii="Arial" w:hAnsi="Arial" w:cs="Arial"/>
          <w:sz w:val="24"/>
          <w:szCs w:val="24"/>
        </w:rPr>
        <w:t xml:space="preserve"> (Accessed: 11 December 2025).</w:t>
      </w:r>
    </w:p>
    <w:p w14:paraId="6844DEA1" w14:textId="0A838B16"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Rivian (2025b) </w:t>
      </w:r>
      <w:r w:rsidRPr="00416F39">
        <w:rPr>
          <w:rFonts w:ascii="Arial" w:hAnsi="Arial" w:cs="Arial"/>
          <w:i/>
          <w:iCs/>
          <w:sz w:val="24"/>
          <w:szCs w:val="24"/>
        </w:rPr>
        <w:t>Our responsibility on the road to forever</w:t>
      </w:r>
      <w:r w:rsidRPr="00416F39">
        <w:rPr>
          <w:rFonts w:ascii="Arial" w:hAnsi="Arial" w:cs="Arial"/>
          <w:sz w:val="24"/>
          <w:szCs w:val="24"/>
        </w:rPr>
        <w:t xml:space="preserve">. </w:t>
      </w:r>
      <w:hyperlink r:id="rId39" w:tgtFrame="_new" w:history="1">
        <w:r w:rsidRPr="00416F39">
          <w:rPr>
            <w:rStyle w:val="Hyperlink"/>
            <w:rFonts w:ascii="Arial" w:hAnsi="Arial" w:cs="Arial"/>
            <w:sz w:val="24"/>
            <w:szCs w:val="24"/>
          </w:rPr>
          <w:t>https://rivian.com/scaling-responsibly</w:t>
        </w:r>
      </w:hyperlink>
      <w:r w:rsidRPr="00416F39">
        <w:rPr>
          <w:rFonts w:ascii="Arial" w:hAnsi="Arial" w:cs="Arial"/>
          <w:sz w:val="24"/>
          <w:szCs w:val="24"/>
        </w:rPr>
        <w:t xml:space="preserve"> (Accessed: 14 December 2025).</w:t>
      </w:r>
    </w:p>
    <w:p w14:paraId="351DC32C" w14:textId="654F1A8A"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S&amp;P Global (2025) </w:t>
      </w:r>
      <w:r w:rsidRPr="00416F39">
        <w:rPr>
          <w:rFonts w:ascii="Arial" w:hAnsi="Arial" w:cs="Arial"/>
          <w:i/>
          <w:iCs/>
          <w:sz w:val="24"/>
          <w:szCs w:val="24"/>
        </w:rPr>
        <w:t xml:space="preserve">India’s EV market: trends and </w:t>
      </w:r>
      <w:proofErr w:type="gramStart"/>
      <w:r w:rsidRPr="00416F39">
        <w:rPr>
          <w:rFonts w:ascii="Arial" w:hAnsi="Arial" w:cs="Arial"/>
          <w:i/>
          <w:iCs/>
          <w:sz w:val="24"/>
          <w:szCs w:val="24"/>
        </w:rPr>
        <w:t>future prospects</w:t>
      </w:r>
      <w:proofErr w:type="gramEnd"/>
      <w:r w:rsidRPr="00416F39">
        <w:rPr>
          <w:rFonts w:ascii="Arial" w:hAnsi="Arial" w:cs="Arial"/>
          <w:sz w:val="24"/>
          <w:szCs w:val="24"/>
        </w:rPr>
        <w:t xml:space="preserve">. </w:t>
      </w:r>
      <w:hyperlink r:id="rId40" w:tgtFrame="_new" w:history="1">
        <w:r w:rsidRPr="00416F39">
          <w:rPr>
            <w:rStyle w:val="Hyperlink"/>
            <w:rFonts w:ascii="Arial" w:hAnsi="Arial" w:cs="Arial"/>
            <w:sz w:val="24"/>
            <w:szCs w:val="24"/>
          </w:rPr>
          <w:t>https://www.spglobal.com/automotive-insights/en/blogs/2025/03/india-ev-market-trends-future</w:t>
        </w:r>
      </w:hyperlink>
      <w:r w:rsidRPr="00416F39">
        <w:rPr>
          <w:rFonts w:ascii="Arial" w:hAnsi="Arial" w:cs="Arial"/>
          <w:sz w:val="24"/>
          <w:szCs w:val="24"/>
        </w:rPr>
        <w:t xml:space="preserve"> (Accessed: 16 December 2025).</w:t>
      </w:r>
    </w:p>
    <w:p w14:paraId="51D52C0D" w14:textId="6BE28279"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Saurabh, K. and Majumdar, R. (2022) ‘Fuels for sustainable transport in India’, in </w:t>
      </w:r>
      <w:r w:rsidR="00D07287" w:rsidRPr="00416F39">
        <w:rPr>
          <w:rFonts w:ascii="Arial" w:hAnsi="Arial" w:cs="Arial"/>
          <w:i/>
          <w:iCs/>
          <w:sz w:val="24"/>
          <w:szCs w:val="24"/>
        </w:rPr>
        <w:t>clean</w:t>
      </w:r>
      <w:r w:rsidRPr="00416F39">
        <w:rPr>
          <w:rFonts w:ascii="Arial" w:hAnsi="Arial" w:cs="Arial"/>
          <w:i/>
          <w:iCs/>
          <w:sz w:val="24"/>
          <w:szCs w:val="24"/>
        </w:rPr>
        <w:t xml:space="preserve"> fuels for mobility</w:t>
      </w:r>
      <w:r w:rsidRPr="00416F39">
        <w:rPr>
          <w:rFonts w:ascii="Arial" w:hAnsi="Arial" w:cs="Arial"/>
          <w:sz w:val="24"/>
          <w:szCs w:val="24"/>
        </w:rPr>
        <w:t>. Singapore: Springer, pp. 27–55.</w:t>
      </w:r>
      <w:r w:rsidR="006E5064" w:rsidRPr="00416F39">
        <w:rPr>
          <w:rFonts w:ascii="Arial" w:hAnsi="Arial" w:cs="Arial"/>
          <w:sz w:val="24"/>
          <w:szCs w:val="24"/>
        </w:rPr>
        <w:t xml:space="preserve"> </w:t>
      </w:r>
      <w:hyperlink r:id="rId41" w:tgtFrame="_blank" w:history="1">
        <w:r w:rsidR="006E5064" w:rsidRPr="00416F39">
          <w:rPr>
            <w:rStyle w:val="Hyperlink"/>
            <w:rFonts w:ascii="Arial" w:hAnsi="Arial" w:cs="Arial"/>
            <w:color w:val="38A6CB"/>
            <w:sz w:val="24"/>
            <w:szCs w:val="24"/>
            <w:shd w:val="clear" w:color="auto" w:fill="FFFFFF"/>
          </w:rPr>
          <w:t>https://doi.org/10.1007/978-981-16-8747-1_3 </w:t>
        </w:r>
      </w:hyperlink>
    </w:p>
    <w:p w14:paraId="7A07C9FB"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Sharma, V., Sharma, D. and Sharma, H. (2024) ‘Understanding the factors behind consumers’ purchase intention toward electric cars in India’, </w:t>
      </w:r>
      <w:r w:rsidRPr="00416F39">
        <w:rPr>
          <w:rFonts w:ascii="Arial" w:hAnsi="Arial" w:cs="Arial"/>
          <w:i/>
          <w:iCs/>
          <w:sz w:val="24"/>
          <w:szCs w:val="24"/>
        </w:rPr>
        <w:t>Review of Integrative Business and Economics Research</w:t>
      </w:r>
      <w:r w:rsidRPr="00416F39">
        <w:rPr>
          <w:rFonts w:ascii="Arial" w:hAnsi="Arial" w:cs="Arial"/>
          <w:sz w:val="24"/>
          <w:szCs w:val="24"/>
        </w:rPr>
        <w:t>, 13(4), pp. 1–17.</w:t>
      </w:r>
    </w:p>
    <w:p w14:paraId="17DCAB88" w14:textId="737B9252" w:rsidR="00973E0E" w:rsidRPr="00416F39" w:rsidRDefault="00973E0E" w:rsidP="00416F39">
      <w:pPr>
        <w:jc w:val="both"/>
        <w:rPr>
          <w:rFonts w:ascii="Arial" w:hAnsi="Arial" w:cs="Arial"/>
          <w:sz w:val="24"/>
          <w:szCs w:val="24"/>
        </w:rPr>
      </w:pPr>
      <w:r w:rsidRPr="00416F39">
        <w:rPr>
          <w:rFonts w:ascii="Arial" w:hAnsi="Arial" w:cs="Arial"/>
          <w:sz w:val="24"/>
          <w:szCs w:val="24"/>
        </w:rPr>
        <w:lastRenderedPageBreak/>
        <w:t xml:space="preserve">Singh (2024) </w:t>
      </w:r>
      <w:r w:rsidRPr="00416F39">
        <w:rPr>
          <w:rFonts w:ascii="Arial" w:hAnsi="Arial" w:cs="Arial"/>
          <w:i/>
          <w:iCs/>
          <w:sz w:val="24"/>
          <w:szCs w:val="24"/>
        </w:rPr>
        <w:t>India’s electric vehicle supply chain landscape: an overview</w:t>
      </w:r>
      <w:r w:rsidRPr="00416F39">
        <w:rPr>
          <w:rFonts w:ascii="Arial" w:hAnsi="Arial" w:cs="Arial"/>
          <w:sz w:val="24"/>
          <w:szCs w:val="24"/>
        </w:rPr>
        <w:t xml:space="preserve">. A </w:t>
      </w:r>
      <w:hyperlink r:id="rId42" w:tgtFrame="_new" w:history="1">
        <w:r w:rsidRPr="00416F39">
          <w:rPr>
            <w:rStyle w:val="Hyperlink"/>
            <w:rFonts w:ascii="Arial" w:hAnsi="Arial" w:cs="Arial"/>
            <w:sz w:val="24"/>
            <w:szCs w:val="24"/>
          </w:rPr>
          <w:t>https://evreporter.com/indias-electric-vehicle-supply-chain-landscape-an-overview/</w:t>
        </w:r>
      </w:hyperlink>
      <w:r w:rsidRPr="00416F39">
        <w:rPr>
          <w:rFonts w:ascii="Arial" w:hAnsi="Arial" w:cs="Arial"/>
          <w:sz w:val="24"/>
          <w:szCs w:val="24"/>
        </w:rPr>
        <w:t xml:space="preserve"> (Accessed: 13 December 2025).</w:t>
      </w:r>
    </w:p>
    <w:p w14:paraId="07AD31F0" w14:textId="382105C8"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Tanwar, R. (2013) ‘Porter’s generic competitive strategies’, </w:t>
      </w:r>
      <w:r w:rsidRPr="00416F39">
        <w:rPr>
          <w:rFonts w:ascii="Arial" w:hAnsi="Arial" w:cs="Arial"/>
          <w:i/>
          <w:iCs/>
          <w:sz w:val="24"/>
          <w:szCs w:val="24"/>
        </w:rPr>
        <w:t>IOSR Journal of Business and Management</w:t>
      </w:r>
      <w:r w:rsidRPr="00416F39">
        <w:rPr>
          <w:rFonts w:ascii="Arial" w:hAnsi="Arial" w:cs="Arial"/>
          <w:sz w:val="24"/>
          <w:szCs w:val="24"/>
        </w:rPr>
        <w:t>, 15(1), pp. 11–17.</w:t>
      </w:r>
      <w:r w:rsidR="006E5064" w:rsidRPr="00416F39">
        <w:rPr>
          <w:rFonts w:ascii="Arial" w:hAnsi="Arial" w:cs="Arial"/>
          <w:sz w:val="24"/>
          <w:szCs w:val="24"/>
        </w:rPr>
        <w:t xml:space="preserve"> </w:t>
      </w:r>
      <w:hyperlink r:id="rId43" w:tgtFrame="_blank" w:history="1">
        <w:r w:rsidR="006E5064" w:rsidRPr="00416F39">
          <w:rPr>
            <w:rStyle w:val="Hyperlink"/>
            <w:rFonts w:ascii="Arial" w:hAnsi="Arial" w:cs="Arial"/>
            <w:color w:val="38A6CB"/>
            <w:sz w:val="24"/>
            <w:szCs w:val="24"/>
            <w:shd w:val="clear" w:color="auto" w:fill="FFFFFF"/>
          </w:rPr>
          <w:t>https://doi.org/10.9790/487x-1511117 </w:t>
        </w:r>
      </w:hyperlink>
    </w:p>
    <w:p w14:paraId="1A617A23" w14:textId="03C8FDB8"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Tarei, P.K., Chand, P. and Gupta, H. (2021) ‘Barriers to the adoption of electric vehicles: evidence from India’, </w:t>
      </w:r>
      <w:r w:rsidRPr="00416F39">
        <w:rPr>
          <w:rFonts w:ascii="Arial" w:hAnsi="Arial" w:cs="Arial"/>
          <w:i/>
          <w:iCs/>
          <w:sz w:val="24"/>
          <w:szCs w:val="24"/>
        </w:rPr>
        <w:t>Journal of Cleaner Production</w:t>
      </w:r>
      <w:r w:rsidRPr="00416F39">
        <w:rPr>
          <w:rFonts w:ascii="Arial" w:hAnsi="Arial" w:cs="Arial"/>
          <w:sz w:val="24"/>
          <w:szCs w:val="24"/>
        </w:rPr>
        <w:t xml:space="preserve">, 291, </w:t>
      </w:r>
      <w:r w:rsidR="00A8749F" w:rsidRPr="00416F39">
        <w:rPr>
          <w:rFonts w:ascii="Arial" w:hAnsi="Arial" w:cs="Arial"/>
          <w:sz w:val="24"/>
          <w:szCs w:val="24"/>
        </w:rPr>
        <w:t>p</w:t>
      </w:r>
      <w:r w:rsidRPr="00416F39">
        <w:rPr>
          <w:rFonts w:ascii="Arial" w:hAnsi="Arial" w:cs="Arial"/>
          <w:sz w:val="24"/>
          <w:szCs w:val="24"/>
        </w:rPr>
        <w:t>p. 125</w:t>
      </w:r>
      <w:r w:rsidR="00A8749F" w:rsidRPr="00416F39">
        <w:rPr>
          <w:rFonts w:ascii="Arial" w:hAnsi="Arial" w:cs="Arial"/>
          <w:sz w:val="24"/>
          <w:szCs w:val="24"/>
        </w:rPr>
        <w:t>-</w:t>
      </w:r>
      <w:r w:rsidRPr="00416F39">
        <w:rPr>
          <w:rFonts w:ascii="Arial" w:hAnsi="Arial" w:cs="Arial"/>
          <w:sz w:val="24"/>
          <w:szCs w:val="24"/>
        </w:rPr>
        <w:t>847.</w:t>
      </w:r>
      <w:r w:rsidR="00A8749F" w:rsidRPr="00416F39">
        <w:rPr>
          <w:rFonts w:ascii="Arial" w:hAnsi="Arial" w:cs="Arial"/>
          <w:sz w:val="24"/>
          <w:szCs w:val="24"/>
        </w:rPr>
        <w:t xml:space="preserve"> </w:t>
      </w:r>
      <w:hyperlink r:id="rId44" w:tgtFrame="_blank" w:history="1">
        <w:r w:rsidR="00A8749F" w:rsidRPr="00416F39">
          <w:rPr>
            <w:rStyle w:val="Hyperlink"/>
            <w:rFonts w:ascii="Arial" w:hAnsi="Arial" w:cs="Arial"/>
            <w:color w:val="38A6CB"/>
            <w:sz w:val="24"/>
            <w:szCs w:val="24"/>
            <w:shd w:val="clear" w:color="auto" w:fill="FFFFFF"/>
          </w:rPr>
          <w:t>https://doi.org/10.1016/j.jclepro.2021.125847 </w:t>
        </w:r>
      </w:hyperlink>
    </w:p>
    <w:p w14:paraId="2897622A" w14:textId="66A950FE" w:rsidR="00973E0E" w:rsidRPr="00416F39" w:rsidRDefault="00973E0E" w:rsidP="00416F39">
      <w:pPr>
        <w:jc w:val="both"/>
        <w:rPr>
          <w:rFonts w:ascii="Arial" w:hAnsi="Arial" w:cs="Arial"/>
          <w:sz w:val="24"/>
          <w:szCs w:val="24"/>
        </w:rPr>
      </w:pPr>
      <w:proofErr w:type="spellStart"/>
      <w:r w:rsidRPr="00416F39">
        <w:rPr>
          <w:rFonts w:ascii="Arial" w:hAnsi="Arial" w:cs="Arial"/>
          <w:sz w:val="24"/>
          <w:szCs w:val="24"/>
        </w:rPr>
        <w:t>VinFast</w:t>
      </w:r>
      <w:proofErr w:type="spellEnd"/>
      <w:r w:rsidRPr="00416F39">
        <w:rPr>
          <w:rFonts w:ascii="Arial" w:hAnsi="Arial" w:cs="Arial"/>
          <w:sz w:val="24"/>
          <w:szCs w:val="24"/>
        </w:rPr>
        <w:t xml:space="preserve"> India (2024) </w:t>
      </w:r>
      <w:proofErr w:type="spellStart"/>
      <w:r w:rsidRPr="00416F39">
        <w:rPr>
          <w:rFonts w:ascii="Arial" w:hAnsi="Arial" w:cs="Arial"/>
          <w:i/>
          <w:iCs/>
          <w:sz w:val="24"/>
          <w:szCs w:val="24"/>
        </w:rPr>
        <w:t>VinFast</w:t>
      </w:r>
      <w:proofErr w:type="spellEnd"/>
      <w:r w:rsidRPr="00416F39">
        <w:rPr>
          <w:rFonts w:ascii="Arial" w:hAnsi="Arial" w:cs="Arial"/>
          <w:i/>
          <w:iCs/>
          <w:sz w:val="24"/>
          <w:szCs w:val="24"/>
        </w:rPr>
        <w:t xml:space="preserve"> hails India’s new EV policy, pledges $500 million</w:t>
      </w:r>
      <w:r w:rsidRPr="00416F39">
        <w:rPr>
          <w:rFonts w:ascii="Arial" w:hAnsi="Arial" w:cs="Arial"/>
          <w:sz w:val="24"/>
          <w:szCs w:val="24"/>
        </w:rPr>
        <w:t xml:space="preserve">. </w:t>
      </w:r>
      <w:hyperlink r:id="rId45" w:tgtFrame="_new" w:history="1">
        <w:r w:rsidRPr="00416F39">
          <w:rPr>
            <w:rStyle w:val="Hyperlink"/>
            <w:rFonts w:ascii="Arial" w:hAnsi="Arial" w:cs="Arial"/>
            <w:sz w:val="24"/>
            <w:szCs w:val="24"/>
          </w:rPr>
          <w:t>https://vinfastauto.in/en/press-release/vinfast-hails-indias-new-ev-policy-pledges-500-million</w:t>
        </w:r>
      </w:hyperlink>
      <w:r w:rsidRPr="00416F39">
        <w:rPr>
          <w:rFonts w:ascii="Arial" w:hAnsi="Arial" w:cs="Arial"/>
          <w:sz w:val="24"/>
          <w:szCs w:val="24"/>
        </w:rPr>
        <w:t xml:space="preserve"> (Accessed: 14 December 2025).</w:t>
      </w:r>
    </w:p>
    <w:p w14:paraId="529DA9BE" w14:textId="6E3C439E"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Viswanathan, V. (2024) ‘Consumer behaviour and factors affecting purchase of electric vehicles in Indian market’, in </w:t>
      </w:r>
      <w:r w:rsidRPr="00416F39">
        <w:rPr>
          <w:rFonts w:ascii="Arial" w:hAnsi="Arial" w:cs="Arial"/>
          <w:i/>
          <w:iCs/>
          <w:sz w:val="24"/>
          <w:szCs w:val="24"/>
        </w:rPr>
        <w:t>Proceedings of the 2024 IEEE International Conference on Electronics, Computing and Communication Technologies (CONECCT)</w:t>
      </w:r>
      <w:r w:rsidRPr="00416F39">
        <w:rPr>
          <w:rFonts w:ascii="Arial" w:hAnsi="Arial" w:cs="Arial"/>
          <w:sz w:val="24"/>
          <w:szCs w:val="24"/>
        </w:rPr>
        <w:t>, pp. 1–6. New York: IEEE.</w:t>
      </w:r>
      <w:r w:rsidR="00A8749F" w:rsidRPr="00416F39">
        <w:rPr>
          <w:rFonts w:ascii="Arial" w:hAnsi="Arial" w:cs="Arial"/>
          <w:sz w:val="24"/>
          <w:szCs w:val="24"/>
        </w:rPr>
        <w:t xml:space="preserve"> </w:t>
      </w:r>
      <w:hyperlink r:id="rId46" w:tgtFrame="_blank" w:history="1">
        <w:r w:rsidR="00A8749F" w:rsidRPr="00416F39">
          <w:rPr>
            <w:rStyle w:val="Hyperlink"/>
            <w:rFonts w:ascii="Arial" w:hAnsi="Arial" w:cs="Arial"/>
            <w:color w:val="38A6CB"/>
            <w:sz w:val="24"/>
            <w:szCs w:val="24"/>
            <w:shd w:val="clear" w:color="auto" w:fill="FFFFFF"/>
          </w:rPr>
          <w:t>https://doi.org/10.1109/conecct62155.2024.10677104 </w:t>
        </w:r>
      </w:hyperlink>
    </w:p>
    <w:p w14:paraId="0585B89E" w14:textId="2DCE3158"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Yahoo Finance (2025) </w:t>
      </w:r>
      <w:r w:rsidRPr="00416F39">
        <w:rPr>
          <w:rFonts w:ascii="Arial" w:hAnsi="Arial" w:cs="Arial"/>
          <w:i/>
          <w:iCs/>
          <w:sz w:val="24"/>
          <w:szCs w:val="24"/>
        </w:rPr>
        <w:t>Rivian’s autonomy bombshell changes everything— even its valuation</w:t>
      </w:r>
      <w:r w:rsidR="001514F3" w:rsidRPr="00416F39">
        <w:rPr>
          <w:rFonts w:ascii="Arial" w:hAnsi="Arial" w:cs="Arial"/>
          <w:sz w:val="24"/>
          <w:szCs w:val="24"/>
        </w:rPr>
        <w:t xml:space="preserve">. </w:t>
      </w:r>
      <w:hyperlink r:id="rId47" w:tgtFrame="_new" w:history="1">
        <w:r w:rsidRPr="00416F39">
          <w:rPr>
            <w:rStyle w:val="Hyperlink"/>
            <w:rFonts w:ascii="Arial" w:hAnsi="Arial" w:cs="Arial"/>
            <w:sz w:val="24"/>
            <w:szCs w:val="24"/>
          </w:rPr>
          <w:t>https://finance.yahoo.com/news/rivian-autonomy-bombshell-changes-everything-183800198.html</w:t>
        </w:r>
      </w:hyperlink>
      <w:r w:rsidRPr="00416F39">
        <w:rPr>
          <w:rFonts w:ascii="Arial" w:hAnsi="Arial" w:cs="Arial"/>
          <w:sz w:val="24"/>
          <w:szCs w:val="24"/>
        </w:rPr>
        <w:t xml:space="preserve"> (Accessed: 15 December 2025).</w:t>
      </w:r>
    </w:p>
    <w:p w14:paraId="760829A9" w14:textId="77777777" w:rsidR="00973E0E" w:rsidRPr="00416F39" w:rsidRDefault="00973E0E" w:rsidP="00416F39">
      <w:pPr>
        <w:jc w:val="both"/>
        <w:rPr>
          <w:rFonts w:ascii="Arial" w:hAnsi="Arial" w:cs="Arial"/>
          <w:sz w:val="24"/>
          <w:szCs w:val="24"/>
        </w:rPr>
      </w:pPr>
      <w:r w:rsidRPr="00416F39">
        <w:rPr>
          <w:rFonts w:ascii="Arial" w:hAnsi="Arial" w:cs="Arial"/>
          <w:sz w:val="24"/>
          <w:szCs w:val="24"/>
        </w:rPr>
        <w:t xml:space="preserve">Zugay, B. and Zakaria, R. (2023) </w:t>
      </w:r>
      <w:r w:rsidRPr="00416F39">
        <w:rPr>
          <w:rFonts w:ascii="Arial" w:hAnsi="Arial" w:cs="Arial"/>
          <w:i/>
          <w:iCs/>
          <w:sz w:val="24"/>
          <w:szCs w:val="24"/>
        </w:rPr>
        <w:t>Ansoff matrix</w:t>
      </w:r>
      <w:r w:rsidRPr="00416F39">
        <w:rPr>
          <w:rFonts w:ascii="Arial" w:hAnsi="Arial" w:cs="Arial"/>
          <w:sz w:val="24"/>
          <w:szCs w:val="24"/>
        </w:rPr>
        <w:t>. Thousand Oaks, CA: SAGE Publications.</w:t>
      </w:r>
    </w:p>
    <w:p w14:paraId="48348750" w14:textId="77777777" w:rsidR="00973E0E" w:rsidRPr="00973E0E" w:rsidRDefault="00973E0E" w:rsidP="00973E0E"/>
    <w:sectPr w:rsidR="00973E0E" w:rsidRPr="00973E0E" w:rsidSect="003073A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59372" w14:textId="77777777" w:rsidR="00B8745B" w:rsidRDefault="00B8745B" w:rsidP="003073A8">
      <w:pPr>
        <w:spacing w:after="0" w:line="240" w:lineRule="auto"/>
      </w:pPr>
      <w:r>
        <w:separator/>
      </w:r>
    </w:p>
  </w:endnote>
  <w:endnote w:type="continuationSeparator" w:id="0">
    <w:p w14:paraId="091C5E5C" w14:textId="77777777" w:rsidR="00B8745B" w:rsidRDefault="00B8745B" w:rsidP="003073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6798626"/>
      <w:docPartObj>
        <w:docPartGallery w:val="Page Numbers (Bottom of Page)"/>
        <w:docPartUnique/>
      </w:docPartObj>
    </w:sdtPr>
    <w:sdtEndPr>
      <w:rPr>
        <w:noProof/>
      </w:rPr>
    </w:sdtEndPr>
    <w:sdtContent>
      <w:p w14:paraId="450D7B35" w14:textId="45D92719" w:rsidR="00A05606" w:rsidRDefault="00A056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73FDEEC" w14:textId="77777777" w:rsidR="003073A8" w:rsidRDefault="00307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C66F77" w14:textId="77777777" w:rsidR="00B8745B" w:rsidRDefault="00B8745B" w:rsidP="003073A8">
      <w:pPr>
        <w:spacing w:after="0" w:line="240" w:lineRule="auto"/>
      </w:pPr>
      <w:r>
        <w:separator/>
      </w:r>
    </w:p>
  </w:footnote>
  <w:footnote w:type="continuationSeparator" w:id="0">
    <w:p w14:paraId="0E4068A2" w14:textId="77777777" w:rsidR="00B8745B" w:rsidRDefault="00B8745B" w:rsidP="003073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87E58"/>
    <w:multiLevelType w:val="hybridMultilevel"/>
    <w:tmpl w:val="77509FD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DB7A5C"/>
    <w:multiLevelType w:val="hybridMultilevel"/>
    <w:tmpl w:val="DA523D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38765F"/>
    <w:multiLevelType w:val="hybridMultilevel"/>
    <w:tmpl w:val="CB3415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C192C25"/>
    <w:multiLevelType w:val="multilevel"/>
    <w:tmpl w:val="948EA472"/>
    <w:lvl w:ilvl="0">
      <w:start w:val="1"/>
      <w:numFmt w:val="decimal"/>
      <w:lvlText w:val="%1."/>
      <w:lvlJc w:val="left"/>
      <w:pPr>
        <w:ind w:left="405" w:hanging="405"/>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22F01183"/>
    <w:multiLevelType w:val="hybridMultilevel"/>
    <w:tmpl w:val="290613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9BB2AA8"/>
    <w:multiLevelType w:val="hybridMultilevel"/>
    <w:tmpl w:val="7A64F1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DF83124"/>
    <w:multiLevelType w:val="hybridMultilevel"/>
    <w:tmpl w:val="FD16C15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0945F5E"/>
    <w:multiLevelType w:val="hybridMultilevel"/>
    <w:tmpl w:val="D3B07E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8D13D00"/>
    <w:multiLevelType w:val="hybridMultilevel"/>
    <w:tmpl w:val="B042599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4C2A346C"/>
    <w:multiLevelType w:val="multilevel"/>
    <w:tmpl w:val="999ED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FF0705A"/>
    <w:multiLevelType w:val="hybridMultilevel"/>
    <w:tmpl w:val="1472CD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5C5E4E27"/>
    <w:multiLevelType w:val="multilevel"/>
    <w:tmpl w:val="C96480D4"/>
    <w:lvl w:ilvl="0">
      <w:start w:val="2"/>
      <w:numFmt w:val="decimal"/>
      <w:lvlText w:val="%1."/>
      <w:lvlJc w:val="left"/>
      <w:pPr>
        <w:ind w:left="390" w:hanging="390"/>
      </w:pPr>
      <w:rPr>
        <w:rFonts w:hint="default"/>
      </w:rPr>
    </w:lvl>
    <w:lvl w:ilvl="1">
      <w:start w:val="1"/>
      <w:numFmt w:val="decimal"/>
      <w:pStyle w:val="Heading2"/>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2" w15:restartNumberingAfterBreak="0">
    <w:nsid w:val="6C720FBC"/>
    <w:multiLevelType w:val="hybridMultilevel"/>
    <w:tmpl w:val="AAF292C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970816497">
    <w:abstractNumId w:val="9"/>
  </w:num>
  <w:num w:numId="2" w16cid:durableId="361320383">
    <w:abstractNumId w:val="1"/>
  </w:num>
  <w:num w:numId="3" w16cid:durableId="1085226614">
    <w:abstractNumId w:val="12"/>
  </w:num>
  <w:num w:numId="4" w16cid:durableId="1404450627">
    <w:abstractNumId w:val="10"/>
  </w:num>
  <w:num w:numId="5" w16cid:durableId="1949003673">
    <w:abstractNumId w:val="4"/>
  </w:num>
  <w:num w:numId="6" w16cid:durableId="1642732086">
    <w:abstractNumId w:val="6"/>
  </w:num>
  <w:num w:numId="7" w16cid:durableId="709648115">
    <w:abstractNumId w:val="8"/>
  </w:num>
  <w:num w:numId="8" w16cid:durableId="942147274">
    <w:abstractNumId w:val="5"/>
  </w:num>
  <w:num w:numId="9" w16cid:durableId="2063365972">
    <w:abstractNumId w:val="2"/>
  </w:num>
  <w:num w:numId="10" w16cid:durableId="317616436">
    <w:abstractNumId w:val="7"/>
  </w:num>
  <w:num w:numId="11" w16cid:durableId="576477987">
    <w:abstractNumId w:val="0"/>
  </w:num>
  <w:num w:numId="12" w16cid:durableId="542400566">
    <w:abstractNumId w:val="11"/>
  </w:num>
  <w:num w:numId="13" w16cid:durableId="6148705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D49"/>
    <w:rsid w:val="000042C5"/>
    <w:rsid w:val="000063C2"/>
    <w:rsid w:val="00025C08"/>
    <w:rsid w:val="000B2707"/>
    <w:rsid w:val="000C3871"/>
    <w:rsid w:val="000D68F0"/>
    <w:rsid w:val="000E0442"/>
    <w:rsid w:val="000E17FD"/>
    <w:rsid w:val="000E4633"/>
    <w:rsid w:val="000E5F3B"/>
    <w:rsid w:val="00115096"/>
    <w:rsid w:val="00116831"/>
    <w:rsid w:val="00140D63"/>
    <w:rsid w:val="00143526"/>
    <w:rsid w:val="00146AA0"/>
    <w:rsid w:val="001514F3"/>
    <w:rsid w:val="00154000"/>
    <w:rsid w:val="00163930"/>
    <w:rsid w:val="001B7C97"/>
    <w:rsid w:val="001C40E0"/>
    <w:rsid w:val="001E5FB8"/>
    <w:rsid w:val="001F76C0"/>
    <w:rsid w:val="0020475E"/>
    <w:rsid w:val="00215F27"/>
    <w:rsid w:val="00225545"/>
    <w:rsid w:val="00227EC5"/>
    <w:rsid w:val="00242C97"/>
    <w:rsid w:val="00251D99"/>
    <w:rsid w:val="00251EC0"/>
    <w:rsid w:val="00252B36"/>
    <w:rsid w:val="00295B34"/>
    <w:rsid w:val="002A3A4F"/>
    <w:rsid w:val="002F3E48"/>
    <w:rsid w:val="00304A20"/>
    <w:rsid w:val="003073A8"/>
    <w:rsid w:val="00314AB7"/>
    <w:rsid w:val="00323A1B"/>
    <w:rsid w:val="0033265D"/>
    <w:rsid w:val="00371B79"/>
    <w:rsid w:val="00377F5F"/>
    <w:rsid w:val="00392355"/>
    <w:rsid w:val="003A6B4D"/>
    <w:rsid w:val="003B6176"/>
    <w:rsid w:val="003D028E"/>
    <w:rsid w:val="003D5A8A"/>
    <w:rsid w:val="003E573B"/>
    <w:rsid w:val="003F686B"/>
    <w:rsid w:val="0040361D"/>
    <w:rsid w:val="004045B1"/>
    <w:rsid w:val="00406B1C"/>
    <w:rsid w:val="0041109C"/>
    <w:rsid w:val="004168DF"/>
    <w:rsid w:val="00416F39"/>
    <w:rsid w:val="00417EF3"/>
    <w:rsid w:val="0042039B"/>
    <w:rsid w:val="00435CA1"/>
    <w:rsid w:val="0049006A"/>
    <w:rsid w:val="004A6C01"/>
    <w:rsid w:val="004B1CCA"/>
    <w:rsid w:val="004B1E5B"/>
    <w:rsid w:val="004C036C"/>
    <w:rsid w:val="004C4B99"/>
    <w:rsid w:val="004C4C8F"/>
    <w:rsid w:val="004E3D6A"/>
    <w:rsid w:val="004F2AEE"/>
    <w:rsid w:val="004F6FC4"/>
    <w:rsid w:val="004F73DF"/>
    <w:rsid w:val="00511D42"/>
    <w:rsid w:val="00512A58"/>
    <w:rsid w:val="00533D2E"/>
    <w:rsid w:val="00542D49"/>
    <w:rsid w:val="00543473"/>
    <w:rsid w:val="0055786B"/>
    <w:rsid w:val="0056335C"/>
    <w:rsid w:val="00567380"/>
    <w:rsid w:val="00576838"/>
    <w:rsid w:val="0057769F"/>
    <w:rsid w:val="0059122A"/>
    <w:rsid w:val="00594DCD"/>
    <w:rsid w:val="005A0EBD"/>
    <w:rsid w:val="005A3888"/>
    <w:rsid w:val="005C3C90"/>
    <w:rsid w:val="00614740"/>
    <w:rsid w:val="00637554"/>
    <w:rsid w:val="00662C57"/>
    <w:rsid w:val="00666CC6"/>
    <w:rsid w:val="006759EA"/>
    <w:rsid w:val="00681907"/>
    <w:rsid w:val="00687C25"/>
    <w:rsid w:val="00694339"/>
    <w:rsid w:val="00695B2A"/>
    <w:rsid w:val="006A69C1"/>
    <w:rsid w:val="006C2F01"/>
    <w:rsid w:val="006D7188"/>
    <w:rsid w:val="006E1BA2"/>
    <w:rsid w:val="006E5064"/>
    <w:rsid w:val="006E55E4"/>
    <w:rsid w:val="00711741"/>
    <w:rsid w:val="0072244F"/>
    <w:rsid w:val="0075314C"/>
    <w:rsid w:val="007837E8"/>
    <w:rsid w:val="007842F3"/>
    <w:rsid w:val="0078654B"/>
    <w:rsid w:val="00787D47"/>
    <w:rsid w:val="007C46A9"/>
    <w:rsid w:val="007D6C5F"/>
    <w:rsid w:val="007E1189"/>
    <w:rsid w:val="007E67A2"/>
    <w:rsid w:val="007F084A"/>
    <w:rsid w:val="00824B25"/>
    <w:rsid w:val="008343A9"/>
    <w:rsid w:val="0086161D"/>
    <w:rsid w:val="0087147A"/>
    <w:rsid w:val="00886C35"/>
    <w:rsid w:val="008C035E"/>
    <w:rsid w:val="00902967"/>
    <w:rsid w:val="0090500F"/>
    <w:rsid w:val="009060AF"/>
    <w:rsid w:val="009063F3"/>
    <w:rsid w:val="00942A7B"/>
    <w:rsid w:val="00973E0E"/>
    <w:rsid w:val="009A376C"/>
    <w:rsid w:val="009C1885"/>
    <w:rsid w:val="009C61BD"/>
    <w:rsid w:val="009D1756"/>
    <w:rsid w:val="009D5F5C"/>
    <w:rsid w:val="009E49C1"/>
    <w:rsid w:val="009F0B4C"/>
    <w:rsid w:val="009F67C2"/>
    <w:rsid w:val="00A02FD7"/>
    <w:rsid w:val="00A05606"/>
    <w:rsid w:val="00A0670C"/>
    <w:rsid w:val="00A354C6"/>
    <w:rsid w:val="00A40A0B"/>
    <w:rsid w:val="00A47A36"/>
    <w:rsid w:val="00A61E9E"/>
    <w:rsid w:val="00A87100"/>
    <w:rsid w:val="00A8749F"/>
    <w:rsid w:val="00A9059D"/>
    <w:rsid w:val="00AB3F94"/>
    <w:rsid w:val="00AF32E1"/>
    <w:rsid w:val="00B15BF4"/>
    <w:rsid w:val="00B33287"/>
    <w:rsid w:val="00B8745B"/>
    <w:rsid w:val="00B879E0"/>
    <w:rsid w:val="00B92829"/>
    <w:rsid w:val="00B94B1A"/>
    <w:rsid w:val="00BA4FD7"/>
    <w:rsid w:val="00BA7215"/>
    <w:rsid w:val="00C00851"/>
    <w:rsid w:val="00C46FBC"/>
    <w:rsid w:val="00C52331"/>
    <w:rsid w:val="00C5283F"/>
    <w:rsid w:val="00C566AC"/>
    <w:rsid w:val="00C916CC"/>
    <w:rsid w:val="00CA4D49"/>
    <w:rsid w:val="00CB152E"/>
    <w:rsid w:val="00CD54F9"/>
    <w:rsid w:val="00D07287"/>
    <w:rsid w:val="00D40E13"/>
    <w:rsid w:val="00D571D3"/>
    <w:rsid w:val="00D6620F"/>
    <w:rsid w:val="00D831EE"/>
    <w:rsid w:val="00D910B7"/>
    <w:rsid w:val="00DD1DB3"/>
    <w:rsid w:val="00DE130F"/>
    <w:rsid w:val="00E00E8C"/>
    <w:rsid w:val="00E16FC6"/>
    <w:rsid w:val="00E34936"/>
    <w:rsid w:val="00E63557"/>
    <w:rsid w:val="00E711BB"/>
    <w:rsid w:val="00E72FF4"/>
    <w:rsid w:val="00EA0744"/>
    <w:rsid w:val="00EB527D"/>
    <w:rsid w:val="00EC27FF"/>
    <w:rsid w:val="00EC34AE"/>
    <w:rsid w:val="00EE1117"/>
    <w:rsid w:val="00EE37F6"/>
    <w:rsid w:val="00EE7F0A"/>
    <w:rsid w:val="00EF6C8D"/>
    <w:rsid w:val="00F025F7"/>
    <w:rsid w:val="00F224C8"/>
    <w:rsid w:val="00F235F1"/>
    <w:rsid w:val="00F377B6"/>
    <w:rsid w:val="00F6442E"/>
    <w:rsid w:val="00FB35A7"/>
    <w:rsid w:val="00FC3E2A"/>
    <w:rsid w:val="00FD0C5B"/>
    <w:rsid w:val="00FE2EB6"/>
    <w:rsid w:val="00FE45FE"/>
    <w:rsid w:val="00FF6084"/>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38D423"/>
  <w15:chartTrackingRefBased/>
  <w15:docId w15:val="{ADB737CA-4BFF-4D67-AFC2-56C8BE0880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C25"/>
    <w:pPr>
      <w:keepNext/>
      <w:keepLines/>
      <w:spacing w:before="360" w:after="80" w:line="360" w:lineRule="auto"/>
      <w:jc w:val="both"/>
      <w:outlineLvl w:val="0"/>
    </w:pPr>
    <w:rPr>
      <w:rFonts w:ascii="Arial" w:eastAsiaTheme="majorEastAsia" w:hAnsi="Arial" w:cs="Arial"/>
      <w:b/>
      <w:sz w:val="24"/>
      <w:szCs w:val="24"/>
    </w:rPr>
  </w:style>
  <w:style w:type="paragraph" w:styleId="Heading2">
    <w:name w:val="heading 2"/>
    <w:basedOn w:val="ListParagraph"/>
    <w:next w:val="Normal"/>
    <w:link w:val="Heading2Char"/>
    <w:uiPriority w:val="9"/>
    <w:unhideWhenUsed/>
    <w:qFormat/>
    <w:rsid w:val="00687C25"/>
    <w:pPr>
      <w:numPr>
        <w:ilvl w:val="1"/>
        <w:numId w:val="12"/>
      </w:numPr>
      <w:spacing w:line="360" w:lineRule="auto"/>
      <w:jc w:val="both"/>
      <w:outlineLvl w:val="1"/>
    </w:pPr>
    <w:rPr>
      <w:rFonts w:ascii="Arial" w:hAnsi="Arial" w:cs="Arial"/>
      <w:b/>
      <w:sz w:val="24"/>
      <w:szCs w:val="24"/>
    </w:rPr>
  </w:style>
  <w:style w:type="paragraph" w:styleId="Heading3">
    <w:name w:val="heading 3"/>
    <w:basedOn w:val="Normal"/>
    <w:next w:val="Normal"/>
    <w:link w:val="Heading3Char"/>
    <w:uiPriority w:val="9"/>
    <w:semiHidden/>
    <w:unhideWhenUsed/>
    <w:qFormat/>
    <w:rsid w:val="00CA4D49"/>
    <w:pPr>
      <w:keepNext/>
      <w:keepLines/>
      <w:spacing w:before="160" w:after="80"/>
      <w:outlineLvl w:val="2"/>
    </w:pPr>
    <w:rPr>
      <w:rFonts w:eastAsiaTheme="majorEastAsia"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CA4D4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D4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D4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D4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D4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D4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C25"/>
    <w:rPr>
      <w:rFonts w:ascii="Arial" w:eastAsiaTheme="majorEastAsia" w:hAnsi="Arial" w:cs="Arial"/>
      <w:b/>
      <w:sz w:val="24"/>
      <w:szCs w:val="24"/>
    </w:rPr>
  </w:style>
  <w:style w:type="character" w:customStyle="1" w:styleId="Heading2Char">
    <w:name w:val="Heading 2 Char"/>
    <w:basedOn w:val="DefaultParagraphFont"/>
    <w:link w:val="Heading2"/>
    <w:uiPriority w:val="9"/>
    <w:rsid w:val="00687C25"/>
    <w:rPr>
      <w:rFonts w:ascii="Arial" w:hAnsi="Arial" w:cs="Arial"/>
      <w:b/>
      <w:sz w:val="24"/>
      <w:szCs w:val="24"/>
    </w:rPr>
  </w:style>
  <w:style w:type="character" w:customStyle="1" w:styleId="Heading3Char">
    <w:name w:val="Heading 3 Char"/>
    <w:basedOn w:val="DefaultParagraphFont"/>
    <w:link w:val="Heading3"/>
    <w:uiPriority w:val="9"/>
    <w:semiHidden/>
    <w:rsid w:val="00CA4D49"/>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CA4D4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D4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D4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D4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D4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D49"/>
    <w:rPr>
      <w:rFonts w:eastAsiaTheme="majorEastAsia" w:cstheme="majorBidi"/>
      <w:color w:val="272727" w:themeColor="text1" w:themeTint="D8"/>
    </w:rPr>
  </w:style>
  <w:style w:type="paragraph" w:styleId="Title">
    <w:name w:val="Title"/>
    <w:basedOn w:val="Normal"/>
    <w:next w:val="Normal"/>
    <w:link w:val="TitleChar"/>
    <w:uiPriority w:val="10"/>
    <w:qFormat/>
    <w:rsid w:val="00CA4D4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CA4D4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CA4D4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CA4D4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CA4D49"/>
    <w:pPr>
      <w:spacing w:before="160"/>
      <w:jc w:val="center"/>
    </w:pPr>
    <w:rPr>
      <w:i/>
      <w:iCs/>
      <w:color w:val="404040" w:themeColor="text1" w:themeTint="BF"/>
    </w:rPr>
  </w:style>
  <w:style w:type="character" w:customStyle="1" w:styleId="QuoteChar">
    <w:name w:val="Quote Char"/>
    <w:basedOn w:val="DefaultParagraphFont"/>
    <w:link w:val="Quote"/>
    <w:uiPriority w:val="29"/>
    <w:rsid w:val="00CA4D49"/>
    <w:rPr>
      <w:i/>
      <w:iCs/>
      <w:color w:val="404040" w:themeColor="text1" w:themeTint="BF"/>
    </w:rPr>
  </w:style>
  <w:style w:type="paragraph" w:styleId="ListParagraph">
    <w:name w:val="List Paragraph"/>
    <w:basedOn w:val="Normal"/>
    <w:uiPriority w:val="34"/>
    <w:qFormat/>
    <w:rsid w:val="00CA4D49"/>
    <w:pPr>
      <w:ind w:left="720"/>
      <w:contextualSpacing/>
    </w:pPr>
  </w:style>
  <w:style w:type="character" w:styleId="IntenseEmphasis">
    <w:name w:val="Intense Emphasis"/>
    <w:basedOn w:val="DefaultParagraphFont"/>
    <w:uiPriority w:val="21"/>
    <w:qFormat/>
    <w:rsid w:val="00CA4D49"/>
    <w:rPr>
      <w:i/>
      <w:iCs/>
      <w:color w:val="0F4761" w:themeColor="accent1" w:themeShade="BF"/>
    </w:rPr>
  </w:style>
  <w:style w:type="paragraph" w:styleId="IntenseQuote">
    <w:name w:val="Intense Quote"/>
    <w:basedOn w:val="Normal"/>
    <w:next w:val="Normal"/>
    <w:link w:val="IntenseQuoteChar"/>
    <w:uiPriority w:val="30"/>
    <w:qFormat/>
    <w:rsid w:val="00CA4D4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D49"/>
    <w:rPr>
      <w:i/>
      <w:iCs/>
      <w:color w:val="0F4761" w:themeColor="accent1" w:themeShade="BF"/>
    </w:rPr>
  </w:style>
  <w:style w:type="character" w:styleId="IntenseReference">
    <w:name w:val="Intense Reference"/>
    <w:basedOn w:val="DefaultParagraphFont"/>
    <w:uiPriority w:val="32"/>
    <w:qFormat/>
    <w:rsid w:val="00CA4D49"/>
    <w:rPr>
      <w:b/>
      <w:bCs/>
      <w:smallCaps/>
      <w:color w:val="0F4761" w:themeColor="accent1" w:themeShade="BF"/>
      <w:spacing w:val="5"/>
    </w:rPr>
  </w:style>
  <w:style w:type="table" w:styleId="TableGrid">
    <w:name w:val="Table Grid"/>
    <w:basedOn w:val="TableNormal"/>
    <w:uiPriority w:val="39"/>
    <w:rsid w:val="00CA4D4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CA4D49"/>
    <w:rPr>
      <w:sz w:val="16"/>
      <w:szCs w:val="16"/>
    </w:rPr>
  </w:style>
  <w:style w:type="paragraph" w:styleId="CommentText">
    <w:name w:val="annotation text"/>
    <w:basedOn w:val="Normal"/>
    <w:link w:val="CommentTextChar"/>
    <w:uiPriority w:val="99"/>
    <w:unhideWhenUsed/>
    <w:rsid w:val="00CA4D49"/>
    <w:pPr>
      <w:spacing w:line="240" w:lineRule="auto"/>
    </w:pPr>
    <w:rPr>
      <w:sz w:val="20"/>
      <w:szCs w:val="25"/>
    </w:rPr>
  </w:style>
  <w:style w:type="character" w:customStyle="1" w:styleId="CommentTextChar">
    <w:name w:val="Comment Text Char"/>
    <w:basedOn w:val="DefaultParagraphFont"/>
    <w:link w:val="CommentText"/>
    <w:uiPriority w:val="99"/>
    <w:rsid w:val="00CA4D49"/>
    <w:rPr>
      <w:sz w:val="20"/>
      <w:szCs w:val="25"/>
    </w:rPr>
  </w:style>
  <w:style w:type="paragraph" w:styleId="CommentSubject">
    <w:name w:val="annotation subject"/>
    <w:basedOn w:val="CommentText"/>
    <w:next w:val="CommentText"/>
    <w:link w:val="CommentSubjectChar"/>
    <w:uiPriority w:val="99"/>
    <w:semiHidden/>
    <w:unhideWhenUsed/>
    <w:rsid w:val="00CA4D49"/>
    <w:rPr>
      <w:b/>
      <w:bCs/>
    </w:rPr>
  </w:style>
  <w:style w:type="character" w:customStyle="1" w:styleId="CommentSubjectChar">
    <w:name w:val="Comment Subject Char"/>
    <w:basedOn w:val="CommentTextChar"/>
    <w:link w:val="CommentSubject"/>
    <w:uiPriority w:val="99"/>
    <w:semiHidden/>
    <w:rsid w:val="00CA4D49"/>
    <w:rPr>
      <w:b/>
      <w:bCs/>
      <w:sz w:val="20"/>
      <w:szCs w:val="25"/>
    </w:rPr>
  </w:style>
  <w:style w:type="character" w:styleId="Hyperlink">
    <w:name w:val="Hyperlink"/>
    <w:basedOn w:val="DefaultParagraphFont"/>
    <w:uiPriority w:val="99"/>
    <w:unhideWhenUsed/>
    <w:rsid w:val="00CA4D49"/>
    <w:rPr>
      <w:color w:val="467886" w:themeColor="hyperlink"/>
      <w:u w:val="single"/>
    </w:rPr>
  </w:style>
  <w:style w:type="character" w:styleId="UnresolvedMention">
    <w:name w:val="Unresolved Mention"/>
    <w:basedOn w:val="DefaultParagraphFont"/>
    <w:uiPriority w:val="99"/>
    <w:semiHidden/>
    <w:unhideWhenUsed/>
    <w:rsid w:val="00CA4D49"/>
    <w:rPr>
      <w:color w:val="605E5C"/>
      <w:shd w:val="clear" w:color="auto" w:fill="E1DFDD"/>
    </w:rPr>
  </w:style>
  <w:style w:type="character" w:styleId="Strong">
    <w:name w:val="Strong"/>
    <w:basedOn w:val="DefaultParagraphFont"/>
    <w:uiPriority w:val="22"/>
    <w:qFormat/>
    <w:rsid w:val="009F67C2"/>
    <w:rPr>
      <w:b/>
      <w:bCs/>
    </w:rPr>
  </w:style>
  <w:style w:type="character" w:customStyle="1" w:styleId="cf01">
    <w:name w:val="cf01"/>
    <w:basedOn w:val="DefaultParagraphFont"/>
    <w:rsid w:val="00F377B6"/>
    <w:rPr>
      <w:rFonts w:ascii="Segoe UI" w:hAnsi="Segoe UI" w:cs="Segoe UI" w:hint="default"/>
      <w:sz w:val="18"/>
      <w:szCs w:val="18"/>
    </w:rPr>
  </w:style>
  <w:style w:type="paragraph" w:styleId="Caption">
    <w:name w:val="caption"/>
    <w:basedOn w:val="Normal"/>
    <w:next w:val="Normal"/>
    <w:uiPriority w:val="35"/>
    <w:unhideWhenUsed/>
    <w:qFormat/>
    <w:rsid w:val="00711741"/>
    <w:pPr>
      <w:spacing w:after="200" w:line="240" w:lineRule="auto"/>
    </w:pPr>
    <w:rPr>
      <w:i/>
      <w:iCs/>
      <w:color w:val="0E2841" w:themeColor="text2"/>
      <w:sz w:val="18"/>
      <w:szCs w:val="22"/>
    </w:rPr>
  </w:style>
  <w:style w:type="paragraph" w:styleId="EndnoteText">
    <w:name w:val="endnote text"/>
    <w:basedOn w:val="Normal"/>
    <w:link w:val="EndnoteTextChar"/>
    <w:uiPriority w:val="99"/>
    <w:semiHidden/>
    <w:unhideWhenUsed/>
    <w:rsid w:val="003073A8"/>
    <w:pPr>
      <w:spacing w:after="0" w:line="240" w:lineRule="auto"/>
    </w:pPr>
    <w:rPr>
      <w:sz w:val="20"/>
      <w:szCs w:val="25"/>
    </w:rPr>
  </w:style>
  <w:style w:type="character" w:customStyle="1" w:styleId="EndnoteTextChar">
    <w:name w:val="Endnote Text Char"/>
    <w:basedOn w:val="DefaultParagraphFont"/>
    <w:link w:val="EndnoteText"/>
    <w:uiPriority w:val="99"/>
    <w:semiHidden/>
    <w:rsid w:val="003073A8"/>
    <w:rPr>
      <w:sz w:val="20"/>
      <w:szCs w:val="25"/>
    </w:rPr>
  </w:style>
  <w:style w:type="character" w:styleId="EndnoteReference">
    <w:name w:val="endnote reference"/>
    <w:basedOn w:val="DefaultParagraphFont"/>
    <w:uiPriority w:val="99"/>
    <w:semiHidden/>
    <w:unhideWhenUsed/>
    <w:rsid w:val="003073A8"/>
    <w:rPr>
      <w:vertAlign w:val="superscript"/>
    </w:rPr>
  </w:style>
  <w:style w:type="paragraph" w:styleId="Header">
    <w:name w:val="header"/>
    <w:basedOn w:val="Normal"/>
    <w:link w:val="HeaderChar"/>
    <w:uiPriority w:val="99"/>
    <w:unhideWhenUsed/>
    <w:rsid w:val="003073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73A8"/>
  </w:style>
  <w:style w:type="paragraph" w:styleId="Footer">
    <w:name w:val="footer"/>
    <w:basedOn w:val="Normal"/>
    <w:link w:val="FooterChar"/>
    <w:uiPriority w:val="99"/>
    <w:unhideWhenUsed/>
    <w:rsid w:val="003073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73A8"/>
  </w:style>
  <w:style w:type="paragraph" w:customStyle="1" w:styleId="pf0">
    <w:name w:val="pf0"/>
    <w:basedOn w:val="Normal"/>
    <w:rsid w:val="00435CA1"/>
    <w:pPr>
      <w:spacing w:before="100" w:beforeAutospacing="1" w:after="100" w:afterAutospacing="1" w:line="240" w:lineRule="auto"/>
    </w:pPr>
    <w:rPr>
      <w:rFonts w:ascii="Times New Roman" w:eastAsia="Times New Roman" w:hAnsi="Times New Roman" w:cs="Times New Roman"/>
      <w:kern w:val="0"/>
      <w:sz w:val="24"/>
      <w:szCs w:val="24"/>
      <w:lang w:eastAsia="en-IN" w:bidi="ar-SA"/>
    </w:rPr>
  </w:style>
  <w:style w:type="paragraph" w:styleId="TOCHeading">
    <w:name w:val="TOC Heading"/>
    <w:basedOn w:val="Heading1"/>
    <w:next w:val="Normal"/>
    <w:uiPriority w:val="39"/>
    <w:unhideWhenUsed/>
    <w:qFormat/>
    <w:rsid w:val="002F3E48"/>
    <w:pPr>
      <w:spacing w:before="240" w:after="0" w:line="259" w:lineRule="auto"/>
      <w:jc w:val="left"/>
      <w:outlineLvl w:val="9"/>
    </w:pPr>
    <w:rPr>
      <w:rFonts w:asciiTheme="majorHAnsi" w:hAnsiTheme="majorHAnsi" w:cstheme="majorBidi"/>
      <w:b w:val="0"/>
      <w:color w:val="0F4761"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2F3E48"/>
    <w:pPr>
      <w:spacing w:after="100"/>
    </w:pPr>
  </w:style>
  <w:style w:type="paragraph" w:styleId="TOC2">
    <w:name w:val="toc 2"/>
    <w:basedOn w:val="Normal"/>
    <w:next w:val="Normal"/>
    <w:autoRedefine/>
    <w:uiPriority w:val="39"/>
    <w:unhideWhenUsed/>
    <w:rsid w:val="002F3E48"/>
    <w:pPr>
      <w:spacing w:after="100"/>
      <w:ind w:left="220"/>
    </w:pPr>
  </w:style>
  <w:style w:type="paragraph" w:styleId="TableofFigures">
    <w:name w:val="table of figures"/>
    <w:basedOn w:val="Normal"/>
    <w:next w:val="Normal"/>
    <w:uiPriority w:val="99"/>
    <w:unhideWhenUsed/>
    <w:rsid w:val="002F3E48"/>
    <w:pPr>
      <w:spacing w:after="0"/>
    </w:pPr>
  </w:style>
  <w:style w:type="character" w:styleId="FollowedHyperlink">
    <w:name w:val="FollowedHyperlink"/>
    <w:basedOn w:val="DefaultParagraphFont"/>
    <w:uiPriority w:val="99"/>
    <w:semiHidden/>
    <w:unhideWhenUsed/>
    <w:rsid w:val="00973E0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phaspread.com/market-news/analyst-ratings/rivian-stock-jumps-15-following-analyst-upgrade-and-positive-outlook" TargetMode="External"/><Relationship Id="rId18" Type="http://schemas.openxmlformats.org/officeDocument/2006/relationships/hyperlink" Target="https://economictimes.indiatimes.com/industry/auto/auto-news/luxury-car-sales-enter-the-slow-lane-in-h1/articleshow/122394321.cms" TargetMode="External"/><Relationship Id="rId26" Type="http://schemas.openxmlformats.org/officeDocument/2006/relationships/hyperlink" Target="https://doi.org/10.2478/danb-2025-0008" TargetMode="External"/><Relationship Id="rId39" Type="http://schemas.openxmlformats.org/officeDocument/2006/relationships/hyperlink" Target="https://rivian.com/scaling-responsibly" TargetMode="External"/><Relationship Id="rId21" Type="http://schemas.openxmlformats.org/officeDocument/2006/relationships/hyperlink" Target="https://www.ibef.org/industry/electric-vehicle" TargetMode="External"/><Relationship Id="rId34" Type="http://schemas.openxmlformats.org/officeDocument/2006/relationships/hyperlink" Target="https://doi.org/10.1080/14486563.2024.2332281" TargetMode="External"/><Relationship Id="rId42" Type="http://schemas.openxmlformats.org/officeDocument/2006/relationships/hyperlink" Target="https://evreporter.com/indias-electric-vehicle-supply-chain-landscape-an-overview/" TargetMode="External"/><Relationship Id="rId47" Type="http://schemas.openxmlformats.org/officeDocument/2006/relationships/hyperlink" Target="https://finance.yahoo.com/news/rivian-autonomy-bombshell-changes-everything-183800198.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nbc.com/2025/12/11/rivian-autonomy-ai-day.html" TargetMode="External"/><Relationship Id="rId29" Type="http://schemas.openxmlformats.org/officeDocument/2006/relationships/hyperlink" Target="https://doi.org/10.1088/1755-1315/692/2/022103" TargetMode="External"/><Relationship Id="rId11" Type="http://schemas.openxmlformats.org/officeDocument/2006/relationships/image" Target="media/image3.png"/><Relationship Id="rId24" Type="http://schemas.openxmlformats.org/officeDocument/2006/relationships/hyperlink" Target="https://doi.org/10.1016/s1751-3243(07)03003-9" TargetMode="External"/><Relationship Id="rId32" Type="http://schemas.openxmlformats.org/officeDocument/2006/relationships/hyperlink" Target="https://doi.org/10.1039/d1ee01530c" TargetMode="External"/><Relationship Id="rId37" Type="http://schemas.openxmlformats.org/officeDocument/2006/relationships/hyperlink" Target="https://doi.org/10.1016/j.cie.2024.109919" TargetMode="External"/><Relationship Id="rId40" Type="http://schemas.openxmlformats.org/officeDocument/2006/relationships/hyperlink" Target="https://www.spglobal.com/automotive-insights/en/blogs/2025/03/india-ev-market-trends-future" TargetMode="External"/><Relationship Id="rId45" Type="http://schemas.openxmlformats.org/officeDocument/2006/relationships/hyperlink" Target="https://vinfastauto.in/en/press-release/vinfast-hails-indias-new-ev-policy-pledges-500-million" TargetMode="External"/><Relationship Id="rId5" Type="http://schemas.openxmlformats.org/officeDocument/2006/relationships/webSettings" Target="webSettings.xml"/><Relationship Id="rId15" Type="http://schemas.openxmlformats.org/officeDocument/2006/relationships/hyperlink" Target="https://doi.org/10.1371/journal.pone.0328563" TargetMode="External"/><Relationship Id="rId23" Type="http://schemas.openxmlformats.org/officeDocument/2006/relationships/hyperlink" Target="https://doi.org/10.1108/ejim-01-2024-0050" TargetMode="External"/><Relationship Id="rId28" Type="http://schemas.openxmlformats.org/officeDocument/2006/relationships/hyperlink" Target="https://doi.org/10.1109/tem.2024.3404787" TargetMode="External"/><Relationship Id="rId36" Type="http://schemas.openxmlformats.org/officeDocument/2006/relationships/hyperlink" Target="https://www.pwc.in/assets/pdfs/how-india-spends-a-deep-dive-into-consumers-pending-behaviour.pdf"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conomist.com/asia/2024/11/14/india-is-turning-into-an-suv-country" TargetMode="External"/><Relationship Id="rId31" Type="http://schemas.openxmlformats.org/officeDocument/2006/relationships/hyperlink" Target="https://doi.org/10.1016/j.lrp.2019.101942" TargetMode="External"/><Relationship Id="rId44" Type="http://schemas.openxmlformats.org/officeDocument/2006/relationships/hyperlink" Target="https://doi.org/10.1016/j.jclepro.2021.125847"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1108/jitlp-10-2019-0063" TargetMode="External"/><Relationship Id="rId22" Type="http://schemas.openxmlformats.org/officeDocument/2006/relationships/hyperlink" Target="https://theicct.org/record-electric-vehicle-sales-show-american-demand-will-us-automakers-deliver-or-retreat-nov25/" TargetMode="External"/><Relationship Id="rId27" Type="http://schemas.openxmlformats.org/officeDocument/2006/relationships/hyperlink" Target="https://kpmg.com/in/en/insights/2025/12/securing-the-supply-chain-preparing-for-the-electric-vehicle-raw-material-challenge.html" TargetMode="External"/><Relationship Id="rId30" Type="http://schemas.openxmlformats.org/officeDocument/2006/relationships/hyperlink" Target="https://doi.org/10.22190/teme200528037m" TargetMode="External"/><Relationship Id="rId35" Type="http://schemas.openxmlformats.org/officeDocument/2006/relationships/hyperlink" Target="https://doi.org/10.5206/cjils-rcsib.v47i2.17432" TargetMode="External"/><Relationship Id="rId43" Type="http://schemas.openxmlformats.org/officeDocument/2006/relationships/hyperlink" Target="https://doi.org/10.9790/487x-1511117"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108/02756660610640173" TargetMode="External"/><Relationship Id="rId17" Type="http://schemas.openxmlformats.org/officeDocument/2006/relationships/hyperlink" Target="https://www.reuters.com/business/autos-transportation/car-executives-fear-collapse-ev-sales-us-tax-subsidy-vanishes-2025-10-01/" TargetMode="External"/><Relationship Id="rId25" Type="http://schemas.openxmlformats.org/officeDocument/2006/relationships/hyperlink" Target="https://doi.org/10.1057/978-1-349-94848-2_683-1" TargetMode="External"/><Relationship Id="rId33" Type="http://schemas.openxmlformats.org/officeDocument/2006/relationships/hyperlink" Target="https://www.mckinsey.com/industries/automotive-and-assembly/our-insights/consumers-are-driving-the-transition-to-electric-cars-in-india" TargetMode="External"/><Relationship Id="rId38" Type="http://schemas.openxmlformats.org/officeDocument/2006/relationships/hyperlink" Target="https://rivian.com/newsroom/article/rivian-releases-fourth-quarter-full-year-2024-financial-results" TargetMode="External"/><Relationship Id="rId46" Type="http://schemas.openxmlformats.org/officeDocument/2006/relationships/hyperlink" Target="https://doi.org/10.1109/conecct62155.2024.10677104" TargetMode="External"/><Relationship Id="rId20" Type="http://schemas.openxmlformats.org/officeDocument/2006/relationships/hyperlink" Target="https://www.grandviewresearch.com/industry-analysis/india-electric-vehicle-market-report" TargetMode="External"/><Relationship Id="rId41" Type="http://schemas.openxmlformats.org/officeDocument/2006/relationships/hyperlink" Target="https://doi.org/10.1007/978-981-16-8747-1_3"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E304F-6542-4E89-BD52-2803068607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22</Pages>
  <Words>7516</Words>
  <Characters>42842</Characters>
  <Application>Microsoft Office Word</Application>
  <DocSecurity>0</DocSecurity>
  <Lines>357</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aarathi subramanian</dc:creator>
  <cp:keywords/>
  <dc:description/>
  <cp:lastModifiedBy>Krunal prajapati</cp:lastModifiedBy>
  <cp:revision>3</cp:revision>
  <dcterms:created xsi:type="dcterms:W3CDTF">2025-12-22T11:39:00Z</dcterms:created>
  <dcterms:modified xsi:type="dcterms:W3CDTF">2025-12-22T11:56:00Z</dcterms:modified>
</cp:coreProperties>
</file>