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C1B75" w14:textId="77777777" w:rsidR="00C12801" w:rsidRDefault="008B5D43">
      <w:pPr>
        <w:spacing w:after="378" w:line="259" w:lineRule="auto"/>
        <w:ind w:left="78" w:right="0" w:firstLine="0"/>
        <w:jc w:val="center"/>
      </w:pPr>
      <w:r>
        <w:rPr>
          <w:rFonts w:cs="Arial"/>
          <w:b/>
          <w:sz w:val="28"/>
        </w:rPr>
        <w:t xml:space="preserve"> </w:t>
      </w:r>
    </w:p>
    <w:p w14:paraId="27464A4C" w14:textId="77777777" w:rsidR="00C12801" w:rsidRDefault="008B5D43">
      <w:pPr>
        <w:spacing w:after="372" w:line="259" w:lineRule="auto"/>
        <w:ind w:left="78" w:right="0" w:firstLine="0"/>
        <w:jc w:val="center"/>
      </w:pPr>
      <w:r>
        <w:rPr>
          <w:rFonts w:cs="Arial"/>
          <w:b/>
          <w:sz w:val="28"/>
        </w:rPr>
        <w:t xml:space="preserve"> </w:t>
      </w:r>
    </w:p>
    <w:p w14:paraId="4E9D0393" w14:textId="77777777" w:rsidR="00C12801" w:rsidRDefault="008B5D43">
      <w:pPr>
        <w:spacing w:after="378" w:line="259" w:lineRule="auto"/>
        <w:ind w:left="78" w:right="0" w:firstLine="0"/>
        <w:jc w:val="center"/>
      </w:pPr>
      <w:r>
        <w:rPr>
          <w:rFonts w:cs="Arial"/>
          <w:b/>
          <w:sz w:val="28"/>
        </w:rPr>
        <w:t xml:space="preserve"> </w:t>
      </w:r>
    </w:p>
    <w:p w14:paraId="789F008E" w14:textId="77777777" w:rsidR="00C12801" w:rsidRDefault="008B5D43">
      <w:pPr>
        <w:spacing w:after="372" w:line="259" w:lineRule="auto"/>
        <w:ind w:left="78" w:right="0" w:firstLine="0"/>
        <w:jc w:val="center"/>
      </w:pPr>
      <w:r>
        <w:rPr>
          <w:rFonts w:cs="Arial"/>
          <w:b/>
          <w:sz w:val="28"/>
        </w:rPr>
        <w:t xml:space="preserve"> </w:t>
      </w:r>
    </w:p>
    <w:p w14:paraId="06E545D8" w14:textId="033C9246" w:rsidR="00C12801" w:rsidRDefault="00C12801">
      <w:pPr>
        <w:spacing w:after="257" w:line="259" w:lineRule="auto"/>
        <w:ind w:left="0" w:right="3793" w:firstLine="0"/>
        <w:jc w:val="right"/>
      </w:pPr>
    </w:p>
    <w:p w14:paraId="24B5257E" w14:textId="77777777" w:rsidR="00C12801" w:rsidRDefault="008B5D43">
      <w:pPr>
        <w:spacing w:after="182" w:line="259" w:lineRule="auto"/>
        <w:ind w:right="3403"/>
        <w:jc w:val="right"/>
      </w:pPr>
      <w:r>
        <w:rPr>
          <w:rFonts w:cs="Arial"/>
          <w:b/>
          <w:sz w:val="24"/>
        </w:rPr>
        <w:t xml:space="preserve">Name: </w:t>
      </w:r>
      <w:proofErr w:type="spellStart"/>
      <w:r>
        <w:rPr>
          <w:rFonts w:cs="Arial"/>
          <w:b/>
          <w:sz w:val="24"/>
        </w:rPr>
        <w:t>Sehrish</w:t>
      </w:r>
      <w:proofErr w:type="spellEnd"/>
      <w:r>
        <w:rPr>
          <w:rFonts w:cs="Arial"/>
          <w:b/>
          <w:sz w:val="24"/>
        </w:rPr>
        <w:t xml:space="preserve"> </w:t>
      </w:r>
      <w:proofErr w:type="spellStart"/>
      <w:r>
        <w:rPr>
          <w:rFonts w:cs="Arial"/>
          <w:b/>
          <w:sz w:val="24"/>
        </w:rPr>
        <w:t>Kayani</w:t>
      </w:r>
      <w:proofErr w:type="spellEnd"/>
      <w:r>
        <w:rPr>
          <w:rFonts w:cs="Arial"/>
          <w:b/>
          <w:sz w:val="24"/>
        </w:rPr>
        <w:t xml:space="preserve"> </w:t>
      </w:r>
    </w:p>
    <w:p w14:paraId="546C2B30" w14:textId="77777777" w:rsidR="00C12801" w:rsidRDefault="008B5D43">
      <w:pPr>
        <w:spacing w:after="182" w:line="259" w:lineRule="auto"/>
        <w:ind w:right="3555"/>
        <w:jc w:val="right"/>
        <w:rPr>
          <w:rFonts w:cs="Arial"/>
          <w:b/>
          <w:sz w:val="24"/>
        </w:rPr>
      </w:pPr>
      <w:r>
        <w:rPr>
          <w:rFonts w:cs="Arial"/>
          <w:b/>
          <w:sz w:val="24"/>
        </w:rPr>
        <w:t xml:space="preserve">Student id: 2315822 </w:t>
      </w:r>
    </w:p>
    <w:p w14:paraId="117CA5D5" w14:textId="43BCEAA8" w:rsidR="00F22D45" w:rsidRDefault="00F22D45">
      <w:pPr>
        <w:spacing w:after="182" w:line="259" w:lineRule="auto"/>
        <w:ind w:right="3555"/>
        <w:jc w:val="right"/>
        <w:rPr>
          <w:rFonts w:cs="Arial"/>
          <w:b/>
          <w:sz w:val="24"/>
        </w:rPr>
      </w:pPr>
      <w:r>
        <w:rPr>
          <w:rFonts w:cs="Arial"/>
          <w:b/>
          <w:sz w:val="24"/>
        </w:rPr>
        <w:t xml:space="preserve">Module </w:t>
      </w:r>
      <w:proofErr w:type="spellStart"/>
      <w:r w:rsidR="00123083">
        <w:rPr>
          <w:rFonts w:cs="Arial"/>
          <w:b/>
          <w:sz w:val="24"/>
        </w:rPr>
        <w:t>Code:BMHP</w:t>
      </w:r>
      <w:proofErr w:type="spellEnd"/>
      <w:r w:rsidR="00123083">
        <w:rPr>
          <w:rFonts w:cs="Arial"/>
          <w:b/>
          <w:sz w:val="24"/>
        </w:rPr>
        <w:t xml:space="preserve"> </w:t>
      </w:r>
      <w:r w:rsidR="005B53B7">
        <w:rPr>
          <w:rFonts w:cs="Arial"/>
          <w:b/>
          <w:sz w:val="24"/>
        </w:rPr>
        <w:t>6026</w:t>
      </w:r>
    </w:p>
    <w:p w14:paraId="3F5272E9" w14:textId="4027D9D4" w:rsidR="007E2BDE" w:rsidRDefault="001D553C" w:rsidP="007E2BDE">
      <w:pPr>
        <w:spacing w:after="182" w:line="259" w:lineRule="auto"/>
        <w:ind w:right="3555"/>
        <w:jc w:val="right"/>
        <w:rPr>
          <w:rFonts w:cs="Arial"/>
          <w:b/>
          <w:sz w:val="24"/>
        </w:rPr>
      </w:pPr>
      <w:r>
        <w:rPr>
          <w:rFonts w:cs="Arial"/>
          <w:b/>
          <w:sz w:val="24"/>
        </w:rPr>
        <w:t xml:space="preserve">Component </w:t>
      </w:r>
      <w:r w:rsidR="00913F0A">
        <w:rPr>
          <w:rFonts w:cs="Arial"/>
          <w:b/>
          <w:sz w:val="24"/>
        </w:rPr>
        <w:t xml:space="preserve">1 Report </w:t>
      </w:r>
    </w:p>
    <w:p w14:paraId="518AD815" w14:textId="7905769B" w:rsidR="004C531F" w:rsidRDefault="00B87474">
      <w:pPr>
        <w:spacing w:after="182" w:line="259" w:lineRule="auto"/>
        <w:ind w:right="3555"/>
        <w:jc w:val="right"/>
        <w:rPr>
          <w:rFonts w:cs="Arial"/>
          <w:b/>
          <w:sz w:val="24"/>
        </w:rPr>
      </w:pPr>
      <w:proofErr w:type="spellStart"/>
      <w:r>
        <w:rPr>
          <w:rFonts w:cs="Arial"/>
          <w:b/>
          <w:sz w:val="24"/>
        </w:rPr>
        <w:t>Lecturer:Joanne</w:t>
      </w:r>
      <w:proofErr w:type="spellEnd"/>
      <w:r>
        <w:rPr>
          <w:rFonts w:cs="Arial"/>
          <w:b/>
          <w:sz w:val="24"/>
        </w:rPr>
        <w:t xml:space="preserve"> </w:t>
      </w:r>
      <w:r w:rsidR="00C75DF5">
        <w:rPr>
          <w:rFonts w:cs="Arial"/>
          <w:b/>
          <w:sz w:val="24"/>
        </w:rPr>
        <w:t>Davies</w:t>
      </w:r>
    </w:p>
    <w:p w14:paraId="3F551A8A" w14:textId="77777777" w:rsidR="00913F0A" w:rsidRDefault="00913F0A">
      <w:pPr>
        <w:spacing w:after="182" w:line="259" w:lineRule="auto"/>
        <w:ind w:right="3555"/>
        <w:jc w:val="right"/>
      </w:pPr>
    </w:p>
    <w:p w14:paraId="54C1B72A" w14:textId="77777777" w:rsidR="00C12801" w:rsidRDefault="008B5D43">
      <w:pPr>
        <w:spacing w:after="182" w:line="259" w:lineRule="auto"/>
        <w:ind w:left="0" w:right="0" w:firstLine="0"/>
        <w:jc w:val="left"/>
      </w:pPr>
      <w:r>
        <w:rPr>
          <w:rFonts w:cs="Arial"/>
          <w:b/>
          <w:sz w:val="24"/>
        </w:rPr>
        <w:t xml:space="preserve"> </w:t>
      </w:r>
    </w:p>
    <w:p w14:paraId="269CA139" w14:textId="77777777" w:rsidR="00C12801" w:rsidRDefault="008B5D43">
      <w:pPr>
        <w:spacing w:after="182" w:line="259" w:lineRule="auto"/>
        <w:ind w:left="0" w:right="0" w:firstLine="0"/>
        <w:jc w:val="left"/>
      </w:pPr>
      <w:r>
        <w:rPr>
          <w:rFonts w:cs="Arial"/>
          <w:b/>
          <w:sz w:val="24"/>
        </w:rPr>
        <w:t xml:space="preserve"> </w:t>
      </w:r>
    </w:p>
    <w:p w14:paraId="61E1CED0" w14:textId="77777777" w:rsidR="00C12801" w:rsidRDefault="008B5D43">
      <w:pPr>
        <w:spacing w:after="182" w:line="259" w:lineRule="auto"/>
        <w:ind w:left="0" w:right="0" w:firstLine="0"/>
        <w:jc w:val="left"/>
      </w:pPr>
      <w:r>
        <w:rPr>
          <w:rFonts w:cs="Arial"/>
          <w:b/>
          <w:sz w:val="24"/>
        </w:rPr>
        <w:t xml:space="preserve"> </w:t>
      </w:r>
    </w:p>
    <w:p w14:paraId="2EC7E9DD" w14:textId="77777777" w:rsidR="00C12801" w:rsidRDefault="008B5D43">
      <w:pPr>
        <w:spacing w:after="182" w:line="259" w:lineRule="auto"/>
        <w:ind w:left="0" w:right="0" w:firstLine="0"/>
        <w:jc w:val="left"/>
      </w:pPr>
      <w:r>
        <w:rPr>
          <w:rFonts w:cs="Arial"/>
          <w:b/>
          <w:sz w:val="24"/>
        </w:rPr>
        <w:t xml:space="preserve"> </w:t>
      </w:r>
    </w:p>
    <w:p w14:paraId="46639721" w14:textId="77777777" w:rsidR="00C12801" w:rsidRDefault="008B5D43">
      <w:pPr>
        <w:spacing w:after="183" w:line="259" w:lineRule="auto"/>
        <w:ind w:left="0" w:right="0" w:firstLine="0"/>
        <w:jc w:val="left"/>
      </w:pPr>
      <w:r>
        <w:rPr>
          <w:rFonts w:cs="Arial"/>
          <w:b/>
          <w:sz w:val="24"/>
        </w:rPr>
        <w:t xml:space="preserve"> </w:t>
      </w:r>
    </w:p>
    <w:p w14:paraId="75A9B0A4" w14:textId="77777777" w:rsidR="00C12801" w:rsidRDefault="008B5D43">
      <w:pPr>
        <w:spacing w:after="177" w:line="259" w:lineRule="auto"/>
        <w:ind w:left="0" w:right="0" w:firstLine="0"/>
        <w:jc w:val="left"/>
      </w:pPr>
      <w:r>
        <w:rPr>
          <w:rFonts w:cs="Arial"/>
          <w:b/>
          <w:sz w:val="24"/>
        </w:rPr>
        <w:t xml:space="preserve"> </w:t>
      </w:r>
    </w:p>
    <w:p w14:paraId="09EA73C0" w14:textId="77777777" w:rsidR="00C12801" w:rsidRDefault="008B5D43">
      <w:pPr>
        <w:spacing w:after="182" w:line="259" w:lineRule="auto"/>
        <w:ind w:left="0" w:right="0" w:firstLine="0"/>
        <w:jc w:val="left"/>
      </w:pPr>
      <w:r>
        <w:rPr>
          <w:rFonts w:cs="Arial"/>
          <w:b/>
          <w:sz w:val="24"/>
        </w:rPr>
        <w:t xml:space="preserve"> </w:t>
      </w:r>
    </w:p>
    <w:p w14:paraId="02673D15" w14:textId="77777777" w:rsidR="00C12801" w:rsidRDefault="008B5D43">
      <w:pPr>
        <w:spacing w:after="182" w:line="259" w:lineRule="auto"/>
        <w:ind w:left="0" w:right="0" w:firstLine="0"/>
        <w:jc w:val="left"/>
      </w:pPr>
      <w:r>
        <w:rPr>
          <w:rFonts w:cs="Arial"/>
          <w:b/>
          <w:sz w:val="24"/>
        </w:rPr>
        <w:t xml:space="preserve"> </w:t>
      </w:r>
    </w:p>
    <w:p w14:paraId="6E5D726D" w14:textId="3B7416AC" w:rsidR="00D00F3F" w:rsidRPr="00D00F3F" w:rsidRDefault="00D00F3F">
      <w:pPr>
        <w:spacing w:after="182" w:line="259" w:lineRule="auto"/>
        <w:ind w:left="0" w:right="0" w:firstLine="0"/>
        <w:jc w:val="left"/>
      </w:pPr>
    </w:p>
    <w:p w14:paraId="7DB59E5C" w14:textId="77777777" w:rsidR="00D00F3F" w:rsidRPr="00E85AA2" w:rsidRDefault="00D00F3F">
      <w:pPr>
        <w:spacing w:after="182" w:line="259" w:lineRule="auto"/>
        <w:ind w:left="0" w:right="0" w:firstLine="0"/>
        <w:jc w:val="left"/>
        <w:rPr>
          <w:rFonts w:cs="Arial"/>
          <w:b/>
          <w:sz w:val="24"/>
        </w:rPr>
      </w:pPr>
    </w:p>
    <w:p w14:paraId="29A7BB39" w14:textId="77777777" w:rsidR="00C12801" w:rsidRDefault="008B5D43">
      <w:pPr>
        <w:spacing w:after="182" w:line="259" w:lineRule="auto"/>
        <w:ind w:left="0" w:right="0" w:firstLine="0"/>
        <w:jc w:val="left"/>
      </w:pPr>
      <w:r>
        <w:rPr>
          <w:rFonts w:cs="Arial"/>
          <w:b/>
          <w:sz w:val="24"/>
        </w:rPr>
        <w:t xml:space="preserve"> </w:t>
      </w:r>
    </w:p>
    <w:p w14:paraId="22C636DA" w14:textId="77777777" w:rsidR="00C12801" w:rsidRDefault="008B5D43">
      <w:pPr>
        <w:spacing w:after="183" w:line="259" w:lineRule="auto"/>
        <w:ind w:left="0" w:right="0" w:firstLine="0"/>
        <w:jc w:val="left"/>
      </w:pPr>
      <w:r>
        <w:rPr>
          <w:rFonts w:cs="Arial"/>
          <w:b/>
          <w:sz w:val="24"/>
        </w:rPr>
        <w:t xml:space="preserve"> </w:t>
      </w:r>
    </w:p>
    <w:p w14:paraId="29330511" w14:textId="77777777" w:rsidR="00C12801" w:rsidRDefault="008B5D43">
      <w:pPr>
        <w:spacing w:after="182" w:line="259" w:lineRule="auto"/>
        <w:ind w:left="0" w:right="0" w:firstLine="0"/>
        <w:jc w:val="left"/>
      </w:pPr>
      <w:r>
        <w:rPr>
          <w:rFonts w:cs="Arial"/>
          <w:b/>
          <w:sz w:val="24"/>
        </w:rPr>
        <w:t xml:space="preserve"> </w:t>
      </w:r>
    </w:p>
    <w:p w14:paraId="5FE5A1B1" w14:textId="2EDE00E4" w:rsidR="00042AA6" w:rsidRPr="00042AA6" w:rsidRDefault="008B5D43" w:rsidP="00042AA6">
      <w:pPr>
        <w:spacing w:after="182" w:line="259" w:lineRule="auto"/>
        <w:ind w:left="0" w:right="0" w:firstLine="0"/>
        <w:jc w:val="left"/>
      </w:pPr>
      <w:r>
        <w:rPr>
          <w:rFonts w:cs="Arial"/>
          <w:b/>
          <w:sz w:val="24"/>
        </w:rPr>
        <w:t xml:space="preserve"> </w:t>
      </w:r>
    </w:p>
    <w:p w14:paraId="3CB9A1AB" w14:textId="77777777" w:rsidR="00C12801" w:rsidRDefault="008B5D43">
      <w:pPr>
        <w:spacing w:after="182" w:line="259" w:lineRule="auto"/>
        <w:ind w:left="0" w:right="0" w:firstLine="0"/>
        <w:jc w:val="left"/>
      </w:pPr>
      <w:r>
        <w:rPr>
          <w:rFonts w:cs="Arial"/>
          <w:b/>
          <w:sz w:val="24"/>
        </w:rPr>
        <w:t xml:space="preserve"> </w:t>
      </w:r>
    </w:p>
    <w:p w14:paraId="387C0473" w14:textId="77777777" w:rsidR="00C12801" w:rsidRDefault="008B5D43">
      <w:pPr>
        <w:spacing w:after="0" w:line="259" w:lineRule="auto"/>
        <w:ind w:left="0" w:right="0" w:firstLine="0"/>
        <w:jc w:val="left"/>
      </w:pPr>
      <w:r>
        <w:rPr>
          <w:rFonts w:cs="Arial"/>
          <w:b/>
          <w:sz w:val="24"/>
        </w:rPr>
        <w:lastRenderedPageBreak/>
        <w:t xml:space="preserve"> </w:t>
      </w:r>
    </w:p>
    <w:sdt>
      <w:sdtPr>
        <w:id w:val="145402364"/>
        <w:docPartObj>
          <w:docPartGallery w:val="Table of Contents"/>
        </w:docPartObj>
      </w:sdtPr>
      <w:sdtContent>
        <w:p w14:paraId="08C375C4" w14:textId="77777777" w:rsidR="00C12801" w:rsidRDefault="008B5D43">
          <w:pPr>
            <w:spacing w:after="0" w:line="259" w:lineRule="auto"/>
            <w:ind w:left="0" w:right="0" w:firstLine="0"/>
            <w:jc w:val="left"/>
          </w:pPr>
          <w:r>
            <w:rPr>
              <w:rFonts w:ascii="Calibri" w:eastAsia="Calibri" w:hAnsi="Calibri" w:cs="Calibri"/>
              <w:color w:val="2F5496"/>
              <w:sz w:val="32"/>
            </w:rPr>
            <w:t xml:space="preserve">Table of Contents </w:t>
          </w:r>
        </w:p>
        <w:p w14:paraId="4D898657" w14:textId="407B87D9" w:rsidR="00C12801" w:rsidRDefault="008B5D43" w:rsidP="00797B3A">
          <w:pPr>
            <w:pStyle w:val="TOC1"/>
            <w:numPr>
              <w:ilvl w:val="0"/>
              <w:numId w:val="1"/>
            </w:numPr>
            <w:tabs>
              <w:tab w:val="right" w:leader="dot" w:pos="9364"/>
            </w:tabs>
          </w:pPr>
          <w:r>
            <w:fldChar w:fldCharType="begin"/>
          </w:r>
          <w:r>
            <w:instrText xml:space="preserve"> TOC \o "1-2" \h \z \u </w:instrText>
          </w:r>
          <w:r>
            <w:fldChar w:fldCharType="separate"/>
          </w:r>
          <w:r w:rsidR="007D3DF7">
            <w:t xml:space="preserve">Introduction </w:t>
          </w:r>
        </w:p>
        <w:p w14:paraId="30BD55F4" w14:textId="06236B49" w:rsidR="00C12801" w:rsidRDefault="005208DA" w:rsidP="00797B3A">
          <w:pPr>
            <w:pStyle w:val="TOC1"/>
            <w:numPr>
              <w:ilvl w:val="0"/>
              <w:numId w:val="1"/>
            </w:numPr>
            <w:tabs>
              <w:tab w:val="right" w:leader="dot" w:pos="9364"/>
            </w:tabs>
          </w:pPr>
          <w:r>
            <w:t>Workforce</w:t>
          </w:r>
        </w:p>
        <w:p w14:paraId="6A9749E7" w14:textId="353766B8" w:rsidR="00C12801" w:rsidRDefault="009B0A69" w:rsidP="00797B3A">
          <w:pPr>
            <w:pStyle w:val="TOC2"/>
            <w:numPr>
              <w:ilvl w:val="0"/>
              <w:numId w:val="1"/>
            </w:numPr>
            <w:tabs>
              <w:tab w:val="right" w:leader="dot" w:pos="9364"/>
            </w:tabs>
          </w:pPr>
          <w:r>
            <w:t xml:space="preserve">New skills </w:t>
          </w:r>
          <w:r w:rsidR="00086E7E">
            <w:t xml:space="preserve"> and training </w:t>
          </w:r>
        </w:p>
        <w:p w14:paraId="48FB2212" w14:textId="6AB8F053" w:rsidR="00C12801" w:rsidRDefault="00237B8C" w:rsidP="00797B3A">
          <w:pPr>
            <w:pStyle w:val="TOC2"/>
            <w:numPr>
              <w:ilvl w:val="0"/>
              <w:numId w:val="1"/>
            </w:numPr>
            <w:tabs>
              <w:tab w:val="right" w:leader="dot" w:pos="9364"/>
            </w:tabs>
          </w:pPr>
          <w:r>
            <w:t>Benefits to staff</w:t>
          </w:r>
        </w:p>
        <w:p w14:paraId="6556EFBE" w14:textId="0E58CDB9" w:rsidR="00C12801" w:rsidRDefault="006E7C23" w:rsidP="006007A9">
          <w:pPr>
            <w:pStyle w:val="TOC2"/>
            <w:numPr>
              <w:ilvl w:val="0"/>
              <w:numId w:val="1"/>
            </w:numPr>
            <w:tabs>
              <w:tab w:val="right" w:leader="dot" w:pos="9364"/>
            </w:tabs>
          </w:pPr>
          <w:r>
            <w:t>Challenges and risks</w:t>
          </w:r>
        </w:p>
        <w:p w14:paraId="533838BE" w14:textId="00CE6D9F" w:rsidR="00C12801" w:rsidRDefault="006E7C23" w:rsidP="006007A9">
          <w:pPr>
            <w:pStyle w:val="TOC1"/>
            <w:numPr>
              <w:ilvl w:val="0"/>
              <w:numId w:val="1"/>
            </w:numPr>
            <w:tabs>
              <w:tab w:val="right" w:leader="dot" w:pos="9364"/>
            </w:tabs>
          </w:pPr>
          <w:r>
            <w:t xml:space="preserve">Service </w:t>
          </w:r>
          <w:r w:rsidR="007C3917">
            <w:t xml:space="preserve">Delivery </w:t>
          </w:r>
        </w:p>
        <w:p w14:paraId="2EE5C05E" w14:textId="062ACE73" w:rsidR="00C12801" w:rsidRDefault="007C3917" w:rsidP="006007A9">
          <w:pPr>
            <w:pStyle w:val="TOC2"/>
            <w:numPr>
              <w:ilvl w:val="0"/>
              <w:numId w:val="1"/>
            </w:numPr>
            <w:tabs>
              <w:tab w:val="right" w:leader="dot" w:pos="9364"/>
            </w:tabs>
          </w:pPr>
          <w:r>
            <w:t xml:space="preserve">Daily practice and workflow </w:t>
          </w:r>
        </w:p>
        <w:p w14:paraId="3F11ACD7" w14:textId="3679A238" w:rsidR="00C12801" w:rsidRDefault="00C73B37" w:rsidP="00474754">
          <w:pPr>
            <w:pStyle w:val="TOC2"/>
            <w:numPr>
              <w:ilvl w:val="0"/>
              <w:numId w:val="1"/>
            </w:numPr>
            <w:tabs>
              <w:tab w:val="right" w:leader="dot" w:pos="9364"/>
            </w:tabs>
          </w:pPr>
          <w:r>
            <w:t xml:space="preserve">Speed  and </w:t>
          </w:r>
          <w:r w:rsidR="00474754">
            <w:t xml:space="preserve">coordination </w:t>
          </w:r>
        </w:p>
        <w:p w14:paraId="24209404" w14:textId="61BAF70C" w:rsidR="00C12801" w:rsidRDefault="00474754" w:rsidP="00EE58A2">
          <w:pPr>
            <w:pStyle w:val="TOC2"/>
            <w:numPr>
              <w:ilvl w:val="0"/>
              <w:numId w:val="1"/>
            </w:numPr>
            <w:tabs>
              <w:tab w:val="right" w:leader="dot" w:pos="9364"/>
            </w:tabs>
          </w:pPr>
          <w:r>
            <w:t xml:space="preserve">Integration with NHS </w:t>
          </w:r>
          <w:r w:rsidR="00EE58A2">
            <w:t xml:space="preserve">systems </w:t>
          </w:r>
        </w:p>
        <w:p w14:paraId="10DB241D" w14:textId="2BEBE35E" w:rsidR="00C12801" w:rsidRDefault="00EE58A2" w:rsidP="002114C1">
          <w:pPr>
            <w:pStyle w:val="TOC2"/>
            <w:numPr>
              <w:ilvl w:val="0"/>
              <w:numId w:val="1"/>
            </w:numPr>
            <w:tabs>
              <w:tab w:val="right" w:leader="dot" w:pos="9364"/>
            </w:tabs>
          </w:pPr>
          <w:r>
            <w:t xml:space="preserve">Cost </w:t>
          </w:r>
          <w:r w:rsidR="002114C1">
            <w:t xml:space="preserve">and technical issues </w:t>
          </w:r>
        </w:p>
        <w:p w14:paraId="42052B07" w14:textId="0D91D798" w:rsidR="00C12801" w:rsidRDefault="002114C1" w:rsidP="002114C1">
          <w:pPr>
            <w:pStyle w:val="TOC2"/>
            <w:numPr>
              <w:ilvl w:val="0"/>
              <w:numId w:val="1"/>
            </w:numPr>
            <w:tabs>
              <w:tab w:val="right" w:leader="dot" w:pos="9364"/>
            </w:tabs>
          </w:pPr>
          <w:r>
            <w:t xml:space="preserve">UK case examples </w:t>
          </w:r>
        </w:p>
        <w:p w14:paraId="5B5071C0" w14:textId="76FB7B59" w:rsidR="00C12801" w:rsidRDefault="00C010B1" w:rsidP="00C010B1">
          <w:pPr>
            <w:pStyle w:val="TOC1"/>
            <w:numPr>
              <w:ilvl w:val="0"/>
              <w:numId w:val="1"/>
            </w:numPr>
            <w:tabs>
              <w:tab w:val="right" w:leader="dot" w:pos="9364"/>
            </w:tabs>
          </w:pPr>
          <w:r>
            <w:t xml:space="preserve">Patient/ service user </w:t>
          </w:r>
        </w:p>
        <w:p w14:paraId="3828B428" w14:textId="2446F6ED" w:rsidR="00C12801" w:rsidRDefault="000C5E25" w:rsidP="000C5E25">
          <w:pPr>
            <w:pStyle w:val="TOC2"/>
            <w:numPr>
              <w:ilvl w:val="0"/>
              <w:numId w:val="1"/>
            </w:numPr>
            <w:tabs>
              <w:tab w:val="right" w:leader="dot" w:pos="9364"/>
            </w:tabs>
          </w:pPr>
          <w:r>
            <w:t xml:space="preserve">Access and convenience </w:t>
          </w:r>
        </w:p>
        <w:p w14:paraId="0C944178" w14:textId="10686BD6" w:rsidR="00C12801" w:rsidRDefault="007D663A" w:rsidP="007D663A">
          <w:pPr>
            <w:pStyle w:val="TOC2"/>
            <w:numPr>
              <w:ilvl w:val="0"/>
              <w:numId w:val="1"/>
            </w:numPr>
            <w:tabs>
              <w:tab w:val="right" w:leader="dot" w:pos="9364"/>
            </w:tabs>
          </w:pPr>
          <w:r>
            <w:t xml:space="preserve">Quality and safety </w:t>
          </w:r>
        </w:p>
        <w:p w14:paraId="2EA05164" w14:textId="0FD55A01" w:rsidR="00C12801" w:rsidRDefault="007D663A" w:rsidP="004F1796">
          <w:pPr>
            <w:pStyle w:val="TOC2"/>
            <w:numPr>
              <w:ilvl w:val="0"/>
              <w:numId w:val="1"/>
            </w:numPr>
            <w:tabs>
              <w:tab w:val="right" w:leader="dot" w:pos="9364"/>
            </w:tabs>
          </w:pPr>
          <w:r>
            <w:t xml:space="preserve">Communication and trust </w:t>
          </w:r>
        </w:p>
        <w:p w14:paraId="575F3707" w14:textId="270B0407" w:rsidR="00C12801" w:rsidRDefault="004F1796" w:rsidP="00964483">
          <w:pPr>
            <w:pStyle w:val="TOC2"/>
            <w:numPr>
              <w:ilvl w:val="0"/>
              <w:numId w:val="1"/>
            </w:numPr>
            <w:tabs>
              <w:tab w:val="right" w:leader="dot" w:pos="9364"/>
            </w:tabs>
          </w:pPr>
          <w:r>
            <w:t xml:space="preserve">Privacy, digital </w:t>
          </w:r>
          <w:r w:rsidR="00964483">
            <w:t xml:space="preserve">literacy and fairness </w:t>
          </w:r>
        </w:p>
        <w:p w14:paraId="7ACEEF3E" w14:textId="07408D79" w:rsidR="00C12801" w:rsidRDefault="00964483" w:rsidP="007A62BF">
          <w:pPr>
            <w:pStyle w:val="TOC2"/>
            <w:numPr>
              <w:ilvl w:val="0"/>
              <w:numId w:val="1"/>
            </w:numPr>
            <w:tabs>
              <w:tab w:val="right" w:leader="dot" w:pos="9364"/>
            </w:tabs>
          </w:pPr>
          <w:r>
            <w:t xml:space="preserve">Patient </w:t>
          </w:r>
          <w:r w:rsidR="007A62BF">
            <w:t xml:space="preserve">perspectives </w:t>
          </w:r>
        </w:p>
        <w:p w14:paraId="6FBD0658" w14:textId="5348E9AA" w:rsidR="00C12801" w:rsidRDefault="007A62BF" w:rsidP="007A62BF">
          <w:pPr>
            <w:pStyle w:val="TOC1"/>
            <w:numPr>
              <w:ilvl w:val="0"/>
              <w:numId w:val="1"/>
            </w:numPr>
            <w:tabs>
              <w:tab w:val="right" w:leader="dot" w:pos="9364"/>
            </w:tabs>
          </w:pPr>
          <w:r>
            <w:t xml:space="preserve">Community </w:t>
          </w:r>
        </w:p>
        <w:p w14:paraId="41A962AB" w14:textId="795350DE" w:rsidR="00C12801" w:rsidRDefault="007A62BF" w:rsidP="009B37AB">
          <w:pPr>
            <w:pStyle w:val="TOC2"/>
            <w:numPr>
              <w:ilvl w:val="0"/>
              <w:numId w:val="1"/>
            </w:numPr>
            <w:tabs>
              <w:tab w:val="right" w:leader="dot" w:pos="9364"/>
            </w:tabs>
          </w:pPr>
          <w:r>
            <w:t xml:space="preserve">Rural </w:t>
          </w:r>
          <w:r w:rsidR="009B37AB">
            <w:t xml:space="preserve">and underserved areas </w:t>
          </w:r>
        </w:p>
        <w:p w14:paraId="1A3B07F9" w14:textId="3A1E330A" w:rsidR="00C12801" w:rsidRDefault="009B37AB" w:rsidP="00FF3B49">
          <w:pPr>
            <w:pStyle w:val="TOC2"/>
            <w:numPr>
              <w:ilvl w:val="0"/>
              <w:numId w:val="1"/>
            </w:numPr>
            <w:tabs>
              <w:tab w:val="right" w:leader="dot" w:pos="9364"/>
            </w:tabs>
          </w:pPr>
          <w:r>
            <w:t xml:space="preserve">Families carers and </w:t>
          </w:r>
          <w:r w:rsidR="00FF3B49">
            <w:t xml:space="preserve">work life </w:t>
          </w:r>
        </w:p>
        <w:p w14:paraId="65ADAABB" w14:textId="2CC5F912" w:rsidR="00C12801" w:rsidRDefault="00DF7D3B" w:rsidP="00DF7D3B">
          <w:pPr>
            <w:pStyle w:val="TOC2"/>
            <w:numPr>
              <w:ilvl w:val="0"/>
              <w:numId w:val="1"/>
            </w:numPr>
            <w:tabs>
              <w:tab w:val="right" w:leader="dot" w:pos="9364"/>
            </w:tabs>
          </w:pPr>
          <w:r>
            <w:t xml:space="preserve">Public health and prevention </w:t>
          </w:r>
        </w:p>
        <w:p w14:paraId="527BA884" w14:textId="6D831059" w:rsidR="00C12801" w:rsidRDefault="00DF7D3B" w:rsidP="00DF7D3B">
          <w:pPr>
            <w:pStyle w:val="TOC2"/>
            <w:numPr>
              <w:ilvl w:val="0"/>
              <w:numId w:val="1"/>
            </w:numPr>
            <w:tabs>
              <w:tab w:val="right" w:leader="dot" w:pos="9364"/>
            </w:tabs>
          </w:pPr>
          <w:r>
            <w:t xml:space="preserve">Co-production and collaboration </w:t>
          </w:r>
        </w:p>
        <w:p w14:paraId="6CFCAEF6" w14:textId="6DC46F95" w:rsidR="00C12801" w:rsidRDefault="006B10B4" w:rsidP="006B10B4">
          <w:pPr>
            <w:pStyle w:val="TOC2"/>
            <w:numPr>
              <w:ilvl w:val="0"/>
              <w:numId w:val="1"/>
            </w:numPr>
            <w:tabs>
              <w:tab w:val="right" w:leader="dot" w:pos="9364"/>
            </w:tabs>
          </w:pPr>
          <w:r>
            <w:t xml:space="preserve">Inequalities and limitations </w:t>
          </w:r>
        </w:p>
        <w:p w14:paraId="500046CA" w14:textId="3EE596B9" w:rsidR="00C12801" w:rsidRDefault="006B10B4" w:rsidP="006743B9">
          <w:pPr>
            <w:pStyle w:val="TOC1"/>
            <w:numPr>
              <w:ilvl w:val="0"/>
              <w:numId w:val="1"/>
            </w:numPr>
            <w:tabs>
              <w:tab w:val="right" w:leader="dot" w:pos="9364"/>
            </w:tabs>
          </w:pPr>
          <w:r>
            <w:t xml:space="preserve">Conclusion </w:t>
          </w:r>
          <w:r w:rsidR="006743B9">
            <w:t xml:space="preserve">and recommendations </w:t>
          </w:r>
        </w:p>
        <w:p w14:paraId="35A8A26D" w14:textId="569A9E9D" w:rsidR="00C12801" w:rsidRDefault="00B71C5E" w:rsidP="00B71C5E">
          <w:pPr>
            <w:pStyle w:val="TOC1"/>
            <w:numPr>
              <w:ilvl w:val="0"/>
              <w:numId w:val="1"/>
            </w:numPr>
            <w:tabs>
              <w:tab w:val="right" w:leader="dot" w:pos="9364"/>
            </w:tabs>
          </w:pPr>
          <w:r>
            <w:t xml:space="preserve">References </w:t>
          </w:r>
        </w:p>
        <w:p w14:paraId="04477285" w14:textId="77777777" w:rsidR="00EA09A9" w:rsidRDefault="008B5D43">
          <w:r>
            <w:fldChar w:fldCharType="end"/>
          </w:r>
        </w:p>
        <w:p w14:paraId="216C10C8" w14:textId="558C5937" w:rsidR="00C12801" w:rsidRDefault="00000000"/>
      </w:sdtContent>
    </w:sdt>
    <w:p w14:paraId="49CC92AF" w14:textId="77777777" w:rsidR="00C12801" w:rsidRDefault="008B5D43">
      <w:pPr>
        <w:spacing w:after="121" w:line="361" w:lineRule="auto"/>
        <w:ind w:right="-8"/>
        <w:jc w:val="left"/>
      </w:pPr>
      <w:r>
        <w:rPr>
          <w:rFonts w:ascii="Calibri" w:eastAsia="Calibri" w:hAnsi="Calibri" w:cs="Calibri"/>
          <w:sz w:val="24"/>
        </w:rPr>
        <w:lastRenderedPageBreak/>
        <w:t xml:space="preserve"> </w:t>
      </w:r>
    </w:p>
    <w:p w14:paraId="48242F19" w14:textId="77777777" w:rsidR="00C12801" w:rsidRDefault="008B5D43">
      <w:pPr>
        <w:spacing w:after="130" w:line="265" w:lineRule="auto"/>
        <w:ind w:right="10"/>
        <w:jc w:val="center"/>
      </w:pPr>
      <w:r>
        <w:rPr>
          <w:rFonts w:cs="Arial"/>
          <w:b/>
          <w:sz w:val="28"/>
        </w:rPr>
        <w:t xml:space="preserve">An Analysis of the Impact of Artificial Intelligence in Diabetic </w:t>
      </w:r>
    </w:p>
    <w:p w14:paraId="2F2F9EA9" w14:textId="77777777" w:rsidR="00C12801" w:rsidRDefault="008B5D43">
      <w:pPr>
        <w:spacing w:after="147" w:line="259" w:lineRule="auto"/>
        <w:ind w:left="135" w:right="0"/>
        <w:jc w:val="left"/>
      </w:pPr>
      <w:r>
        <w:rPr>
          <w:rFonts w:cs="Arial"/>
          <w:b/>
          <w:sz w:val="28"/>
        </w:rPr>
        <w:t xml:space="preserve">Retinopathy Screening on UK Service Users and Communities since </w:t>
      </w:r>
    </w:p>
    <w:p w14:paraId="50E6854C" w14:textId="77777777" w:rsidR="00C12801" w:rsidRDefault="008B5D43">
      <w:pPr>
        <w:spacing w:after="490" w:line="265" w:lineRule="auto"/>
        <w:ind w:right="9"/>
        <w:jc w:val="center"/>
      </w:pPr>
      <w:r>
        <w:rPr>
          <w:rFonts w:cs="Arial"/>
          <w:b/>
          <w:sz w:val="28"/>
        </w:rPr>
        <w:t xml:space="preserve">2020 </w:t>
      </w:r>
    </w:p>
    <w:p w14:paraId="36948E86" w14:textId="77777777" w:rsidR="00C12801" w:rsidRDefault="008B5D43">
      <w:pPr>
        <w:pStyle w:val="Heading1"/>
        <w:spacing w:after="208"/>
        <w:ind w:left="-5" w:right="0"/>
      </w:pPr>
      <w:bookmarkStart w:id="0" w:name="_Toc10550"/>
      <w:r>
        <w:t xml:space="preserve">Introduction </w:t>
      </w:r>
      <w:bookmarkEnd w:id="0"/>
    </w:p>
    <w:p w14:paraId="7C2C8351" w14:textId="77777777" w:rsidR="00C12801" w:rsidRDefault="008B5D43">
      <w:pPr>
        <w:spacing w:after="241"/>
        <w:ind w:left="-5" w:right="0"/>
      </w:pPr>
      <w:r>
        <w:t>This report looks at the use of artificial intelligence (AI) to screen for diabetic retinopathy (DR) in the UK. DR is a common eye complication of diabetes that can lead to sight loss if it is not picked up early (</w:t>
      </w:r>
      <w:proofErr w:type="spellStart"/>
      <w:r>
        <w:t>Kropp</w:t>
      </w:r>
      <w:proofErr w:type="spellEnd"/>
      <w:r>
        <w:t xml:space="preserve"> et al., 2023). The UK already runs national diabetic eye screening </w:t>
      </w:r>
      <w:proofErr w:type="spellStart"/>
      <w:r>
        <w:t>programmes</w:t>
      </w:r>
      <w:proofErr w:type="spellEnd"/>
      <w:r>
        <w:t xml:space="preserve"> that invite people with diabetes for regular retinal photographs (</w:t>
      </w:r>
      <w:proofErr w:type="spellStart"/>
      <w:r>
        <w:t>Heimann</w:t>
      </w:r>
      <w:proofErr w:type="spellEnd"/>
      <w:r>
        <w:t xml:space="preserve"> et al., 2020). Since around 2020, several NHS services and partners have begun using autonomous AI tools that </w:t>
      </w:r>
      <w:proofErr w:type="spellStart"/>
      <w:r>
        <w:t>analyse</w:t>
      </w:r>
      <w:proofErr w:type="spellEnd"/>
      <w:r>
        <w:t xml:space="preserve"> these retinal images and flag people who may need further assessment. These tools were designed to spot disease at least as well as trained human graders, while helping services cope with growing demand (</w:t>
      </w:r>
      <w:proofErr w:type="spellStart"/>
      <w:r>
        <w:t>Sivaprasad</w:t>
      </w:r>
      <w:proofErr w:type="spellEnd"/>
      <w:r>
        <w:t>, 2025).</w:t>
      </w:r>
      <w:r>
        <w:rPr>
          <w:rFonts w:cs="Arial"/>
        </w:rPr>
        <w:t xml:space="preserve"> </w:t>
      </w:r>
    </w:p>
    <w:p w14:paraId="52B6B60F" w14:textId="77777777" w:rsidR="00C12801" w:rsidRDefault="008B5D43">
      <w:pPr>
        <w:spacing w:after="242"/>
        <w:ind w:left="-5" w:right="0"/>
      </w:pPr>
      <w:r>
        <w:t>AI in DR screening matters because diabetes is rising, clinics are busy, and the NHS needs reliable ways to find problems early without long waits. If AI does the “first look” safely and quickly, staff time can be focused on those who most need treatment, which may help prevent avoidable sight loss (Willis et al., 2023).</w:t>
      </w:r>
      <w:r>
        <w:rPr>
          <w:rFonts w:cs="Arial"/>
        </w:rPr>
        <w:t xml:space="preserve"> </w:t>
      </w:r>
    </w:p>
    <w:p w14:paraId="46732C0D" w14:textId="77777777" w:rsidR="00C12801" w:rsidRDefault="008B5D43">
      <w:pPr>
        <w:spacing w:after="417"/>
        <w:ind w:left="-5" w:right="0"/>
      </w:pPr>
      <w:r>
        <w:t xml:space="preserve">The report follows the required structure. First, it explains how the workforce has been affected in terms of roles, skills, benefits, and challenges. It then examines service delivery which includes daily </w:t>
      </w:r>
      <w:proofErr w:type="spellStart"/>
      <w:r>
        <w:t>practise</w:t>
      </w:r>
      <w:proofErr w:type="spellEnd"/>
      <w:r>
        <w:t xml:space="preserve">, speed, cost, integration and examples in the UK, then explores the patient/service user experience such as access, convenience, privacy, and fairness. After that, it considers community impacts in terms of rural services, </w:t>
      </w:r>
      <w:proofErr w:type="spellStart"/>
      <w:r>
        <w:t>carers</w:t>
      </w:r>
      <w:proofErr w:type="spellEnd"/>
      <w:r>
        <w:t xml:space="preserve">, and public health, including co-production. Finally, it ends with a short conclusion and recommendations that could help guide practice and policy. </w:t>
      </w:r>
      <w:r>
        <w:rPr>
          <w:rFonts w:cs="Arial"/>
        </w:rPr>
        <w:t xml:space="preserve"> </w:t>
      </w:r>
    </w:p>
    <w:p w14:paraId="4B108C60" w14:textId="3B92555F" w:rsidR="00C12801" w:rsidRDefault="008B5D43" w:rsidP="00542801">
      <w:pPr>
        <w:pStyle w:val="Heading1"/>
        <w:ind w:left="-5" w:right="0"/>
      </w:pPr>
      <w:bookmarkStart w:id="1" w:name="_Toc10551"/>
      <w:r>
        <w:t xml:space="preserve">Workforce </w:t>
      </w:r>
      <w:bookmarkEnd w:id="1"/>
    </w:p>
    <w:p w14:paraId="54E621A1" w14:textId="77777777" w:rsidR="00C12801" w:rsidRDefault="008B5D43">
      <w:pPr>
        <w:ind w:left="-5" w:right="0"/>
      </w:pPr>
      <w:r>
        <w:t xml:space="preserve">The main shift has been at the “front end” of screening. Traditionally, images are taken by a screener, then graded by trained readers with quality assurance steps. With AI, the first pass grading can be done by the algorithm. This means screeners and graders now spend more time on quality control, reviewing AI-positive cases, handling edge cases (for example, unusual images </w:t>
      </w:r>
      <w:r>
        <w:lastRenderedPageBreak/>
        <w:t>or co-pathology), and supporting pathway decisions. In some services, an AI champion or clinical lead for digital ophthalmology has been created to oversee governance, safety, and continuous monitoring (</w:t>
      </w:r>
      <w:proofErr w:type="spellStart"/>
      <w:r>
        <w:t>Ramessur</w:t>
      </w:r>
      <w:proofErr w:type="spellEnd"/>
      <w:r>
        <w:t xml:space="preserve"> et al., 2021).</w:t>
      </w:r>
      <w:r>
        <w:rPr>
          <w:rFonts w:cs="Arial"/>
        </w:rPr>
        <w:t xml:space="preserve"> </w:t>
      </w:r>
    </w:p>
    <w:p w14:paraId="1BA506C4" w14:textId="77777777" w:rsidR="00C12801" w:rsidRDefault="008B5D43">
      <w:pPr>
        <w:pStyle w:val="Heading2"/>
        <w:ind w:left="-5" w:right="0"/>
      </w:pPr>
      <w:bookmarkStart w:id="2" w:name="_Toc10553"/>
      <w:r>
        <w:t xml:space="preserve">New skills and training needs </w:t>
      </w:r>
      <w:bookmarkEnd w:id="2"/>
    </w:p>
    <w:p w14:paraId="2501488C" w14:textId="77777777" w:rsidR="00C12801" w:rsidRDefault="008B5D43">
      <w:pPr>
        <w:ind w:left="-5" w:right="0"/>
      </w:pPr>
      <w:r>
        <w:t>Staff training now includes that how the AI system works in plain terms; image quality standards the AI needs; how to manage “no decision” results; how to spot algorithmic errors; and what to do when the system is offline. Managers and clinicians also need skills in data governance, bias monitoring, and incident reporting specific to AI, for example, what counts as a “near miss” if AI misses a referable case? Basic digital troubleshooting such as network, device, software updates have become part of day-to-day competence for many teams (Qian et al., 2022).</w:t>
      </w:r>
      <w:r>
        <w:rPr>
          <w:rFonts w:cs="Arial"/>
        </w:rPr>
        <w:t xml:space="preserve"> </w:t>
      </w:r>
    </w:p>
    <w:p w14:paraId="3D48F74E" w14:textId="77777777" w:rsidR="00C12801" w:rsidRDefault="008B5D43">
      <w:pPr>
        <w:pStyle w:val="Heading2"/>
        <w:ind w:left="-5" w:right="0"/>
      </w:pPr>
      <w:bookmarkStart w:id="3" w:name="_Toc10554"/>
      <w:r>
        <w:t xml:space="preserve">Benefits for staff </w:t>
      </w:r>
      <w:bookmarkEnd w:id="3"/>
    </w:p>
    <w:p w14:paraId="33443A03" w14:textId="77777777" w:rsidR="00C12801" w:rsidRDefault="008B5D43">
      <w:pPr>
        <w:ind w:left="-5" w:right="0"/>
      </w:pPr>
      <w:r>
        <w:t>Where AI has been embedded well, graders report a lighter repetitive workload and more time for complex reviews and teaching. Screening clinics can keep up with larger invitation lists without always expanding headcount. Routine image sets that are very likely normal can be cleared faster, which reduces backlogs and frees ophthalmologists for treatment clinics. Some teams describe less fatigue from long grading sessions and clearer audit trails because the AI output is stored alongside the human review (Bhat, 2024).</w:t>
      </w:r>
      <w:r>
        <w:rPr>
          <w:rFonts w:cs="Arial"/>
        </w:rPr>
        <w:t xml:space="preserve"> </w:t>
      </w:r>
    </w:p>
    <w:p w14:paraId="5B72544A" w14:textId="77777777" w:rsidR="00C12801" w:rsidRDefault="008B5D43">
      <w:pPr>
        <w:pStyle w:val="Heading2"/>
        <w:ind w:left="-5" w:right="0"/>
      </w:pPr>
      <w:bookmarkStart w:id="4" w:name="_Toc10555"/>
      <w:r>
        <w:t xml:space="preserve">Challenges and risks </w:t>
      </w:r>
      <w:bookmarkEnd w:id="4"/>
    </w:p>
    <w:p w14:paraId="4C18747F" w14:textId="77777777" w:rsidR="00C12801" w:rsidRDefault="008B5D43">
      <w:pPr>
        <w:ind w:left="-5" w:right="0"/>
      </w:pPr>
      <w:r>
        <w:t>Introducing AI also brings pressure. Some staff worry about professional identity “Will AI replace graders?” or feel anxious about being responsible for AI-backed decisions. Early roll-outs sometimes see double workflows, AI plus full human grading, while confidence builds, which can increase workload in the short term. Staff also raise concerns about false positives, extra reviews for people who are actually fine, and false negatives, rare but serious misses. To maintain the level of competency, training and refreshers should be conducted, and proper instructions to follow when the AI should be over-ruled should be given. Lastly, services have to work around downtime of system; there is still need of paper or human-only backup. AI decreases certain tasks and introduces new obligations in the fields of safety, surveillance, and technical maintenance (Bhat, 2024).</w:t>
      </w:r>
      <w:r>
        <w:rPr>
          <w:rFonts w:cs="Arial"/>
        </w:rPr>
        <w:t xml:space="preserve"> </w:t>
      </w:r>
    </w:p>
    <w:p w14:paraId="613A0F44" w14:textId="77777777" w:rsidR="00C12801" w:rsidRDefault="008B5D43">
      <w:pPr>
        <w:pStyle w:val="Heading1"/>
        <w:ind w:left="-5" w:right="0"/>
      </w:pPr>
      <w:bookmarkStart w:id="5" w:name="_Toc10556"/>
      <w:r>
        <w:lastRenderedPageBreak/>
        <w:t xml:space="preserve">Service Delivery </w:t>
      </w:r>
      <w:bookmarkEnd w:id="5"/>
    </w:p>
    <w:p w14:paraId="0B688976" w14:textId="77777777" w:rsidR="00C12801" w:rsidRDefault="008B5D43">
      <w:pPr>
        <w:pStyle w:val="Heading2"/>
        <w:ind w:left="-5" w:right="0"/>
      </w:pPr>
      <w:bookmarkStart w:id="6" w:name="_Toc10557"/>
      <w:r>
        <w:t xml:space="preserve">Daily practice and workflow </w:t>
      </w:r>
      <w:bookmarkEnd w:id="6"/>
    </w:p>
    <w:p w14:paraId="446E1A9B" w14:textId="77777777" w:rsidR="00C12801" w:rsidRDefault="008B5D43">
      <w:pPr>
        <w:ind w:left="-5" w:right="0"/>
      </w:pPr>
      <w:r>
        <w:t>The general flow of AI in clinics is typically maintained in such a manner; capture images, instant AI analysis, same-visit result in case of a good image quality. An intervention to screen negative persons assures them and recalls them at the routine time. Those who screen positive can be fast-tracked for clinician review, optical coherence tomography (OCT) where available, or treatment clinics. This cuts down the time between first photo and clinical decision, which is crucial in preventing sight loss (</w:t>
      </w:r>
      <w:proofErr w:type="spellStart"/>
      <w:r>
        <w:t>Korom</w:t>
      </w:r>
      <w:proofErr w:type="spellEnd"/>
      <w:r>
        <w:t xml:space="preserve"> et al., 2021).</w:t>
      </w:r>
      <w:r>
        <w:rPr>
          <w:rFonts w:cs="Arial"/>
        </w:rPr>
        <w:t xml:space="preserve"> </w:t>
      </w:r>
    </w:p>
    <w:p w14:paraId="4EFF82A0" w14:textId="77777777" w:rsidR="00C12801" w:rsidRDefault="008B5D43">
      <w:pPr>
        <w:pStyle w:val="Heading2"/>
        <w:ind w:left="-5" w:right="0"/>
      </w:pPr>
      <w:bookmarkStart w:id="7" w:name="_Toc10558"/>
      <w:r>
        <w:t xml:space="preserve">Speed and coordination </w:t>
      </w:r>
      <w:bookmarkEnd w:id="7"/>
    </w:p>
    <w:p w14:paraId="3B43178E" w14:textId="77777777" w:rsidR="00C12801" w:rsidRDefault="008B5D43">
      <w:pPr>
        <w:ind w:left="-5" w:right="0"/>
      </w:pPr>
      <w:r>
        <w:t xml:space="preserve">One practical gain is faster triage. Many </w:t>
      </w:r>
      <w:proofErr w:type="spellStart"/>
      <w:r>
        <w:t>programmes</w:t>
      </w:r>
      <w:proofErr w:type="spellEnd"/>
      <w:r>
        <w:t xml:space="preserve"> report that AI can safely clear a large share of normal images, reducing the number of human reads per clinic list. This improves coordination between screening and hospital eye services: fewer low-risk referrals, more targeted booking for urgent cases, and clearer audit data on volumes and outcomes. Some services also use AI results to shape recall intervals, for example, keeping very low-risk individuals on routine recall while bringing higher-risk groups back sooner (</w:t>
      </w:r>
      <w:proofErr w:type="spellStart"/>
      <w:r>
        <w:t>Nagendran</w:t>
      </w:r>
      <w:proofErr w:type="spellEnd"/>
      <w:r>
        <w:t xml:space="preserve"> et al., 2020).</w:t>
      </w:r>
      <w:r>
        <w:rPr>
          <w:rFonts w:cs="Arial"/>
        </w:rPr>
        <w:t xml:space="preserve"> </w:t>
      </w:r>
    </w:p>
    <w:p w14:paraId="17EB7DDA" w14:textId="77777777" w:rsidR="00C12801" w:rsidRDefault="008B5D43">
      <w:pPr>
        <w:pStyle w:val="Heading2"/>
        <w:ind w:left="-5" w:right="0"/>
      </w:pPr>
      <w:bookmarkStart w:id="8" w:name="_Toc10559"/>
      <w:r>
        <w:t xml:space="preserve">Integration with NHS systems </w:t>
      </w:r>
      <w:bookmarkEnd w:id="8"/>
    </w:p>
    <w:p w14:paraId="4047D0D0" w14:textId="77777777" w:rsidR="00C12801" w:rsidRDefault="008B5D43">
      <w:pPr>
        <w:spacing w:after="1"/>
        <w:ind w:left="-5" w:right="0"/>
      </w:pPr>
      <w:r>
        <w:t xml:space="preserve">Success depends on how well the AI platform integrates with existing image capture software, electronic patient records (EPR), and the local Data Security and Protection Toolkit requirements. </w:t>
      </w:r>
    </w:p>
    <w:p w14:paraId="1E229361" w14:textId="77777777" w:rsidR="00C12801" w:rsidRDefault="008B5D43">
      <w:pPr>
        <w:ind w:left="-5" w:right="0"/>
      </w:pPr>
      <w:r>
        <w:t>Sites that link AI output directly to the patient record avoid duplicate typing and reduce errors. Good integration also helps with governance because all decisions (AI and human) are visible in one place for audit (</w:t>
      </w:r>
      <w:proofErr w:type="spellStart"/>
      <w:r>
        <w:t>Sivaprasad</w:t>
      </w:r>
      <w:proofErr w:type="spellEnd"/>
      <w:r>
        <w:t xml:space="preserve">, 2025; </w:t>
      </w:r>
      <w:proofErr w:type="spellStart"/>
      <w:r>
        <w:t>Wahlich</w:t>
      </w:r>
      <w:proofErr w:type="spellEnd"/>
      <w:r>
        <w:t xml:space="preserve"> et al., 2025).</w:t>
      </w:r>
      <w:r>
        <w:rPr>
          <w:rFonts w:cs="Arial"/>
        </w:rPr>
        <w:t xml:space="preserve"> </w:t>
      </w:r>
    </w:p>
    <w:p w14:paraId="2F7CC595" w14:textId="77777777" w:rsidR="00C12801" w:rsidRDefault="008B5D43">
      <w:pPr>
        <w:pStyle w:val="Heading2"/>
        <w:ind w:left="-5" w:right="0"/>
      </w:pPr>
      <w:bookmarkStart w:id="9" w:name="_Toc10560"/>
      <w:r>
        <w:t xml:space="preserve">Costs and technical issues </w:t>
      </w:r>
      <w:bookmarkEnd w:id="9"/>
    </w:p>
    <w:p w14:paraId="60B4BAB2" w14:textId="77777777" w:rsidR="00C12801" w:rsidRDefault="008B5D43">
      <w:pPr>
        <w:ind w:left="-5" w:right="0"/>
      </w:pPr>
      <w:r>
        <w:t xml:space="preserve">Costs come in several layers such as licensing for the AI, IT upgrades (servers, cameras, or secure cloud), staff time for training, and quality assurance. On the other hand, savings arise from fewer manual grading hours, fewer unnecessary referrals, and earlier treatment preventing severe disease, which is costly to manage. Technical issues include variable image quality, for example, (small pupils, cataract), network reliability, and software updates. Most </w:t>
      </w:r>
      <w:proofErr w:type="spellStart"/>
      <w:r>
        <w:t>programmes</w:t>
      </w:r>
      <w:proofErr w:type="spellEnd"/>
      <w:r>
        <w:t xml:space="preserve"> create fallback pathways so clinics can continue if the AI is unavailable (</w:t>
      </w:r>
      <w:proofErr w:type="spellStart"/>
      <w:r>
        <w:t>Abdalla</w:t>
      </w:r>
      <w:proofErr w:type="spellEnd"/>
      <w:r>
        <w:t xml:space="preserve"> and </w:t>
      </w:r>
      <w:proofErr w:type="spellStart"/>
      <w:r>
        <w:t>Mohanraj</w:t>
      </w:r>
      <w:proofErr w:type="spellEnd"/>
      <w:r>
        <w:t>, 2025).</w:t>
      </w:r>
      <w:r>
        <w:rPr>
          <w:rFonts w:cs="Arial"/>
        </w:rPr>
        <w:t xml:space="preserve"> </w:t>
      </w:r>
    </w:p>
    <w:p w14:paraId="106B2924" w14:textId="77777777" w:rsidR="00C12801" w:rsidRDefault="008B5D43">
      <w:pPr>
        <w:pStyle w:val="Heading2"/>
        <w:ind w:left="-5" w:right="0"/>
      </w:pPr>
      <w:bookmarkStart w:id="10" w:name="_Toc10561"/>
      <w:r>
        <w:lastRenderedPageBreak/>
        <w:t xml:space="preserve">UK case examples </w:t>
      </w:r>
      <w:bookmarkEnd w:id="10"/>
    </w:p>
    <w:p w14:paraId="7A1601D2" w14:textId="77777777" w:rsidR="00C12801" w:rsidRDefault="008B5D43">
      <w:pPr>
        <w:spacing w:after="416"/>
        <w:ind w:left="-5" w:right="0"/>
      </w:pPr>
      <w:r>
        <w:t>Since 2020, several NHS diabetic eye screening services have piloted or adopted autonomous AI for first-pass grading, working under local governance and national screening quality standards. Early UK experiences highlight three practical lessons: (1) phase the roll-out (start with parallel human review to build confidence); (2) monitor performance locally (not just vendor metrics); and (3) communicate clearly with patients and staff about what the AI does and does not do. These modifications indicate that AI will be able to adapt to the existing screening framework, though one should integrate it carefully and under strict clinical supervision (Willis et al., 2023).</w:t>
      </w:r>
      <w:r>
        <w:rPr>
          <w:rFonts w:cs="Arial"/>
        </w:rPr>
        <w:t xml:space="preserve"> </w:t>
      </w:r>
    </w:p>
    <w:p w14:paraId="3950DAE3" w14:textId="77777777" w:rsidR="00C12801" w:rsidRDefault="008B5D43">
      <w:pPr>
        <w:pStyle w:val="Heading1"/>
        <w:ind w:left="-5" w:right="0"/>
      </w:pPr>
      <w:bookmarkStart w:id="11" w:name="_Toc10562"/>
      <w:r>
        <w:t xml:space="preserve">Patient / Service User </w:t>
      </w:r>
      <w:bookmarkEnd w:id="11"/>
    </w:p>
    <w:p w14:paraId="6DEA0B35" w14:textId="77777777" w:rsidR="00C12801" w:rsidRDefault="008B5D43">
      <w:pPr>
        <w:pStyle w:val="Heading2"/>
        <w:ind w:left="-5" w:right="0"/>
      </w:pPr>
      <w:bookmarkStart w:id="12" w:name="_Toc10563"/>
      <w:r>
        <w:t xml:space="preserve">Access and convenience </w:t>
      </w:r>
      <w:bookmarkEnd w:id="12"/>
    </w:p>
    <w:p w14:paraId="46BCDACD" w14:textId="77777777" w:rsidR="00C12801" w:rsidRDefault="008B5D43">
      <w:pPr>
        <w:ind w:left="-5" w:right="0"/>
      </w:pPr>
      <w:r>
        <w:t>Speed is the most apparent change to the service users. AI presents prompt analysis, and, therefore, many individuals receive a response on the same visit either no indicators of retinopathy today or we should take a closer look. This will lessen the fear of waiting until the letters are received and will also enable people to strategize on their future actions. In some areas, AI supports community or mobile clinics, bringing screening closer to home useful for people who struggle to attend hospital sites or daytime appointments (</w:t>
      </w:r>
      <w:proofErr w:type="spellStart"/>
      <w:r>
        <w:t>Abdalla</w:t>
      </w:r>
      <w:proofErr w:type="spellEnd"/>
      <w:r>
        <w:t xml:space="preserve"> and </w:t>
      </w:r>
      <w:proofErr w:type="spellStart"/>
      <w:r>
        <w:t>Mohanraj</w:t>
      </w:r>
      <w:proofErr w:type="spellEnd"/>
      <w:r>
        <w:t>, 2025).</w:t>
      </w:r>
      <w:r>
        <w:rPr>
          <w:rFonts w:cs="Arial"/>
        </w:rPr>
        <w:t xml:space="preserve"> </w:t>
      </w:r>
    </w:p>
    <w:p w14:paraId="5622CF8D" w14:textId="77777777" w:rsidR="00C12801" w:rsidRDefault="008B5D43">
      <w:pPr>
        <w:pStyle w:val="Heading2"/>
        <w:ind w:left="-5" w:right="0"/>
      </w:pPr>
      <w:bookmarkStart w:id="13" w:name="_Toc10564"/>
      <w:r>
        <w:t xml:space="preserve">Quality and safety </w:t>
      </w:r>
      <w:bookmarkEnd w:id="13"/>
    </w:p>
    <w:p w14:paraId="10812F57" w14:textId="77777777" w:rsidR="00C12801" w:rsidRDefault="008B5D43">
      <w:pPr>
        <w:ind w:left="-5" w:right="0"/>
      </w:pPr>
      <w:r>
        <w:t>People mainly care about two things: “Is my result accurate?” and “Will you find problems early?” Well-implemented AI aims for very high sensitivity for referable disease so that very few cases are missed. Human review remains in the loop for unclear images, positive results, and quality assurance. Where this safety net is explained clearly, most patients accept AI as a tool that helps clinicians rather than replaces them. Early feedback from clinics suggests many services users value quicker pathways, especially when this leads to faster treatment for those who need it (</w:t>
      </w:r>
      <w:proofErr w:type="spellStart"/>
      <w:r>
        <w:t>Grauslund</w:t>
      </w:r>
      <w:proofErr w:type="spellEnd"/>
      <w:r>
        <w:t>, 2022).</w:t>
      </w:r>
      <w:r>
        <w:rPr>
          <w:rFonts w:cs="Arial"/>
        </w:rPr>
        <w:t xml:space="preserve"> </w:t>
      </w:r>
    </w:p>
    <w:p w14:paraId="4701CB49" w14:textId="77777777" w:rsidR="00C12801" w:rsidRDefault="008B5D43">
      <w:pPr>
        <w:pStyle w:val="Heading2"/>
        <w:ind w:left="-5" w:right="0"/>
      </w:pPr>
      <w:bookmarkStart w:id="14" w:name="_Toc10565"/>
      <w:r>
        <w:t xml:space="preserve">Communication and trust </w:t>
      </w:r>
      <w:bookmarkEnd w:id="14"/>
    </w:p>
    <w:p w14:paraId="2AE08F94" w14:textId="77777777" w:rsidR="00C12801" w:rsidRDefault="008B5D43">
      <w:pPr>
        <w:ind w:left="-5" w:right="0"/>
      </w:pPr>
      <w:r>
        <w:t xml:space="preserve">Clear simple English explanations matter. People should be told, at the point of care, that an AI system is assisting with the first look, that staff check results, and that they can ask questions. Written information should be easy to read and available in common local languages and accessible formats. When staff can show the actual retinal image and explain what the AI flagged, </w:t>
      </w:r>
      <w:r>
        <w:lastRenderedPageBreak/>
        <w:t xml:space="preserve">for example, small </w:t>
      </w:r>
      <w:proofErr w:type="spellStart"/>
      <w:r>
        <w:t>haemorrhages</w:t>
      </w:r>
      <w:proofErr w:type="spellEnd"/>
      <w:r>
        <w:t>, trust increases because the process feels transparent (</w:t>
      </w:r>
      <w:proofErr w:type="spellStart"/>
      <w:r>
        <w:t>Abdalla</w:t>
      </w:r>
      <w:proofErr w:type="spellEnd"/>
      <w:r>
        <w:t xml:space="preserve"> and </w:t>
      </w:r>
      <w:proofErr w:type="spellStart"/>
      <w:r>
        <w:t>Mohanraj</w:t>
      </w:r>
      <w:proofErr w:type="spellEnd"/>
      <w:r>
        <w:t>, 2025).</w:t>
      </w:r>
      <w:r>
        <w:rPr>
          <w:rFonts w:cs="Arial"/>
        </w:rPr>
        <w:t xml:space="preserve"> </w:t>
      </w:r>
    </w:p>
    <w:p w14:paraId="03F0F55D" w14:textId="77777777" w:rsidR="00C12801" w:rsidRDefault="008B5D43">
      <w:pPr>
        <w:pStyle w:val="Heading2"/>
        <w:ind w:left="-5" w:right="0"/>
      </w:pPr>
      <w:bookmarkStart w:id="15" w:name="_Toc10566"/>
      <w:r>
        <w:t xml:space="preserve">Privacy, digital literacy, and fairness </w:t>
      </w:r>
      <w:bookmarkEnd w:id="15"/>
    </w:p>
    <w:p w14:paraId="4E01A708" w14:textId="77777777" w:rsidR="00C12801" w:rsidRDefault="008B5D43">
      <w:pPr>
        <w:ind w:left="-5" w:right="0"/>
      </w:pPr>
      <w:r>
        <w:t xml:space="preserve">Some users worry about data privacy where images are stored, who sees them, and whether data are used to “train” the AI. Services need to be clear about consent, storage location (UK or approved regions), and data </w:t>
      </w:r>
      <w:proofErr w:type="spellStart"/>
      <w:r>
        <w:t>minimisation</w:t>
      </w:r>
      <w:proofErr w:type="spellEnd"/>
      <w:r>
        <w:t xml:space="preserve">. Digital literacy is less of a barrier here than in </w:t>
      </w:r>
      <w:proofErr w:type="spellStart"/>
      <w:r>
        <w:t>appbased</w:t>
      </w:r>
      <w:proofErr w:type="spellEnd"/>
      <w:r>
        <w:t xml:space="preserve"> care because screening happens face to face, but written information should still be clear and jargon-free. Fairness issues include ensuring the AI performs well across diverse populations such as age, ethnicity, image types, and that people with disabilities can access screening sites. Regular equity audits, for example, comparing outcomes by deprivation or ethnicity, help to catch problems early (Crew et al., 2025).</w:t>
      </w:r>
      <w:r>
        <w:rPr>
          <w:rFonts w:cs="Arial"/>
        </w:rPr>
        <w:t xml:space="preserve"> </w:t>
      </w:r>
    </w:p>
    <w:p w14:paraId="3071CB3A" w14:textId="77777777" w:rsidR="00C12801" w:rsidRDefault="008B5D43">
      <w:pPr>
        <w:pStyle w:val="Heading2"/>
        <w:ind w:left="-5" w:right="0"/>
      </w:pPr>
      <w:bookmarkStart w:id="16" w:name="_Toc10567"/>
      <w:r>
        <w:t xml:space="preserve">Patient perspectives </w:t>
      </w:r>
      <w:bookmarkEnd w:id="16"/>
    </w:p>
    <w:p w14:paraId="188E4A70" w14:textId="77777777" w:rsidR="00C12801" w:rsidRDefault="008B5D43">
      <w:pPr>
        <w:spacing w:after="417"/>
        <w:ind w:left="-5" w:right="0"/>
      </w:pPr>
      <w:r>
        <w:t>Many people say they do not mind if AI helps read the images, as long as a clinician is responsible for the final decision and they can talk to a person. A small group prefer human-only grading; offering an explanation and a route to human review helps address their concerns. Overall, the experience most valued is fast, clear, and safe, and AI can support that when used carefully (Crew et al., 2025).</w:t>
      </w:r>
      <w:r>
        <w:rPr>
          <w:rFonts w:cs="Arial"/>
        </w:rPr>
        <w:t xml:space="preserve"> </w:t>
      </w:r>
    </w:p>
    <w:p w14:paraId="25CA606A" w14:textId="77777777" w:rsidR="00C12801" w:rsidRDefault="008B5D43">
      <w:pPr>
        <w:pStyle w:val="Heading1"/>
        <w:ind w:left="-5" w:right="0"/>
      </w:pPr>
      <w:bookmarkStart w:id="17" w:name="_Toc10568"/>
      <w:r>
        <w:t xml:space="preserve">Community </w:t>
      </w:r>
      <w:bookmarkEnd w:id="17"/>
    </w:p>
    <w:p w14:paraId="5FE17F0C" w14:textId="77777777" w:rsidR="00C12801" w:rsidRDefault="008B5D43">
      <w:pPr>
        <w:pStyle w:val="Heading2"/>
        <w:ind w:left="-5" w:right="0"/>
      </w:pPr>
      <w:bookmarkStart w:id="18" w:name="_Toc10569"/>
      <w:r>
        <w:t xml:space="preserve">Rural and underserved areas </w:t>
      </w:r>
      <w:bookmarkEnd w:id="18"/>
    </w:p>
    <w:p w14:paraId="68D3E691" w14:textId="77777777" w:rsidR="00C12801" w:rsidRDefault="008B5D43">
      <w:pPr>
        <w:ind w:left="-5" w:right="0"/>
      </w:pPr>
      <w:r>
        <w:t>AI can be especially helpful in places that struggle to recruit enough graders or where travel to hospital sites is difficult. Portable cameras plus AI allow pop-up or community-based screening days in rural towns, prisons, or care homes, with rapid triage. People are less likely to miss appointments when services come to them, which supports earlier detection and helps reduce inequalities in avoidable sight loss (</w:t>
      </w:r>
      <w:proofErr w:type="spellStart"/>
      <w:r>
        <w:t>Abdalla</w:t>
      </w:r>
      <w:proofErr w:type="spellEnd"/>
      <w:r>
        <w:t xml:space="preserve"> and </w:t>
      </w:r>
      <w:proofErr w:type="spellStart"/>
      <w:r>
        <w:t>Mohanraj</w:t>
      </w:r>
      <w:proofErr w:type="spellEnd"/>
      <w:r>
        <w:t>, 2025).</w:t>
      </w:r>
      <w:r>
        <w:rPr>
          <w:rFonts w:cs="Arial"/>
        </w:rPr>
        <w:t xml:space="preserve"> </w:t>
      </w:r>
    </w:p>
    <w:p w14:paraId="24414881" w14:textId="77777777" w:rsidR="00C12801" w:rsidRDefault="008B5D43">
      <w:pPr>
        <w:pStyle w:val="Heading2"/>
        <w:ind w:left="-5" w:right="0"/>
      </w:pPr>
      <w:bookmarkStart w:id="19" w:name="_Toc10570"/>
      <w:r>
        <w:t xml:space="preserve">Families, carers, and work life </w:t>
      </w:r>
      <w:bookmarkEnd w:id="19"/>
    </w:p>
    <w:p w14:paraId="7787520E" w14:textId="77777777" w:rsidR="00C12801" w:rsidRDefault="008B5D43">
      <w:pPr>
        <w:ind w:left="-5" w:right="0"/>
      </w:pPr>
      <w:r>
        <w:t xml:space="preserve">Quicker, same-day answers reduce the number of repeat visits, which makes life easier for </w:t>
      </w:r>
      <w:proofErr w:type="spellStart"/>
      <w:r>
        <w:t>carers</w:t>
      </w:r>
      <w:proofErr w:type="spellEnd"/>
      <w:r>
        <w:t xml:space="preserve"> and reduces time off work. For those who do need treatment, earlier triage can mean earlier </w:t>
      </w:r>
      <w:proofErr w:type="spellStart"/>
      <w:r>
        <w:t>stabilisation</w:t>
      </w:r>
      <w:proofErr w:type="spellEnd"/>
      <w:r>
        <w:t xml:space="preserve"> of vision, which protects independence and the ability to work or care for others. For </w:t>
      </w:r>
      <w:r>
        <w:lastRenderedPageBreak/>
        <w:t>communities with higher diabetes prevalence, this can have a wider economic benefit by preventing sight loss that would otherwise limit employment (</w:t>
      </w:r>
      <w:proofErr w:type="spellStart"/>
      <w:r>
        <w:t>Grauslund</w:t>
      </w:r>
      <w:proofErr w:type="spellEnd"/>
      <w:r>
        <w:t>, 2022).</w:t>
      </w:r>
      <w:r>
        <w:rPr>
          <w:rFonts w:cs="Arial"/>
        </w:rPr>
        <w:t xml:space="preserve"> </w:t>
      </w:r>
    </w:p>
    <w:p w14:paraId="1D63D115" w14:textId="77777777" w:rsidR="00C12801" w:rsidRDefault="008B5D43">
      <w:pPr>
        <w:pStyle w:val="Heading2"/>
        <w:ind w:left="-5" w:right="0"/>
      </w:pPr>
      <w:bookmarkStart w:id="20" w:name="_Toc10571"/>
      <w:r>
        <w:t xml:space="preserve">Public health and prevention </w:t>
      </w:r>
      <w:bookmarkEnd w:id="20"/>
    </w:p>
    <w:p w14:paraId="1958DEFC" w14:textId="77777777" w:rsidR="00C12801" w:rsidRDefault="008B5D43">
      <w:pPr>
        <w:ind w:left="-5" w:right="0"/>
      </w:pPr>
      <w:r>
        <w:t xml:space="preserve">Screening is a population </w:t>
      </w:r>
      <w:proofErr w:type="spellStart"/>
      <w:r>
        <w:t>programme</w:t>
      </w:r>
      <w:proofErr w:type="spellEnd"/>
      <w:r>
        <w:t xml:space="preserve">. When AI increases throughput and helps </w:t>
      </w:r>
      <w:proofErr w:type="spellStart"/>
      <w:r>
        <w:t>programmes</w:t>
      </w:r>
      <w:proofErr w:type="spellEnd"/>
      <w:r>
        <w:t xml:space="preserve"> keep up with growing invitation lists, a higher proportion of the eligible population gets a timely screen. This improves the overall public health impact: more early detections, fewer late presentations. AI systems also generate useful data on image quality and referral patterns that can feed into local prevention plans for example, targeting health education in areas with higher rates of referable disease or lower attendance (Crew et al., 2025).</w:t>
      </w:r>
      <w:r>
        <w:rPr>
          <w:rFonts w:cs="Arial"/>
        </w:rPr>
        <w:t xml:space="preserve"> </w:t>
      </w:r>
    </w:p>
    <w:p w14:paraId="016F208C" w14:textId="77777777" w:rsidR="00C12801" w:rsidRDefault="008B5D43">
      <w:pPr>
        <w:pStyle w:val="Heading2"/>
        <w:ind w:left="-5" w:right="0"/>
      </w:pPr>
      <w:bookmarkStart w:id="21" w:name="_Toc10572"/>
      <w:r>
        <w:t xml:space="preserve">Co-production and collaboration </w:t>
      </w:r>
      <w:bookmarkEnd w:id="21"/>
    </w:p>
    <w:p w14:paraId="1F405AC7" w14:textId="77777777" w:rsidR="00C12801" w:rsidRDefault="008B5D43">
      <w:pPr>
        <w:ind w:left="-5" w:right="0"/>
      </w:pPr>
      <w:r>
        <w:t>The best local projects have involved patients, front-line staff, ophthalmologists, and IT in the design and testing phase. Simple co-production steps like asking patients to review the information leaflet, or inviting screeners to stress-test the workflow have made the roll-out smoother. Community groups, for example, diabetes peer-support networks or faith groups, have also helped to spread messages about the safety and purpose of AI-assisted screening, which encourages attendance (</w:t>
      </w:r>
      <w:proofErr w:type="spellStart"/>
      <w:r>
        <w:t>Kropp</w:t>
      </w:r>
      <w:proofErr w:type="spellEnd"/>
      <w:r>
        <w:t xml:space="preserve"> et al., 2023).</w:t>
      </w:r>
      <w:r>
        <w:rPr>
          <w:rFonts w:cs="Arial"/>
        </w:rPr>
        <w:t xml:space="preserve"> </w:t>
      </w:r>
    </w:p>
    <w:p w14:paraId="02E73573" w14:textId="77777777" w:rsidR="00C12801" w:rsidRDefault="008B5D43">
      <w:pPr>
        <w:pStyle w:val="Heading2"/>
        <w:ind w:left="-5" w:right="0"/>
      </w:pPr>
      <w:bookmarkStart w:id="22" w:name="_Toc10573"/>
      <w:r>
        <w:t xml:space="preserve">Inequalities and limitations </w:t>
      </w:r>
      <w:bookmarkEnd w:id="22"/>
    </w:p>
    <w:p w14:paraId="7AFA41BF" w14:textId="77777777" w:rsidR="00C12801" w:rsidRDefault="008B5D43">
      <w:pPr>
        <w:spacing w:after="411"/>
        <w:ind w:left="-5" w:right="0"/>
      </w:pPr>
      <w:r>
        <w:t>There are still risks. If AI performance is not monitored across subgroups, there is a chance that some communities could face higher false positive rates (more unnecessary referrals) or, more seriously, missed disease. Rural clinics may face connectivity problems that delay analysis. Some populations such as people with advanced cataract or other eye conditions produce poor-quality images that AI cannot read, leading to more referrals and travel. Finally, if any national decision relies on a single vendor, services could be vulnerable to price changes or supply issues. A balanced approach multiple validated tools, strong local governance, and open reporting helps protect communities from these downsides (</w:t>
      </w:r>
      <w:proofErr w:type="spellStart"/>
      <w:r>
        <w:t>Abdalla</w:t>
      </w:r>
      <w:proofErr w:type="spellEnd"/>
      <w:r>
        <w:t xml:space="preserve"> and </w:t>
      </w:r>
      <w:proofErr w:type="spellStart"/>
      <w:r>
        <w:t>Mohanraj</w:t>
      </w:r>
      <w:proofErr w:type="spellEnd"/>
      <w:r>
        <w:t>, 2025).</w:t>
      </w:r>
      <w:r>
        <w:rPr>
          <w:rFonts w:cs="Arial"/>
        </w:rPr>
        <w:t xml:space="preserve"> </w:t>
      </w:r>
    </w:p>
    <w:p w14:paraId="6DB93116" w14:textId="77777777" w:rsidR="00C12801" w:rsidRDefault="008B5D43">
      <w:pPr>
        <w:pStyle w:val="Heading1"/>
        <w:spacing w:after="212"/>
        <w:ind w:left="-5" w:right="0"/>
      </w:pPr>
      <w:bookmarkStart w:id="23" w:name="_Toc10574"/>
      <w:r>
        <w:t xml:space="preserve">Conclusion &amp; Recommendations </w:t>
      </w:r>
      <w:bookmarkEnd w:id="23"/>
    </w:p>
    <w:p w14:paraId="749D1957" w14:textId="77777777" w:rsidR="00C12801" w:rsidRDefault="008B5D43">
      <w:pPr>
        <w:ind w:left="-5" w:right="0"/>
      </w:pPr>
      <w:r>
        <w:t xml:space="preserve">Since 2020, AI for diabetic retinopathy screening has moved from small pilots to real-world NHS use in several areas. The technology has transformed the work on the front line: it has eliminated the number of repetitive grading activities and shifted the attention to complex cases, governance, and communication with patients. It is possible to triage services more rapidly, backlog can be </w:t>
      </w:r>
      <w:r>
        <w:lastRenderedPageBreak/>
        <w:t xml:space="preserve">minimized, and decisions can be more closely associated with the patient record. In patients with diabetes, the experience will tend to be more rapid and understandable, and the reassurance of many and referral of those in need within a short period of time. It is to the advantage of communities that screening may be offered in rural or difficult to reach places and that screening may prevent the loss of sight in earlier times. The reason why selecting an innovation that is within the past decade is important is that the evidence, standards and software continue to develop. It guarantees that what we </w:t>
      </w:r>
      <w:proofErr w:type="spellStart"/>
      <w:r>
        <w:t>practise</w:t>
      </w:r>
      <w:proofErr w:type="spellEnd"/>
      <w:r>
        <w:t xml:space="preserve"> and teach is the reality of digital care that we are in now and not the tools of yesterday. </w:t>
      </w:r>
      <w:r>
        <w:rPr>
          <w:rFonts w:cs="Arial"/>
        </w:rPr>
        <w:t xml:space="preserve"> </w:t>
      </w:r>
    </w:p>
    <w:p w14:paraId="49E224A7" w14:textId="77777777" w:rsidR="00C12801" w:rsidRDefault="008B5D43">
      <w:pPr>
        <w:pStyle w:val="Heading2"/>
        <w:ind w:left="-5" w:right="0"/>
      </w:pPr>
      <w:bookmarkStart w:id="24" w:name="_Toc10575"/>
      <w:r>
        <w:t xml:space="preserve">Recommendations </w:t>
      </w:r>
      <w:bookmarkEnd w:id="24"/>
    </w:p>
    <w:p w14:paraId="03A4F2DD" w14:textId="77777777" w:rsidR="00C12801" w:rsidRDefault="008B5D43">
      <w:pPr>
        <w:spacing w:after="241"/>
        <w:ind w:left="-5" w:right="0"/>
      </w:pPr>
      <w:r>
        <w:t xml:space="preserve">Graders, clinicians, and screeners should be trained on the basic principles of plain AI, the safety checks that we have, and how to communicate the results to patients in a way that is clear. We also require good governance: be sensitive and specific with respect to track performance in our own service, monitor the performance of different groups, document and study events, and always permit an overrule by a human. So as to equal the playing field, bring screening to individuals with community or mobile clinics, provide information that can be understood easily, and collaborate with community </w:t>
      </w:r>
      <w:proofErr w:type="spellStart"/>
      <w:r>
        <w:t>organisations</w:t>
      </w:r>
      <w:proofErr w:type="spellEnd"/>
      <w:r>
        <w:t>. Get the tech to come together correctly with the AI outputs directly connected to imaging systems and the EPR to avoid duplication of data. Always have a simple backup strategy on how to get through when things go wrong and never depend on one supplier. In general, be open with patients inform them about the benefits of AI usage, what will follow next, and who will take care of them.</w:t>
      </w:r>
      <w:r>
        <w:rPr>
          <w:rFonts w:cs="Arial"/>
        </w:rPr>
        <w:t xml:space="preserve"> </w:t>
      </w:r>
    </w:p>
    <w:p w14:paraId="6A05B3BE" w14:textId="77777777" w:rsidR="00C12801" w:rsidRDefault="008B5D43">
      <w:pPr>
        <w:spacing w:after="347" w:line="259" w:lineRule="auto"/>
        <w:ind w:left="0" w:right="0" w:firstLine="0"/>
        <w:jc w:val="left"/>
      </w:pPr>
      <w:r>
        <w:rPr>
          <w:rFonts w:cs="Arial"/>
        </w:rPr>
        <w:t xml:space="preserve"> </w:t>
      </w:r>
    </w:p>
    <w:p w14:paraId="77CD6759" w14:textId="77777777" w:rsidR="00C12801" w:rsidRDefault="008B5D43">
      <w:pPr>
        <w:spacing w:after="347" w:line="259" w:lineRule="auto"/>
        <w:ind w:left="0" w:right="0" w:firstLine="0"/>
        <w:jc w:val="left"/>
      </w:pPr>
      <w:r>
        <w:rPr>
          <w:rFonts w:cs="Arial"/>
        </w:rPr>
        <w:t xml:space="preserve"> </w:t>
      </w:r>
    </w:p>
    <w:p w14:paraId="1E02ADAE" w14:textId="77777777" w:rsidR="00C12801" w:rsidRDefault="008B5D43">
      <w:pPr>
        <w:spacing w:after="347" w:line="259" w:lineRule="auto"/>
        <w:ind w:left="0" w:right="0" w:firstLine="0"/>
        <w:jc w:val="left"/>
      </w:pPr>
      <w:r>
        <w:rPr>
          <w:rFonts w:cs="Arial"/>
        </w:rPr>
        <w:t xml:space="preserve"> </w:t>
      </w:r>
    </w:p>
    <w:p w14:paraId="67CDB8B6" w14:textId="77777777" w:rsidR="00C12801" w:rsidRDefault="008B5D43">
      <w:pPr>
        <w:spacing w:after="342" w:line="259" w:lineRule="auto"/>
        <w:ind w:left="0" w:right="0" w:firstLine="0"/>
        <w:jc w:val="left"/>
      </w:pPr>
      <w:r>
        <w:rPr>
          <w:rFonts w:cs="Arial"/>
        </w:rPr>
        <w:t xml:space="preserve"> </w:t>
      </w:r>
    </w:p>
    <w:p w14:paraId="5A34096A" w14:textId="77777777" w:rsidR="00C12801" w:rsidRDefault="008B5D43">
      <w:pPr>
        <w:spacing w:after="347" w:line="259" w:lineRule="auto"/>
        <w:ind w:left="0" w:right="0" w:firstLine="0"/>
        <w:jc w:val="left"/>
      </w:pPr>
      <w:r>
        <w:rPr>
          <w:rFonts w:cs="Arial"/>
        </w:rPr>
        <w:t xml:space="preserve"> </w:t>
      </w:r>
    </w:p>
    <w:p w14:paraId="195A058C" w14:textId="77777777" w:rsidR="00C12801" w:rsidRDefault="008B5D43">
      <w:pPr>
        <w:spacing w:after="347" w:line="259" w:lineRule="auto"/>
        <w:ind w:left="0" w:right="0" w:firstLine="0"/>
        <w:jc w:val="left"/>
      </w:pPr>
      <w:r>
        <w:rPr>
          <w:rFonts w:cs="Arial"/>
        </w:rPr>
        <w:t xml:space="preserve"> </w:t>
      </w:r>
    </w:p>
    <w:p w14:paraId="2D937DC3" w14:textId="77777777" w:rsidR="00C12801" w:rsidRDefault="008B5D43">
      <w:pPr>
        <w:spacing w:after="0" w:line="259" w:lineRule="auto"/>
        <w:ind w:left="0" w:right="0" w:firstLine="0"/>
        <w:jc w:val="left"/>
      </w:pPr>
      <w:r>
        <w:rPr>
          <w:rFonts w:cs="Arial"/>
        </w:rPr>
        <w:t xml:space="preserve"> </w:t>
      </w:r>
    </w:p>
    <w:p w14:paraId="0E4C7AA2" w14:textId="77777777" w:rsidR="00C12801" w:rsidRDefault="008B5D43">
      <w:pPr>
        <w:pStyle w:val="Heading1"/>
        <w:spacing w:after="212"/>
        <w:ind w:left="-5" w:right="0"/>
      </w:pPr>
      <w:bookmarkStart w:id="25" w:name="_Toc10576"/>
      <w:r>
        <w:lastRenderedPageBreak/>
        <w:t xml:space="preserve">References </w:t>
      </w:r>
      <w:bookmarkEnd w:id="25"/>
    </w:p>
    <w:p w14:paraId="270955B2" w14:textId="77777777" w:rsidR="00C12801" w:rsidRDefault="008B5D43">
      <w:pPr>
        <w:spacing w:after="241"/>
        <w:ind w:left="706" w:right="0" w:hanging="721"/>
      </w:pPr>
      <w:proofErr w:type="spellStart"/>
      <w:r>
        <w:t>Abdalla</w:t>
      </w:r>
      <w:proofErr w:type="spellEnd"/>
      <w:r>
        <w:t xml:space="preserve">, M. M. I., &amp; </w:t>
      </w:r>
      <w:proofErr w:type="spellStart"/>
      <w:r>
        <w:t>Mohanraj</w:t>
      </w:r>
      <w:proofErr w:type="spellEnd"/>
      <w:r>
        <w:t>, J. (2025). Revolutionizing diabetic retinopathy screening and management: the role of artificial intelligence and machine learning.</w:t>
      </w:r>
      <w:r>
        <w:rPr>
          <w:rFonts w:cs="Arial"/>
        </w:rPr>
        <w:t xml:space="preserve"> </w:t>
      </w:r>
      <w:r>
        <w:rPr>
          <w:rFonts w:cs="Arial"/>
          <w:i/>
        </w:rPr>
        <w:t>World Journal of Clinical Cases</w:t>
      </w:r>
      <w:r>
        <w:t>,</w:t>
      </w:r>
      <w:r>
        <w:rPr>
          <w:rFonts w:cs="Arial"/>
        </w:rPr>
        <w:t xml:space="preserve"> </w:t>
      </w:r>
      <w:r>
        <w:rPr>
          <w:rFonts w:cs="Arial"/>
          <w:i/>
        </w:rPr>
        <w:t>13</w:t>
      </w:r>
      <w:r>
        <w:t xml:space="preserve">(5), 101306. </w:t>
      </w:r>
      <w:hyperlink r:id="rId7">
        <w:r w:rsidR="00C12801">
          <w:rPr>
            <w:color w:val="0563C1"/>
            <w:u w:val="single" w:color="0563C1"/>
          </w:rPr>
          <w:t>https://doi.org/10.12998/wjcc.v13.i5.101306</w:t>
        </w:r>
      </w:hyperlink>
      <w:hyperlink r:id="rId8">
        <w:r w:rsidR="00C12801">
          <w:rPr>
            <w:rFonts w:cs="Arial"/>
          </w:rPr>
          <w:t xml:space="preserve"> </w:t>
        </w:r>
      </w:hyperlink>
    </w:p>
    <w:p w14:paraId="2C295406" w14:textId="77777777" w:rsidR="00C12801" w:rsidRDefault="008B5D43">
      <w:pPr>
        <w:spacing w:after="107" w:line="259" w:lineRule="auto"/>
        <w:ind w:left="0" w:right="0" w:firstLine="0"/>
        <w:jc w:val="left"/>
      </w:pPr>
      <w:r>
        <w:t>Bhat, K. T. (2024).</w:t>
      </w:r>
      <w:r>
        <w:rPr>
          <w:rFonts w:cs="Arial"/>
        </w:rPr>
        <w:t xml:space="preserve"> </w:t>
      </w:r>
      <w:r>
        <w:rPr>
          <w:rFonts w:cs="Arial"/>
          <w:i/>
        </w:rPr>
        <w:t>The Role of Artificial Intelligence in Ophthalmology</w:t>
      </w:r>
      <w:r>
        <w:t xml:space="preserve">. Addition Publishing House. </w:t>
      </w:r>
    </w:p>
    <w:p w14:paraId="48893329" w14:textId="77777777" w:rsidR="00C12801" w:rsidRDefault="00C12801">
      <w:pPr>
        <w:spacing w:after="237" w:line="361" w:lineRule="auto"/>
        <w:ind w:left="716" w:right="0"/>
        <w:jc w:val="left"/>
      </w:pPr>
      <w:hyperlink r:id="rId9" w:anchor="v=onepage&amp;q&amp;f=false">
        <w:r>
          <w:rPr>
            <w:color w:val="0563C1"/>
            <w:u w:val="single" w:color="0563C1"/>
          </w:rPr>
          <w:t xml:space="preserve">https://books.google.com.pk/books?hl=en&amp;lr=&amp;id=Vt46EQAAQBAJ&amp;oi=fnd&amp;pg=PA1&amp;dq </w:t>
        </w:r>
      </w:hyperlink>
      <w:hyperlink r:id="rId10" w:anchor="v=onepage&amp;q&amp;f=false">
        <w:r>
          <w:rPr>
            <w:color w:val="0563C1"/>
            <w:u w:val="single" w:color="0563C1"/>
          </w:rPr>
          <w:t xml:space="preserve">=Artificial+Intelligence+in+Diabetic+Retinopathy+Some+teams+describe+less+fatigue+fr </w:t>
        </w:r>
      </w:hyperlink>
      <w:hyperlink r:id="rId11" w:anchor="v=onepage&amp;q&amp;f=false">
        <w:r>
          <w:rPr>
            <w:color w:val="0563C1"/>
            <w:u w:val="single" w:color="0563C1"/>
          </w:rPr>
          <w:t xml:space="preserve">om+long+grading+sessions+and+clearer+audit+trails+because+the+AI+output+is+store </w:t>
        </w:r>
      </w:hyperlink>
      <w:hyperlink r:id="rId12" w:anchor="v=onepage&amp;q&amp;f=false">
        <w:r>
          <w:rPr>
            <w:color w:val="0563C1"/>
            <w:u w:val="single" w:color="0563C1"/>
          </w:rPr>
          <w:t xml:space="preserve">d+alongside+the+human+review.&amp;ots=UTjkbTEl8u&amp;sig=h5bi5khNg_XzjN9leLXYueCh_e </w:t>
        </w:r>
      </w:hyperlink>
      <w:hyperlink r:id="rId13" w:anchor="v=onepage&amp;q&amp;f=false">
        <w:proofErr w:type="spellStart"/>
        <w:r>
          <w:rPr>
            <w:color w:val="0563C1"/>
            <w:u w:val="single" w:color="0563C1"/>
          </w:rPr>
          <w:t>Y&amp;redir_esc</w:t>
        </w:r>
        <w:proofErr w:type="spellEnd"/>
        <w:r>
          <w:rPr>
            <w:color w:val="0563C1"/>
            <w:u w:val="single" w:color="0563C1"/>
          </w:rPr>
          <w:t>=</w:t>
        </w:r>
        <w:proofErr w:type="spellStart"/>
        <w:r>
          <w:rPr>
            <w:color w:val="0563C1"/>
            <w:u w:val="single" w:color="0563C1"/>
          </w:rPr>
          <w:t>y#v</w:t>
        </w:r>
        <w:proofErr w:type="spellEnd"/>
        <w:r>
          <w:rPr>
            <w:color w:val="0563C1"/>
            <w:u w:val="single" w:color="0563C1"/>
          </w:rPr>
          <w:t>=</w:t>
        </w:r>
        <w:proofErr w:type="spellStart"/>
        <w:r>
          <w:rPr>
            <w:color w:val="0563C1"/>
            <w:u w:val="single" w:color="0563C1"/>
          </w:rPr>
          <w:t>onepage&amp;q&amp;f</w:t>
        </w:r>
        <w:proofErr w:type="spellEnd"/>
        <w:r>
          <w:rPr>
            <w:color w:val="0563C1"/>
            <w:u w:val="single" w:color="0563C1"/>
          </w:rPr>
          <w:t>=false</w:t>
        </w:r>
      </w:hyperlink>
      <w:hyperlink r:id="rId14" w:anchor="v=onepage&amp;q&amp;f=false">
        <w:r>
          <w:rPr>
            <w:rFonts w:cs="Arial"/>
          </w:rPr>
          <w:t xml:space="preserve"> </w:t>
        </w:r>
      </w:hyperlink>
    </w:p>
    <w:p w14:paraId="527C8296" w14:textId="77777777" w:rsidR="00C12801" w:rsidRDefault="008B5D43">
      <w:pPr>
        <w:spacing w:after="241"/>
        <w:ind w:left="706" w:right="0" w:hanging="721"/>
      </w:pPr>
      <w:r>
        <w:t xml:space="preserve">Crew, A., </w:t>
      </w:r>
      <w:proofErr w:type="spellStart"/>
      <w:r>
        <w:t>Reidy</w:t>
      </w:r>
      <w:proofErr w:type="spellEnd"/>
      <w:r>
        <w:t xml:space="preserve">, C., van der </w:t>
      </w:r>
      <w:proofErr w:type="spellStart"/>
      <w:r>
        <w:t>Westhuizen</w:t>
      </w:r>
      <w:proofErr w:type="spellEnd"/>
      <w:r>
        <w:t>, H. M., &amp; Graham, M. (2025). A narrative review of ethical issues in the use of artificial intelligence enabled diagnostics for diabetic retinopathy.</w:t>
      </w:r>
      <w:r>
        <w:rPr>
          <w:rFonts w:cs="Arial"/>
        </w:rPr>
        <w:t xml:space="preserve"> </w:t>
      </w:r>
      <w:r>
        <w:rPr>
          <w:rFonts w:cs="Arial"/>
          <w:i/>
        </w:rPr>
        <w:t>Journal of Evaluation in Clinical Practice</w:t>
      </w:r>
      <w:r>
        <w:t>,</w:t>
      </w:r>
      <w:r>
        <w:rPr>
          <w:rFonts w:cs="Arial"/>
        </w:rPr>
        <w:t xml:space="preserve"> </w:t>
      </w:r>
      <w:r>
        <w:rPr>
          <w:rFonts w:cs="Arial"/>
          <w:i/>
        </w:rPr>
        <w:t>31</w:t>
      </w:r>
      <w:r>
        <w:t xml:space="preserve">(6), e14237. </w:t>
      </w:r>
      <w:hyperlink r:id="rId15">
        <w:r w:rsidR="00C12801">
          <w:rPr>
            <w:color w:val="0563C1"/>
            <w:u w:val="single" w:color="0563C1"/>
          </w:rPr>
          <w:t>https://doi.org/10.1111/jep.14237</w:t>
        </w:r>
      </w:hyperlink>
      <w:hyperlink r:id="rId16">
        <w:r w:rsidR="00C12801">
          <w:rPr>
            <w:rFonts w:cs="Arial"/>
          </w:rPr>
          <w:t xml:space="preserve"> </w:t>
        </w:r>
      </w:hyperlink>
    </w:p>
    <w:p w14:paraId="0DAA9467" w14:textId="77777777" w:rsidR="00C12801" w:rsidRDefault="008B5D43">
      <w:pPr>
        <w:spacing w:after="241"/>
        <w:ind w:left="706" w:right="0" w:hanging="721"/>
      </w:pPr>
      <w:proofErr w:type="spellStart"/>
      <w:r>
        <w:t>Grauslund</w:t>
      </w:r>
      <w:proofErr w:type="spellEnd"/>
      <w:r>
        <w:t>, J. (2022). Diabetic retinopathy screening in the emerging era of artificial intelligence.</w:t>
      </w:r>
      <w:r>
        <w:rPr>
          <w:rFonts w:cs="Arial"/>
        </w:rPr>
        <w:t xml:space="preserve"> </w:t>
      </w:r>
      <w:proofErr w:type="spellStart"/>
      <w:r>
        <w:rPr>
          <w:rFonts w:cs="Arial"/>
          <w:i/>
        </w:rPr>
        <w:t>Diabetologia</w:t>
      </w:r>
      <w:proofErr w:type="spellEnd"/>
      <w:r>
        <w:t>,</w:t>
      </w:r>
      <w:r>
        <w:rPr>
          <w:rFonts w:cs="Arial"/>
        </w:rPr>
        <w:t xml:space="preserve"> </w:t>
      </w:r>
      <w:r>
        <w:rPr>
          <w:rFonts w:cs="Arial"/>
          <w:i/>
        </w:rPr>
        <w:t>65</w:t>
      </w:r>
      <w:r>
        <w:t xml:space="preserve">(9), 1415-1423. </w:t>
      </w:r>
      <w:hyperlink r:id="rId17">
        <w:r w:rsidR="00C12801">
          <w:rPr>
            <w:color w:val="0563C1"/>
            <w:u w:val="single" w:color="0563C1"/>
          </w:rPr>
          <w:t>https://doi.org/10.1007/s00125</w:t>
        </w:r>
      </w:hyperlink>
      <w:hyperlink r:id="rId18">
        <w:r w:rsidR="00C12801">
          <w:rPr>
            <w:color w:val="0563C1"/>
            <w:u w:val="single" w:color="0563C1"/>
          </w:rPr>
          <w:t>-</w:t>
        </w:r>
      </w:hyperlink>
      <w:hyperlink r:id="rId19">
        <w:r w:rsidR="00C12801">
          <w:rPr>
            <w:color w:val="0563C1"/>
            <w:u w:val="single" w:color="0563C1"/>
          </w:rPr>
          <w:t>022</w:t>
        </w:r>
      </w:hyperlink>
      <w:hyperlink r:id="rId20">
        <w:r w:rsidR="00C12801">
          <w:rPr>
            <w:color w:val="0563C1"/>
            <w:u w:val="single" w:color="0563C1"/>
          </w:rPr>
          <w:t>-</w:t>
        </w:r>
      </w:hyperlink>
      <w:hyperlink r:id="rId21">
        <w:r w:rsidR="00C12801">
          <w:rPr>
            <w:color w:val="0563C1"/>
            <w:u w:val="single" w:color="0563C1"/>
          </w:rPr>
          <w:t>05727</w:t>
        </w:r>
      </w:hyperlink>
      <w:hyperlink r:id="rId22"/>
      <w:hyperlink r:id="rId23">
        <w:r w:rsidR="00C12801">
          <w:rPr>
            <w:color w:val="0563C1"/>
            <w:u w:val="single" w:color="0563C1"/>
          </w:rPr>
          <w:t>0</w:t>
        </w:r>
      </w:hyperlink>
      <w:hyperlink r:id="rId24">
        <w:r w:rsidR="00C12801">
          <w:rPr>
            <w:rFonts w:cs="Arial"/>
          </w:rPr>
          <w:t xml:space="preserve"> </w:t>
        </w:r>
      </w:hyperlink>
    </w:p>
    <w:p w14:paraId="640BFA13" w14:textId="77777777" w:rsidR="00C12801" w:rsidRDefault="008B5D43">
      <w:pPr>
        <w:spacing w:after="1"/>
        <w:ind w:left="706" w:right="0" w:hanging="721"/>
      </w:pPr>
      <w:proofErr w:type="spellStart"/>
      <w:r>
        <w:t>Heimann</w:t>
      </w:r>
      <w:proofErr w:type="spellEnd"/>
      <w:r>
        <w:t xml:space="preserve">, H., Broadbent, D., &amp; </w:t>
      </w:r>
      <w:proofErr w:type="spellStart"/>
      <w:r>
        <w:t>Cheeseman</w:t>
      </w:r>
      <w:proofErr w:type="spellEnd"/>
      <w:r>
        <w:t xml:space="preserve">, R. (2020). Digital ophthalmology in the UK–diabetic retinopathy screening and virtual glaucoma clinics in the National Health </w:t>
      </w:r>
    </w:p>
    <w:p w14:paraId="3A858FC2" w14:textId="77777777" w:rsidR="00C12801" w:rsidRDefault="008B5D43">
      <w:pPr>
        <w:spacing w:after="107" w:line="259" w:lineRule="auto"/>
        <w:ind w:left="0" w:right="7" w:firstLine="0"/>
        <w:jc w:val="right"/>
      </w:pPr>
      <w:r>
        <w:t>Service.</w:t>
      </w:r>
      <w:r>
        <w:rPr>
          <w:rFonts w:cs="Arial"/>
        </w:rPr>
        <w:t xml:space="preserve"> </w:t>
      </w:r>
      <w:proofErr w:type="spellStart"/>
      <w:r>
        <w:rPr>
          <w:rFonts w:cs="Arial"/>
          <w:i/>
        </w:rPr>
        <w:t>Klinische</w:t>
      </w:r>
      <w:proofErr w:type="spellEnd"/>
      <w:r>
        <w:rPr>
          <w:rFonts w:cs="Arial"/>
          <w:i/>
        </w:rPr>
        <w:t xml:space="preserve"> </w:t>
      </w:r>
      <w:proofErr w:type="spellStart"/>
      <w:r>
        <w:rPr>
          <w:rFonts w:cs="Arial"/>
          <w:i/>
        </w:rPr>
        <w:t>Monatsblätter</w:t>
      </w:r>
      <w:proofErr w:type="spellEnd"/>
      <w:r>
        <w:rPr>
          <w:rFonts w:cs="Arial"/>
          <w:i/>
        </w:rPr>
        <w:t xml:space="preserve"> </w:t>
      </w:r>
      <w:proofErr w:type="spellStart"/>
      <w:r>
        <w:rPr>
          <w:rFonts w:cs="Arial"/>
          <w:i/>
        </w:rPr>
        <w:t>für</w:t>
      </w:r>
      <w:proofErr w:type="spellEnd"/>
      <w:r>
        <w:rPr>
          <w:rFonts w:cs="Arial"/>
          <w:i/>
        </w:rPr>
        <w:t xml:space="preserve"> </w:t>
      </w:r>
      <w:proofErr w:type="spellStart"/>
      <w:r>
        <w:rPr>
          <w:rFonts w:cs="Arial"/>
          <w:i/>
        </w:rPr>
        <w:t>Augenheilkunde</w:t>
      </w:r>
      <w:proofErr w:type="spellEnd"/>
      <w:r>
        <w:t>,</w:t>
      </w:r>
      <w:r>
        <w:rPr>
          <w:rFonts w:cs="Arial"/>
        </w:rPr>
        <w:t xml:space="preserve"> </w:t>
      </w:r>
      <w:r>
        <w:rPr>
          <w:rFonts w:cs="Arial"/>
          <w:i/>
        </w:rPr>
        <w:t>237</w:t>
      </w:r>
      <w:r>
        <w:t>(12), 1400-1408. 10.1055/a-</w:t>
      </w:r>
    </w:p>
    <w:p w14:paraId="30E8CBB0" w14:textId="77777777" w:rsidR="00C12801" w:rsidRDefault="008B5D43">
      <w:pPr>
        <w:spacing w:after="342" w:line="259" w:lineRule="auto"/>
        <w:ind w:left="731" w:right="0"/>
      </w:pPr>
      <w:r>
        <w:t>1300-7779</w:t>
      </w:r>
      <w:r>
        <w:rPr>
          <w:rFonts w:cs="Arial"/>
        </w:rPr>
        <w:t xml:space="preserve"> </w:t>
      </w:r>
    </w:p>
    <w:p w14:paraId="6DDAD9FB" w14:textId="77777777" w:rsidR="00C12801" w:rsidRDefault="008B5D43">
      <w:pPr>
        <w:spacing w:after="241"/>
        <w:ind w:left="706" w:right="0" w:hanging="721"/>
      </w:pPr>
      <w:proofErr w:type="spellStart"/>
      <w:r>
        <w:t>Korom</w:t>
      </w:r>
      <w:proofErr w:type="spellEnd"/>
      <w:r>
        <w:t xml:space="preserve">, R., </w:t>
      </w:r>
      <w:proofErr w:type="spellStart"/>
      <w:r>
        <w:t>Kiptinness</w:t>
      </w:r>
      <w:proofErr w:type="spellEnd"/>
      <w:r>
        <w:t xml:space="preserve">, S., Adan, N., Said, K., </w:t>
      </w:r>
      <w:proofErr w:type="spellStart"/>
      <w:r>
        <w:t>Ithuli</w:t>
      </w:r>
      <w:proofErr w:type="spellEnd"/>
      <w:r>
        <w:t xml:space="preserve">, C., </w:t>
      </w:r>
      <w:proofErr w:type="spellStart"/>
      <w:r>
        <w:t>Rotich</w:t>
      </w:r>
      <w:proofErr w:type="spellEnd"/>
      <w:r>
        <w:t xml:space="preserve">, O., ... &amp; </w:t>
      </w:r>
      <w:proofErr w:type="spellStart"/>
      <w:r>
        <w:t>Singhal</w:t>
      </w:r>
      <w:proofErr w:type="spellEnd"/>
      <w:r>
        <w:t xml:space="preserve">, K. (2025). </w:t>
      </w:r>
      <w:proofErr w:type="spellStart"/>
      <w:r>
        <w:t>AIbased</w:t>
      </w:r>
      <w:proofErr w:type="spellEnd"/>
      <w:r>
        <w:t xml:space="preserve"> clinical decision support for primary care: A real-world study.</w:t>
      </w:r>
      <w:r>
        <w:rPr>
          <w:rFonts w:cs="Arial"/>
        </w:rPr>
        <w:t xml:space="preserve"> </w:t>
      </w:r>
      <w:proofErr w:type="spellStart"/>
      <w:r>
        <w:rPr>
          <w:rFonts w:cs="Arial"/>
          <w:i/>
        </w:rPr>
        <w:t>arXiv</w:t>
      </w:r>
      <w:proofErr w:type="spellEnd"/>
      <w:r>
        <w:rPr>
          <w:rFonts w:cs="Arial"/>
          <w:i/>
        </w:rPr>
        <w:t xml:space="preserve"> preprint arXiv:2507.16947</w:t>
      </w:r>
      <w:r>
        <w:t xml:space="preserve">. </w:t>
      </w:r>
      <w:hyperlink r:id="rId25">
        <w:r w:rsidR="00C12801">
          <w:rPr>
            <w:color w:val="0563C1"/>
            <w:u w:val="single" w:color="0563C1"/>
          </w:rPr>
          <w:t>https://doi.org/10.48550/arXiv.2507.16947</w:t>
        </w:r>
      </w:hyperlink>
      <w:hyperlink r:id="rId26">
        <w:r w:rsidR="00C12801">
          <w:rPr>
            <w:rFonts w:cs="Arial"/>
          </w:rPr>
          <w:t xml:space="preserve"> </w:t>
        </w:r>
      </w:hyperlink>
    </w:p>
    <w:p w14:paraId="7FE9511D" w14:textId="77777777" w:rsidR="00C12801" w:rsidRDefault="008B5D43">
      <w:pPr>
        <w:spacing w:after="1"/>
        <w:ind w:left="706" w:right="0" w:hanging="721"/>
      </w:pPr>
      <w:proofErr w:type="spellStart"/>
      <w:r>
        <w:t>Kropp</w:t>
      </w:r>
      <w:proofErr w:type="spellEnd"/>
      <w:r>
        <w:t xml:space="preserve">, M., </w:t>
      </w:r>
      <w:proofErr w:type="spellStart"/>
      <w:r>
        <w:t>Golubnitschaja</w:t>
      </w:r>
      <w:proofErr w:type="spellEnd"/>
      <w:r>
        <w:t xml:space="preserve">, O., </w:t>
      </w:r>
      <w:proofErr w:type="spellStart"/>
      <w:r>
        <w:t>Mazurakova</w:t>
      </w:r>
      <w:proofErr w:type="spellEnd"/>
      <w:r>
        <w:t xml:space="preserve">, A., </w:t>
      </w:r>
      <w:proofErr w:type="spellStart"/>
      <w:r>
        <w:t>Koklesova</w:t>
      </w:r>
      <w:proofErr w:type="spellEnd"/>
      <w:r>
        <w:t xml:space="preserve">, L., </w:t>
      </w:r>
      <w:proofErr w:type="spellStart"/>
      <w:r>
        <w:t>Sargheini</w:t>
      </w:r>
      <w:proofErr w:type="spellEnd"/>
      <w:r>
        <w:t xml:space="preserve">, N., Vo, T. T. K. S., ... &amp; </w:t>
      </w:r>
      <w:proofErr w:type="spellStart"/>
      <w:r>
        <w:t>Thumann</w:t>
      </w:r>
      <w:proofErr w:type="spellEnd"/>
      <w:r>
        <w:t>, G. (2023). Diabetic retinopathy as the leading cause of blindness and early predictor of cascading complications—risks and mitigation.</w:t>
      </w:r>
      <w:r>
        <w:rPr>
          <w:rFonts w:cs="Arial"/>
        </w:rPr>
        <w:t xml:space="preserve"> </w:t>
      </w:r>
      <w:proofErr w:type="spellStart"/>
      <w:r>
        <w:rPr>
          <w:rFonts w:cs="Arial"/>
          <w:i/>
        </w:rPr>
        <w:t>Epma</w:t>
      </w:r>
      <w:proofErr w:type="spellEnd"/>
      <w:r>
        <w:rPr>
          <w:rFonts w:cs="Arial"/>
          <w:i/>
        </w:rPr>
        <w:t xml:space="preserve"> Journal</w:t>
      </w:r>
      <w:r>
        <w:t>,</w:t>
      </w:r>
      <w:r>
        <w:rPr>
          <w:rFonts w:cs="Arial"/>
        </w:rPr>
        <w:t xml:space="preserve"> </w:t>
      </w:r>
      <w:r>
        <w:rPr>
          <w:rFonts w:cs="Arial"/>
          <w:i/>
        </w:rPr>
        <w:t>14</w:t>
      </w:r>
      <w:r>
        <w:t xml:space="preserve">(1), 21-42. </w:t>
      </w:r>
    </w:p>
    <w:p w14:paraId="34D9CB22" w14:textId="77777777" w:rsidR="00C12801" w:rsidRDefault="00C12801">
      <w:pPr>
        <w:spacing w:after="237" w:line="265" w:lineRule="auto"/>
        <w:ind w:left="716" w:right="0"/>
        <w:jc w:val="left"/>
      </w:pPr>
      <w:hyperlink r:id="rId27">
        <w:r>
          <w:rPr>
            <w:color w:val="0563C1"/>
            <w:u w:val="single" w:color="0563C1"/>
          </w:rPr>
          <w:t>https://doi.org/10.1007/s13167</w:t>
        </w:r>
      </w:hyperlink>
      <w:hyperlink r:id="rId28">
        <w:r>
          <w:rPr>
            <w:color w:val="0563C1"/>
            <w:u w:val="single" w:color="0563C1"/>
          </w:rPr>
          <w:t>-</w:t>
        </w:r>
      </w:hyperlink>
      <w:hyperlink r:id="rId29">
        <w:r>
          <w:rPr>
            <w:color w:val="0563C1"/>
            <w:u w:val="single" w:color="0563C1"/>
          </w:rPr>
          <w:t>023</w:t>
        </w:r>
      </w:hyperlink>
      <w:hyperlink r:id="rId30">
        <w:r>
          <w:rPr>
            <w:color w:val="0563C1"/>
            <w:u w:val="single" w:color="0563C1"/>
          </w:rPr>
          <w:t>-</w:t>
        </w:r>
      </w:hyperlink>
      <w:hyperlink r:id="rId31">
        <w:r>
          <w:rPr>
            <w:color w:val="0563C1"/>
            <w:u w:val="single" w:color="0563C1"/>
          </w:rPr>
          <w:t>00314</w:t>
        </w:r>
      </w:hyperlink>
      <w:hyperlink r:id="rId32">
        <w:r>
          <w:rPr>
            <w:color w:val="0563C1"/>
            <w:u w:val="single" w:color="0563C1"/>
          </w:rPr>
          <w:t>-</w:t>
        </w:r>
      </w:hyperlink>
      <w:hyperlink r:id="rId33">
        <w:r>
          <w:rPr>
            <w:color w:val="0563C1"/>
            <w:u w:val="single" w:color="0563C1"/>
          </w:rPr>
          <w:t>8</w:t>
        </w:r>
      </w:hyperlink>
      <w:hyperlink r:id="rId34">
        <w:r>
          <w:rPr>
            <w:rFonts w:cs="Arial"/>
          </w:rPr>
          <w:t xml:space="preserve"> </w:t>
        </w:r>
      </w:hyperlink>
    </w:p>
    <w:p w14:paraId="2252AC19" w14:textId="77777777" w:rsidR="00C12801" w:rsidRDefault="008B5D43">
      <w:pPr>
        <w:spacing w:after="241"/>
        <w:ind w:left="706" w:right="0" w:hanging="721"/>
      </w:pPr>
      <w:proofErr w:type="spellStart"/>
      <w:r>
        <w:t>Nagendran</w:t>
      </w:r>
      <w:proofErr w:type="spellEnd"/>
      <w:r>
        <w:t xml:space="preserve">, M., Chen, Y., Lovejoy, C. A., Gordon, A. C., </w:t>
      </w:r>
      <w:proofErr w:type="spellStart"/>
      <w:r>
        <w:t>Komorowski</w:t>
      </w:r>
      <w:proofErr w:type="spellEnd"/>
      <w:r>
        <w:t xml:space="preserve">, M., Harvey, H., ... &amp; </w:t>
      </w:r>
      <w:proofErr w:type="spellStart"/>
      <w:r>
        <w:t>Maruthappu</w:t>
      </w:r>
      <w:proofErr w:type="spellEnd"/>
      <w:r>
        <w:t xml:space="preserve">, M. (2020). Artificial intelligence versus clinicians: systematic review of </w:t>
      </w:r>
      <w:r>
        <w:lastRenderedPageBreak/>
        <w:t>design, reporting standards, and claims of deep learning studies.</w:t>
      </w:r>
      <w:r>
        <w:rPr>
          <w:rFonts w:cs="Arial"/>
        </w:rPr>
        <w:t xml:space="preserve"> </w:t>
      </w:r>
      <w:proofErr w:type="spellStart"/>
      <w:r>
        <w:rPr>
          <w:rFonts w:cs="Arial"/>
          <w:i/>
        </w:rPr>
        <w:t>bmj</w:t>
      </w:r>
      <w:proofErr w:type="spellEnd"/>
      <w:r>
        <w:t>,</w:t>
      </w:r>
      <w:r>
        <w:rPr>
          <w:rFonts w:cs="Arial"/>
        </w:rPr>
        <w:t xml:space="preserve"> </w:t>
      </w:r>
      <w:r>
        <w:rPr>
          <w:rFonts w:cs="Arial"/>
          <w:i/>
        </w:rPr>
        <w:t>368</w:t>
      </w:r>
      <w:r>
        <w:t xml:space="preserve">. </w:t>
      </w:r>
      <w:hyperlink r:id="rId35">
        <w:r w:rsidR="00C12801">
          <w:rPr>
            <w:color w:val="0563C1"/>
            <w:u w:val="single" w:color="0563C1"/>
          </w:rPr>
          <w:t>https://doi.org/10.1136/bmj.m689</w:t>
        </w:r>
      </w:hyperlink>
      <w:hyperlink r:id="rId36">
        <w:r w:rsidR="00C12801">
          <w:rPr>
            <w:rFonts w:cs="Arial"/>
          </w:rPr>
          <w:t xml:space="preserve"> </w:t>
        </w:r>
      </w:hyperlink>
    </w:p>
    <w:p w14:paraId="58A0FF44" w14:textId="77777777" w:rsidR="00C12801" w:rsidRDefault="008B5D43">
      <w:pPr>
        <w:spacing w:after="1"/>
        <w:ind w:left="706" w:right="0" w:hanging="721"/>
      </w:pPr>
      <w:r>
        <w:t xml:space="preserve">Qian, X., </w:t>
      </w:r>
      <w:proofErr w:type="spellStart"/>
      <w:r>
        <w:t>Jingying</w:t>
      </w:r>
      <w:proofErr w:type="spellEnd"/>
      <w:r>
        <w:t xml:space="preserve">, H., Xian, S., </w:t>
      </w:r>
      <w:proofErr w:type="spellStart"/>
      <w:r>
        <w:t>Yuqing</w:t>
      </w:r>
      <w:proofErr w:type="spellEnd"/>
      <w:r>
        <w:t xml:space="preserve">, Z., Lili, W., </w:t>
      </w:r>
      <w:proofErr w:type="spellStart"/>
      <w:r>
        <w:t>Baorui</w:t>
      </w:r>
      <w:proofErr w:type="spellEnd"/>
      <w:r>
        <w:t>, C., ... &amp; Yi, Q. (2022). The effectiveness of artificial intelligence-based automated grading and training system in education of manual detection of diabetic retinopathy.</w:t>
      </w:r>
      <w:r>
        <w:rPr>
          <w:rFonts w:cs="Arial"/>
        </w:rPr>
        <w:t xml:space="preserve"> </w:t>
      </w:r>
      <w:r>
        <w:rPr>
          <w:rFonts w:cs="Arial"/>
          <w:i/>
        </w:rPr>
        <w:t>Frontiers in Public Health</w:t>
      </w:r>
      <w:r>
        <w:t>,</w:t>
      </w:r>
      <w:r>
        <w:rPr>
          <w:rFonts w:cs="Arial"/>
        </w:rPr>
        <w:t xml:space="preserve"> </w:t>
      </w:r>
      <w:r>
        <w:rPr>
          <w:rFonts w:cs="Arial"/>
          <w:i/>
        </w:rPr>
        <w:t>10</w:t>
      </w:r>
      <w:r>
        <w:t xml:space="preserve">, 1025271. </w:t>
      </w:r>
    </w:p>
    <w:p w14:paraId="336DB8C8" w14:textId="77777777" w:rsidR="00C12801" w:rsidRDefault="00C12801">
      <w:pPr>
        <w:spacing w:after="341" w:line="265" w:lineRule="auto"/>
        <w:ind w:left="716" w:right="0"/>
        <w:jc w:val="left"/>
      </w:pPr>
      <w:hyperlink r:id="rId37">
        <w:r>
          <w:rPr>
            <w:color w:val="0563C1"/>
            <w:u w:val="single" w:color="0563C1"/>
          </w:rPr>
          <w:t>https://doi.org/10.3389/fpubh.2022.1025271</w:t>
        </w:r>
      </w:hyperlink>
      <w:hyperlink r:id="rId38">
        <w:r>
          <w:rPr>
            <w:rFonts w:cs="Arial"/>
          </w:rPr>
          <w:t xml:space="preserve"> </w:t>
        </w:r>
      </w:hyperlink>
    </w:p>
    <w:p w14:paraId="1356ABC6" w14:textId="77777777" w:rsidR="00C12801" w:rsidRDefault="008B5D43">
      <w:pPr>
        <w:spacing w:after="241"/>
        <w:ind w:left="706" w:right="0" w:hanging="721"/>
      </w:pPr>
      <w:proofErr w:type="spellStart"/>
      <w:r>
        <w:t>Ramessur</w:t>
      </w:r>
      <w:proofErr w:type="spellEnd"/>
      <w:r>
        <w:t xml:space="preserve">, R., Raja, L., </w:t>
      </w:r>
      <w:proofErr w:type="spellStart"/>
      <w:r>
        <w:t>Kilduff</w:t>
      </w:r>
      <w:proofErr w:type="spellEnd"/>
      <w:r>
        <w:t>, C. L., Kang, S., Li, J. P. O., Thomas, P. B., &amp; Sim, D. A. (2021). Impact and challenges of integrating artificial intelligence and telemedicine into clinical ophthalmology.</w:t>
      </w:r>
      <w:r>
        <w:rPr>
          <w:rFonts w:cs="Arial"/>
        </w:rPr>
        <w:t xml:space="preserve"> </w:t>
      </w:r>
      <w:r>
        <w:rPr>
          <w:rFonts w:cs="Arial"/>
          <w:i/>
        </w:rPr>
        <w:t>The Asia-Pacific Journal of Ophthalmology</w:t>
      </w:r>
      <w:r>
        <w:t>,</w:t>
      </w:r>
      <w:r>
        <w:rPr>
          <w:rFonts w:cs="Arial"/>
        </w:rPr>
        <w:t xml:space="preserve"> </w:t>
      </w:r>
      <w:r>
        <w:rPr>
          <w:rFonts w:cs="Arial"/>
          <w:i/>
        </w:rPr>
        <w:t>10</w:t>
      </w:r>
      <w:r>
        <w:t>(3), 317-327. 10.1097/APO.0000000000000406</w:t>
      </w:r>
      <w:r>
        <w:rPr>
          <w:rFonts w:cs="Arial"/>
        </w:rPr>
        <w:t xml:space="preserve"> </w:t>
      </w:r>
    </w:p>
    <w:p w14:paraId="7F08799B" w14:textId="77777777" w:rsidR="00C12801" w:rsidRDefault="008B5D43">
      <w:pPr>
        <w:spacing w:after="241"/>
        <w:ind w:left="706" w:right="0" w:hanging="721"/>
      </w:pPr>
      <w:proofErr w:type="spellStart"/>
      <w:r>
        <w:t>Sivaprasad</w:t>
      </w:r>
      <w:proofErr w:type="spellEnd"/>
      <w:r>
        <w:t>, S. (2025). Innovations in diabetic retinopathy screening in the UK.</w:t>
      </w:r>
      <w:r>
        <w:rPr>
          <w:rFonts w:cs="Arial"/>
        </w:rPr>
        <w:t xml:space="preserve"> </w:t>
      </w:r>
      <w:r>
        <w:rPr>
          <w:rFonts w:cs="Arial"/>
          <w:i/>
        </w:rPr>
        <w:t>The Lancet Diabetes &amp; Endocrinology</w:t>
      </w:r>
      <w:r>
        <w:t>,</w:t>
      </w:r>
      <w:r>
        <w:rPr>
          <w:rFonts w:cs="Arial"/>
        </w:rPr>
        <w:t xml:space="preserve"> </w:t>
      </w:r>
      <w:r>
        <w:rPr>
          <w:rFonts w:cs="Arial"/>
          <w:i/>
        </w:rPr>
        <w:t>13</w:t>
      </w:r>
      <w:r>
        <w:t xml:space="preserve">(2), 81-83. </w:t>
      </w:r>
      <w:hyperlink r:id="rId39">
        <w:r w:rsidR="00C12801">
          <w:rPr>
            <w:color w:val="0563C1"/>
            <w:u w:val="single" w:color="0563C1"/>
          </w:rPr>
          <w:t>https://doi.org/10.1016/S2213</w:t>
        </w:r>
      </w:hyperlink>
      <w:hyperlink r:id="rId40">
        <w:r w:rsidR="00C12801">
          <w:rPr>
            <w:color w:val="0563C1"/>
            <w:u w:val="single" w:color="0563C1"/>
          </w:rPr>
          <w:t>-</w:t>
        </w:r>
      </w:hyperlink>
      <w:hyperlink r:id="rId41">
        <w:r w:rsidR="00C12801">
          <w:rPr>
            <w:color w:val="0563C1"/>
            <w:u w:val="single" w:color="0563C1"/>
          </w:rPr>
          <w:t>8587(24)00397</w:t>
        </w:r>
      </w:hyperlink>
      <w:hyperlink r:id="rId42">
        <w:r w:rsidR="00C12801">
          <w:rPr>
            <w:color w:val="0563C1"/>
            <w:u w:val="single" w:color="0563C1"/>
          </w:rPr>
          <w:t>-</w:t>
        </w:r>
      </w:hyperlink>
      <w:hyperlink r:id="rId43">
        <w:r w:rsidR="00C12801">
          <w:rPr>
            <w:color w:val="0563C1"/>
            <w:u w:val="single" w:color="0563C1"/>
          </w:rPr>
          <w:t>8</w:t>
        </w:r>
      </w:hyperlink>
      <w:hyperlink r:id="rId44">
        <w:r w:rsidR="00C12801">
          <w:rPr>
            <w:rFonts w:cs="Arial"/>
          </w:rPr>
          <w:t xml:space="preserve"> </w:t>
        </w:r>
      </w:hyperlink>
    </w:p>
    <w:p w14:paraId="032E35BC" w14:textId="77777777" w:rsidR="00C12801" w:rsidRDefault="008B5D43">
      <w:pPr>
        <w:spacing w:after="20"/>
        <w:ind w:left="706" w:right="0" w:hanging="721"/>
      </w:pPr>
      <w:proofErr w:type="spellStart"/>
      <w:r>
        <w:t>Wahlich</w:t>
      </w:r>
      <w:proofErr w:type="spellEnd"/>
      <w:r>
        <w:t xml:space="preserve">, C., </w:t>
      </w:r>
      <w:proofErr w:type="spellStart"/>
      <w:r>
        <w:t>Chandrasekaran</w:t>
      </w:r>
      <w:proofErr w:type="spellEnd"/>
      <w:r>
        <w:t xml:space="preserve">, L., Chaudhry, U. A., Willis, K., Chambers, R., Bolter, L., ... &amp; </w:t>
      </w:r>
      <w:proofErr w:type="spellStart"/>
      <w:r>
        <w:t>Rudnicka</w:t>
      </w:r>
      <w:proofErr w:type="spellEnd"/>
      <w:r>
        <w:t xml:space="preserve">, A. R. (2025). Patient and practitioner perceptions around use of artificial intelligence within the English NHS diabetic eye screening </w:t>
      </w:r>
      <w:proofErr w:type="spellStart"/>
      <w:r>
        <w:t>programme</w:t>
      </w:r>
      <w:proofErr w:type="spellEnd"/>
      <w:r>
        <w:t>.</w:t>
      </w:r>
      <w:r>
        <w:rPr>
          <w:rFonts w:cs="Arial"/>
        </w:rPr>
        <w:t xml:space="preserve"> </w:t>
      </w:r>
      <w:r>
        <w:rPr>
          <w:rFonts w:cs="Arial"/>
          <w:i/>
        </w:rPr>
        <w:t xml:space="preserve">Diabetes </w:t>
      </w:r>
    </w:p>
    <w:p w14:paraId="1ED01B88" w14:textId="77777777" w:rsidR="00C12801" w:rsidRDefault="008B5D43">
      <w:pPr>
        <w:spacing w:after="237" w:line="367" w:lineRule="auto"/>
        <w:ind w:left="716" w:right="0"/>
        <w:jc w:val="left"/>
      </w:pPr>
      <w:r>
        <w:rPr>
          <w:rFonts w:cs="Arial"/>
          <w:i/>
        </w:rPr>
        <w:t xml:space="preserve">Research </w:t>
      </w:r>
      <w:r>
        <w:rPr>
          <w:rFonts w:cs="Arial"/>
          <w:i/>
        </w:rPr>
        <w:tab/>
        <w:t xml:space="preserve">and </w:t>
      </w:r>
      <w:r>
        <w:rPr>
          <w:rFonts w:cs="Arial"/>
          <w:i/>
        </w:rPr>
        <w:tab/>
        <w:t xml:space="preserve">Clinical </w:t>
      </w:r>
      <w:r>
        <w:rPr>
          <w:rFonts w:cs="Arial"/>
          <w:i/>
        </w:rPr>
        <w:tab/>
        <w:t>Practice</w:t>
      </w:r>
      <w:r>
        <w:t>,</w:t>
      </w:r>
      <w:r>
        <w:rPr>
          <w:rFonts w:cs="Arial"/>
        </w:rPr>
        <w:t xml:space="preserve"> </w:t>
      </w:r>
      <w:r>
        <w:rPr>
          <w:rFonts w:cs="Arial"/>
          <w:i/>
        </w:rPr>
        <w:t>219</w:t>
      </w:r>
      <w:r>
        <w:t xml:space="preserve">, </w:t>
      </w:r>
      <w:r>
        <w:tab/>
        <w:t xml:space="preserve">111964. </w:t>
      </w:r>
      <w:hyperlink r:id="rId45">
        <w:r w:rsidR="00C12801">
          <w:rPr>
            <w:color w:val="0563C1"/>
            <w:u w:val="single" w:color="0563C1"/>
          </w:rPr>
          <w:t>https://doi.org/10.1016/j.diabres.2024.111964</w:t>
        </w:r>
      </w:hyperlink>
      <w:hyperlink r:id="rId46">
        <w:r w:rsidR="00C12801">
          <w:rPr>
            <w:rFonts w:cs="Arial"/>
          </w:rPr>
          <w:t xml:space="preserve"> </w:t>
        </w:r>
      </w:hyperlink>
    </w:p>
    <w:p w14:paraId="30BCE6A8" w14:textId="77777777" w:rsidR="00C12801" w:rsidRDefault="008B5D43">
      <w:pPr>
        <w:ind w:left="706" w:right="0" w:hanging="721"/>
      </w:pPr>
      <w:r>
        <w:t xml:space="preserve">Willis, K., Chaudhry, U. A., </w:t>
      </w:r>
      <w:proofErr w:type="spellStart"/>
      <w:r>
        <w:t>Chandrasekaran</w:t>
      </w:r>
      <w:proofErr w:type="spellEnd"/>
      <w:r>
        <w:t xml:space="preserve">, L., </w:t>
      </w:r>
      <w:proofErr w:type="spellStart"/>
      <w:r>
        <w:t>Wahlich</w:t>
      </w:r>
      <w:proofErr w:type="spellEnd"/>
      <w:r>
        <w:t xml:space="preserve">, C., Olvera-Barrios, A., Chambers, R., ... &amp; </w:t>
      </w:r>
      <w:proofErr w:type="spellStart"/>
      <w:r>
        <w:t>Rudnicka</w:t>
      </w:r>
      <w:proofErr w:type="spellEnd"/>
      <w:r>
        <w:t xml:space="preserve">, A. (2023). What are the perceptions and concerns of people living with diabetes and National Health Service staff around the potential implementation of </w:t>
      </w:r>
      <w:proofErr w:type="spellStart"/>
      <w:r>
        <w:t>AIassisted</w:t>
      </w:r>
      <w:proofErr w:type="spellEnd"/>
      <w:r>
        <w:t xml:space="preserve"> screening for diabetic eye disease? Development and validation of a survey for use in a secondary care screening setting.</w:t>
      </w:r>
      <w:r>
        <w:rPr>
          <w:rFonts w:cs="Arial"/>
        </w:rPr>
        <w:t xml:space="preserve"> </w:t>
      </w:r>
      <w:r>
        <w:rPr>
          <w:rFonts w:cs="Arial"/>
          <w:i/>
        </w:rPr>
        <w:t>BMJ open</w:t>
      </w:r>
      <w:r>
        <w:t>,</w:t>
      </w:r>
      <w:r>
        <w:rPr>
          <w:rFonts w:cs="Arial"/>
        </w:rPr>
        <w:t xml:space="preserve"> </w:t>
      </w:r>
      <w:r>
        <w:rPr>
          <w:rFonts w:cs="Arial"/>
          <w:i/>
        </w:rPr>
        <w:t>13</w:t>
      </w:r>
      <w:r>
        <w:t xml:space="preserve">(11), e075558. </w:t>
      </w:r>
      <w:hyperlink r:id="rId47">
        <w:r w:rsidR="00C12801">
          <w:rPr>
            <w:color w:val="0563C1"/>
            <w:u w:val="single" w:color="0563C1"/>
          </w:rPr>
          <w:t>https://doi.org/10.1136/bmjopen</w:t>
        </w:r>
      </w:hyperlink>
      <w:hyperlink r:id="rId48">
        <w:r w:rsidR="00C12801">
          <w:rPr>
            <w:color w:val="0563C1"/>
            <w:u w:val="single" w:color="0563C1"/>
          </w:rPr>
          <w:t>-</w:t>
        </w:r>
      </w:hyperlink>
      <w:hyperlink r:id="rId49">
        <w:r w:rsidR="00C12801">
          <w:rPr>
            <w:color w:val="0563C1"/>
            <w:u w:val="single" w:color="0563C1"/>
          </w:rPr>
          <w:t>2023</w:t>
        </w:r>
      </w:hyperlink>
      <w:hyperlink r:id="rId50">
        <w:r w:rsidR="00C12801">
          <w:rPr>
            <w:color w:val="0563C1"/>
            <w:u w:val="single" w:color="0563C1"/>
          </w:rPr>
          <w:t>-</w:t>
        </w:r>
      </w:hyperlink>
      <w:hyperlink r:id="rId51">
        <w:r w:rsidR="00C12801">
          <w:rPr>
            <w:color w:val="0563C1"/>
            <w:u w:val="single" w:color="0563C1"/>
          </w:rPr>
          <w:t>075558</w:t>
        </w:r>
      </w:hyperlink>
      <w:hyperlink r:id="rId52">
        <w:r w:rsidR="00C12801">
          <w:rPr>
            <w:rFonts w:cs="Arial"/>
          </w:rPr>
          <w:t xml:space="preserve"> </w:t>
        </w:r>
      </w:hyperlink>
    </w:p>
    <w:sectPr w:rsidR="00C12801">
      <w:headerReference w:type="even" r:id="rId53"/>
      <w:headerReference w:type="default" r:id="rId54"/>
      <w:headerReference w:type="first" r:id="rId55"/>
      <w:pgSz w:w="12240" w:h="15840"/>
      <w:pgMar w:top="1490" w:right="1436" w:bottom="1434" w:left="1441" w:header="77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436BE" w14:textId="77777777" w:rsidR="006A4379" w:rsidRDefault="006A4379">
      <w:pPr>
        <w:spacing w:after="0" w:line="240" w:lineRule="auto"/>
      </w:pPr>
      <w:r>
        <w:separator/>
      </w:r>
    </w:p>
  </w:endnote>
  <w:endnote w:type="continuationSeparator" w:id="0">
    <w:p w14:paraId="06A08240" w14:textId="77777777" w:rsidR="006A4379" w:rsidRDefault="006A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4AB6C" w14:textId="77777777" w:rsidR="006A4379" w:rsidRDefault="006A4379">
      <w:pPr>
        <w:spacing w:after="0" w:line="240" w:lineRule="auto"/>
      </w:pPr>
      <w:r>
        <w:separator/>
      </w:r>
    </w:p>
  </w:footnote>
  <w:footnote w:type="continuationSeparator" w:id="0">
    <w:p w14:paraId="3906A181" w14:textId="77777777" w:rsidR="006A4379" w:rsidRDefault="006A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A7EC" w14:textId="77777777" w:rsidR="00C12801" w:rsidRDefault="008B5D43">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0C0AB146" w14:textId="77777777" w:rsidR="00C12801" w:rsidRDefault="008B5D43">
    <w:pPr>
      <w:spacing w:after="0" w:line="259" w:lineRule="auto"/>
      <w:ind w:left="0" w:right="0" w:firstLine="0"/>
      <w:jc w:val="left"/>
    </w:pPr>
    <w:r>
      <w:rPr>
        <w:rFonts w:ascii="Calibri" w:eastAsia="Calibri" w:hAnsi="Calibri" w:cs="Calibri"/>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7CD3C" w14:textId="77777777" w:rsidR="00C12801" w:rsidRDefault="008B5D43">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3C695B0D" w14:textId="77777777" w:rsidR="00C12801" w:rsidRDefault="008B5D43">
    <w:pPr>
      <w:spacing w:after="0" w:line="259" w:lineRule="auto"/>
      <w:ind w:left="0" w:right="0" w:firstLine="0"/>
      <w:jc w:val="left"/>
    </w:pPr>
    <w:r>
      <w:rPr>
        <w:rFonts w:ascii="Calibri" w:eastAsia="Calibri" w:hAnsi="Calibri" w:cs="Calibri"/>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5B2A8" w14:textId="77777777" w:rsidR="00C12801" w:rsidRDefault="008B5D43">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p w14:paraId="3003B2F8" w14:textId="77777777" w:rsidR="00C12801" w:rsidRDefault="008B5D43">
    <w:pPr>
      <w:spacing w:after="0" w:line="259" w:lineRule="auto"/>
      <w:ind w:left="0" w:right="0" w:firstLine="0"/>
      <w:jc w:val="left"/>
    </w:pPr>
    <w:r>
      <w:rPr>
        <w:rFonts w:ascii="Calibri" w:eastAsia="Calibri" w:hAnsi="Calibri" w:cs="Calibri"/>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C606C"/>
    <w:multiLevelType w:val="hybridMultilevel"/>
    <w:tmpl w:val="D6F6530E"/>
    <w:lvl w:ilvl="0" w:tplc="0409000F">
      <w:start w:val="1"/>
      <w:numFmt w:val="decimal"/>
      <w:lvlText w:val="%1."/>
      <w:lvlJc w:val="left"/>
      <w:pPr>
        <w:ind w:left="735" w:hanging="36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967660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801"/>
    <w:rsid w:val="00042AA6"/>
    <w:rsid w:val="00086E7E"/>
    <w:rsid w:val="000C5E25"/>
    <w:rsid w:val="00123083"/>
    <w:rsid w:val="001D553C"/>
    <w:rsid w:val="002114C1"/>
    <w:rsid w:val="00237B8C"/>
    <w:rsid w:val="00252328"/>
    <w:rsid w:val="002E796C"/>
    <w:rsid w:val="003A0AF0"/>
    <w:rsid w:val="00474754"/>
    <w:rsid w:val="004C531F"/>
    <w:rsid w:val="004F1796"/>
    <w:rsid w:val="005208DA"/>
    <w:rsid w:val="00542801"/>
    <w:rsid w:val="005A5DF6"/>
    <w:rsid w:val="005B53B7"/>
    <w:rsid w:val="006007A9"/>
    <w:rsid w:val="006743B9"/>
    <w:rsid w:val="006A4379"/>
    <w:rsid w:val="006B10B4"/>
    <w:rsid w:val="006E7C23"/>
    <w:rsid w:val="00741202"/>
    <w:rsid w:val="00765C43"/>
    <w:rsid w:val="00797B3A"/>
    <w:rsid w:val="007A62BF"/>
    <w:rsid w:val="007C3917"/>
    <w:rsid w:val="007D3DF7"/>
    <w:rsid w:val="007D663A"/>
    <w:rsid w:val="007E2BDE"/>
    <w:rsid w:val="008B5D43"/>
    <w:rsid w:val="00913F0A"/>
    <w:rsid w:val="00964483"/>
    <w:rsid w:val="009B0A69"/>
    <w:rsid w:val="009B37AB"/>
    <w:rsid w:val="009E778F"/>
    <w:rsid w:val="00A7589B"/>
    <w:rsid w:val="00A926A5"/>
    <w:rsid w:val="00B71C5E"/>
    <w:rsid w:val="00B87474"/>
    <w:rsid w:val="00B92008"/>
    <w:rsid w:val="00C010B1"/>
    <w:rsid w:val="00C0520C"/>
    <w:rsid w:val="00C12801"/>
    <w:rsid w:val="00C27D9E"/>
    <w:rsid w:val="00C43E52"/>
    <w:rsid w:val="00C73B37"/>
    <w:rsid w:val="00C75DF5"/>
    <w:rsid w:val="00D00F3F"/>
    <w:rsid w:val="00DB1C46"/>
    <w:rsid w:val="00DF7D3B"/>
    <w:rsid w:val="00E85AA2"/>
    <w:rsid w:val="00EA09A9"/>
    <w:rsid w:val="00EE58A2"/>
    <w:rsid w:val="00F22D45"/>
    <w:rsid w:val="00FF3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048258"/>
  <w15:docId w15:val="{2DC86C98-7CA9-1A41-965F-2BB3AA898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6" w:line="360" w:lineRule="auto"/>
      <w:ind w:left="10" w:right="4" w:hanging="10"/>
      <w:jc w:val="both"/>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spacing w:after="147" w:line="259" w:lineRule="auto"/>
      <w:ind w:left="10" w:right="3793"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47" w:line="259" w:lineRule="auto"/>
      <w:ind w:left="10" w:right="3418"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121" w:line="259" w:lineRule="auto"/>
      <w:ind w:left="25" w:right="20" w:hanging="10"/>
    </w:pPr>
    <w:rPr>
      <w:rFonts w:ascii="Calibri" w:eastAsia="Calibri" w:hAnsi="Calibri" w:cs="Calibri"/>
      <w:color w:val="000000"/>
    </w:rPr>
  </w:style>
  <w:style w:type="paragraph" w:styleId="TOC2">
    <w:name w:val="toc 2"/>
    <w:hidden/>
    <w:pPr>
      <w:spacing w:after="121" w:line="259" w:lineRule="auto"/>
      <w:ind w:left="265" w:right="20" w:hanging="10"/>
    </w:pPr>
    <w:rPr>
      <w:rFonts w:ascii="Calibri" w:eastAsia="Calibri" w:hAnsi="Calibri" w:cs="Calibri"/>
      <w:color w:val="000000"/>
    </w:rPr>
  </w:style>
  <w:style w:type="paragraph" w:styleId="Header">
    <w:name w:val="header"/>
    <w:basedOn w:val="Normal"/>
    <w:link w:val="HeaderChar"/>
    <w:uiPriority w:val="99"/>
    <w:semiHidden/>
    <w:unhideWhenUsed/>
    <w:rsid w:val="00C052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520C"/>
    <w:rPr>
      <w:rFonts w:ascii="Arial" w:eastAsia="Arial" w:hAnsi="Arial" w:cs="Times New Roman"/>
      <w:color w:val="000000"/>
      <w:sz w:val="22"/>
      <w:lang w:val="en" w:eastAsia="en"/>
    </w:rPr>
  </w:style>
  <w:style w:type="paragraph" w:styleId="Footer">
    <w:name w:val="footer"/>
    <w:basedOn w:val="Normal"/>
    <w:link w:val="FooterChar"/>
    <w:uiPriority w:val="99"/>
    <w:semiHidden/>
    <w:unhideWhenUsed/>
    <w:rsid w:val="00C052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0520C"/>
    <w:rPr>
      <w:rFonts w:ascii="Arial" w:eastAsia="Arial" w:hAnsi="Arial" w:cs="Times New Roman"/>
      <w:color w:val="000000"/>
      <w:sz w:val="22"/>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books.google.com.pk/books?hl=en&amp;lr=&amp;id=Vt46EQAAQBAJ&amp;oi=fnd&amp;pg=PA1&amp;dq=Artificial+Intelligence+in+Diabetic+Retinopathy+Some+teams+describe+less+fatigue+from+long+grading+sessions+and+clearer+audit+trails+because+the+AI+output+is+stored+alongside+the+human+review.&amp;ots=UTjkbTEl8u&amp;sig=h5bi5khNg_XzjN9leLXYueCh_eY&amp;redir_esc=y" TargetMode="External" /><Relationship Id="rId18" Type="http://schemas.openxmlformats.org/officeDocument/2006/relationships/hyperlink" Target="https://doi.org/10.1007/s00125-022-05727-0" TargetMode="External" /><Relationship Id="rId26" Type="http://schemas.openxmlformats.org/officeDocument/2006/relationships/hyperlink" Target="https://doi.org/10.48550/arXiv.2507.16947" TargetMode="External" /><Relationship Id="rId39" Type="http://schemas.openxmlformats.org/officeDocument/2006/relationships/hyperlink" Target="https://doi.org/10.1016/S2213-8587(24)00397-8" TargetMode="External" /><Relationship Id="rId21" Type="http://schemas.openxmlformats.org/officeDocument/2006/relationships/hyperlink" Target="https://doi.org/10.1007/s00125-022-05727-0" TargetMode="External" /><Relationship Id="rId34" Type="http://schemas.openxmlformats.org/officeDocument/2006/relationships/hyperlink" Target="https://doi.org/10.1007/s13167-023-00314-8" TargetMode="External" /><Relationship Id="rId42" Type="http://schemas.openxmlformats.org/officeDocument/2006/relationships/hyperlink" Target="https://doi.org/10.1016/S2213-8587(24)00397-8" TargetMode="External" /><Relationship Id="rId47" Type="http://schemas.openxmlformats.org/officeDocument/2006/relationships/hyperlink" Target="https://doi.org/10.1136/bmjopen-2023-075558" TargetMode="External" /><Relationship Id="rId50" Type="http://schemas.openxmlformats.org/officeDocument/2006/relationships/hyperlink" Target="https://doi.org/10.1136/bmjopen-2023-075558" TargetMode="External" /><Relationship Id="rId55" Type="http://schemas.openxmlformats.org/officeDocument/2006/relationships/header" Target="header3.xml" /><Relationship Id="rId7" Type="http://schemas.openxmlformats.org/officeDocument/2006/relationships/hyperlink" Target="https://doi.org/10.12998/wjcc.v13.i5.101306" TargetMode="External" /><Relationship Id="rId12" Type="http://schemas.openxmlformats.org/officeDocument/2006/relationships/hyperlink" Target="https://books.google.com.pk/books?hl=en&amp;lr=&amp;id=Vt46EQAAQBAJ&amp;oi=fnd&amp;pg=PA1&amp;dq=Artificial+Intelligence+in+Diabetic+Retinopathy+Some+teams+describe+less+fatigue+from+long+grading+sessions+and+clearer+audit+trails+because+the+AI+output+is+stored+alongside+the+human+review.&amp;ots=UTjkbTEl8u&amp;sig=h5bi5khNg_XzjN9leLXYueCh_eY&amp;redir_esc=y" TargetMode="External" /><Relationship Id="rId17" Type="http://schemas.openxmlformats.org/officeDocument/2006/relationships/hyperlink" Target="https://doi.org/10.1007/s00125-022-05727-0" TargetMode="External" /><Relationship Id="rId25" Type="http://schemas.openxmlformats.org/officeDocument/2006/relationships/hyperlink" Target="https://doi.org/10.48550/arXiv.2507.16947" TargetMode="External" /><Relationship Id="rId33" Type="http://schemas.openxmlformats.org/officeDocument/2006/relationships/hyperlink" Target="https://doi.org/10.1007/s13167-023-00314-8" TargetMode="External" /><Relationship Id="rId38" Type="http://schemas.openxmlformats.org/officeDocument/2006/relationships/hyperlink" Target="https://doi.org/10.3389/fpubh.2022.1025271" TargetMode="External" /><Relationship Id="rId46" Type="http://schemas.openxmlformats.org/officeDocument/2006/relationships/hyperlink" Target="https://doi.org/10.1016/j.diabres.2024.111964" TargetMode="External" /><Relationship Id="rId2" Type="http://schemas.openxmlformats.org/officeDocument/2006/relationships/styles" Target="styles.xml" /><Relationship Id="rId16" Type="http://schemas.openxmlformats.org/officeDocument/2006/relationships/hyperlink" Target="https://doi.org/10.1111/jep.14237" TargetMode="External" /><Relationship Id="rId20" Type="http://schemas.openxmlformats.org/officeDocument/2006/relationships/hyperlink" Target="https://doi.org/10.1007/s00125-022-05727-0" TargetMode="External" /><Relationship Id="rId29" Type="http://schemas.openxmlformats.org/officeDocument/2006/relationships/hyperlink" Target="https://doi.org/10.1007/s13167-023-00314-8" TargetMode="External" /><Relationship Id="rId41" Type="http://schemas.openxmlformats.org/officeDocument/2006/relationships/hyperlink" Target="https://doi.org/10.1016/S2213-8587(24)00397-8" TargetMode="External" /><Relationship Id="rId54" Type="http://schemas.openxmlformats.org/officeDocument/2006/relationships/header" Target="head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books.google.com.pk/books?hl=en&amp;lr=&amp;id=Vt46EQAAQBAJ&amp;oi=fnd&amp;pg=PA1&amp;dq=Artificial+Intelligence+in+Diabetic+Retinopathy+Some+teams+describe+less+fatigue+from+long+grading+sessions+and+clearer+audit+trails+because+the+AI+output+is+stored+alongside+the+human+review.&amp;ots=UTjkbTEl8u&amp;sig=h5bi5khNg_XzjN9leLXYueCh_eY&amp;redir_esc=y" TargetMode="External" /><Relationship Id="rId24" Type="http://schemas.openxmlformats.org/officeDocument/2006/relationships/hyperlink" Target="https://doi.org/10.1007/s00125-022-05727-0" TargetMode="External" /><Relationship Id="rId32" Type="http://schemas.openxmlformats.org/officeDocument/2006/relationships/hyperlink" Target="https://doi.org/10.1007/s13167-023-00314-8" TargetMode="External" /><Relationship Id="rId37" Type="http://schemas.openxmlformats.org/officeDocument/2006/relationships/hyperlink" Target="https://doi.org/10.3389/fpubh.2022.1025271" TargetMode="External" /><Relationship Id="rId40" Type="http://schemas.openxmlformats.org/officeDocument/2006/relationships/hyperlink" Target="https://doi.org/10.1016/S2213-8587(24)00397-8" TargetMode="External" /><Relationship Id="rId45" Type="http://schemas.openxmlformats.org/officeDocument/2006/relationships/hyperlink" Target="https://doi.org/10.1016/j.diabres.2024.111964" TargetMode="External" /><Relationship Id="rId53"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hyperlink" Target="https://doi.org/10.1111/jep.14237" TargetMode="External" /><Relationship Id="rId23" Type="http://schemas.openxmlformats.org/officeDocument/2006/relationships/hyperlink" Target="https://doi.org/10.1007/s00125-022-05727-0" TargetMode="External" /><Relationship Id="rId28" Type="http://schemas.openxmlformats.org/officeDocument/2006/relationships/hyperlink" Target="https://doi.org/10.1007/s13167-023-00314-8" TargetMode="External" /><Relationship Id="rId36" Type="http://schemas.openxmlformats.org/officeDocument/2006/relationships/hyperlink" Target="https://doi.org/10.1136/bmj.m689" TargetMode="External" /><Relationship Id="rId49" Type="http://schemas.openxmlformats.org/officeDocument/2006/relationships/hyperlink" Target="https://doi.org/10.1136/bmjopen-2023-075558" TargetMode="External" /><Relationship Id="rId57" Type="http://schemas.openxmlformats.org/officeDocument/2006/relationships/theme" Target="theme/theme1.xml" /><Relationship Id="rId10" Type="http://schemas.openxmlformats.org/officeDocument/2006/relationships/hyperlink" Target="https://books.google.com.pk/books?hl=en&amp;lr=&amp;id=Vt46EQAAQBAJ&amp;oi=fnd&amp;pg=PA1&amp;dq=Artificial+Intelligence+in+Diabetic+Retinopathy+Some+teams+describe+less+fatigue+from+long+grading+sessions+and+clearer+audit+trails+because+the+AI+output+is+stored+alongside+the+human+review.&amp;ots=UTjkbTEl8u&amp;sig=h5bi5khNg_XzjN9leLXYueCh_eY&amp;redir_esc=y" TargetMode="External" /><Relationship Id="rId19" Type="http://schemas.openxmlformats.org/officeDocument/2006/relationships/hyperlink" Target="https://doi.org/10.1007/s00125-022-05727-0" TargetMode="External" /><Relationship Id="rId31" Type="http://schemas.openxmlformats.org/officeDocument/2006/relationships/hyperlink" Target="https://doi.org/10.1007/s13167-023-00314-8" TargetMode="External" /><Relationship Id="rId44" Type="http://schemas.openxmlformats.org/officeDocument/2006/relationships/hyperlink" Target="https://doi.org/10.1016/S2213-8587(24)00397-8" TargetMode="External" /><Relationship Id="rId52" Type="http://schemas.openxmlformats.org/officeDocument/2006/relationships/hyperlink" Target="https://doi.org/10.1136/bmjopen-2023-075558" TargetMode="External" /><Relationship Id="rId4" Type="http://schemas.openxmlformats.org/officeDocument/2006/relationships/webSettings" Target="webSettings.xml" /><Relationship Id="rId9" Type="http://schemas.openxmlformats.org/officeDocument/2006/relationships/hyperlink" Target="https://books.google.com.pk/books?hl=en&amp;lr=&amp;id=Vt46EQAAQBAJ&amp;oi=fnd&amp;pg=PA1&amp;dq=Artificial+Intelligence+in+Diabetic+Retinopathy+Some+teams+describe+less+fatigue+from+long+grading+sessions+and+clearer+audit+trails+because+the+AI+output+is+stored+alongside+the+human+review.&amp;ots=UTjkbTEl8u&amp;sig=h5bi5khNg_XzjN9leLXYueCh_eY&amp;redir_esc=y" TargetMode="External" /><Relationship Id="rId14" Type="http://schemas.openxmlformats.org/officeDocument/2006/relationships/hyperlink" Target="https://books.google.com.pk/books?hl=en&amp;lr=&amp;id=Vt46EQAAQBAJ&amp;oi=fnd&amp;pg=PA1&amp;dq=Artificial+Intelligence+in+Diabetic+Retinopathy+Some+teams+describe+less+fatigue+from+long+grading+sessions+and+clearer+audit+trails+because+the+AI+output+is+stored+alongside+the+human+review.&amp;ots=UTjkbTEl8u&amp;sig=h5bi5khNg_XzjN9leLXYueCh_eY&amp;redir_esc=y" TargetMode="External" /><Relationship Id="rId22" Type="http://schemas.openxmlformats.org/officeDocument/2006/relationships/hyperlink" Target="https://doi.org/10.1007/s00125-022-05727-0" TargetMode="External" /><Relationship Id="rId27" Type="http://schemas.openxmlformats.org/officeDocument/2006/relationships/hyperlink" Target="https://doi.org/10.1007/s13167-023-00314-8" TargetMode="External" /><Relationship Id="rId30" Type="http://schemas.openxmlformats.org/officeDocument/2006/relationships/hyperlink" Target="https://doi.org/10.1007/s13167-023-00314-8" TargetMode="External" /><Relationship Id="rId35" Type="http://schemas.openxmlformats.org/officeDocument/2006/relationships/hyperlink" Target="https://doi.org/10.1136/bmj.m689" TargetMode="External" /><Relationship Id="rId43" Type="http://schemas.openxmlformats.org/officeDocument/2006/relationships/hyperlink" Target="https://doi.org/10.1016/S2213-8587(24)00397-8" TargetMode="External" /><Relationship Id="rId48" Type="http://schemas.openxmlformats.org/officeDocument/2006/relationships/hyperlink" Target="https://doi.org/10.1136/bmjopen-2023-075558" TargetMode="External" /><Relationship Id="rId56" Type="http://schemas.openxmlformats.org/officeDocument/2006/relationships/fontTable" Target="fontTable.xml" /><Relationship Id="rId8" Type="http://schemas.openxmlformats.org/officeDocument/2006/relationships/hyperlink" Target="https://doi.org/10.12998/wjcc.v13.i5.101306" TargetMode="External" /><Relationship Id="rId51" Type="http://schemas.openxmlformats.org/officeDocument/2006/relationships/hyperlink" Target="https://doi.org/10.1136/bmjopen-2023-075558" TargetMode="External" /><Relationship Id="rId3"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11</Pages>
  <Words>3690</Words>
  <Characters>21037</Characters>
  <Application>Microsoft Office Word</Application>
  <DocSecurity>0</DocSecurity>
  <Lines>175</Lines>
  <Paragraphs>49</Paragraphs>
  <ScaleCrop>false</ScaleCrop>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Guest User</cp:lastModifiedBy>
  <cp:revision>45</cp:revision>
  <dcterms:created xsi:type="dcterms:W3CDTF">2025-10-24T16:02:00Z</dcterms:created>
  <dcterms:modified xsi:type="dcterms:W3CDTF">2025-10-25T12:42:00Z</dcterms:modified>
</cp:coreProperties>
</file>