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color w:val="212529"/>
          <w:sz w:val="24"/>
          <w:szCs w:val="24"/>
          <w:rtl w:val="0"/>
        </w:rPr>
        <w:t xml:space="preserve">Professional Career  Development Essay</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color w:val="212529"/>
          <w:sz w:val="24"/>
          <w:szCs w:val="24"/>
          <w:rtl w:val="0"/>
        </w:rPr>
        <w:t xml:space="preserve">This Professional Career Development essay provides a detailed analysis and critical assessment of the professional events and actions that have contributed to developing employability skills and increasing professional knowledge since I began the course.</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color w:val="212529"/>
          <w:sz w:val="24"/>
          <w:szCs w:val="24"/>
          <w:rtl w:val="0"/>
        </w:rPr>
        <w:t xml:space="preserve">The first section discusses the skills and knowledge acquired, highlighting the tools that enhanced professional capabilities. The second section focuses on personal reflection, describing the knowledge and skills I have learned in the course. This reflection will illustrate the personal transformation that occurred during my studies. For the reflection part, I will apply SWOT analysis, SMART objectives, RAISEC personality types, the Johari window, and Honey and Mumford’s learning styles.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color w:val="212529"/>
          <w:sz w:val="24"/>
          <w:szCs w:val="24"/>
          <w:rtl w:val="0"/>
        </w:rPr>
        <w:t xml:space="preserve">The Career Development Institute 2025 states that career development is a lifelong process of managing and advancing one’s career. It involves acquiring new skills, knowledge, and experiences, making strategic decisions, and taking action to enhance professional growth and achieve long-term career objectives.</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color w:val="212529"/>
          <w:sz w:val="24"/>
          <w:szCs w:val="24"/>
          <w:rtl w:val="0"/>
        </w:rPr>
        <w:t xml:space="preserve">Career development professionals specialise in helping individuals navigate their career paths, make informed decisions, and develop strategies to reach their career objectives.  Professional career development emphasises personal growth and continuous reflection; Imperial College London (2024)</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both"/>
        <w:rPr>
          <w:color w:val="212529"/>
          <w:sz w:val="24"/>
          <w:szCs w:val="24"/>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435059"/>
          <w:sz w:val="24"/>
          <w:szCs w:val="24"/>
          <w:highlight w:val="white"/>
        </w:rPr>
      </w:pPr>
      <w:r w:rsidDel="00000000" w:rsidR="00000000" w:rsidRPr="00000000">
        <w:rPr>
          <w:color w:val="435059"/>
          <w:sz w:val="24"/>
          <w:szCs w:val="24"/>
          <w:highlight w:val="white"/>
          <w:rtl w:val="0"/>
        </w:rPr>
        <w:t xml:space="preserve">Before I enrolled in the Career Development course, I had limited knowledge of business studies and employability skills. I took this course to gain a deeper understanding of these topics and explore ways to navigate my personal career development. This module has enabled me to gain a deeper understanding of myself, allowing me to identify my strengths, weaknesses, and areas for improvement.</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435059"/>
          <w:sz w:val="24"/>
          <w:szCs w:val="24"/>
          <w:highlight w:val="white"/>
        </w:rPr>
      </w:pPr>
      <w:r w:rsidDel="00000000" w:rsidR="00000000" w:rsidRPr="00000000">
        <w:rPr>
          <w:color w:val="435059"/>
          <w:sz w:val="24"/>
          <w:szCs w:val="24"/>
          <w:highlight w:val="white"/>
          <w:rtl w:val="0"/>
        </w:rPr>
        <w:t xml:space="preserve">I have learned about the SWOT analysis, which stands for Strengths, Weaknesses, Opportunities, and Threats. Using the SWOT template has helped me identify my strengths and weaknesses. It has enabled me to recognise the areas where I excel and those that need improvement. Conducting a SWOT analysis will help me advance my career development.</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435059"/>
          <w:sz w:val="24"/>
          <w:szCs w:val="24"/>
          <w:highlight w:val="white"/>
        </w:rPr>
      </w:pPr>
      <w:r w:rsidDel="00000000" w:rsidR="00000000" w:rsidRPr="00000000">
        <w:rPr>
          <w:color w:val="435059"/>
          <w:sz w:val="24"/>
          <w:szCs w:val="24"/>
          <w:highlight w:val="white"/>
          <w:rtl w:val="0"/>
        </w:rPr>
        <w:t xml:space="preserve">The SWOT analysis has helped me understand how to identify and capitalise on opportunities, monitor business growth, and assess potential threats. I gained insight into my strengths and weaknesses, as well as strategies for managing my weaknesses, particularly in time management and organisational skills.</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435059"/>
          <w:sz w:val="24"/>
          <w:szCs w:val="24"/>
          <w:highlight w:val="white"/>
        </w:rPr>
      </w:pPr>
      <w:r w:rsidDel="00000000" w:rsidR="00000000" w:rsidRPr="00000000">
        <w:rPr>
          <w:color w:val="435059"/>
          <w:sz w:val="24"/>
          <w:szCs w:val="24"/>
          <w:highlight w:val="white"/>
          <w:rtl w:val="0"/>
        </w:rPr>
        <w:t xml:space="preserve">Moreover, identifying personal strengths involves recognising innate talents, skills, knowledge, and experiences. Conversely, gathering feedback through verbal or written evaluations emphasises both strengths and weaknesses.</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11111"/>
          <w:sz w:val="24"/>
          <w:szCs w:val="24"/>
          <w:highlight w:val="white"/>
        </w:rPr>
      </w:pPr>
      <w:r w:rsidDel="00000000" w:rsidR="00000000" w:rsidRPr="00000000">
        <w:rPr>
          <w:color w:val="435059"/>
          <w:sz w:val="24"/>
          <w:szCs w:val="24"/>
          <w:highlight w:val="white"/>
          <w:rtl w:val="0"/>
        </w:rPr>
        <w:t xml:space="preserve">In this module, I gained a better understanding of SMART objectives. SMART stands for Specific, Measurable, Achievable, Realistic, and Time-bound. It is essential to understand the subject area related to meetings.  In the past, I worked in an organisation for 14 years where managers often discussed SMART objectives, but I never fully understood them until then. Now, I feel excited and optimistic about grasping the importance of SMART objectives. This preparation is for the instructional experiences in my future business. I have learned that providing clear guidance will pave the way for success. It is inspiring how Hopkins (2025) simplifies SMART objectives into clear, manageable steps.</w:t>
      </w:r>
      <w:r w:rsidDel="00000000" w:rsidR="00000000" w:rsidRPr="00000000">
        <w:rPr>
          <w:rtl w:val="0"/>
        </w:rPr>
      </w:r>
    </w:p>
    <w:p w:rsidR="00000000" w:rsidDel="00000000" w:rsidP="00000000" w:rsidRDefault="00000000" w:rsidRPr="00000000" w14:paraId="00000011">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hanging="360"/>
        <w:jc w:val="both"/>
        <w:rPr>
          <w:color w:val="111111"/>
          <w:sz w:val="24"/>
          <w:szCs w:val="24"/>
          <w:highlight w:val="white"/>
        </w:rPr>
      </w:pPr>
      <w:r w:rsidDel="00000000" w:rsidR="00000000" w:rsidRPr="00000000">
        <w:rPr>
          <w:color w:val="111111"/>
          <w:sz w:val="24"/>
          <w:szCs w:val="24"/>
          <w:highlight w:val="white"/>
          <w:rtl w:val="0"/>
        </w:rPr>
        <w:t xml:space="preserve">Specific: Clearly outline what actions will be taken and who will be responsible for them. The objectives should be clear and straightforward.</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firstLine="0"/>
        <w:jc w:val="both"/>
        <w:rPr>
          <w:color w:val="111111"/>
          <w:sz w:val="24"/>
          <w:szCs w:val="24"/>
          <w:highlight w:val="white"/>
        </w:rPr>
      </w:pPr>
      <w:r w:rsidDel="00000000" w:rsidR="00000000" w:rsidRPr="00000000">
        <w:rPr>
          <w:rtl w:val="0"/>
        </w:rPr>
      </w:r>
    </w:p>
    <w:p w:rsidR="00000000" w:rsidDel="00000000" w:rsidP="00000000" w:rsidRDefault="00000000" w:rsidRPr="00000000" w14:paraId="00000013">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hanging="360"/>
        <w:jc w:val="both"/>
        <w:rPr>
          <w:color w:val="111111"/>
          <w:sz w:val="24"/>
          <w:szCs w:val="24"/>
          <w:highlight w:val="white"/>
        </w:rPr>
      </w:pPr>
      <w:r w:rsidDel="00000000" w:rsidR="00000000" w:rsidRPr="00000000">
        <w:rPr>
          <w:color w:val="111111"/>
          <w:sz w:val="24"/>
          <w:szCs w:val="24"/>
          <w:highlight w:val="white"/>
          <w:rtl w:val="0"/>
        </w:rPr>
        <w:t xml:space="preserve">Measurable: Specify how the actions or skills will be evaluated and measured. This can include tangible metrics, such as grades or scores, and other clearly defined criteria or standards.</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firstLine="0"/>
        <w:jc w:val="both"/>
        <w:rPr>
          <w:color w:val="111111"/>
          <w:sz w:val="24"/>
          <w:szCs w:val="24"/>
          <w:highlight w:val="white"/>
        </w:rPr>
      </w:pPr>
      <w:r w:rsidDel="00000000" w:rsidR="00000000" w:rsidRPr="00000000">
        <w:rPr>
          <w:rtl w:val="0"/>
        </w:rPr>
      </w:r>
    </w:p>
    <w:p w:rsidR="00000000" w:rsidDel="00000000" w:rsidP="00000000" w:rsidRDefault="00000000" w:rsidRPr="00000000" w14:paraId="00000015">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hanging="360"/>
        <w:jc w:val="both"/>
        <w:rPr>
          <w:color w:val="111111"/>
          <w:sz w:val="24"/>
          <w:szCs w:val="24"/>
          <w:highlight w:val="white"/>
        </w:rPr>
      </w:pPr>
      <w:r w:rsidDel="00000000" w:rsidR="00000000" w:rsidRPr="00000000">
        <w:rPr>
          <w:color w:val="111111"/>
          <w:sz w:val="24"/>
          <w:szCs w:val="24"/>
          <w:highlight w:val="white"/>
          <w:rtl w:val="0"/>
        </w:rPr>
        <w:t xml:space="preserve">Attainable: Ensure the goals are achievable within the given timeframe and available resources, making them realistic within the learning environment.</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firstLine="0"/>
        <w:jc w:val="both"/>
        <w:rPr>
          <w:color w:val="111111"/>
          <w:sz w:val="24"/>
          <w:szCs w:val="24"/>
          <w:highlight w:val="white"/>
        </w:rPr>
      </w:pPr>
      <w:r w:rsidDel="00000000" w:rsidR="00000000" w:rsidRPr="00000000">
        <w:rPr>
          <w:rtl w:val="0"/>
        </w:rPr>
      </w:r>
    </w:p>
    <w:p w:rsidR="00000000" w:rsidDel="00000000" w:rsidP="00000000" w:rsidRDefault="00000000" w:rsidRPr="00000000" w14:paraId="00000017">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hanging="360"/>
        <w:jc w:val="both"/>
        <w:rPr>
          <w:color w:val="111111"/>
          <w:sz w:val="24"/>
          <w:szCs w:val="24"/>
          <w:highlight w:val="white"/>
        </w:rPr>
      </w:pPr>
      <w:r w:rsidDel="00000000" w:rsidR="00000000" w:rsidRPr="00000000">
        <w:rPr>
          <w:color w:val="111111"/>
          <w:sz w:val="24"/>
          <w:szCs w:val="24"/>
          <w:highlight w:val="white"/>
          <w:rtl w:val="0"/>
        </w:rPr>
        <w:t xml:space="preserve">Relevant: Ensure that the objectives align with the goals of the class, lesson, or program and connect to the student's learning objectives.</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firstLine="0"/>
        <w:jc w:val="both"/>
        <w:rPr>
          <w:color w:val="111111"/>
          <w:sz w:val="24"/>
          <w:szCs w:val="24"/>
          <w:highlight w:val="white"/>
        </w:rPr>
      </w:pPr>
      <w:r w:rsidDel="00000000" w:rsidR="00000000" w:rsidRPr="00000000">
        <w:rPr>
          <w:rtl w:val="0"/>
        </w:rPr>
      </w:r>
    </w:p>
    <w:p w:rsidR="00000000" w:rsidDel="00000000" w:rsidP="00000000" w:rsidRDefault="00000000" w:rsidRPr="00000000" w14:paraId="00000019">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ind w:left="720" w:hanging="360"/>
        <w:jc w:val="both"/>
        <w:rPr>
          <w:color w:val="111111"/>
          <w:sz w:val="24"/>
          <w:szCs w:val="24"/>
          <w:highlight w:val="white"/>
        </w:rPr>
      </w:pPr>
      <w:r w:rsidDel="00000000" w:rsidR="00000000" w:rsidRPr="00000000">
        <w:rPr>
          <w:color w:val="111111"/>
          <w:sz w:val="24"/>
          <w:szCs w:val="24"/>
          <w:highlight w:val="white"/>
          <w:rtl w:val="0"/>
        </w:rPr>
        <w:t xml:space="preserve">Time-bound: Set a specific timeframe for completion, establishing a realistic period in which the learning outcomes can be achieved.</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11111"/>
          <w:sz w:val="24"/>
          <w:szCs w:val="24"/>
          <w:highlight w:val="white"/>
        </w:rPr>
      </w:pPr>
      <w:r w:rsidDel="00000000" w:rsidR="00000000" w:rsidRPr="00000000">
        <w:rPr>
          <w:color w:val="111111"/>
          <w:sz w:val="24"/>
          <w:szCs w:val="24"/>
          <w:highlight w:val="white"/>
          <w:rtl w:val="0"/>
        </w:rPr>
        <w:t xml:space="preserve">Reflecting on these steps, Hopkins (2025) noted that student learning and engagement improve when students understand what is expected of them and when the assessment criteria are clear and unambiguous. When learning objectives are SMART (Specific, Measurable, Achievable, Relevant, Time-bound), students are better prepared for the instructional experience. By establishing clear plan guidelines, I can create a more successful and motivating business experience.</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11111"/>
          <w:sz w:val="24"/>
          <w:szCs w:val="24"/>
          <w:highlight w:val="white"/>
          <w:rtl w:val="0"/>
        </w:rPr>
        <w:t xml:space="preserve">Studies also show that Blppm’s taxonomy is a powerful </w:t>
      </w:r>
      <w:r w:rsidDel="00000000" w:rsidR="00000000" w:rsidRPr="00000000">
        <w:rPr>
          <w:color w:val="1c1c1c"/>
          <w:sz w:val="24"/>
          <w:szCs w:val="24"/>
          <w:highlight w:val="white"/>
          <w:rtl w:val="0"/>
        </w:rPr>
        <w:t xml:space="preserve">tool for developing learning objectives because it outlines the learning process. First, you must remember information before you can understand a concept. To apply an idea, you must first have a clear understanding of it. Additionally, to evaluate a process, you need to have analysed it.</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c1c1c"/>
          <w:sz w:val="24"/>
          <w:szCs w:val="24"/>
          <w:highlight w:val="white"/>
          <w:rtl w:val="0"/>
        </w:rPr>
        <w:t xml:space="preserve"> The knowledge I acquired from the module has enhanced my skills as a student, and I’m more equipped. Bloom's taxonomy is a robust framework that creates compelling learning experiences, encouraging critical thinking, problem-solving, and creativity (Rudnicki, 2019).</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c1c1c"/>
          <w:sz w:val="24"/>
          <w:szCs w:val="24"/>
          <w:highlight w:val="white"/>
          <w:rtl w:val="0"/>
        </w:rPr>
        <w:t xml:space="preserve">However, I also learned about the Johari Window, which is used to identify the strengths and weaknesses</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c1c1c"/>
          <w:sz w:val="24"/>
          <w:szCs w:val="24"/>
          <w:highlight w:val="white"/>
          <w:rtl w:val="0"/>
        </w:rPr>
        <w:t xml:space="preserve">The Johari Window is a visual framework that helped me understand my conscious and unconscious biases. Before I started the course, I had little knowledge about the Johari Window framework.</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c1c1c"/>
          <w:sz w:val="24"/>
          <w:szCs w:val="24"/>
          <w:highlight w:val="white"/>
          <w:rtl w:val="0"/>
        </w:rPr>
        <w:t xml:space="preserve">This tool will enhance my self-awareness and provide me with valuable insights into others. It also serves as a personal development tool, fostering better workplace relationships.</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c1c1c"/>
          <w:sz w:val="24"/>
          <w:szCs w:val="24"/>
          <w:highlight w:val="white"/>
          <w:rtl w:val="0"/>
        </w:rPr>
        <w:t xml:space="preserve">The Johari Window has helped me gain a deeper understanding of myself and others in my community, workplace, and household. It has taught me the importance of seeking feedback and being transparent and honest. I have become more aware of how I can expand my self-awareness, build strong relationships, and foster a safe and effective work environment.</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c1c1c"/>
          <w:sz w:val="24"/>
          <w:szCs w:val="24"/>
          <w:highlight w:val="white"/>
          <w:rtl w:val="0"/>
        </w:rPr>
        <w:t xml:space="preserve">Although the Johari Window is controversial, the controversy primarily centres on its practical application and any discomfort it may cause. This model relies heavily on individuals' willingness to provide and receive honest feedback, which can be challenging in environments lacking trust and open communication.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c1c1c"/>
          <w:sz w:val="24"/>
          <w:szCs w:val="24"/>
          <w:highlight w:val="white"/>
          <w:rtl w:val="0"/>
        </w:rPr>
        <w:t xml:space="preserve">Research emphasises that the Johari Window is an effective tool for enhancing communication and teamwork in project management. It provides valuable insights about oneself and others, helping individuals understand how they are perceived by others and how this perception affects their interactions with the outside world. Additionally, it fosters a deeper understanding of the motivations behind others' behaviours.</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1"/>
          <w:szCs w:val="21"/>
          <w:highlight w:val="white"/>
        </w:rPr>
      </w:pPr>
      <w:r w:rsidDel="00000000" w:rsidR="00000000" w:rsidRPr="00000000">
        <w:rPr>
          <w:color w:val="1c1c1c"/>
          <w:sz w:val="21"/>
          <w:szCs w:val="21"/>
          <w:highlight w:val="white"/>
          <w:rtl w:val="0"/>
        </w:rPr>
        <w:t xml:space="preserve">According to Hampson (2025), disclosure and feedback promote openness and understanding. This, in turn, enhances communication in the workplace, fosters team development, improves group dynamics, and promotes a culture of equality. Additionally, it helps reduce conflict, confusion, and misunderstandings.</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1"/>
          <w:szCs w:val="21"/>
          <w:highlight w:val="white"/>
        </w:rPr>
      </w:pPr>
      <w:r w:rsidDel="00000000" w:rsidR="00000000" w:rsidRPr="00000000">
        <w:rPr>
          <w:color w:val="1c1c1c"/>
          <w:sz w:val="21"/>
          <w:szCs w:val="21"/>
          <w:highlight w:val="white"/>
          <w:rtl w:val="0"/>
        </w:rPr>
        <w:t xml:space="preserve"> We also cover Honey and Mumford learning styles, and here are the four main learning styles: Visual, Auditory, Reading/Writing, and Kinaesthetic. While many of us have a general idea of how we learn best, it can often be surprising to discover which learning style is our predominant one.</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1"/>
          <w:szCs w:val="21"/>
          <w:highlight w:val="white"/>
        </w:rPr>
      </w:pPr>
      <w:r w:rsidDel="00000000" w:rsidR="00000000" w:rsidRPr="00000000">
        <w:rPr>
          <w:color w:val="1c1c1c"/>
          <w:sz w:val="21"/>
          <w:szCs w:val="21"/>
          <w:highlight w:val="white"/>
          <w:rtl w:val="0"/>
        </w:rPr>
        <w:t xml:space="preserve"> Honey and Mumford's learning style has helped me to identify my learning style, which visual learning style.</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1"/>
          <w:szCs w:val="21"/>
          <w:highlight w:val="white"/>
        </w:rPr>
      </w:pPr>
      <w:r w:rsidDel="00000000" w:rsidR="00000000" w:rsidRPr="00000000">
        <w:rPr>
          <w:color w:val="1c1c1c"/>
          <w:sz w:val="21"/>
          <w:szCs w:val="21"/>
          <w:highlight w:val="white"/>
          <w:rtl w:val="0"/>
        </w:rPr>
        <w:t xml:space="preserve">Learning styles refer to the various ways individuals interpret, organise, and represent information. For instance, some people learn best through audio presentations, such as classroom lectures or audiobooks. Others thrive on hands-on experiences or real-world contexts to fully understand new concepts.</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1"/>
          <w:szCs w:val="21"/>
          <w:highlight w:val="white"/>
        </w:rPr>
      </w:pPr>
      <w:r w:rsidDel="00000000" w:rsidR="00000000" w:rsidRPr="00000000">
        <w:rPr>
          <w:color w:val="1c1c1c"/>
          <w:sz w:val="21"/>
          <w:szCs w:val="21"/>
          <w:highlight w:val="white"/>
          <w:rtl w:val="0"/>
        </w:rPr>
        <w:t xml:space="preserve">The Honey and Mumford learning styles model is well-known for its practicality and influence in education. This model offers valuable insights into how individuals learn, highlighting the importance of customising educational experiences to align with their unique learning preferences.</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1"/>
          <w:szCs w:val="21"/>
          <w:highlight w:val="white"/>
        </w:rPr>
      </w:pPr>
      <w:r w:rsidDel="00000000" w:rsidR="00000000" w:rsidRPr="00000000">
        <w:rPr>
          <w:color w:val="1c1c1c"/>
          <w:sz w:val="21"/>
          <w:szCs w:val="21"/>
          <w:highlight w:val="white"/>
          <w:rtl w:val="0"/>
        </w:rPr>
        <w:t xml:space="preserve">As a student, I will apply my learning style to my career planning and adapt to accommodate others' learning styles. I will utilise everything I have learned from the model to establish the necessary tools for my business planning.</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1"/>
          <w:szCs w:val="21"/>
          <w:highlight w:val="white"/>
        </w:rPr>
      </w:pPr>
      <w:r w:rsidDel="00000000" w:rsidR="00000000" w:rsidRPr="00000000">
        <w:rPr>
          <w:color w:val="1c1c1c"/>
          <w:sz w:val="21"/>
          <w:szCs w:val="21"/>
          <w:highlight w:val="white"/>
          <w:rtl w:val="0"/>
        </w:rPr>
        <w:t xml:space="preserve">Learning about the SWOT analysis, SMART objectives, Johari Window learning style, and Honey and Mumford learning style has equipped me for my career development pathway.</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5171a"/>
          <w:sz w:val="24"/>
          <w:szCs w:val="24"/>
          <w:highlight w:val="white"/>
          <w:rtl w:val="0"/>
        </w:rPr>
        <w:t xml:space="preserve">Using structured methods, such as various techniques and a reflection cycle, reflective writing will assist me in my professional journey, enabling me to enhance my decision-making abilities, improve team dynamics, and advance my career (Bay University of Atlantic, 2024). I  believe that when practised consistently, it transforms into a powerful tool for personal and professional development.</w:t>
      </w:r>
      <w:r w:rsidDel="00000000" w:rsidR="00000000" w:rsidRPr="00000000">
        <w:rPr>
          <w:rtl w:val="0"/>
        </w:rPr>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b w:val="1"/>
          <w:color w:val="1c1c1c"/>
          <w:sz w:val="31"/>
          <w:szCs w:val="31"/>
          <w:highlight w:val="white"/>
          <w:rtl w:val="0"/>
        </w:rPr>
        <w:t xml:space="preserve">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b w:val="1"/>
          <w:color w:val="1c1c1c"/>
          <w:sz w:val="31"/>
          <w:szCs w:val="31"/>
          <w:highlight w:val="white"/>
        </w:rPr>
      </w:pPr>
      <w:r w:rsidDel="00000000" w:rsidR="00000000" w:rsidRPr="00000000">
        <w:rPr>
          <w:b w:val="1"/>
          <w:color w:val="1c1c1c"/>
          <w:sz w:val="31"/>
          <w:szCs w:val="31"/>
          <w:highlight w:val="white"/>
          <w:rtl w:val="0"/>
        </w:rPr>
        <w:t xml:space="preserve">References </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c1c1c"/>
          <w:sz w:val="24"/>
          <w:szCs w:val="24"/>
          <w:highlight w:val="white"/>
          <w:rtl w:val="0"/>
        </w:rPr>
        <w:t xml:space="preserve">Hampton, S, (2025). Johari Window Theory: Enhance communication and Productivity. MindTools Limited</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r w:rsidDel="00000000" w:rsidR="00000000" w:rsidRPr="00000000">
        <w:rPr>
          <w:color w:val="1c1c1c"/>
          <w:sz w:val="24"/>
          <w:szCs w:val="24"/>
          <w:highlight w:val="white"/>
          <w:rtl w:val="0"/>
        </w:rPr>
        <w:t xml:space="preserve">Lamm. M (2023), </w:t>
      </w:r>
      <w:r w:rsidDel="00000000" w:rsidR="00000000" w:rsidRPr="00000000">
        <w:rPr>
          <w:color w:val="111111"/>
          <w:sz w:val="24"/>
          <w:szCs w:val="24"/>
          <w:highlight w:val="white"/>
          <w:rtl w:val="0"/>
        </w:rPr>
        <w:t xml:space="preserve">Know Where You Are Going! Simple Steps to Writing SMART Learning Objectives, school of public health, Boo</w:t>
      </w: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435059"/>
          <w:sz w:val="24"/>
          <w:szCs w:val="24"/>
          <w:highlight w:val="white"/>
        </w:rPr>
      </w:pPr>
      <w:r w:rsidDel="00000000" w:rsidR="00000000" w:rsidRPr="00000000">
        <w:rPr>
          <w:color w:val="1c1c1c"/>
          <w:sz w:val="24"/>
          <w:szCs w:val="24"/>
          <w:highlight w:val="white"/>
          <w:rtl w:val="0"/>
        </w:rPr>
        <w:t xml:space="preserve">Rudnicki, M  (2019).London School of management education,  university college London.</w:t>
      </w: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color w:val="435059"/>
          <w:sz w:val="24"/>
          <w:szCs w:val="24"/>
          <w:highlight w:val="white"/>
        </w:rPr>
      </w:pPr>
      <w:r w:rsidDel="00000000" w:rsidR="00000000" w:rsidRPr="00000000">
        <w:rPr>
          <w:i w:val="1"/>
          <w:color w:val="111111"/>
          <w:sz w:val="24"/>
          <w:szCs w:val="24"/>
          <w:highlight w:val="white"/>
          <w:rtl w:val="0"/>
        </w:rPr>
        <w:t xml:space="preserve">Setting goals and developing specific, measurable, achievable, relevant, and time-bound objectives</w:t>
      </w:r>
      <w:r w:rsidDel="00000000" w:rsidR="00000000" w:rsidRPr="00000000">
        <w:rPr>
          <w:color w:val="111111"/>
          <w:sz w:val="24"/>
          <w:szCs w:val="24"/>
          <w:highlight w:val="white"/>
          <w:rtl w:val="0"/>
        </w:rPr>
        <w:t xml:space="preserve">. (n.d.). SAMHSA. </w:t>
      </w: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rFonts w:ascii="Times New Roman" w:cs="Times New Roman" w:eastAsia="Times New Roman" w:hAnsi="Times New Roman"/>
          <w:color w:val="435059"/>
          <w:sz w:val="30"/>
          <w:szCs w:val="30"/>
          <w:highlight w:val="white"/>
        </w:rPr>
      </w:pPr>
      <w:r w:rsidDel="00000000" w:rsidR="00000000" w:rsidRPr="00000000">
        <w:rPr>
          <w:rFonts w:ascii="Times New Roman" w:cs="Times New Roman" w:eastAsia="Times New Roman" w:hAnsi="Times New Roman"/>
          <w:color w:val="435059"/>
          <w:sz w:val="30"/>
          <w:szCs w:val="30"/>
          <w:highlight w:val="white"/>
          <w:rtl w:val="0"/>
        </w:rPr>
        <w:t xml:space="preserve">Robinson, M (2024), Let them theory: personal development</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rFonts w:ascii="Times New Roman" w:cs="Times New Roman" w:eastAsia="Times New Roman" w:hAnsi="Times New Roman"/>
          <w:color w:val="435059"/>
          <w:sz w:val="30"/>
          <w:szCs w:val="30"/>
          <w:highlight w:val="white"/>
        </w:rPr>
      </w:pPr>
      <w:r w:rsidDel="00000000" w:rsidR="00000000" w:rsidRPr="00000000">
        <w:rPr>
          <w:rFonts w:ascii="Times New Roman" w:cs="Times New Roman" w:eastAsia="Times New Roman" w:hAnsi="Times New Roman"/>
          <w:color w:val="1155cc"/>
          <w:sz w:val="30"/>
          <w:szCs w:val="30"/>
          <w:highlight w:val="white"/>
          <w:u w:val="single"/>
          <w:rtl w:val="0"/>
        </w:rPr>
        <w:t xml:space="preserve">. </w:t>
      </w:r>
      <w:hyperlink r:id="rId6">
        <w:r w:rsidDel="00000000" w:rsidR="00000000" w:rsidRPr="00000000">
          <w:rPr>
            <w:rFonts w:ascii="Times New Roman" w:cs="Times New Roman" w:eastAsia="Times New Roman" w:hAnsi="Times New Roman"/>
            <w:color w:val="1155cc"/>
            <w:sz w:val="30"/>
            <w:szCs w:val="30"/>
            <w:highlight w:val="white"/>
            <w:u w:val="single"/>
            <w:rtl w:val="0"/>
          </w:rPr>
          <w:t xml:space="preserve">https://www.tsw.co.uk/blog/leadership-and-management/the-johari-window</w:t>
        </w:r>
      </w:hyperlink>
      <w:r w:rsidDel="00000000" w:rsidR="00000000" w:rsidRPr="00000000">
        <w:rPr>
          <w:rFonts w:ascii="Times New Roman" w:cs="Times New Roman" w:eastAsia="Times New Roman" w:hAnsi="Times New Roman"/>
          <w:color w:val="435059"/>
          <w:sz w:val="30"/>
          <w:szCs w:val="30"/>
          <w:highlight w:val="white"/>
          <w:rtl w:val="0"/>
        </w:rPr>
        <w:t xml:space="preserve"> accessed on 16/06/25</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rFonts w:ascii="Times New Roman" w:cs="Times New Roman" w:eastAsia="Times New Roman" w:hAnsi="Times New Roman"/>
          <w:color w:val="435059"/>
          <w:sz w:val="30"/>
          <w:szCs w:val="30"/>
          <w:highlight w:val="white"/>
        </w:rPr>
      </w:pPr>
      <w:hyperlink r:id="rId7">
        <w:r w:rsidDel="00000000" w:rsidR="00000000" w:rsidRPr="00000000">
          <w:rPr>
            <w:rFonts w:ascii="Times New Roman" w:cs="Times New Roman" w:eastAsia="Times New Roman" w:hAnsi="Times New Roman"/>
            <w:color w:val="1155cc"/>
            <w:sz w:val="30"/>
            <w:szCs w:val="30"/>
            <w:highlight w:val="white"/>
            <w:u w:val="single"/>
            <w:rtl w:val="0"/>
          </w:rPr>
          <w:t xml:space="preserve">https://bau.edu/blog/types-of-learning-styles/</w:t>
        </w:r>
      </w:hyperlink>
      <w:r w:rsidDel="00000000" w:rsidR="00000000" w:rsidRPr="00000000">
        <w:rPr>
          <w:rFonts w:ascii="Times New Roman" w:cs="Times New Roman" w:eastAsia="Times New Roman" w:hAnsi="Times New Roman"/>
          <w:color w:val="435059"/>
          <w:sz w:val="30"/>
          <w:szCs w:val="30"/>
          <w:highlight w:val="white"/>
          <w:rtl w:val="0"/>
        </w:rPr>
        <w:t xml:space="preserve"> Washington, DC accessed on 19/2025</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rFonts w:ascii="Times New Roman" w:cs="Times New Roman" w:eastAsia="Times New Roman" w:hAnsi="Times New Roman"/>
          <w:color w:val="435059"/>
          <w:sz w:val="30"/>
          <w:szCs w:val="30"/>
          <w:highlight w:val="white"/>
        </w:rPr>
      </w:pPr>
      <w:hyperlink r:id="rId8">
        <w:r w:rsidDel="00000000" w:rsidR="00000000" w:rsidRPr="00000000">
          <w:rPr>
            <w:rFonts w:ascii="Times New Roman" w:cs="Times New Roman" w:eastAsia="Times New Roman" w:hAnsi="Times New Roman"/>
            <w:color w:val="1155cc"/>
            <w:sz w:val="30"/>
            <w:szCs w:val="30"/>
            <w:highlight w:val="white"/>
            <w:u w:val="single"/>
            <w:rtl w:val="0"/>
          </w:rPr>
          <w:t xml:space="preserve">https://www.imperial.ac.uk/students/success-guide/</w:t>
        </w:r>
      </w:hyperlink>
      <w:r w:rsidDel="00000000" w:rsidR="00000000" w:rsidRPr="00000000">
        <w:rPr>
          <w:rFonts w:ascii="Times New Roman" w:cs="Times New Roman" w:eastAsia="Times New Roman" w:hAnsi="Times New Roman"/>
          <w:color w:val="435059"/>
          <w:sz w:val="30"/>
          <w:szCs w:val="30"/>
          <w:highlight w:val="white"/>
          <w:rtl w:val="0"/>
        </w:rPr>
        <w:t xml:space="preserve"> accessed on 18/06/2025</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jc w:val="both"/>
        <w:rPr>
          <w:color w:val="1c1c1c"/>
          <w:sz w:val="24"/>
          <w:szCs w:val="24"/>
          <w:highlight w:val="white"/>
        </w:rPr>
      </w:pPr>
      <w:hyperlink r:id="rId9">
        <w:r w:rsidDel="00000000" w:rsidR="00000000" w:rsidRPr="00000000">
          <w:rPr>
            <w:color w:val="1155cc"/>
            <w:sz w:val="24"/>
            <w:szCs w:val="24"/>
            <w:highlight w:val="white"/>
            <w:u w:val="single"/>
            <w:rtl w:val="0"/>
          </w:rPr>
          <w:t xml:space="preserve">https://bau.edu/blog/types-of-learning-styles/</w:t>
        </w:r>
      </w:hyperlink>
      <w:r w:rsidDel="00000000" w:rsidR="00000000" w:rsidRPr="00000000">
        <w:rPr>
          <w:color w:val="1c1c1c"/>
          <w:sz w:val="24"/>
          <w:szCs w:val="24"/>
          <w:highlight w:val="white"/>
          <w:rtl w:val="0"/>
        </w:rPr>
        <w:t xml:space="preserve"> access on 20/06/25</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color w:val="1c1c1c"/>
          <w:sz w:val="24"/>
          <w:szCs w:val="24"/>
          <w:highlight w:val="white"/>
        </w:rPr>
      </w:pPr>
      <w:hyperlink r:id="rId10">
        <w:r w:rsidDel="00000000" w:rsidR="00000000" w:rsidRPr="00000000">
          <w:rPr>
            <w:color w:val="2e3b8b"/>
            <w:sz w:val="24"/>
            <w:szCs w:val="24"/>
            <w:highlight w:val="white"/>
            <w:u w:val="single"/>
            <w:rtl w:val="0"/>
          </w:rPr>
          <w:t xml:space="preserve">https://www.samhsa.gov/sites/default/files/nc-smart-goals-fact-sheet.pdf</w:t>
        </w:r>
      </w:hyperlink>
      <w:r w:rsidDel="00000000" w:rsidR="00000000" w:rsidRPr="00000000">
        <w:rPr>
          <w:color w:val="435059"/>
          <w:sz w:val="24"/>
          <w:szCs w:val="24"/>
          <w:highlight w:val="white"/>
          <w:rtl w:val="0"/>
        </w:rPr>
        <w:t xml:space="preserve"> accessed on 20/2025</w:t>
      </w:r>
      <w:r w:rsidDel="00000000" w:rsidR="00000000" w:rsidRPr="00000000">
        <w:rPr>
          <w:rtl w:val="0"/>
        </w:rPr>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after="240" w:lineRule="auto"/>
        <w:jc w:val="both"/>
        <w:rPr>
          <w:rFonts w:ascii="Times New Roman" w:cs="Times New Roman" w:eastAsia="Times New Roman" w:hAnsi="Times New Roman"/>
          <w:color w:val="435059"/>
          <w:sz w:val="30"/>
          <w:szCs w:val="30"/>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samhsa.gov/sites/default/files/nc-smart-goals-fact-sheet.pdf" TargetMode="External"/><Relationship Id="rId9" Type="http://schemas.openxmlformats.org/officeDocument/2006/relationships/hyperlink" Target="https://bau.edu/blog/types-of-learning-styles/" TargetMode="External"/><Relationship Id="rId5" Type="http://schemas.openxmlformats.org/officeDocument/2006/relationships/styles" Target="styles.xml"/><Relationship Id="rId6" Type="http://schemas.openxmlformats.org/officeDocument/2006/relationships/hyperlink" Target="https://www.tsw.co.uk/blog/leadership-and-management/the-johari-window" TargetMode="External"/><Relationship Id="rId7" Type="http://schemas.openxmlformats.org/officeDocument/2006/relationships/hyperlink" Target="https://bau.edu/blog/types-of-learning-styles/" TargetMode="External"/><Relationship Id="rId8" Type="http://schemas.openxmlformats.org/officeDocument/2006/relationships/hyperlink" Target="https://www.imperial.ac.uk/students/success-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