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49CCA73" w14:textId="77777777" w:rsidR="008D584D" w:rsidRDefault="009520C8" w:rsidP="009520C8">
      <w:pPr>
        <w:jc w:val="center"/>
        <w:rPr>
          <w:u w:val="single"/>
        </w:rPr>
      </w:pPr>
      <w:bookmarkStart w:id="0" w:name="_GoBack"/>
      <w:bookmarkEnd w:id="0"/>
      <w:r w:rsidRPr="009520C8">
        <w:rPr>
          <w:u w:val="single"/>
        </w:rPr>
        <w:t>War is evil, but necessary to protect a nations people, and a nations interests. Discuss.</w:t>
      </w:r>
    </w:p>
    <w:p w14:paraId="7E0F64BB" w14:textId="77777777" w:rsidR="009520C8" w:rsidRDefault="009520C8" w:rsidP="009520C8">
      <w:pPr>
        <w:rPr>
          <w:u w:val="single"/>
        </w:rPr>
      </w:pPr>
    </w:p>
    <w:p w14:paraId="2F985AA9" w14:textId="77777777" w:rsidR="009520C8" w:rsidRDefault="009520C8" w:rsidP="009520C8">
      <w:r>
        <w:t xml:space="preserve">To answer this question, it would first help to understand what indeed a nations people, and interests consist of. The former can be seen as mainly economic, the latter, of course, the citizens of a country, however they merge in many ways. It is in the interests of the people to protect their citizens but to do this, usually, some sort of economic strength is required, as seen most vividly in nuclear force. This and many more historic examples demonstrate how a nations interests are usually preservationist of themselves but also of their political power, boiling down to material possessions. The argument proposed here is that a nations interests should be of peace and equality, and therefore there is no need for war to achieve this, as this only extends from expectance of circumstance, not change of it. Of course, this idealistic notion is not usually, and possibly never, the true interests or desires of a society, and so war may be a perceived necessity to protect economic and geographical interests, in this same way, war can also be a means to protect a nations people from unfortunate circumstance. These arguments can be widely demonstrated by the 1870-1871 Franco-Prussian war, and case studies like that of the Ems telegram can offer insight into why indeed wars occur, and if they are truly a necessity in protecting both the people and interests of a nation.  </w:t>
      </w:r>
    </w:p>
    <w:p w14:paraId="02DAE1A3" w14:textId="77777777" w:rsidR="009520C8" w:rsidRDefault="009520C8" w:rsidP="009520C8"/>
    <w:p w14:paraId="220ECE55" w14:textId="7A2C871C" w:rsidR="009825CB" w:rsidRDefault="009520C8" w:rsidP="00D03D27">
      <w:pPr>
        <w:ind w:firstLine="720"/>
      </w:pPr>
      <w:r>
        <w:t>To identify properly what a nations interests are</w:t>
      </w:r>
      <w:r w:rsidR="003C08E7">
        <w:t>, modern day examp</w:t>
      </w:r>
      <w:r>
        <w:t xml:space="preserve">les are an easy foothold. It is obvious that power and control, whether economically or politically </w:t>
      </w:r>
      <w:r w:rsidR="00BB7A07">
        <w:t>is at the heart of a nations desires. In a capitalist age, most formations in society are run by, and for the purpose of economic prosperity, or if not, require at-least ample funds to continue existence, of course nobody here can be blamed as this resembles human nature. One way of gaining power and control i</w:t>
      </w:r>
      <w:r w:rsidR="00712E09">
        <w:t xml:space="preserve">s through economic ownership, and an argument </w:t>
      </w:r>
      <w:r w:rsidR="00BB7A07">
        <w:t>dedicated to French involvement i</w:t>
      </w:r>
      <w:r w:rsidR="00B52B13">
        <w:t>n Russian stock companies suggests</w:t>
      </w:r>
      <w:r w:rsidR="00BB7A07">
        <w:t xml:space="preserve"> ‘two main channels… through which control and power could be exercised [over Russia]… are metallurgical industry and coal industry’.</w:t>
      </w:r>
      <w:r w:rsidR="00BB7A07">
        <w:rPr>
          <w:rStyle w:val="FootnoteReference"/>
        </w:rPr>
        <w:footnoteReference w:id="1"/>
      </w:r>
      <w:r w:rsidR="00BB7A07">
        <w:t xml:space="preserve">  </w:t>
      </w:r>
      <w:r w:rsidR="00712E09">
        <w:t xml:space="preserve">This shows the way to achieve the goals of a nations interests can easily be through economic strength. Another example of this is the French military budget and its ability to acquire nuclear force. From 1962 to 1965 the French Military budget has remained at approximately 65 percent of national GDP, and work began in 1966 ’30 solid-fuel ballistic missiles, buried in silos over a </w:t>
      </w:r>
      <w:r w:rsidR="009825CB">
        <w:t>220-square</w:t>
      </w:r>
      <w:r w:rsidR="00712E09">
        <w:t xml:space="preserve"> mile area’.</w:t>
      </w:r>
      <w:r w:rsidR="00712E09">
        <w:rPr>
          <w:rStyle w:val="FootnoteReference"/>
        </w:rPr>
        <w:footnoteReference w:id="2"/>
      </w:r>
      <w:r w:rsidR="00712E09">
        <w:t xml:space="preserve"> This shows empirically that GDP and economic power equates to nuclear protection, but this doesn’t suggest that a nations interests are purely economic as nuclear force is also u</w:t>
      </w:r>
      <w:r w:rsidR="009825CB">
        <w:t>sed to protect a nations people. It is also noteworthy that a nation’s attempt to protect its people can negatively affect another’s interests. In 1962 France entered talks with Algeria concerning nuclear testing grounds, and it declared that hydrogen bombs could not be tested in the Sahara. This protection of its own people by Algeria of course then effected French national interests, showing how in some situations, you may require war to protect your people, and interests. Together then, it can be seen that a nations interests are mainly economic</w:t>
      </w:r>
      <w:r w:rsidR="00712E09">
        <w:t xml:space="preserve"> </w:t>
      </w:r>
      <w:r w:rsidR="009825CB">
        <w:t xml:space="preserve">as a means to achieve power </w:t>
      </w:r>
      <w:r w:rsidR="009825CB">
        <w:lastRenderedPageBreak/>
        <w:t xml:space="preserve">and control, and that both a nations protection of people and of interests can be intertwined. </w:t>
      </w:r>
    </w:p>
    <w:p w14:paraId="2D0E5B7D" w14:textId="77777777" w:rsidR="009825CB" w:rsidRDefault="009825CB" w:rsidP="009520C8"/>
    <w:p w14:paraId="1AD89544" w14:textId="508F6EBB" w:rsidR="009825CB" w:rsidRDefault="009825CB" w:rsidP="009520C8">
      <w:r>
        <w:tab/>
        <w:t>Emmanuel Macrons 2017 victory speech at the Louvre contains the idea that it is the job of the people to bring ‘humanism’ to the world.</w:t>
      </w:r>
      <w:r>
        <w:rPr>
          <w:rStyle w:val="FootnoteReference"/>
        </w:rPr>
        <w:footnoteReference w:id="3"/>
      </w:r>
      <w:r w:rsidR="00681B07">
        <w:t xml:space="preserve"> Humanism is employed to mean kindness and wellbeing, suggesting that people should protect themselves and others</w:t>
      </w:r>
      <w:r w:rsidR="005F336A">
        <w:t xml:space="preserve"> as a means to being more humanitarian</w:t>
      </w:r>
      <w:r w:rsidR="00681B07">
        <w:t>. Of course, a nations people are the citizens of that country and thus, contain all of its interests. If, as Macron here argues, a people should desire humanism then it is that nations interest or desire to find ways of doing so</w:t>
      </w:r>
      <w:r w:rsidR="0013484C">
        <w:t xml:space="preserve">, linking both </w:t>
      </w:r>
      <w:r w:rsidR="005F336A">
        <w:t>protection of interests and</w:t>
      </w:r>
      <w:r w:rsidR="0013484C">
        <w:t xml:space="preserve"> people again</w:t>
      </w:r>
      <w:r w:rsidR="005F336A">
        <w:t>, as they generate each other in this instance</w:t>
      </w:r>
      <w:r w:rsidR="00681B07">
        <w:t xml:space="preserve">. However </w:t>
      </w:r>
      <w:r w:rsidR="0013484C">
        <w:t xml:space="preserve">too often a people ‘interest’ is not in their true interest, such as in July 1870 when 15,000-20,000 people marched through Paris demanding war with Prussia. </w:t>
      </w:r>
    </w:p>
    <w:p w14:paraId="01E316CB" w14:textId="77777777" w:rsidR="0013484C" w:rsidRDefault="0013484C" w:rsidP="009520C8"/>
    <w:p w14:paraId="7FEE08FD" w14:textId="09DD48E9" w:rsidR="00D03D27" w:rsidRDefault="0013484C" w:rsidP="009520C8">
      <w:r>
        <w:tab/>
        <w:t>According to an 1873 addition of The Star ‘The war was already lost before it had begun’ and with 138,781 deaths it was a clear failure of war protecting French people.</w:t>
      </w:r>
      <w:r>
        <w:rPr>
          <w:rStyle w:val="FootnoteReference"/>
        </w:rPr>
        <w:footnoteReference w:id="4"/>
      </w:r>
      <w:r w:rsidR="00465BEF">
        <w:t xml:space="preserve"> In 1866 Prussia annexed territories and formed the North German confederation, thus destabilising the balance of power from the 1815 Geneva convention</w:t>
      </w:r>
      <w:r w:rsidR="003F33CF">
        <w:t>, although many scholars argue the balance of power was not evident.</w:t>
      </w:r>
      <w:r w:rsidR="003F33CF">
        <w:rPr>
          <w:rStyle w:val="FootnoteReference"/>
        </w:rPr>
        <w:footnoteReference w:id="5"/>
      </w:r>
      <w:r w:rsidR="003F33CF">
        <w:t xml:space="preserve"> </w:t>
      </w:r>
      <w:r w:rsidR="00465BEF">
        <w:t>This shows Napoleon wanted war to re-establish the balance, thus protecting his people. This of course was an oversight, as after the largest part of the war the military power of France ’seemed all but destroyed after the overwhelming catastrophe at Sedan’. Here, over 100,000 troops inclu</w:t>
      </w:r>
      <w:r w:rsidR="008F4285">
        <w:t>ding Napoleon III were captured</w:t>
      </w:r>
      <w:r w:rsidR="00465BEF">
        <w:t>, resu</w:t>
      </w:r>
      <w:r w:rsidR="008F4285">
        <w:t>lting in a popular uprising in F</w:t>
      </w:r>
      <w:r w:rsidR="00465BEF">
        <w:t>rance and the creation of a Third Republic. Then, on the 4</w:t>
      </w:r>
      <w:r w:rsidR="00465BEF" w:rsidRPr="00465BEF">
        <w:rPr>
          <w:vertAlign w:val="superscript"/>
        </w:rPr>
        <w:t>th</w:t>
      </w:r>
      <w:r w:rsidR="00465BEF">
        <w:t xml:space="preserve"> September 1870 the new republic renewed the declaration of war and ‘</w:t>
      </w:r>
      <w:r w:rsidR="007E16F4">
        <w:t>The “work of war” moved rapidly towards Paris’.</w:t>
      </w:r>
      <w:r w:rsidR="007E16F4">
        <w:rPr>
          <w:rStyle w:val="FootnoteReference"/>
        </w:rPr>
        <w:footnoteReference w:id="6"/>
      </w:r>
      <w:r w:rsidR="00D8562C">
        <w:t xml:space="preserve"> </w:t>
      </w:r>
      <w:r w:rsidR="00F717BA">
        <w:t>With the capture of Napoleon French citizens tried to find a way to protect their people, but ‘there was no army’ to protect them, and lack of organisation crippled any attempt to restore a working army</w:t>
      </w:r>
      <w:r w:rsidR="00D03D27">
        <w:t>. This then, clearly shows the failure of war to protect people. Napoleon’s attempt to re-establish the European balance of power to protect his people wasn’t achieved, and subsequent French attempts to defend themselves suffered as a result, unable to organise proper defence under the Third republic until the January 1871 armistice.</w:t>
      </w:r>
      <w:r w:rsidR="00FB7674">
        <w:t xml:space="preserve"> This shows a particular attempt at defence in the form of military action as unable to protect the people within a nation.</w:t>
      </w:r>
    </w:p>
    <w:p w14:paraId="69DBC84C" w14:textId="77777777" w:rsidR="00D03D27" w:rsidRDefault="00D03D27" w:rsidP="009520C8"/>
    <w:p w14:paraId="2F9FFC3A" w14:textId="69F3A6ED" w:rsidR="00D03D27" w:rsidRDefault="00D03D27" w:rsidP="009520C8">
      <w:r>
        <w:tab/>
        <w:t xml:space="preserve">The German </w:t>
      </w:r>
      <w:r w:rsidR="00FB7674">
        <w:t>decision</w:t>
      </w:r>
      <w:r>
        <w:t xml:space="preserve"> to provoke a French conflict is, however a clear demonstration of war protecting people. A French ambassador contacted a Prussian statesman to request that Kaiser Wilhelm I </w:t>
      </w:r>
      <w:r w:rsidR="00472470">
        <w:t>should ‘never again’</w:t>
      </w:r>
      <w:r w:rsidR="00965112">
        <w:t xml:space="preserve"> give consent if the</w:t>
      </w:r>
      <w:r w:rsidR="00472470">
        <w:t xml:space="preserve"> Hollenzollerns </w:t>
      </w:r>
      <w:r w:rsidR="00965112">
        <w:t xml:space="preserve">(a former Prussian dynasty) should renew their candidature for the throne of Spain, a bordering nation to France. </w:t>
      </w:r>
      <w:r w:rsidR="00FB7674">
        <w:t>Bismarck</w:t>
      </w:r>
      <w:r w:rsidR="00965112">
        <w:t xml:space="preserve"> in retaliation noted the king ‘thereupon decided not to receive the ambassador again’ clearly defying French diplomacy arguing it ‘will have the effect of a red flag upon the Gallic bull’.</w:t>
      </w:r>
      <w:r w:rsidR="00965112">
        <w:rPr>
          <w:rStyle w:val="FootnoteReference"/>
        </w:rPr>
        <w:footnoteReference w:id="7"/>
      </w:r>
      <w:r w:rsidR="00BE2A61">
        <w:t xml:space="preserve"> Here then, it is obvious Bismar</w:t>
      </w:r>
      <w:r w:rsidR="000F7EFB">
        <w:t>c</w:t>
      </w:r>
      <w:r w:rsidR="00BE2A61">
        <w:t>k provoked war with France and by 18</w:t>
      </w:r>
      <w:r w:rsidR="00BE2A61" w:rsidRPr="00BE2A61">
        <w:rPr>
          <w:vertAlign w:val="superscript"/>
        </w:rPr>
        <w:t>th</w:t>
      </w:r>
      <w:r w:rsidR="00BE2A61">
        <w:t xml:space="preserve"> January 1871 Germany was fully unified. Unification meant solid borders and easy defence of Ge</w:t>
      </w:r>
      <w:r w:rsidR="00FB7674">
        <w:t>rmany, of course protecting its</w:t>
      </w:r>
      <w:r w:rsidR="00BE2A61">
        <w:t xml:space="preserve"> citizens showing the Prussian decision to provoke war as effective in keeping its people safe. Of course, Bismar</w:t>
      </w:r>
      <w:r w:rsidR="000F7EFB">
        <w:t>c</w:t>
      </w:r>
      <w:r w:rsidR="00BE2A61">
        <w:t>k</w:t>
      </w:r>
      <w:r w:rsidR="000F7EFB">
        <w:t>’</w:t>
      </w:r>
      <w:r w:rsidR="00BE2A61">
        <w:t xml:space="preserve">s true nationalism is hysterographically questionable, however it is the </w:t>
      </w:r>
      <w:r w:rsidR="000F7EFB">
        <w:t>generally</w:t>
      </w:r>
      <w:r w:rsidR="00BE2A61">
        <w:t xml:space="preserve"> accepted view that he adopted this early in his career.</w:t>
      </w:r>
      <w:r w:rsidR="00BE2A61">
        <w:rPr>
          <w:rStyle w:val="FootnoteReference"/>
        </w:rPr>
        <w:footnoteReference w:id="8"/>
      </w:r>
      <w:r w:rsidR="00BE2A61">
        <w:t xml:space="preserve"> </w:t>
      </w:r>
      <w:r w:rsidR="00BE2A61">
        <w:rPr>
          <w:rStyle w:val="FootnoteReference"/>
        </w:rPr>
        <w:footnoteReference w:id="9"/>
      </w:r>
      <w:r w:rsidR="000F7EFB">
        <w:t xml:space="preserve"> Not only did the war concrete German unity but it showed Bismarck, war was no longer a necessity to protect his people and in June 1881 an alliance of the three emperors was concluded.</w:t>
      </w:r>
      <w:r w:rsidR="000F7EFB">
        <w:rPr>
          <w:rStyle w:val="FootnoteReference"/>
        </w:rPr>
        <w:footnoteReference w:id="10"/>
      </w:r>
      <w:r w:rsidR="000F7EFB">
        <w:t xml:space="preserve"> This is an obvious example of war being necessary in some circumstances to protect a nations people. If we can trust Bismarck’s nationalism, then it is true to say he wanted a unified Germany, at</w:t>
      </w:r>
      <w:r w:rsidR="00EF0796">
        <w:t>-</w:t>
      </w:r>
      <w:r w:rsidR="000F7EFB">
        <w:t>least in some way, to protect German people.</w:t>
      </w:r>
    </w:p>
    <w:p w14:paraId="26859BFD" w14:textId="77777777" w:rsidR="00EF0796" w:rsidRDefault="00EF0796" w:rsidP="009520C8"/>
    <w:p w14:paraId="0B3D91F4" w14:textId="17D8CBED" w:rsidR="00EF0796" w:rsidRDefault="00EF0796" w:rsidP="009520C8">
      <w:r>
        <w:tab/>
        <w:t>Frances failure in the conflict resulted in large scale economic disruption. Napoleon III states in his memoirs ‘Paris lives by luxury and official expenditure’</w:t>
      </w:r>
      <w:r w:rsidR="00E513AC">
        <w:t xml:space="preserve"> crediting the view that France could largely be effected.</w:t>
      </w:r>
      <w:r w:rsidR="00E513AC">
        <w:rPr>
          <w:rStyle w:val="FootnoteReference"/>
        </w:rPr>
        <w:footnoteReference w:id="11"/>
      </w:r>
      <w:r w:rsidR="00105263">
        <w:t>The French indemnity of 1871 enforced that 5 bill</w:t>
      </w:r>
      <w:r w:rsidR="00FB7674">
        <w:t>ion Francs was to be payed to</w:t>
      </w:r>
      <w:r w:rsidR="00105263">
        <w:t xml:space="preserve"> Germany by 1874, and that Alsace-Loraine would be annexed.</w:t>
      </w:r>
      <w:r w:rsidR="00105263">
        <w:rPr>
          <w:rStyle w:val="FootnoteReference"/>
        </w:rPr>
        <w:footnoteReference w:id="12"/>
      </w:r>
      <w:r w:rsidR="00AB30D0">
        <w:t xml:space="preserve"> This amounted to a huge 25 percent of French national GDP in the year, proving war is sometimes unnecessary for the ends of national interests, more so because this was considered unpayable among economists.</w:t>
      </w:r>
      <w:r w:rsidR="00AB30D0">
        <w:rPr>
          <w:rStyle w:val="FootnoteReference"/>
        </w:rPr>
        <w:footnoteReference w:id="13"/>
      </w:r>
      <w:r w:rsidR="00AB30D0">
        <w:t xml:space="preserve"> As part of reparation payments ‘some British exports were shifted from France to Germany’ Further harming the French economy and national interests.</w:t>
      </w:r>
      <w:r w:rsidR="00AB30D0">
        <w:rPr>
          <w:rStyle w:val="FootnoteReference"/>
        </w:rPr>
        <w:footnoteReference w:id="14"/>
      </w:r>
      <w:r w:rsidR="00AB30D0">
        <w:t xml:space="preserve"> Gold, silver, Belgian and Deutsch currency were used as well as railroad ownership to pay such a sum</w:t>
      </w:r>
      <w:r w:rsidR="00A47F9E">
        <w:t>, demonstrating not only it’s significance but its wide ranging implications. The payment has been seen as responsible for the German stock market crash of 1873 and even the slow population increase of France post 1871.</w:t>
      </w:r>
      <w:r w:rsidR="00A47F9E">
        <w:rPr>
          <w:rStyle w:val="FootnoteReference"/>
        </w:rPr>
        <w:footnoteReference w:id="15"/>
      </w:r>
      <w:r w:rsidR="00084C5C">
        <w:t xml:space="preserve"> It’s a prevalent opinion then, that the Indemnity crippled French economy at the time, demonstrating empirically a failure of war to protect national interests. </w:t>
      </w:r>
    </w:p>
    <w:p w14:paraId="76D83FD3" w14:textId="77777777" w:rsidR="009C54BC" w:rsidRDefault="009C54BC" w:rsidP="009520C8"/>
    <w:p w14:paraId="61157989" w14:textId="3359C815" w:rsidR="009C54BC" w:rsidRDefault="009C54BC" w:rsidP="009520C8">
      <w:r>
        <w:tab/>
        <w:t>Even popular opinion at the time suggests the Ems telegram was altered by Bismarck to promote war, and some argue it was partly on the basis of economic gain.</w:t>
      </w:r>
      <w:r>
        <w:rPr>
          <w:rStyle w:val="FootnoteReference"/>
        </w:rPr>
        <w:footnoteReference w:id="16"/>
      </w:r>
      <w:r w:rsidR="001E6696">
        <w:t xml:space="preserve"> In October 1993 the Germans and Austrians invaded Alsace to attempt the restoration of the French monarchy, demonstrating some of the historical importance of the area.</w:t>
      </w:r>
      <w:r w:rsidR="001E6696">
        <w:rPr>
          <w:rStyle w:val="FootnoteReference"/>
        </w:rPr>
        <w:footnoteReference w:id="17"/>
      </w:r>
      <w:r w:rsidR="00DE439A">
        <w:t xml:space="preserve"> The region is home to hops and grape farming automotive creation, while steel industry was significantly progressed under German rule. By the 1890s blast furnaces helped the continuation and increase of the steel industry, helping further the German economy. Bismarck’s national pride would have of course driven him to want better economic gain for Prussia and Germany as a whole, and thus, he saw ‘the window of opportunity’ for this in the Hollonzellern candidacy for the Spanish throne releasing the Ems telegram, some even going as far to argue Bismarck as the Reich Founder.</w:t>
      </w:r>
      <w:r w:rsidR="00DE439A">
        <w:rPr>
          <w:rStyle w:val="FootnoteReference"/>
        </w:rPr>
        <w:footnoteReference w:id="18"/>
      </w:r>
      <w:r w:rsidR="00D640DF">
        <w:t xml:space="preserve"> Bismarck understood that most G</w:t>
      </w:r>
      <w:r w:rsidR="00DE439A">
        <w:t>erman states held anti-French views seeing them as the traditional power balance threat.</w:t>
      </w:r>
      <w:r w:rsidR="00A84ACC">
        <w:rPr>
          <w:rStyle w:val="FootnoteReference"/>
        </w:rPr>
        <w:footnoteReference w:id="19"/>
      </w:r>
      <w:r w:rsidR="00D640DF">
        <w:t xml:space="preserve"> According to Prussian debts, the indemnity was an attempt to swart outstanding sums, giving another aspect to Bismarck’s telegram and decision to provoke war, an economic one.</w:t>
      </w:r>
      <w:r w:rsidR="00D640DF">
        <w:rPr>
          <w:rStyle w:val="FootnoteReference"/>
        </w:rPr>
        <w:footnoteReference w:id="20"/>
      </w:r>
      <w:r w:rsidR="00A33ACE">
        <w:t xml:space="preserve"> The idea behind this is clearly that of a nationalist of some kind, not only for the German people, but also monetary value. Many argue for a good reason the annexation of Alsace-Loraine and the economic strength of the area demonstrate this, denoted further by previous invasions, and state debt helps understand some of the thought processes behind the attempt </w:t>
      </w:r>
      <w:r w:rsidR="00E238E0">
        <w:t>to gather economic welfare</w:t>
      </w:r>
      <w:r w:rsidR="00A33ACE">
        <w:t>. Of course, this demonstrates an example of war succeeding in protecting national interests.</w:t>
      </w:r>
    </w:p>
    <w:p w14:paraId="2114D67A" w14:textId="77777777" w:rsidR="00A33ACE" w:rsidRDefault="00A33ACE" w:rsidP="009520C8"/>
    <w:p w14:paraId="167B3C97" w14:textId="1B645ED9" w:rsidR="00A33ACE" w:rsidRDefault="00A33ACE" w:rsidP="009520C8">
      <w:r>
        <w:tab/>
        <w:t xml:space="preserve">The key difference between national interests and the people of a country is of course, then, an economic one. Modern day examples help prove this, as control and power are obviously attained through economic strength, as seen via French GDP in the 1960s. The failure of Napoleon III in the Franco-Prussian war demonstrates both some errors in the use of war to protect a nations people, but also war being insufficient in progressing national economy, and thus interest as the conflict was provoked by both sides to aggrandise and protect themselves. The German alternative performance demonstrates the exact opposite, that sometimes war can be necessary to protect people and interests, however this is relative. If, as discussed before, a nations interests are useful and for the benefit of all, then war can never be necessary to protect them, but the same cannot be said for a nations people. Certain circumstances occur in which defence, usually via war is the most direct form of protection, and of course no nation wiling to attack has helpful national interests. </w:t>
      </w:r>
      <w:r w:rsidR="005F336A">
        <w:t xml:space="preserve">It is a helpful view that sometimes the people of a nation and interests can be protected by war, possibly a necessary evil in some ways, however it is just as obvious that war can lead to the exact opposite. </w:t>
      </w:r>
    </w:p>
    <w:p w14:paraId="5790018C" w14:textId="77777777" w:rsidR="000C62E7" w:rsidRDefault="000C62E7" w:rsidP="009520C8"/>
    <w:p w14:paraId="4A984960" w14:textId="4BA848AC" w:rsidR="000C62E7" w:rsidRDefault="000C62E7" w:rsidP="000C62E7">
      <w:pPr>
        <w:pStyle w:val="ListParagraph"/>
        <w:numPr>
          <w:ilvl w:val="0"/>
          <w:numId w:val="1"/>
        </w:numPr>
      </w:pPr>
      <w:r>
        <w:t xml:space="preserve">Conor Kilbride </w:t>
      </w:r>
    </w:p>
    <w:p w14:paraId="584B6BDA" w14:textId="23EBF26A" w:rsidR="000C62E7" w:rsidRPr="00F138CF" w:rsidRDefault="000C62E7" w:rsidP="000C62E7">
      <w:pPr>
        <w:rPr>
          <w:b/>
        </w:rPr>
      </w:pPr>
      <w:r w:rsidRPr="00F138CF">
        <w:rPr>
          <w:b/>
        </w:rPr>
        <w:t>Word Count:</w:t>
      </w:r>
      <w:r w:rsidR="00217A2C" w:rsidRPr="00F138CF">
        <w:rPr>
          <w:b/>
        </w:rPr>
        <w:t xml:space="preserve"> 2,254</w:t>
      </w:r>
    </w:p>
    <w:p w14:paraId="47657811" w14:textId="77777777" w:rsidR="003B045B" w:rsidRDefault="003B045B" w:rsidP="009520C8"/>
    <w:p w14:paraId="1ABBFADF" w14:textId="77777777" w:rsidR="003B045B" w:rsidRDefault="003B045B" w:rsidP="009520C8"/>
    <w:p w14:paraId="5512E444" w14:textId="50CBD58D" w:rsidR="003B045B" w:rsidRPr="003B045B" w:rsidRDefault="003B045B" w:rsidP="003B045B">
      <w:pPr>
        <w:jc w:val="center"/>
        <w:rPr>
          <w:sz w:val="28"/>
          <w:u w:val="single"/>
        </w:rPr>
      </w:pPr>
      <w:r w:rsidRPr="003B045B">
        <w:rPr>
          <w:sz w:val="28"/>
          <w:u w:val="single"/>
        </w:rPr>
        <w:t>Bibliography</w:t>
      </w:r>
    </w:p>
    <w:p w14:paraId="44D5FE6E" w14:textId="77777777" w:rsidR="00CC5443" w:rsidRDefault="00CC5443" w:rsidP="00CC5443">
      <w:pPr>
        <w:pStyle w:val="FootnoteText"/>
      </w:pPr>
      <w:r>
        <w:t>‘A History of Alsace’ &lt;</w:t>
      </w:r>
      <w:r w:rsidRPr="00DE439A">
        <w:t>http://www.smithancestry.com/places/alsace/history.htm</w:t>
      </w:r>
      <w:r>
        <w:t>&gt; [Date Accessed: 5</w:t>
      </w:r>
      <w:r w:rsidRPr="00DE439A">
        <w:rPr>
          <w:vertAlign w:val="superscript"/>
        </w:rPr>
        <w:t>th</w:t>
      </w:r>
      <w:r>
        <w:t xml:space="preserve"> December 2017]</w:t>
      </w:r>
    </w:p>
    <w:p w14:paraId="5D168AC1" w14:textId="77777777" w:rsidR="00CC5443" w:rsidRDefault="00CC5443" w:rsidP="003B045B">
      <w:pPr>
        <w:pStyle w:val="FootnoteText"/>
      </w:pPr>
    </w:p>
    <w:p w14:paraId="471B6032" w14:textId="77777777" w:rsidR="00CC5443" w:rsidRDefault="00CC5443" w:rsidP="00CC5443">
      <w:pPr>
        <w:pStyle w:val="FootnoteText"/>
      </w:pPr>
      <w:r>
        <w:t xml:space="preserve">Arnold, Joseph C. ‘French tactical doctrine 1870-1915’ </w:t>
      </w:r>
      <w:r>
        <w:rPr>
          <w:i/>
        </w:rPr>
        <w:t xml:space="preserve">Military Affairs, </w:t>
      </w:r>
      <w:r>
        <w:t>2, 42 (April 1978) 61-67 (p.61)</w:t>
      </w:r>
    </w:p>
    <w:p w14:paraId="3D97D5B9" w14:textId="77777777" w:rsidR="00CC5443" w:rsidRDefault="00CC5443" w:rsidP="00CC5443">
      <w:pPr>
        <w:pStyle w:val="FootnoteText"/>
      </w:pPr>
    </w:p>
    <w:p w14:paraId="04EEDCD2" w14:textId="674ECC30" w:rsidR="00CC5443" w:rsidRPr="00FC60AC" w:rsidRDefault="00CC5443" w:rsidP="00CC5443">
      <w:pPr>
        <w:pStyle w:val="FootnoteText"/>
      </w:pPr>
      <w:r>
        <w:t xml:space="preserve">Arthur E. Monroe ‘The French Indemnity of 1871 and its Effects’ </w:t>
      </w:r>
      <w:r>
        <w:rPr>
          <w:i/>
        </w:rPr>
        <w:t xml:space="preserve">The Review of Economics and Statistics, </w:t>
      </w:r>
      <w:r>
        <w:t>4, 1 (October 1919) 269-281</w:t>
      </w:r>
    </w:p>
    <w:p w14:paraId="216949D4" w14:textId="77777777" w:rsidR="00CC5443" w:rsidRDefault="00CC5443" w:rsidP="003B045B">
      <w:pPr>
        <w:pStyle w:val="FootnoteText"/>
      </w:pPr>
    </w:p>
    <w:p w14:paraId="5F421D69" w14:textId="7320B765" w:rsidR="00CC5443" w:rsidRDefault="00CC5443" w:rsidP="003B045B">
      <w:pPr>
        <w:pStyle w:val="FootnoteText"/>
      </w:pPr>
      <w:r>
        <w:t xml:space="preserve">Becker, Josef ‘The Franco-Prussian Conflict of 1870 and Bismarck’s concept of a “Provoked Defensive War”: A Response to David Wetzel, </w:t>
      </w:r>
      <w:r>
        <w:rPr>
          <w:i/>
        </w:rPr>
        <w:t xml:space="preserve">Central European History, </w:t>
      </w:r>
      <w:r>
        <w:t>1, 41 (January 2008) 93-109 (p.97)</w:t>
      </w:r>
    </w:p>
    <w:p w14:paraId="31D47ED7" w14:textId="77777777" w:rsidR="00CC5443" w:rsidRDefault="00CC5443" w:rsidP="003B045B">
      <w:pPr>
        <w:pStyle w:val="FootnoteText"/>
      </w:pPr>
    </w:p>
    <w:p w14:paraId="4012C763" w14:textId="4C7BBC89" w:rsidR="00CC5443" w:rsidRDefault="00CC5443" w:rsidP="003B045B">
      <w:pPr>
        <w:pStyle w:val="FootnoteText"/>
      </w:pPr>
      <w:r>
        <w:t>Bismarck, Otto von ‘The Elms telegram’ &lt;</w:t>
      </w:r>
      <w:r w:rsidRPr="00BE2A61">
        <w:t>http://teacher.sduhsd.net/tpsocialsciences/world_history/nationalism/bismarck.htm</w:t>
      </w:r>
      <w:r>
        <w:t>&gt; [Date Accessed: 28</w:t>
      </w:r>
      <w:r w:rsidRPr="00BE2A61">
        <w:rPr>
          <w:vertAlign w:val="superscript"/>
        </w:rPr>
        <w:t>th</w:t>
      </w:r>
      <w:r>
        <w:t xml:space="preserve"> </w:t>
      </w:r>
      <w:r w:rsidR="00513BB1">
        <w:t>September</w:t>
      </w:r>
      <w:r>
        <w:t xml:space="preserve"> 2017]</w:t>
      </w:r>
    </w:p>
    <w:p w14:paraId="6C55941B" w14:textId="77777777" w:rsidR="00CC5443" w:rsidRDefault="00CC5443" w:rsidP="003B045B">
      <w:pPr>
        <w:pStyle w:val="FootnoteText"/>
      </w:pPr>
    </w:p>
    <w:p w14:paraId="373EFFDB" w14:textId="77777777" w:rsidR="00CC5443" w:rsidRDefault="00CC5443" w:rsidP="00CC5443">
      <w:pPr>
        <w:pStyle w:val="FootnoteText"/>
      </w:pPr>
      <w:r>
        <w:t xml:space="preserve">Crisp, Olga ‘Some Problems of French Investment in Russian Stock Companies’ </w:t>
      </w:r>
      <w:r>
        <w:rPr>
          <w:i/>
        </w:rPr>
        <w:t xml:space="preserve">The Slavonic and East European Review, </w:t>
      </w:r>
      <w:r>
        <w:t>84, 35 (December 1956) 223-240 (pp.226-227)</w:t>
      </w:r>
    </w:p>
    <w:p w14:paraId="3D0D0329" w14:textId="77777777" w:rsidR="00CC5443" w:rsidRDefault="00CC5443" w:rsidP="003B045B">
      <w:pPr>
        <w:pStyle w:val="FootnoteText"/>
      </w:pPr>
    </w:p>
    <w:p w14:paraId="2A1FAF1E" w14:textId="0BDE803B" w:rsidR="00CC5443" w:rsidRPr="00201627" w:rsidRDefault="00CC5443" w:rsidP="00CC5443">
      <w:r>
        <w:t>Devereux, Michael B. ‘Transfer Problem Dynamics: Macroeconomics of the Franco-Prussian War Indemnity’ (September 2005) &lt;</w:t>
      </w:r>
      <w:r w:rsidRPr="00084C5C">
        <w:t>http://qed.econ.queensu.ca/working_papers/papers/qed_wp_1025.pdf</w:t>
      </w:r>
      <w:r>
        <w:t>&gt;</w:t>
      </w:r>
    </w:p>
    <w:p w14:paraId="6C8D96BA" w14:textId="77777777" w:rsidR="003B045B" w:rsidRDefault="003B045B" w:rsidP="003B045B"/>
    <w:p w14:paraId="2A4C0D11" w14:textId="77777777" w:rsidR="00CC5443" w:rsidRPr="00BF5B87" w:rsidRDefault="00CC5443" w:rsidP="00CC5443">
      <w:pPr>
        <w:pStyle w:val="FootnoteText"/>
      </w:pPr>
      <w:r>
        <w:t xml:space="preserve">Hotham, David ‘How Bismarck’s editing sent Prussia to war against France’ </w:t>
      </w:r>
      <w:r>
        <w:rPr>
          <w:i/>
        </w:rPr>
        <w:t xml:space="preserve">The Times, </w:t>
      </w:r>
      <w:r>
        <w:t>9</w:t>
      </w:r>
      <w:r w:rsidRPr="00BF5B87">
        <w:rPr>
          <w:vertAlign w:val="superscript"/>
        </w:rPr>
        <w:t>th</w:t>
      </w:r>
      <w:r>
        <w:t xml:space="preserve"> July 1997, issue 60051, p.12.</w:t>
      </w:r>
    </w:p>
    <w:p w14:paraId="645BA168" w14:textId="77777777" w:rsidR="00CC5443" w:rsidRDefault="00CC5443" w:rsidP="003B045B"/>
    <w:p w14:paraId="279C1723" w14:textId="4B642877" w:rsidR="00D03D27" w:rsidRDefault="003B045B" w:rsidP="003B045B">
      <w:r>
        <w:t xml:space="preserve">Lieber, Robert J. ‘The French Nuclear Force: A Strategic and Political Evaluation’ </w:t>
      </w:r>
      <w:r>
        <w:rPr>
          <w:i/>
        </w:rPr>
        <w:t xml:space="preserve">International Affairs (Royal Institute of International Affairs 1944-), </w:t>
      </w:r>
      <w:r w:rsidRPr="00712E09">
        <w:t>3, 42 (Ju</w:t>
      </w:r>
      <w:r>
        <w:t>ly 1966) 421-431 (p.442)</w:t>
      </w:r>
    </w:p>
    <w:p w14:paraId="0EDC47BF" w14:textId="77777777" w:rsidR="003B045B" w:rsidRDefault="003B045B" w:rsidP="003B045B">
      <w:pPr>
        <w:pStyle w:val="FootnoteText"/>
      </w:pPr>
    </w:p>
    <w:p w14:paraId="74E09613" w14:textId="7D6EC9D0" w:rsidR="003B045B" w:rsidRDefault="003B045B" w:rsidP="003B045B">
      <w:pPr>
        <w:pStyle w:val="FootnoteText"/>
      </w:pPr>
      <w:r>
        <w:t xml:space="preserve">Macron, Emmanuel, CNN, </w:t>
      </w:r>
      <w:r>
        <w:rPr>
          <w:i/>
        </w:rPr>
        <w:t xml:space="preserve">Emmanuel Macron’s full speech at the Louvre, </w:t>
      </w:r>
      <w:r>
        <w:t>online video recording, Youtube, 7</w:t>
      </w:r>
      <w:r w:rsidRPr="00681B07">
        <w:rPr>
          <w:vertAlign w:val="superscript"/>
        </w:rPr>
        <w:t>th</w:t>
      </w:r>
      <w:r>
        <w:t xml:space="preserve"> May 2017 &lt;</w:t>
      </w:r>
      <w:r w:rsidRPr="00681B07">
        <w:t>https://www.youtube.com/watch?v=mHOypvwTNEk</w:t>
      </w:r>
      <w:r>
        <w:t>&gt; [accessed 2</w:t>
      </w:r>
      <w:r w:rsidRPr="00681B07">
        <w:rPr>
          <w:vertAlign w:val="superscript"/>
        </w:rPr>
        <w:t>nd</w:t>
      </w:r>
      <w:r>
        <w:t xml:space="preserve"> December 2017]</w:t>
      </w:r>
    </w:p>
    <w:p w14:paraId="4D370398" w14:textId="77777777" w:rsidR="00CC5443" w:rsidRDefault="00CC5443" w:rsidP="003B045B">
      <w:pPr>
        <w:pStyle w:val="FootnoteText"/>
      </w:pPr>
    </w:p>
    <w:p w14:paraId="3CFE15B9" w14:textId="77777777" w:rsidR="00CC5443" w:rsidRDefault="00CC5443" w:rsidP="00CC5443">
      <w:pPr>
        <w:pStyle w:val="FootnoteText"/>
      </w:pPr>
      <w:r>
        <w:t>Napoleon III ‘Memoirs’ &lt;</w:t>
      </w:r>
      <w:r w:rsidRPr="00105263">
        <w:t>https://archive.org/details/intimatememoirso01ambiala</w:t>
      </w:r>
      <w:r>
        <w:t>&gt;</w:t>
      </w:r>
    </w:p>
    <w:p w14:paraId="5291C34C" w14:textId="21E58A4F" w:rsidR="00CC5443" w:rsidRPr="00681B07" w:rsidRDefault="00CC5443" w:rsidP="003B045B">
      <w:pPr>
        <w:pStyle w:val="FootnoteText"/>
      </w:pPr>
      <w:r>
        <w:t xml:space="preserve">Gavin, Michael ‘Intertemporal Dimensions of International Economic Adjustment: Evidence from the Franco-Prussian War Indemnity’ </w:t>
      </w:r>
      <w:r>
        <w:rPr>
          <w:i/>
        </w:rPr>
        <w:t xml:space="preserve">The American Economic Review, </w:t>
      </w:r>
      <w:r>
        <w:t>2, 82 (May 1992) 174-179 (p.175)</w:t>
      </w:r>
    </w:p>
    <w:p w14:paraId="33B92CB3" w14:textId="77777777" w:rsidR="003B045B" w:rsidRDefault="003B045B" w:rsidP="003B045B">
      <w:pPr>
        <w:pStyle w:val="FootnoteText"/>
      </w:pPr>
    </w:p>
    <w:p w14:paraId="79F05409" w14:textId="69B9CBD6" w:rsidR="00CC5443" w:rsidRDefault="00CC5443" w:rsidP="003B045B">
      <w:pPr>
        <w:pStyle w:val="FootnoteText"/>
      </w:pPr>
      <w:r>
        <w:t xml:space="preserve">Pflanze, Otto ‘Bismarck and German Nationalism’ </w:t>
      </w:r>
      <w:r>
        <w:rPr>
          <w:i/>
        </w:rPr>
        <w:t xml:space="preserve">The American Historical Review, </w:t>
      </w:r>
      <w:r>
        <w:t>3, 60 (April 1955) 548-566</w:t>
      </w:r>
    </w:p>
    <w:p w14:paraId="5EACF9B9" w14:textId="1756D9DB" w:rsidR="00CC5443" w:rsidRDefault="003B045B" w:rsidP="003B045B">
      <w:pPr>
        <w:pStyle w:val="FootnoteText"/>
      </w:pPr>
      <w:r>
        <w:t xml:space="preserve">Stoll, Richard J. ‘Bloc Concentration and the Balance Of Power: The European Major powers 1824-1914’ </w:t>
      </w:r>
      <w:r>
        <w:rPr>
          <w:i/>
        </w:rPr>
        <w:t xml:space="preserve">The Journal of Conflict Resolution, </w:t>
      </w:r>
      <w:r>
        <w:t xml:space="preserve">1, 28 (March 1984) 25-50 </w:t>
      </w:r>
    </w:p>
    <w:p w14:paraId="5EAE279D" w14:textId="77777777" w:rsidR="00CC5443" w:rsidRPr="000F7EFB" w:rsidRDefault="00CC5443" w:rsidP="00CC5443">
      <w:pPr>
        <w:rPr>
          <w:rFonts w:ascii="Times New Roman" w:eastAsia="Times New Roman" w:hAnsi="Times New Roman" w:cs="Times New Roman"/>
          <w:lang w:eastAsia="en-GB"/>
        </w:rPr>
      </w:pPr>
      <w:r w:rsidRPr="000F7EFB">
        <w:rPr>
          <w:rFonts w:eastAsia="Times New Roman" w:cs="Arial"/>
          <w:color w:val="333333"/>
          <w:shd w:val="clear" w:color="auto" w:fill="FFFFFF"/>
          <w:lang w:eastAsia="en-GB"/>
        </w:rPr>
        <w:t>Stürmer</w:t>
      </w:r>
      <w:r>
        <w:t xml:space="preserve">, </w:t>
      </w:r>
      <w:r w:rsidRPr="000F7EFB">
        <w:t xml:space="preserve">Michael </w:t>
      </w:r>
      <w:r w:rsidRPr="000F7EFB">
        <w:rPr>
          <w:rFonts w:eastAsia="Times New Roman" w:cs="Arial"/>
          <w:color w:val="333333"/>
          <w:shd w:val="clear" w:color="auto" w:fill="FFFFFF"/>
          <w:lang w:eastAsia="en-GB"/>
        </w:rPr>
        <w:t>‘Bismarck In Perspective’</w:t>
      </w:r>
      <w:r>
        <w:rPr>
          <w:rFonts w:eastAsia="Times New Roman" w:cs="Arial"/>
          <w:color w:val="333333"/>
          <w:shd w:val="clear" w:color="auto" w:fill="FFFFFF"/>
          <w:lang w:eastAsia="en-GB"/>
        </w:rPr>
        <w:t xml:space="preserve"> </w:t>
      </w:r>
      <w:r>
        <w:rPr>
          <w:rFonts w:eastAsia="Times New Roman" w:cs="Arial"/>
          <w:i/>
          <w:color w:val="333333"/>
          <w:shd w:val="clear" w:color="auto" w:fill="FFFFFF"/>
          <w:lang w:eastAsia="en-GB"/>
        </w:rPr>
        <w:t xml:space="preserve">Central European History, </w:t>
      </w:r>
      <w:r>
        <w:rPr>
          <w:rFonts w:eastAsia="Times New Roman" w:cs="Arial"/>
          <w:color w:val="333333"/>
          <w:shd w:val="clear" w:color="auto" w:fill="FFFFFF"/>
          <w:lang w:eastAsia="en-GB"/>
        </w:rPr>
        <w:t xml:space="preserve">4, 4 (December 1971) 291-331 </w:t>
      </w:r>
    </w:p>
    <w:p w14:paraId="1F92D2D0" w14:textId="621B4BCD" w:rsidR="00CC5443" w:rsidRPr="003F33CF" w:rsidRDefault="00CC5443" w:rsidP="003B045B">
      <w:pPr>
        <w:pStyle w:val="FootnoteText"/>
      </w:pPr>
      <w:r>
        <w:t xml:space="preserve">W. M. Medlicott ‘Bismarck and the Three Emperors’ Alliance, 1881-87’ </w:t>
      </w:r>
      <w:r>
        <w:rPr>
          <w:i/>
        </w:rPr>
        <w:t>Transactions of the Royal Historical Society,</w:t>
      </w:r>
      <w:r>
        <w:t xml:space="preserve"> 27 (1945) 61-83 (p.61)</w:t>
      </w:r>
    </w:p>
    <w:p w14:paraId="00920EC0" w14:textId="77777777" w:rsidR="003B045B" w:rsidRDefault="003B045B" w:rsidP="003B045B"/>
    <w:p w14:paraId="6623577F" w14:textId="659C3E3A" w:rsidR="003B045B" w:rsidRDefault="003B045B" w:rsidP="003B045B">
      <w:r>
        <w:t xml:space="preserve">Swaine, Valentine A. J. ‘Franco Prussian war 1870-1871: Voluntary Aid For The Wounded And Sick’ </w:t>
      </w:r>
      <w:r>
        <w:rPr>
          <w:i/>
        </w:rPr>
        <w:t xml:space="preserve">The British Medical Journal, </w:t>
      </w:r>
      <w:r>
        <w:t>5721, 3 (29</w:t>
      </w:r>
      <w:r w:rsidRPr="00F717BA">
        <w:rPr>
          <w:vertAlign w:val="superscript"/>
        </w:rPr>
        <w:t>th</w:t>
      </w:r>
      <w:r>
        <w:t xml:space="preserve"> August 1970) 511-514 (p.513)</w:t>
      </w:r>
    </w:p>
    <w:p w14:paraId="2691529A" w14:textId="77777777" w:rsidR="00CC5443" w:rsidRDefault="00CC5443" w:rsidP="003B045B"/>
    <w:p w14:paraId="301A9CD0" w14:textId="4D70560D" w:rsidR="00CC5443" w:rsidRDefault="00CC5443" w:rsidP="00CC5443">
      <w:pPr>
        <w:pStyle w:val="FootnoteText"/>
      </w:pPr>
      <w:r>
        <w:t xml:space="preserve">‘The German Account Of The War’, </w:t>
      </w:r>
      <w:r>
        <w:rPr>
          <w:i/>
        </w:rPr>
        <w:t>Star,</w:t>
      </w:r>
      <w:r>
        <w:t xml:space="preserve"> 1</w:t>
      </w:r>
      <w:r w:rsidRPr="005840EA">
        <w:rPr>
          <w:vertAlign w:val="superscript"/>
        </w:rPr>
        <w:t>st</w:t>
      </w:r>
      <w:r>
        <w:t xml:space="preserve"> April 1873, p.4.</w:t>
      </w:r>
    </w:p>
    <w:p w14:paraId="5E98AF5C" w14:textId="77777777" w:rsidR="003B045B" w:rsidRDefault="003B045B" w:rsidP="003B045B">
      <w:pPr>
        <w:pStyle w:val="FootnoteText"/>
      </w:pPr>
    </w:p>
    <w:p w14:paraId="02376447" w14:textId="70510673" w:rsidR="003B045B" w:rsidRPr="00AB30D0" w:rsidRDefault="003B045B" w:rsidP="003B045B">
      <w:pPr>
        <w:pStyle w:val="FootnoteText"/>
      </w:pPr>
      <w:r>
        <w:t xml:space="preserve">Turgeon, Lynn ‘The Political Economy of Reparations’ </w:t>
      </w:r>
      <w:r>
        <w:rPr>
          <w:i/>
        </w:rPr>
        <w:t xml:space="preserve">New German Critique, </w:t>
      </w:r>
      <w:r>
        <w:t>1 (Winter 1973) 111-125 (p.112)</w:t>
      </w:r>
    </w:p>
    <w:p w14:paraId="66AB81A8" w14:textId="77777777" w:rsidR="002E7070" w:rsidRDefault="002E7070" w:rsidP="003B045B"/>
    <w:p w14:paraId="549F2490" w14:textId="38066FB5" w:rsidR="003B045B" w:rsidRPr="009520C8" w:rsidRDefault="002E7070" w:rsidP="003B045B">
      <w:r>
        <w:t xml:space="preserve">Wagner, </w:t>
      </w:r>
      <w:r w:rsidR="003B045B">
        <w:t xml:space="preserve">Adolf ‘Public debt of Prussia’ </w:t>
      </w:r>
      <w:r w:rsidR="003B045B">
        <w:rPr>
          <w:i/>
        </w:rPr>
        <w:t xml:space="preserve">The North American Review, </w:t>
      </w:r>
      <w:r w:rsidR="003B045B">
        <w:t>548, 175 (July 1902) 136-144</w:t>
      </w:r>
    </w:p>
    <w:sectPr w:rsidR="003B045B" w:rsidRPr="009520C8" w:rsidSect="00714F6A">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8320108" w14:textId="77777777" w:rsidR="0070562D" w:rsidRDefault="0070562D" w:rsidP="00BB7A07">
      <w:r>
        <w:separator/>
      </w:r>
    </w:p>
  </w:endnote>
  <w:endnote w:type="continuationSeparator" w:id="0">
    <w:p w14:paraId="107B5A00" w14:textId="77777777" w:rsidR="0070562D" w:rsidRDefault="0070562D" w:rsidP="00BB7A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4A6A204" w14:textId="77777777" w:rsidR="0070562D" w:rsidRDefault="0070562D" w:rsidP="00BB7A07">
      <w:r>
        <w:separator/>
      </w:r>
    </w:p>
  </w:footnote>
  <w:footnote w:type="continuationSeparator" w:id="0">
    <w:p w14:paraId="39FA56B8" w14:textId="77777777" w:rsidR="0070562D" w:rsidRDefault="0070562D" w:rsidP="00BB7A07">
      <w:r>
        <w:continuationSeparator/>
      </w:r>
    </w:p>
  </w:footnote>
  <w:footnote w:id="1">
    <w:p w14:paraId="741464B8" w14:textId="77777777" w:rsidR="00BB7A07" w:rsidRPr="00201627" w:rsidRDefault="00BB7A07">
      <w:pPr>
        <w:pStyle w:val="FootnoteText"/>
      </w:pPr>
      <w:r>
        <w:rPr>
          <w:rStyle w:val="FootnoteReference"/>
        </w:rPr>
        <w:footnoteRef/>
      </w:r>
      <w:r>
        <w:t xml:space="preserve"> </w:t>
      </w:r>
      <w:r w:rsidR="00201627">
        <w:t xml:space="preserve">Olga Crisp ‘Some Problems of French Investment in Russian Stock Companies’ </w:t>
      </w:r>
      <w:r w:rsidR="00201627">
        <w:rPr>
          <w:i/>
        </w:rPr>
        <w:t xml:space="preserve">The Slavonic and East European Review, </w:t>
      </w:r>
      <w:r w:rsidR="00201627">
        <w:t>84, 35 (December 1956)</w:t>
      </w:r>
      <w:r w:rsidR="00630036">
        <w:t xml:space="preserve"> 223-240</w:t>
      </w:r>
      <w:r w:rsidR="00712E09">
        <w:t xml:space="preserve"> (</w:t>
      </w:r>
      <w:r w:rsidR="00630036">
        <w:t>p</w:t>
      </w:r>
      <w:r w:rsidR="00712E09">
        <w:t>p.226-227)</w:t>
      </w:r>
    </w:p>
  </w:footnote>
  <w:footnote w:id="2">
    <w:p w14:paraId="4D68CA93" w14:textId="77777777" w:rsidR="00712E09" w:rsidRPr="00712E09" w:rsidRDefault="00712E09">
      <w:pPr>
        <w:pStyle w:val="FootnoteText"/>
        <w:rPr>
          <w:i/>
        </w:rPr>
      </w:pPr>
      <w:r>
        <w:rPr>
          <w:rStyle w:val="FootnoteReference"/>
        </w:rPr>
        <w:footnoteRef/>
      </w:r>
      <w:r>
        <w:t xml:space="preserve"> Robert J. Lieber ‘The French Nuclear Force: A Strategic and Political Evaluation’ </w:t>
      </w:r>
      <w:r>
        <w:rPr>
          <w:i/>
        </w:rPr>
        <w:t xml:space="preserve">International Affairs (Royal Institute of International Affairs 1944-), </w:t>
      </w:r>
      <w:r w:rsidRPr="00712E09">
        <w:t>3, 42 (Ju</w:t>
      </w:r>
      <w:r>
        <w:t>ly 1966) 421-431 (p.442)</w:t>
      </w:r>
    </w:p>
  </w:footnote>
  <w:footnote w:id="3">
    <w:p w14:paraId="48303A40" w14:textId="77777777" w:rsidR="009825CB" w:rsidRPr="00681B07" w:rsidRDefault="009825CB">
      <w:pPr>
        <w:pStyle w:val="FootnoteText"/>
      </w:pPr>
      <w:r>
        <w:rPr>
          <w:rStyle w:val="FootnoteReference"/>
        </w:rPr>
        <w:footnoteRef/>
      </w:r>
      <w:r>
        <w:t xml:space="preserve"> </w:t>
      </w:r>
      <w:r w:rsidR="00681B07">
        <w:t xml:space="preserve">Emmanuel Macron, CNN, </w:t>
      </w:r>
      <w:r w:rsidR="00681B07">
        <w:rPr>
          <w:i/>
        </w:rPr>
        <w:t xml:space="preserve">Emmanuel Macron’s full speech at the Louvre, </w:t>
      </w:r>
      <w:r w:rsidR="00681B07">
        <w:t>online video recording, Youtube, 7</w:t>
      </w:r>
      <w:r w:rsidR="00681B07" w:rsidRPr="00681B07">
        <w:rPr>
          <w:vertAlign w:val="superscript"/>
        </w:rPr>
        <w:t>th</w:t>
      </w:r>
      <w:r w:rsidR="00681B07">
        <w:t xml:space="preserve"> May 2017 &lt;</w:t>
      </w:r>
      <w:r w:rsidR="00681B07" w:rsidRPr="00681B07">
        <w:t>https://www.youtube.com/watch?v=mHOypvwTNEk</w:t>
      </w:r>
      <w:r w:rsidR="00681B07">
        <w:t>&gt; [accessed 2</w:t>
      </w:r>
      <w:r w:rsidR="00681B07" w:rsidRPr="00681B07">
        <w:rPr>
          <w:vertAlign w:val="superscript"/>
        </w:rPr>
        <w:t>nd</w:t>
      </w:r>
      <w:r w:rsidR="00681B07">
        <w:t xml:space="preserve"> December 2017]</w:t>
      </w:r>
    </w:p>
  </w:footnote>
  <w:footnote w:id="4">
    <w:p w14:paraId="7D3782B6" w14:textId="77777777" w:rsidR="0013484C" w:rsidRPr="005840EA" w:rsidRDefault="0013484C">
      <w:pPr>
        <w:pStyle w:val="FootnoteText"/>
      </w:pPr>
      <w:r>
        <w:rPr>
          <w:rStyle w:val="FootnoteReference"/>
        </w:rPr>
        <w:footnoteRef/>
      </w:r>
      <w:r>
        <w:t xml:space="preserve"> </w:t>
      </w:r>
      <w:r w:rsidR="005840EA">
        <w:t>‘The German Account O</w:t>
      </w:r>
      <w:r w:rsidR="00CC53D1">
        <w:t xml:space="preserve">f </w:t>
      </w:r>
      <w:r w:rsidR="005840EA">
        <w:t>T</w:t>
      </w:r>
      <w:r w:rsidR="00CC53D1">
        <w:t>he War</w:t>
      </w:r>
      <w:r w:rsidR="005840EA">
        <w:t xml:space="preserve">’, </w:t>
      </w:r>
      <w:r w:rsidR="005840EA">
        <w:rPr>
          <w:i/>
        </w:rPr>
        <w:t>Star,</w:t>
      </w:r>
      <w:r w:rsidR="005840EA">
        <w:t xml:space="preserve"> 1</w:t>
      </w:r>
      <w:r w:rsidR="005840EA" w:rsidRPr="005840EA">
        <w:rPr>
          <w:vertAlign w:val="superscript"/>
        </w:rPr>
        <w:t>st</w:t>
      </w:r>
      <w:r w:rsidR="005840EA">
        <w:t xml:space="preserve"> April 1873</w:t>
      </w:r>
      <w:r w:rsidR="00465BEF">
        <w:t>, p.4.</w:t>
      </w:r>
    </w:p>
  </w:footnote>
  <w:footnote w:id="5">
    <w:p w14:paraId="559E7BAC" w14:textId="77777777" w:rsidR="003F33CF" w:rsidRPr="003F33CF" w:rsidRDefault="003F33CF">
      <w:pPr>
        <w:pStyle w:val="FootnoteText"/>
      </w:pPr>
      <w:r>
        <w:rPr>
          <w:rStyle w:val="FootnoteReference"/>
        </w:rPr>
        <w:footnoteRef/>
      </w:r>
      <w:r>
        <w:t xml:space="preserve"> Richard J. Stoll ‘Bloc Concentration and the Balance Of Power: The European Major powers 1824-1914’ </w:t>
      </w:r>
      <w:r>
        <w:rPr>
          <w:i/>
        </w:rPr>
        <w:t xml:space="preserve">The Journal of Conflict Resolution, </w:t>
      </w:r>
      <w:r>
        <w:t xml:space="preserve">1, 28 (March 1984) 25-50 </w:t>
      </w:r>
    </w:p>
  </w:footnote>
  <w:footnote w:id="6">
    <w:p w14:paraId="3BFB638E" w14:textId="77777777" w:rsidR="007E16F4" w:rsidRPr="00D8562C" w:rsidRDefault="007E16F4">
      <w:pPr>
        <w:pStyle w:val="FootnoteText"/>
      </w:pPr>
      <w:r>
        <w:rPr>
          <w:rStyle w:val="FootnoteReference"/>
        </w:rPr>
        <w:footnoteRef/>
      </w:r>
      <w:r w:rsidR="00D8562C">
        <w:t xml:space="preserve">Valentine A. J. Swaine ‘Franco Prussian war 1870-1871: Voluntary Aid For The Wounded And Sick’ </w:t>
      </w:r>
      <w:r w:rsidR="00D8562C">
        <w:rPr>
          <w:i/>
        </w:rPr>
        <w:t xml:space="preserve">The British Medical Journal, </w:t>
      </w:r>
      <w:r w:rsidR="00F717BA">
        <w:t>5721, 3 (29</w:t>
      </w:r>
      <w:r w:rsidR="00F717BA" w:rsidRPr="00F717BA">
        <w:rPr>
          <w:vertAlign w:val="superscript"/>
        </w:rPr>
        <w:t>th</w:t>
      </w:r>
      <w:r w:rsidR="00F717BA">
        <w:t xml:space="preserve"> August 1970) 511-514 (p.513)</w:t>
      </w:r>
    </w:p>
  </w:footnote>
  <w:footnote w:id="7">
    <w:p w14:paraId="362711E8" w14:textId="1740B877" w:rsidR="00965112" w:rsidRDefault="00965112">
      <w:pPr>
        <w:pStyle w:val="FootnoteText"/>
      </w:pPr>
      <w:r>
        <w:rPr>
          <w:rStyle w:val="FootnoteReference"/>
        </w:rPr>
        <w:footnoteRef/>
      </w:r>
      <w:r w:rsidR="00BE2A61">
        <w:t>Otto von Bismar</w:t>
      </w:r>
      <w:r w:rsidR="000F7EFB">
        <w:t>c</w:t>
      </w:r>
      <w:r w:rsidR="00BE2A61">
        <w:t>k ‘The Elms telegram’ &lt;</w:t>
      </w:r>
      <w:r w:rsidR="00BE2A61" w:rsidRPr="00BE2A61">
        <w:t>http://teacher.sduhsd.net/tpsocialsciences/world_history/nationalism/bismarck.htm</w:t>
      </w:r>
      <w:r w:rsidR="00BE2A61">
        <w:t>&gt; [Date Accessed: 28</w:t>
      </w:r>
      <w:r w:rsidR="00BE2A61" w:rsidRPr="00BE2A61">
        <w:rPr>
          <w:vertAlign w:val="superscript"/>
        </w:rPr>
        <w:t>th</w:t>
      </w:r>
      <w:r w:rsidR="00BE2A61">
        <w:t xml:space="preserve"> </w:t>
      </w:r>
      <w:r w:rsidR="00513BB1">
        <w:t>September</w:t>
      </w:r>
      <w:r w:rsidR="00BE2A61">
        <w:t xml:space="preserve"> 2017]</w:t>
      </w:r>
    </w:p>
  </w:footnote>
  <w:footnote w:id="8">
    <w:p w14:paraId="13E6CA86" w14:textId="77777777" w:rsidR="00BE2A61" w:rsidRPr="00BE2A61" w:rsidRDefault="00BE2A61">
      <w:pPr>
        <w:pStyle w:val="FootnoteText"/>
      </w:pPr>
      <w:r>
        <w:rPr>
          <w:rStyle w:val="FootnoteReference"/>
        </w:rPr>
        <w:footnoteRef/>
      </w:r>
      <w:r>
        <w:t>Otto Pflanze ‘Bismar</w:t>
      </w:r>
      <w:r w:rsidR="000F7EFB">
        <w:t>c</w:t>
      </w:r>
      <w:r>
        <w:t xml:space="preserve">k and German Nationalism’ </w:t>
      </w:r>
      <w:r>
        <w:rPr>
          <w:i/>
        </w:rPr>
        <w:t xml:space="preserve">The American Historical Review, </w:t>
      </w:r>
      <w:r>
        <w:t>3, 60 (April 1955) 548-566</w:t>
      </w:r>
    </w:p>
  </w:footnote>
  <w:footnote w:id="9">
    <w:p w14:paraId="17F436F9" w14:textId="77777777" w:rsidR="00BE2A61" w:rsidRPr="000F7EFB" w:rsidRDefault="00BE2A61" w:rsidP="000F7EFB">
      <w:pPr>
        <w:rPr>
          <w:rFonts w:ascii="Times New Roman" w:eastAsia="Times New Roman" w:hAnsi="Times New Roman" w:cs="Times New Roman"/>
          <w:lang w:eastAsia="en-GB"/>
        </w:rPr>
      </w:pPr>
      <w:r>
        <w:rPr>
          <w:rStyle w:val="FootnoteReference"/>
        </w:rPr>
        <w:footnoteRef/>
      </w:r>
      <w:r w:rsidRPr="000F7EFB">
        <w:t xml:space="preserve">Michael </w:t>
      </w:r>
      <w:r w:rsidRPr="000F7EFB">
        <w:rPr>
          <w:rFonts w:eastAsia="Times New Roman" w:cs="Arial"/>
          <w:color w:val="333333"/>
          <w:shd w:val="clear" w:color="auto" w:fill="FFFFFF"/>
          <w:lang w:eastAsia="en-GB"/>
        </w:rPr>
        <w:t>Stürmer ‘Bismar</w:t>
      </w:r>
      <w:r w:rsidR="000F7EFB" w:rsidRPr="000F7EFB">
        <w:rPr>
          <w:rFonts w:eastAsia="Times New Roman" w:cs="Arial"/>
          <w:color w:val="333333"/>
          <w:shd w:val="clear" w:color="auto" w:fill="FFFFFF"/>
          <w:lang w:eastAsia="en-GB"/>
        </w:rPr>
        <w:t>c</w:t>
      </w:r>
      <w:r w:rsidRPr="000F7EFB">
        <w:rPr>
          <w:rFonts w:eastAsia="Times New Roman" w:cs="Arial"/>
          <w:color w:val="333333"/>
          <w:shd w:val="clear" w:color="auto" w:fill="FFFFFF"/>
          <w:lang w:eastAsia="en-GB"/>
        </w:rPr>
        <w:t>k In Perspective’</w:t>
      </w:r>
      <w:r w:rsidR="000F7EFB">
        <w:rPr>
          <w:rFonts w:eastAsia="Times New Roman" w:cs="Arial"/>
          <w:color w:val="333333"/>
          <w:shd w:val="clear" w:color="auto" w:fill="FFFFFF"/>
          <w:lang w:eastAsia="en-GB"/>
        </w:rPr>
        <w:t xml:space="preserve"> </w:t>
      </w:r>
      <w:r w:rsidR="000F7EFB">
        <w:rPr>
          <w:rFonts w:eastAsia="Times New Roman" w:cs="Arial"/>
          <w:i/>
          <w:color w:val="333333"/>
          <w:shd w:val="clear" w:color="auto" w:fill="FFFFFF"/>
          <w:lang w:eastAsia="en-GB"/>
        </w:rPr>
        <w:t xml:space="preserve">Central European History, </w:t>
      </w:r>
      <w:r w:rsidR="000F7EFB">
        <w:rPr>
          <w:rFonts w:eastAsia="Times New Roman" w:cs="Arial"/>
          <w:color w:val="333333"/>
          <w:shd w:val="clear" w:color="auto" w:fill="FFFFFF"/>
          <w:lang w:eastAsia="en-GB"/>
        </w:rPr>
        <w:t xml:space="preserve">4, 4 (December 1971) 291-331 </w:t>
      </w:r>
    </w:p>
  </w:footnote>
  <w:footnote w:id="10">
    <w:p w14:paraId="0EED9C17" w14:textId="77777777" w:rsidR="000F7EFB" w:rsidRPr="000F7EFB" w:rsidRDefault="000F7EFB">
      <w:pPr>
        <w:pStyle w:val="FootnoteText"/>
      </w:pPr>
      <w:r>
        <w:rPr>
          <w:rStyle w:val="FootnoteReference"/>
        </w:rPr>
        <w:footnoteRef/>
      </w:r>
      <w:r>
        <w:t xml:space="preserve">W. M. Medlicott ‘Bismarck and the Three Emperors’ Alliance, 1881-87’ </w:t>
      </w:r>
      <w:r>
        <w:rPr>
          <w:i/>
        </w:rPr>
        <w:t>Transactions of the Royal Historical Society,</w:t>
      </w:r>
      <w:r>
        <w:t xml:space="preserve"> 27 (1945) 61-83 (p.61)</w:t>
      </w:r>
    </w:p>
  </w:footnote>
  <w:footnote w:id="11">
    <w:p w14:paraId="0ABD194B" w14:textId="4ADE2D6A" w:rsidR="00105263" w:rsidRDefault="00E513AC">
      <w:pPr>
        <w:pStyle w:val="FootnoteText"/>
      </w:pPr>
      <w:r>
        <w:rPr>
          <w:rStyle w:val="FootnoteReference"/>
        </w:rPr>
        <w:footnoteRef/>
      </w:r>
      <w:r>
        <w:t xml:space="preserve"> </w:t>
      </w:r>
      <w:r w:rsidR="00105263">
        <w:t>Napoleon III ‘Memoirs’ &lt;</w:t>
      </w:r>
      <w:r w:rsidR="00105263" w:rsidRPr="00105263">
        <w:t>https://archive.org/details/intimatememoirso01ambiala</w:t>
      </w:r>
      <w:r w:rsidR="00105263">
        <w:t>&gt;</w:t>
      </w:r>
    </w:p>
  </w:footnote>
  <w:footnote w:id="12">
    <w:p w14:paraId="75593D07" w14:textId="0DE9EE79" w:rsidR="00105263" w:rsidRPr="00105263" w:rsidRDefault="00105263">
      <w:pPr>
        <w:pStyle w:val="FootnoteText"/>
      </w:pPr>
      <w:r>
        <w:rPr>
          <w:rStyle w:val="FootnoteReference"/>
        </w:rPr>
        <w:footnoteRef/>
      </w:r>
      <w:r>
        <w:t xml:space="preserve"> Arthur E. Monroe ‘The French Indemnity of 1871 and its Effects’ </w:t>
      </w:r>
      <w:r>
        <w:rPr>
          <w:i/>
        </w:rPr>
        <w:t xml:space="preserve">The Review of Economics and Statistics, </w:t>
      </w:r>
      <w:r>
        <w:t>4, 1 (October 1919) 269-281</w:t>
      </w:r>
    </w:p>
  </w:footnote>
  <w:footnote w:id="13">
    <w:p w14:paraId="351C9695" w14:textId="2A659165" w:rsidR="00AB30D0" w:rsidRPr="00AB30D0" w:rsidRDefault="00AB30D0">
      <w:pPr>
        <w:pStyle w:val="FootnoteText"/>
      </w:pPr>
      <w:r>
        <w:rPr>
          <w:rStyle w:val="FootnoteReference"/>
        </w:rPr>
        <w:footnoteRef/>
      </w:r>
      <w:r>
        <w:t xml:space="preserve"> Michael Gavin ‘Intertemporal Dimensions of International Economic Adjustment: Evidence from the Franco-Prussian War Indemnity’ </w:t>
      </w:r>
      <w:r>
        <w:rPr>
          <w:i/>
        </w:rPr>
        <w:t xml:space="preserve">The American Economic Review, </w:t>
      </w:r>
      <w:r>
        <w:t>2, 82 (May 1992) 174-179 (p.175)</w:t>
      </w:r>
    </w:p>
  </w:footnote>
  <w:footnote w:id="14">
    <w:p w14:paraId="098D4499" w14:textId="7CDEF55F" w:rsidR="00AB30D0" w:rsidRPr="00AB30D0" w:rsidRDefault="00AB30D0">
      <w:pPr>
        <w:pStyle w:val="FootnoteText"/>
      </w:pPr>
      <w:r>
        <w:rPr>
          <w:rStyle w:val="FootnoteReference"/>
        </w:rPr>
        <w:footnoteRef/>
      </w:r>
      <w:r>
        <w:t xml:space="preserve"> Lynn Turgeon ‘The Political Economy of Reparations’ </w:t>
      </w:r>
      <w:r>
        <w:rPr>
          <w:i/>
        </w:rPr>
        <w:t xml:space="preserve">New German Critique, </w:t>
      </w:r>
      <w:r>
        <w:t>1 (Winter 1973) 111-125 (p.112)</w:t>
      </w:r>
    </w:p>
  </w:footnote>
  <w:footnote w:id="15">
    <w:p w14:paraId="5AB91F80" w14:textId="359F10CE" w:rsidR="00A47F9E" w:rsidRDefault="00A47F9E">
      <w:pPr>
        <w:pStyle w:val="FootnoteText"/>
      </w:pPr>
      <w:r>
        <w:rPr>
          <w:rStyle w:val="FootnoteReference"/>
        </w:rPr>
        <w:footnoteRef/>
      </w:r>
      <w:r>
        <w:t xml:space="preserve"> </w:t>
      </w:r>
      <w:r w:rsidR="004E4F90">
        <w:t xml:space="preserve">Michael B. Devereux ‘Transfer Problem Dynamics: Macroeconomics of the Franco-Prussian War Indemnity’ </w:t>
      </w:r>
      <w:r w:rsidR="00084C5C">
        <w:t>(September 2005) &lt;</w:t>
      </w:r>
      <w:r w:rsidR="00084C5C" w:rsidRPr="00084C5C">
        <w:t>http://qed.econ.queensu.ca/working_papers/papers/qed_wp_1025.pdf</w:t>
      </w:r>
      <w:r w:rsidR="00084C5C">
        <w:t>&gt;</w:t>
      </w:r>
    </w:p>
  </w:footnote>
  <w:footnote w:id="16">
    <w:p w14:paraId="687A6EE8" w14:textId="3855D8AB" w:rsidR="009C54BC" w:rsidRPr="00BF5B87" w:rsidRDefault="009C54BC">
      <w:pPr>
        <w:pStyle w:val="FootnoteText"/>
      </w:pPr>
      <w:r>
        <w:rPr>
          <w:rStyle w:val="FootnoteReference"/>
        </w:rPr>
        <w:footnoteRef/>
      </w:r>
      <w:r>
        <w:t xml:space="preserve"> </w:t>
      </w:r>
      <w:r w:rsidR="00BF5B87">
        <w:t xml:space="preserve">David Hotham ‘How Bismarck’s editing sent Prussia to war against France’ </w:t>
      </w:r>
      <w:r w:rsidR="00BF5B87">
        <w:rPr>
          <w:i/>
        </w:rPr>
        <w:t xml:space="preserve">The Times, </w:t>
      </w:r>
      <w:r w:rsidR="00BF5B87">
        <w:t>9</w:t>
      </w:r>
      <w:r w:rsidR="00BF5B87" w:rsidRPr="00BF5B87">
        <w:rPr>
          <w:vertAlign w:val="superscript"/>
        </w:rPr>
        <w:t>th</w:t>
      </w:r>
      <w:r w:rsidR="001E6696">
        <w:t xml:space="preserve"> July 1997, issue 60051, p.12.</w:t>
      </w:r>
    </w:p>
  </w:footnote>
  <w:footnote w:id="17">
    <w:p w14:paraId="319E6E59" w14:textId="667A936C" w:rsidR="001E6696" w:rsidRDefault="001E6696">
      <w:pPr>
        <w:pStyle w:val="FootnoteText"/>
      </w:pPr>
      <w:r>
        <w:rPr>
          <w:rStyle w:val="FootnoteReference"/>
        </w:rPr>
        <w:footnoteRef/>
      </w:r>
      <w:r>
        <w:t xml:space="preserve"> ‘A History of Alsace’ </w:t>
      </w:r>
      <w:r w:rsidR="00DE439A">
        <w:t>&lt;</w:t>
      </w:r>
      <w:r w:rsidR="00DE439A" w:rsidRPr="00DE439A">
        <w:t>http://www.smithancestry.com/places/alsace/history.htm</w:t>
      </w:r>
      <w:r w:rsidR="00DE439A">
        <w:t>&gt; [Date Accessed: 5</w:t>
      </w:r>
      <w:r w:rsidR="00DE439A" w:rsidRPr="00DE439A">
        <w:rPr>
          <w:vertAlign w:val="superscript"/>
        </w:rPr>
        <w:t>th</w:t>
      </w:r>
      <w:r w:rsidR="00DE439A">
        <w:t xml:space="preserve"> December 2017]</w:t>
      </w:r>
    </w:p>
  </w:footnote>
  <w:footnote w:id="18">
    <w:p w14:paraId="48485887" w14:textId="5FFE8F69" w:rsidR="00DE439A" w:rsidRPr="00DE439A" w:rsidRDefault="00DE439A">
      <w:pPr>
        <w:pStyle w:val="FootnoteText"/>
      </w:pPr>
      <w:r>
        <w:rPr>
          <w:rStyle w:val="FootnoteReference"/>
        </w:rPr>
        <w:footnoteRef/>
      </w:r>
      <w:r>
        <w:t xml:space="preserve"> Josef Becker ‘The Franco-Prussian Conflict of 1870 and Bismarck’s concept of a “Provoked Defensive War”: A Response to David Wetzel, </w:t>
      </w:r>
      <w:r>
        <w:rPr>
          <w:i/>
        </w:rPr>
        <w:t xml:space="preserve">Central European History, </w:t>
      </w:r>
      <w:r>
        <w:t>1, 41 (January 2008) 93-109 (p.97)</w:t>
      </w:r>
    </w:p>
  </w:footnote>
  <w:footnote w:id="19">
    <w:p w14:paraId="7ED42662" w14:textId="1D1A242F" w:rsidR="00A84ACC" w:rsidRPr="00FC60AC" w:rsidRDefault="00A84ACC">
      <w:pPr>
        <w:pStyle w:val="FootnoteText"/>
      </w:pPr>
      <w:r>
        <w:rPr>
          <w:rStyle w:val="FootnoteReference"/>
        </w:rPr>
        <w:footnoteRef/>
      </w:r>
      <w:r>
        <w:t xml:space="preserve"> </w:t>
      </w:r>
      <w:r w:rsidR="00FC60AC">
        <w:t xml:space="preserve">Joseph C. Arnold ‘French tactical doctrine 1870-1915’ </w:t>
      </w:r>
      <w:r w:rsidR="00FC60AC">
        <w:rPr>
          <w:i/>
        </w:rPr>
        <w:t xml:space="preserve">Military Affairs, </w:t>
      </w:r>
      <w:r w:rsidR="00FC60AC">
        <w:t>2, 42 (April 1978) 61-67 (p.61)</w:t>
      </w:r>
    </w:p>
  </w:footnote>
  <w:footnote w:id="20">
    <w:p w14:paraId="5A6A8A54" w14:textId="2E3DEBF6" w:rsidR="00D640DF" w:rsidRPr="00D640DF" w:rsidRDefault="00D640DF">
      <w:pPr>
        <w:pStyle w:val="FootnoteText"/>
      </w:pPr>
      <w:r>
        <w:rPr>
          <w:rStyle w:val="FootnoteReference"/>
        </w:rPr>
        <w:footnoteRef/>
      </w:r>
      <w:r>
        <w:t xml:space="preserve"> Adolf Wagner ‘Public debt of Prussia’ </w:t>
      </w:r>
      <w:r>
        <w:rPr>
          <w:i/>
        </w:rPr>
        <w:t xml:space="preserve">The North American Review, </w:t>
      </w:r>
      <w:r>
        <w:t xml:space="preserve">548, 175 (July 1902) </w:t>
      </w:r>
      <w:r w:rsidR="00A33ACE">
        <w:t xml:space="preserve">136-144 </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9A500AD"/>
    <w:multiLevelType w:val="hybridMultilevel"/>
    <w:tmpl w:val="6276A840"/>
    <w:lvl w:ilvl="0" w:tplc="FE62913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9"/>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20C8"/>
    <w:rsid w:val="000654E6"/>
    <w:rsid w:val="00084C5C"/>
    <w:rsid w:val="000C62E7"/>
    <w:rsid w:val="000F7EFB"/>
    <w:rsid w:val="00105263"/>
    <w:rsid w:val="0013484C"/>
    <w:rsid w:val="001E6696"/>
    <w:rsid w:val="00201627"/>
    <w:rsid w:val="00217A2C"/>
    <w:rsid w:val="002E7070"/>
    <w:rsid w:val="003B045B"/>
    <w:rsid w:val="003C08E7"/>
    <w:rsid w:val="003F33CF"/>
    <w:rsid w:val="00465BEF"/>
    <w:rsid w:val="00472470"/>
    <w:rsid w:val="004D0723"/>
    <w:rsid w:val="004E4F90"/>
    <w:rsid w:val="00513BB1"/>
    <w:rsid w:val="005840EA"/>
    <w:rsid w:val="005F336A"/>
    <w:rsid w:val="00630036"/>
    <w:rsid w:val="00681B07"/>
    <w:rsid w:val="0070562D"/>
    <w:rsid w:val="00712E09"/>
    <w:rsid w:val="00714F6A"/>
    <w:rsid w:val="007E16F4"/>
    <w:rsid w:val="007F3C14"/>
    <w:rsid w:val="008D584D"/>
    <w:rsid w:val="008F4285"/>
    <w:rsid w:val="009520C8"/>
    <w:rsid w:val="00965112"/>
    <w:rsid w:val="009825CB"/>
    <w:rsid w:val="009C54BC"/>
    <w:rsid w:val="00A33ACE"/>
    <w:rsid w:val="00A47F9E"/>
    <w:rsid w:val="00A84ACC"/>
    <w:rsid w:val="00AB30D0"/>
    <w:rsid w:val="00B52B13"/>
    <w:rsid w:val="00B719E1"/>
    <w:rsid w:val="00BB7A07"/>
    <w:rsid w:val="00BE2A61"/>
    <w:rsid w:val="00BF5B87"/>
    <w:rsid w:val="00CC53D1"/>
    <w:rsid w:val="00CC5443"/>
    <w:rsid w:val="00D03D27"/>
    <w:rsid w:val="00D6276D"/>
    <w:rsid w:val="00D640DF"/>
    <w:rsid w:val="00D8562C"/>
    <w:rsid w:val="00DE439A"/>
    <w:rsid w:val="00E17512"/>
    <w:rsid w:val="00E238E0"/>
    <w:rsid w:val="00E513AC"/>
    <w:rsid w:val="00EF0121"/>
    <w:rsid w:val="00EF0796"/>
    <w:rsid w:val="00F138CF"/>
    <w:rsid w:val="00F717BA"/>
    <w:rsid w:val="00FB7674"/>
    <w:rsid w:val="00FC60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4270B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BB7A07"/>
  </w:style>
  <w:style w:type="character" w:customStyle="1" w:styleId="FootnoteTextChar">
    <w:name w:val="Footnote Text Char"/>
    <w:basedOn w:val="DefaultParagraphFont"/>
    <w:link w:val="FootnoteText"/>
    <w:uiPriority w:val="99"/>
    <w:rsid w:val="00BB7A07"/>
  </w:style>
  <w:style w:type="character" w:styleId="FootnoteReference">
    <w:name w:val="footnote reference"/>
    <w:basedOn w:val="DefaultParagraphFont"/>
    <w:uiPriority w:val="99"/>
    <w:unhideWhenUsed/>
    <w:rsid w:val="00BB7A07"/>
    <w:rPr>
      <w:vertAlign w:val="superscript"/>
    </w:rPr>
  </w:style>
  <w:style w:type="character" w:styleId="Hyperlink">
    <w:name w:val="Hyperlink"/>
    <w:basedOn w:val="DefaultParagraphFont"/>
    <w:uiPriority w:val="99"/>
    <w:unhideWhenUsed/>
    <w:rsid w:val="00681B07"/>
    <w:rPr>
      <w:color w:val="0563C1" w:themeColor="hyperlink"/>
      <w:u w:val="single"/>
    </w:rPr>
  </w:style>
  <w:style w:type="paragraph" w:styleId="ListParagraph">
    <w:name w:val="List Paragraph"/>
    <w:basedOn w:val="Normal"/>
    <w:uiPriority w:val="34"/>
    <w:qFormat/>
    <w:rsid w:val="000C62E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9839714">
      <w:bodyDiv w:val="1"/>
      <w:marLeft w:val="0"/>
      <w:marRight w:val="0"/>
      <w:marTop w:val="0"/>
      <w:marBottom w:val="0"/>
      <w:divBdr>
        <w:top w:val="none" w:sz="0" w:space="0" w:color="auto"/>
        <w:left w:val="none" w:sz="0" w:space="0" w:color="auto"/>
        <w:bottom w:val="none" w:sz="0" w:space="0" w:color="auto"/>
        <w:right w:val="none" w:sz="0" w:space="0" w:color="auto"/>
      </w:divBdr>
    </w:div>
    <w:div w:id="93162602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8FDFB40B-5043-7049-9E8A-8B92121F50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TotalTime>
  <Pages>6</Pages>
  <Words>2370</Words>
  <Characters>11923</Characters>
  <Application>Microsoft Macintosh Word</Application>
  <DocSecurity>0</DocSecurity>
  <Lines>183</Lines>
  <Paragraphs>23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14270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Conor Kilbride</dc:creator>
  <cp:keywords/>
  <dc:description/>
  <cp:lastModifiedBy>Conor Kilbride</cp:lastModifiedBy>
  <cp:revision>10</cp:revision>
  <dcterms:created xsi:type="dcterms:W3CDTF">2017-12-15T16:47:00Z</dcterms:created>
  <dcterms:modified xsi:type="dcterms:W3CDTF">2017-12-15T21:00:00Z</dcterms:modified>
</cp:coreProperties>
</file>