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FC356B" w:rsidRDefault="00FC356B">
      <w:pPr>
        <w:jc w:val="center"/>
        <w:rPr>
          <w:b/>
          <w:sz w:val="44"/>
          <w:szCs w:val="44"/>
        </w:rPr>
      </w:pPr>
    </w:p>
    <w:p w14:paraId="00000002" w14:textId="77777777" w:rsidR="00FC356B" w:rsidRDefault="00FC356B">
      <w:pPr>
        <w:jc w:val="center"/>
        <w:rPr>
          <w:b/>
          <w:sz w:val="44"/>
          <w:szCs w:val="44"/>
        </w:rPr>
      </w:pPr>
    </w:p>
    <w:p w14:paraId="00000003" w14:textId="77777777" w:rsidR="00FC356B" w:rsidRDefault="00FC356B">
      <w:pPr>
        <w:jc w:val="center"/>
        <w:rPr>
          <w:b/>
          <w:sz w:val="44"/>
          <w:szCs w:val="44"/>
        </w:rPr>
      </w:pPr>
    </w:p>
    <w:p w14:paraId="00000004" w14:textId="77777777" w:rsidR="00FC356B" w:rsidRDefault="00FC356B">
      <w:pPr>
        <w:jc w:val="center"/>
        <w:rPr>
          <w:b/>
          <w:sz w:val="44"/>
          <w:szCs w:val="44"/>
        </w:rPr>
      </w:pPr>
    </w:p>
    <w:p w14:paraId="00000005" w14:textId="77777777" w:rsidR="00FC356B" w:rsidRDefault="00FC356B">
      <w:pPr>
        <w:jc w:val="center"/>
        <w:rPr>
          <w:b/>
          <w:sz w:val="44"/>
          <w:szCs w:val="44"/>
        </w:rPr>
      </w:pPr>
    </w:p>
    <w:p w14:paraId="00000006" w14:textId="77777777" w:rsidR="00FC356B" w:rsidRDefault="00FC356B">
      <w:pPr>
        <w:jc w:val="center"/>
        <w:rPr>
          <w:b/>
          <w:sz w:val="44"/>
          <w:szCs w:val="44"/>
        </w:rPr>
      </w:pPr>
    </w:p>
    <w:p w14:paraId="00000007" w14:textId="77777777" w:rsidR="00FC356B" w:rsidRDefault="00FC356B">
      <w:pPr>
        <w:jc w:val="center"/>
        <w:rPr>
          <w:b/>
          <w:sz w:val="44"/>
          <w:szCs w:val="44"/>
        </w:rPr>
      </w:pPr>
    </w:p>
    <w:p w14:paraId="00000008" w14:textId="77777777" w:rsidR="00FC356B" w:rsidRDefault="00000000">
      <w:pPr>
        <w:jc w:val="center"/>
        <w:rPr>
          <w:b/>
          <w:sz w:val="44"/>
          <w:szCs w:val="44"/>
        </w:rPr>
      </w:pPr>
      <w:r>
        <w:rPr>
          <w:b/>
          <w:sz w:val="44"/>
          <w:szCs w:val="44"/>
        </w:rPr>
        <w:t>Module Title: Management &amp; Organisational Behaviour</w:t>
      </w:r>
    </w:p>
    <w:p w14:paraId="00000009" w14:textId="77777777" w:rsidR="00FC356B" w:rsidRDefault="00000000">
      <w:pPr>
        <w:jc w:val="center"/>
        <w:rPr>
          <w:b/>
          <w:sz w:val="44"/>
          <w:szCs w:val="44"/>
        </w:rPr>
      </w:pPr>
      <w:r>
        <w:rPr>
          <w:b/>
          <w:sz w:val="44"/>
          <w:szCs w:val="44"/>
        </w:rPr>
        <w:t>Module Code: BMIH5004</w:t>
      </w:r>
    </w:p>
    <w:p w14:paraId="0000000A" w14:textId="58A83ADB" w:rsidR="00FC356B" w:rsidRDefault="00000000">
      <w:pPr>
        <w:jc w:val="center"/>
        <w:rPr>
          <w:b/>
          <w:sz w:val="44"/>
          <w:szCs w:val="44"/>
        </w:rPr>
      </w:pPr>
      <w:r>
        <w:rPr>
          <w:b/>
          <w:sz w:val="44"/>
          <w:szCs w:val="44"/>
        </w:rPr>
        <w:t xml:space="preserve">Student </w:t>
      </w:r>
      <w:proofErr w:type="spellStart"/>
      <w:proofErr w:type="gramStart"/>
      <w:r>
        <w:rPr>
          <w:b/>
          <w:sz w:val="44"/>
          <w:szCs w:val="44"/>
        </w:rPr>
        <w:t>Name:</w:t>
      </w:r>
      <w:r w:rsidR="004723F8">
        <w:rPr>
          <w:b/>
          <w:sz w:val="44"/>
          <w:szCs w:val="44"/>
        </w:rPr>
        <w:t>Marian</w:t>
      </w:r>
      <w:proofErr w:type="spellEnd"/>
      <w:proofErr w:type="gramEnd"/>
      <w:r w:rsidR="004723F8">
        <w:rPr>
          <w:b/>
          <w:sz w:val="44"/>
          <w:szCs w:val="44"/>
        </w:rPr>
        <w:t xml:space="preserve"> Aurel Funie</w:t>
      </w:r>
    </w:p>
    <w:p w14:paraId="0000000B" w14:textId="18D34CDB" w:rsidR="00FC356B" w:rsidRDefault="00000000">
      <w:pPr>
        <w:jc w:val="center"/>
        <w:rPr>
          <w:b/>
        </w:rPr>
      </w:pPr>
      <w:r>
        <w:rPr>
          <w:b/>
          <w:sz w:val="44"/>
          <w:szCs w:val="44"/>
        </w:rPr>
        <w:t>Student ID</w:t>
      </w:r>
      <w:r w:rsidRPr="004723F8">
        <w:rPr>
          <w:b/>
          <w:sz w:val="36"/>
          <w:szCs w:val="36"/>
        </w:rPr>
        <w:t xml:space="preserve">: </w:t>
      </w:r>
      <w:r w:rsidR="004723F8" w:rsidRPr="004723F8">
        <w:rPr>
          <w:b/>
          <w:sz w:val="36"/>
          <w:szCs w:val="36"/>
        </w:rPr>
        <w:t>2246593</w:t>
      </w:r>
      <w:r>
        <w:br w:type="page"/>
      </w:r>
    </w:p>
    <w:p w14:paraId="0000000C" w14:textId="77777777" w:rsidR="00FC356B" w:rsidRDefault="00000000">
      <w:pPr>
        <w:jc w:val="center"/>
        <w:rPr>
          <w:b/>
        </w:rPr>
      </w:pPr>
      <w:r>
        <w:rPr>
          <w:b/>
        </w:rPr>
        <w:lastRenderedPageBreak/>
        <w:t>Executive Summary</w:t>
      </w:r>
    </w:p>
    <w:p w14:paraId="0000000D" w14:textId="77777777" w:rsidR="00FC356B" w:rsidRDefault="00000000">
      <w:r>
        <w:t xml:space="preserve">The report has discussed the organisational values and missions. The overview of the organisation has also been portrayed in the following assignment. The impact of change management initiatives and the sustainability efforts have been described in the assignment. The report has discussed the strategic directions of Hilton Hotel while focusing on global expansion, sustainability, and many more. This also has mentioned strategies implemented by the company and as discussed, the Customer Centricity theory of the company. This highlighted the way it helped them in acknowledging the customer behaviour while expanding their business. It also has provided some strategic recommendations for further improvement of the company. </w:t>
      </w:r>
    </w:p>
    <w:p w14:paraId="0000000E" w14:textId="77777777" w:rsidR="00FC356B" w:rsidRDefault="00000000">
      <w:r>
        <w:br w:type="page"/>
      </w:r>
    </w:p>
    <w:p w14:paraId="0000000F" w14:textId="77777777" w:rsidR="00FC356B" w:rsidRDefault="00000000">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740090005"/>
        <w:docPartObj>
          <w:docPartGallery w:val="Table of Contents"/>
          <w:docPartUnique/>
        </w:docPartObj>
      </w:sdtPr>
      <w:sdtContent>
        <w:p w14:paraId="00000010" w14:textId="77777777" w:rsidR="00FC356B" w:rsidRDefault="00000000">
          <w:pPr>
            <w:pBdr>
              <w:top w:val="nil"/>
              <w:left w:val="nil"/>
              <w:bottom w:val="nil"/>
              <w:right w:val="nil"/>
              <w:between w:val="nil"/>
            </w:pBdr>
            <w:tabs>
              <w:tab w:val="right" w:leader="dot" w:pos="9350"/>
            </w:tabs>
            <w:spacing w:after="100"/>
            <w:rPr>
              <w:color w:val="000000"/>
            </w:rPr>
          </w:pPr>
          <w:r>
            <w:fldChar w:fldCharType="begin"/>
          </w:r>
          <w:r>
            <w:instrText xml:space="preserve"> TOC \h \u \z \t "Heading 1,1,Heading 2,2,Heading 3,3,"</w:instrText>
          </w:r>
          <w:r>
            <w:fldChar w:fldCharType="separate"/>
          </w:r>
          <w:hyperlink w:anchor="_heading=h.gjdgxs">
            <w:r w:rsidR="00FC356B">
              <w:rPr>
                <w:color w:val="000000"/>
                <w:highlight w:val="white"/>
              </w:rPr>
              <w:t>Introduction</w:t>
            </w:r>
          </w:hyperlink>
          <w:hyperlink w:anchor="_heading=h.gjdgxs">
            <w:r w:rsidR="00FC356B">
              <w:rPr>
                <w:color w:val="000000"/>
              </w:rPr>
              <w:tab/>
              <w:t>4</w:t>
            </w:r>
          </w:hyperlink>
        </w:p>
        <w:p w14:paraId="00000011" w14:textId="77777777" w:rsidR="00FC356B" w:rsidRDefault="00FC356B">
          <w:pPr>
            <w:pBdr>
              <w:top w:val="nil"/>
              <w:left w:val="nil"/>
              <w:bottom w:val="nil"/>
              <w:right w:val="nil"/>
              <w:between w:val="nil"/>
            </w:pBdr>
            <w:tabs>
              <w:tab w:val="right" w:leader="dot" w:pos="9350"/>
            </w:tabs>
            <w:spacing w:after="100"/>
            <w:ind w:left="240"/>
            <w:rPr>
              <w:color w:val="000000"/>
            </w:rPr>
          </w:pPr>
          <w:hyperlink w:anchor="_heading=h.30j0zll">
            <w:r>
              <w:rPr>
                <w:color w:val="000000"/>
                <w:highlight w:val="white"/>
              </w:rPr>
              <w:t>Organisation Structure, Culture, and Goals</w:t>
            </w:r>
          </w:hyperlink>
          <w:hyperlink w:anchor="_heading=h.30j0zll">
            <w:r>
              <w:rPr>
                <w:color w:val="000000"/>
              </w:rPr>
              <w:tab/>
              <w:t>5</w:t>
            </w:r>
          </w:hyperlink>
        </w:p>
        <w:p w14:paraId="00000012" w14:textId="77777777" w:rsidR="00FC356B" w:rsidRDefault="00FC356B">
          <w:pPr>
            <w:pBdr>
              <w:top w:val="nil"/>
              <w:left w:val="nil"/>
              <w:bottom w:val="nil"/>
              <w:right w:val="nil"/>
              <w:between w:val="nil"/>
            </w:pBdr>
            <w:tabs>
              <w:tab w:val="right" w:leader="dot" w:pos="9350"/>
            </w:tabs>
            <w:spacing w:after="100"/>
            <w:ind w:left="240"/>
            <w:rPr>
              <w:color w:val="000000"/>
            </w:rPr>
          </w:pPr>
          <w:hyperlink w:anchor="_heading=h.1fob9te">
            <w:r>
              <w:rPr>
                <w:color w:val="000000"/>
                <w:highlight w:val="white"/>
              </w:rPr>
              <w:t>Recent Change Initiatives</w:t>
            </w:r>
          </w:hyperlink>
          <w:hyperlink w:anchor="_heading=h.1fob9te">
            <w:r>
              <w:rPr>
                <w:color w:val="000000"/>
              </w:rPr>
              <w:tab/>
              <w:t>7</w:t>
            </w:r>
          </w:hyperlink>
        </w:p>
        <w:p w14:paraId="00000013" w14:textId="77777777" w:rsidR="00FC356B" w:rsidRDefault="00FC356B">
          <w:pPr>
            <w:pBdr>
              <w:top w:val="nil"/>
              <w:left w:val="nil"/>
              <w:bottom w:val="nil"/>
              <w:right w:val="nil"/>
              <w:between w:val="nil"/>
            </w:pBdr>
            <w:tabs>
              <w:tab w:val="right" w:leader="dot" w:pos="9350"/>
            </w:tabs>
            <w:spacing w:after="100"/>
            <w:ind w:left="240"/>
            <w:rPr>
              <w:color w:val="000000"/>
            </w:rPr>
          </w:pPr>
          <w:hyperlink w:anchor="_heading=h.3znysh7">
            <w:r>
              <w:rPr>
                <w:color w:val="000000"/>
              </w:rPr>
              <w:t>Strategic Direction</w:t>
            </w:r>
            <w:r>
              <w:rPr>
                <w:color w:val="000000"/>
              </w:rPr>
              <w:tab/>
              <w:t>9</w:t>
            </w:r>
          </w:hyperlink>
        </w:p>
        <w:p w14:paraId="00000014" w14:textId="77777777" w:rsidR="00FC356B" w:rsidRDefault="00FC356B">
          <w:pPr>
            <w:pBdr>
              <w:top w:val="nil"/>
              <w:left w:val="nil"/>
              <w:bottom w:val="nil"/>
              <w:right w:val="nil"/>
              <w:between w:val="nil"/>
            </w:pBdr>
            <w:tabs>
              <w:tab w:val="right" w:leader="dot" w:pos="9350"/>
            </w:tabs>
            <w:spacing w:after="100"/>
            <w:rPr>
              <w:color w:val="000000"/>
            </w:rPr>
          </w:pPr>
          <w:hyperlink w:anchor="_heading=h.2et92p0">
            <w:r>
              <w:rPr>
                <w:color w:val="000000"/>
              </w:rPr>
              <w:t>Conclusion</w:t>
            </w:r>
            <w:r>
              <w:rPr>
                <w:color w:val="000000"/>
              </w:rPr>
              <w:tab/>
              <w:t>12</w:t>
            </w:r>
          </w:hyperlink>
        </w:p>
        <w:p w14:paraId="00000015" w14:textId="77777777" w:rsidR="00FC356B" w:rsidRDefault="00FC356B">
          <w:pPr>
            <w:pBdr>
              <w:top w:val="nil"/>
              <w:left w:val="nil"/>
              <w:bottom w:val="nil"/>
              <w:right w:val="nil"/>
              <w:between w:val="nil"/>
            </w:pBdr>
            <w:tabs>
              <w:tab w:val="right" w:leader="dot" w:pos="9350"/>
            </w:tabs>
            <w:spacing w:after="100"/>
            <w:rPr>
              <w:color w:val="000000"/>
            </w:rPr>
          </w:pPr>
          <w:hyperlink w:anchor="_heading=h.tyjcwt">
            <w:r>
              <w:rPr>
                <w:color w:val="000000"/>
              </w:rPr>
              <w:t>References</w:t>
            </w:r>
            <w:r>
              <w:rPr>
                <w:color w:val="000000"/>
              </w:rPr>
              <w:tab/>
              <w:t>13</w:t>
            </w:r>
          </w:hyperlink>
        </w:p>
        <w:p w14:paraId="00000016" w14:textId="77777777" w:rsidR="00FC356B" w:rsidRDefault="00000000">
          <w:r>
            <w:fldChar w:fldCharType="end"/>
          </w:r>
        </w:p>
      </w:sdtContent>
    </w:sdt>
    <w:p w14:paraId="00000017" w14:textId="77777777" w:rsidR="00FC356B" w:rsidRDefault="00000000">
      <w:r>
        <w:br w:type="page"/>
      </w:r>
    </w:p>
    <w:p w14:paraId="00000018" w14:textId="77777777" w:rsidR="00FC356B" w:rsidRPr="00547A0C" w:rsidRDefault="00000000">
      <w:pPr>
        <w:pStyle w:val="Heading1"/>
        <w:rPr>
          <w:color w:val="222222"/>
          <w:highlight w:val="white"/>
        </w:rPr>
      </w:pPr>
      <w:bookmarkStart w:id="0" w:name="_heading=h.gjdgxs" w:colFirst="0" w:colLast="0"/>
      <w:bookmarkEnd w:id="0"/>
      <w:r w:rsidRPr="00547A0C">
        <w:rPr>
          <w:color w:val="222222"/>
          <w:highlight w:val="white"/>
        </w:rPr>
        <w:lastRenderedPageBreak/>
        <w:t xml:space="preserve">Introduction </w:t>
      </w:r>
    </w:p>
    <w:p w14:paraId="00000019" w14:textId="77777777" w:rsidR="00FC356B" w:rsidRDefault="00000000">
      <w:pPr>
        <w:rPr>
          <w:color w:val="222222"/>
          <w:highlight w:val="white"/>
        </w:rPr>
      </w:pPr>
      <w:r>
        <w:rPr>
          <w:color w:val="222222"/>
          <w:highlight w:val="white"/>
        </w:rPr>
        <w:t>The Hilton Hotels and Resorts is a renowned hospitality organisation, and it operates a vast portfolio of hotels and resorts. This organisation also provides luxury, full-service, and focused service options, along with a strong concentration on enhancing the guest experience. Additionally, the business operates an award-winning guest loyalty program, and this may allow the members to earn points for staying in the hotel and other experiences. The organisation was founded in 1919 with the help of Conrad Hilton. Besides, the organisation emphasises delivering a positive guest experience with the integration of industry-leading technology enhancements such as automated room upgrades. The report aims to build a more sustainable future for the chosen hospitality industry by implementing effective strategies. The organisation delivers a memorable experience to its guests along with some initiatives (</w:t>
      </w:r>
      <w:proofErr w:type="spellStart"/>
      <w:r>
        <w:rPr>
          <w:color w:val="222222"/>
          <w:highlight w:val="white"/>
        </w:rPr>
        <w:t>Banyeva</w:t>
      </w:r>
      <w:proofErr w:type="spellEnd"/>
      <w:r>
        <w:rPr>
          <w:color w:val="222222"/>
          <w:highlight w:val="white"/>
        </w:rPr>
        <w:t xml:space="preserve"> et al., 2023). </w:t>
      </w:r>
    </w:p>
    <w:p w14:paraId="0000001A" w14:textId="77777777" w:rsidR="00FC356B" w:rsidRDefault="00000000">
      <w:pPr>
        <w:rPr>
          <w:color w:val="222222"/>
          <w:highlight w:val="white"/>
        </w:rPr>
      </w:pPr>
      <w:r>
        <w:rPr>
          <w:color w:val="222222"/>
          <w:highlight w:val="white"/>
        </w:rPr>
        <w:t>The report will focus on a brief overview of the organisation and evaluate its organisational structure. Besides, the values and goals of the business will also be demonstrated in the following assignment. Additionally, the changing initiatives and their implications within the business will be highlighted in the report. Apart from this, some theories and recommendations will be described in the assignment.</w:t>
      </w:r>
      <w:r>
        <w:br w:type="page"/>
      </w:r>
    </w:p>
    <w:p w14:paraId="0000001B" w14:textId="77777777" w:rsidR="00FC356B" w:rsidRDefault="00000000">
      <w:pPr>
        <w:pStyle w:val="Heading2"/>
        <w:rPr>
          <w:highlight w:val="white"/>
        </w:rPr>
      </w:pPr>
      <w:bookmarkStart w:id="1" w:name="_heading=h.30j0zll" w:colFirst="0" w:colLast="0"/>
      <w:bookmarkEnd w:id="1"/>
      <w:r>
        <w:rPr>
          <w:highlight w:val="white"/>
        </w:rPr>
        <w:lastRenderedPageBreak/>
        <w:t xml:space="preserve">Organisation Structure, Culture, and Goals </w:t>
      </w:r>
    </w:p>
    <w:p w14:paraId="0000001C" w14:textId="77777777" w:rsidR="00FC356B" w:rsidRDefault="00000000">
      <w:pPr>
        <w:rPr>
          <w:color w:val="222222"/>
          <w:highlight w:val="white"/>
        </w:rPr>
      </w:pPr>
      <w:r>
        <w:rPr>
          <w:color w:val="222222"/>
          <w:highlight w:val="white"/>
        </w:rPr>
        <w:t xml:space="preserve">The organisation is structured around three areas, such as owning hotels. Managing hotels for others and franchising hotels under the brand. Besides, the business operates under a divisional structure and has a strong concentration on customer service and a diverse portfolio of brands. The C suite of the business has a liability for managing the functional and geographic divisions. Along with this, it can ensure the entire strategic direction of the business. The corporate culture of the organisation is centred around people serving, and they commit. This can influence the entire business operations by emphasising gusset satisfaction, employee empowerment, and a strong concentration on a positive and inclusive work environment. Ultimately, the organisation desires to be the most hospitable company in the global business industry (Hilton, 2021). </w:t>
      </w:r>
    </w:p>
    <w:p w14:paraId="0000001D" w14:textId="77777777" w:rsidR="00FC356B" w:rsidRDefault="00000000">
      <w:pPr>
        <w:rPr>
          <w:b/>
          <w:color w:val="222222"/>
          <w:highlight w:val="white"/>
        </w:rPr>
      </w:pPr>
      <w:r>
        <w:rPr>
          <w:b/>
          <w:color w:val="222222"/>
          <w:highlight w:val="white"/>
        </w:rPr>
        <w:t>Key elements of corporate culture</w:t>
      </w:r>
    </w:p>
    <w:p w14:paraId="0000001E" w14:textId="77777777" w:rsidR="00FC356B" w:rsidRDefault="00000000">
      <w:pPr>
        <w:rPr>
          <w:color w:val="222222"/>
          <w:highlight w:val="white"/>
        </w:rPr>
      </w:pPr>
      <w:r>
        <w:rPr>
          <w:b/>
          <w:color w:val="222222"/>
          <w:highlight w:val="white"/>
        </w:rPr>
        <w:t xml:space="preserve">People first approach: </w:t>
      </w:r>
      <w:r>
        <w:rPr>
          <w:color w:val="222222"/>
          <w:highlight w:val="white"/>
        </w:rPr>
        <w:t>the organisation emphasises treating workers as valued assets. It can foster the sense of belonging and empower them to be their best selves (</w:t>
      </w:r>
      <w:proofErr w:type="spellStart"/>
      <w:r>
        <w:rPr>
          <w:color w:val="222222"/>
          <w:highlight w:val="white"/>
        </w:rPr>
        <w:t>Buhalis</w:t>
      </w:r>
      <w:proofErr w:type="spellEnd"/>
      <w:r>
        <w:rPr>
          <w:color w:val="222222"/>
          <w:highlight w:val="white"/>
        </w:rPr>
        <w:t xml:space="preserve"> and Park, 2021). </w:t>
      </w:r>
    </w:p>
    <w:p w14:paraId="0000001F" w14:textId="77777777" w:rsidR="00FC356B" w:rsidRDefault="00000000">
      <w:pPr>
        <w:rPr>
          <w:color w:val="222222"/>
          <w:highlight w:val="white"/>
        </w:rPr>
      </w:pPr>
      <w:r>
        <w:rPr>
          <w:b/>
          <w:color w:val="222222"/>
          <w:highlight w:val="white"/>
        </w:rPr>
        <w:t xml:space="preserve">Hospitality as a core value: </w:t>
      </w:r>
      <w:r>
        <w:rPr>
          <w:color w:val="222222"/>
          <w:highlight w:val="white"/>
        </w:rPr>
        <w:t xml:space="preserve">The mission of the company is to be the most renowned hospitality company in the world. This can be reflected in their commitment to establishing heartfelt experiences for the guests and providing meaningful opportunities for the team members (Mullins and Dosser, 2013). </w:t>
      </w:r>
    </w:p>
    <w:p w14:paraId="00000020" w14:textId="77777777" w:rsidR="00FC356B" w:rsidRDefault="00000000">
      <w:pPr>
        <w:rPr>
          <w:color w:val="222222"/>
          <w:highlight w:val="white"/>
        </w:rPr>
      </w:pPr>
      <w:r>
        <w:rPr>
          <w:b/>
          <w:color w:val="222222"/>
          <w:highlight w:val="white"/>
        </w:rPr>
        <w:t xml:space="preserve">Focus on guest satisfaction: </w:t>
      </w:r>
      <w:r>
        <w:rPr>
          <w:color w:val="222222"/>
          <w:highlight w:val="white"/>
        </w:rPr>
        <w:t xml:space="preserve">The business often prioritises providing exceptional guest experience along with a service approach depending on customer happiness (Harvey and Maclean, 2023). </w:t>
      </w:r>
    </w:p>
    <w:p w14:paraId="00000021" w14:textId="646F4F11" w:rsidR="00FC356B" w:rsidRDefault="00000000">
      <w:pPr>
        <w:rPr>
          <w:color w:val="222222"/>
          <w:highlight w:val="white"/>
        </w:rPr>
      </w:pPr>
      <w:r>
        <w:rPr>
          <w:b/>
          <w:color w:val="222222"/>
          <w:highlight w:val="white"/>
        </w:rPr>
        <w:t xml:space="preserve">Collaboration and teamwork: </w:t>
      </w:r>
      <w:r>
        <w:rPr>
          <w:color w:val="222222"/>
          <w:highlight w:val="white"/>
        </w:rPr>
        <w:t>the organisation behav</w:t>
      </w:r>
      <w:r w:rsidR="00547A0C">
        <w:rPr>
          <w:color w:val="222222"/>
          <w:highlight w:val="white"/>
        </w:rPr>
        <w:t>i</w:t>
      </w:r>
      <w:r>
        <w:rPr>
          <w:color w:val="222222"/>
          <w:highlight w:val="white"/>
        </w:rPr>
        <w:t xml:space="preserve">ours and values collaboration and teamwork and identify that running hotel needs a team effort (Achmad and </w:t>
      </w:r>
      <w:proofErr w:type="spellStart"/>
      <w:r>
        <w:rPr>
          <w:color w:val="222222"/>
          <w:highlight w:val="white"/>
        </w:rPr>
        <w:t>Yulianah</w:t>
      </w:r>
      <w:proofErr w:type="spellEnd"/>
      <w:r>
        <w:rPr>
          <w:color w:val="222222"/>
          <w:highlight w:val="white"/>
        </w:rPr>
        <w:t xml:space="preserve">, 2022). </w:t>
      </w:r>
    </w:p>
    <w:p w14:paraId="00000022" w14:textId="77777777" w:rsidR="00FC356B" w:rsidRDefault="00000000">
      <w:pPr>
        <w:rPr>
          <w:color w:val="222222"/>
          <w:highlight w:val="white"/>
        </w:rPr>
      </w:pPr>
      <w:r>
        <w:rPr>
          <w:b/>
          <w:color w:val="222222"/>
          <w:highlight w:val="white"/>
        </w:rPr>
        <w:t xml:space="preserve">Diversity and inclusion: </w:t>
      </w:r>
      <w:r>
        <w:rPr>
          <w:color w:val="222222"/>
          <w:highlight w:val="white"/>
        </w:rPr>
        <w:t xml:space="preserve">the company strives for reflecting the global communities in that they operate. This can assist to cultivate an inclusive and welcoming work atmosphere for the guests and the team members (O’Leary and Hilton, 2022). </w:t>
      </w:r>
    </w:p>
    <w:p w14:paraId="00000023" w14:textId="77777777" w:rsidR="00FC356B" w:rsidRDefault="00000000">
      <w:pPr>
        <w:rPr>
          <w:color w:val="222222"/>
          <w:highlight w:val="white"/>
        </w:rPr>
      </w:pPr>
      <w:r>
        <w:rPr>
          <w:b/>
          <w:color w:val="222222"/>
          <w:highlight w:val="white"/>
        </w:rPr>
        <w:t xml:space="preserve">Commitment to CSR policy: </w:t>
      </w:r>
      <w:r>
        <w:rPr>
          <w:color w:val="222222"/>
          <w:highlight w:val="white"/>
        </w:rPr>
        <w:t xml:space="preserve">The business commits to making a positive impact in local communities and also the environment by implementing CSR initiatives into its operations. </w:t>
      </w:r>
    </w:p>
    <w:p w14:paraId="00000024" w14:textId="77777777" w:rsidR="00FC356B" w:rsidRDefault="00000000">
      <w:pPr>
        <w:rPr>
          <w:color w:val="222222"/>
          <w:highlight w:val="white"/>
        </w:rPr>
      </w:pPr>
      <w:r>
        <w:rPr>
          <w:b/>
          <w:color w:val="222222"/>
          <w:highlight w:val="white"/>
        </w:rPr>
        <w:t xml:space="preserve">Continuous development and innovation: </w:t>
      </w:r>
      <w:r>
        <w:rPr>
          <w:color w:val="222222"/>
          <w:highlight w:val="white"/>
        </w:rPr>
        <w:t xml:space="preserve">The organisation called Hilton Hotels and Resorts is highly dedicated to delivering creative opportunities for the team members to achieve full potential (Mullins, 2019). With the help of this, they can be empowered to take initiative and develop their own knowledge and improvement (Griffin, 2022). </w:t>
      </w:r>
    </w:p>
    <w:p w14:paraId="00000025" w14:textId="77777777" w:rsidR="00FC356B" w:rsidRDefault="00000000">
      <w:pPr>
        <w:rPr>
          <w:b/>
          <w:color w:val="222222"/>
          <w:highlight w:val="white"/>
        </w:rPr>
      </w:pPr>
      <w:r>
        <w:rPr>
          <w:b/>
          <w:color w:val="222222"/>
          <w:highlight w:val="white"/>
        </w:rPr>
        <w:t>The influence of corporate culture</w:t>
      </w:r>
    </w:p>
    <w:p w14:paraId="00000026" w14:textId="77777777" w:rsidR="00FC356B" w:rsidRDefault="00000000">
      <w:pPr>
        <w:rPr>
          <w:color w:val="222222"/>
          <w:highlight w:val="white"/>
        </w:rPr>
      </w:pPr>
      <w:r>
        <w:rPr>
          <w:color w:val="222222"/>
          <w:highlight w:val="white"/>
        </w:rPr>
        <w:lastRenderedPageBreak/>
        <w:t xml:space="preserve">Having a positive and supportive work atmosphere results in higher employee engagement and retention, which can result in higher motivation and a skilled workforce within the organisation. Additionally, the empowered and engaged team members can be equipped to provide exceptional customer service, resulting in guest satisfaction and loyalty. Along with this, the culture of cooperation may foster operational efficiency and streamline procedures. On the other hand, the strong corporate culture and commitment may assist to create a strong brand reputation and deliver a unique competitive advantage in the chosen hospitality sector. The integration of CSR policy often influences operational decisions and practices and contributes to promoting sustainability and responsible business practices (Neck et al., 2023). </w:t>
      </w:r>
      <w:r>
        <w:br w:type="page"/>
      </w:r>
    </w:p>
    <w:p w14:paraId="00000027" w14:textId="77777777" w:rsidR="00FC356B" w:rsidRPr="00547A0C" w:rsidRDefault="00000000">
      <w:pPr>
        <w:pStyle w:val="Heading2"/>
        <w:rPr>
          <w:color w:val="222222"/>
          <w:highlight w:val="white"/>
        </w:rPr>
      </w:pPr>
      <w:bookmarkStart w:id="2" w:name="_heading=h.1fob9te" w:colFirst="0" w:colLast="0"/>
      <w:bookmarkEnd w:id="2"/>
      <w:r w:rsidRPr="00547A0C">
        <w:rPr>
          <w:color w:val="222222"/>
          <w:highlight w:val="white"/>
        </w:rPr>
        <w:lastRenderedPageBreak/>
        <w:t>Recent Change Initiatives</w:t>
      </w:r>
    </w:p>
    <w:p w14:paraId="00000028" w14:textId="77777777" w:rsidR="00FC356B" w:rsidRDefault="00000000">
      <w:pPr>
        <w:rPr>
          <w:color w:val="222222"/>
          <w:highlight w:val="white"/>
        </w:rPr>
      </w:pPr>
      <w:r>
        <w:rPr>
          <w:color w:val="222222"/>
          <w:highlight w:val="white"/>
        </w:rPr>
        <w:t xml:space="preserve">The organisation has implemented multiple change initiatives, such as increasing gusset experience through technology and concentrating on sustainability and social impact.  With the use of advanced technologies such as AI and machine learning, the organisation would personalise guest experiences, develop customer service, and understand their preferences. The organisation is committed to driving responsible travel and tourism globally and supporting local communities through grants and initiatives. The change initiates of the organisation, such as digital transformation and sustainability efforts, have impacted the customer experience, operational efficiency, and social responsibility. The company has incorporated voice-activated assistants that can enhance the ease of use and convenience for the guests. Additionally, the advanced technology usage allows their guests to control their environment by using the Hilton Honors app. With the help of data analytics, it can contribute to recognising and attracting potential customers. The organisation has set targeted goals for decreasing its environmental impact (Zientara et al., 2020). </w:t>
      </w:r>
    </w:p>
    <w:p w14:paraId="00000029" w14:textId="77777777" w:rsidR="00FC356B" w:rsidRDefault="00000000">
      <w:pPr>
        <w:rPr>
          <w:color w:val="222222"/>
          <w:highlight w:val="white"/>
        </w:rPr>
      </w:pPr>
      <w:r>
        <w:rPr>
          <w:color w:val="222222"/>
          <w:highlight w:val="white"/>
        </w:rPr>
        <w:t xml:space="preserve">There is a gap between planning and the execution of change initiatives that would hamper the effective organisational change management (Boddy, 2017). </w:t>
      </w:r>
    </w:p>
    <w:p w14:paraId="0000002A" w14:textId="77777777" w:rsidR="00FC356B" w:rsidRDefault="00000000">
      <w:r>
        <w:rPr>
          <w:color w:val="222222"/>
          <w:highlight w:val="white"/>
        </w:rPr>
        <w:t xml:space="preserve">The organisation recognises the requirement for continuous development and regularly assesses its initiatives and programs. It may ensure they stay competitive and relevant. Engaging with multiple stakeholders such as guests, employees, and community members would confirm to them that their initiatives can meet their needs and expectations. By adopting new technologies, the business would optimise recruitment and performance management and allow them faster and more effective change execution (Mullins, 2023). Along with this, the business prioritises employee well-being and enhances a sense of culture that can empower the team members. This can also provide multiple opportunities for further growth and development. With the help of some programs, the business may support communities and focus on some initiatives such as food security and disaster relief. Collaborating with other companies, the business can achieve its sustainability goals. Besides, the organisation utilises Light stay to track and report the environmental and social impact and deliver data-driven perspectives for continuous development (Reidhead, 2020). </w:t>
      </w:r>
      <w:r>
        <w:br w:type="page"/>
      </w:r>
    </w:p>
    <w:p w14:paraId="0000002B" w14:textId="77777777" w:rsidR="00FC356B" w:rsidRDefault="00000000">
      <w:pPr>
        <w:rPr>
          <w:b/>
        </w:rPr>
      </w:pPr>
      <w:r>
        <w:rPr>
          <w:b/>
        </w:rPr>
        <w:lastRenderedPageBreak/>
        <w:t xml:space="preserve">Implementing Theories </w:t>
      </w:r>
    </w:p>
    <w:p w14:paraId="0000002C" w14:textId="77777777" w:rsidR="00FC356B" w:rsidRDefault="00000000">
      <w:r>
        <w:t>Hilton Hotel’s strategic management has promoted changing initiatives, and based on these initiatives, they implement various theories, including stakeholder theory. The stakeholder theory assisted the brand in considering the perspectives and ideas of each stakeholder (Freeman, 2023). Their theory implementation process considered each stakeholder including board of directors, employee perspectives, communities, customers’ requirements and many more. The perspectives of each stakeholder provided a holistic overview of the company regarding the change initiatives. Implementing this theory enabled them to focus on employee empowerment and the technology integration process while aligning the values and objectives of the company. Hence, the stakeholder theory significantly helped in encouraging collaboration among every stakeholder while promoting organisational efficiency (</w:t>
      </w:r>
      <w:proofErr w:type="spellStart"/>
      <w:r>
        <w:t>Hörisch</w:t>
      </w:r>
      <w:proofErr w:type="spellEnd"/>
      <w:r>
        <w:t xml:space="preserve"> et al., 2020). </w:t>
      </w:r>
      <w:r>
        <w:br w:type="page"/>
      </w:r>
    </w:p>
    <w:p w14:paraId="0000002D" w14:textId="77777777" w:rsidR="00FC356B" w:rsidRDefault="00000000">
      <w:pPr>
        <w:pStyle w:val="Heading2"/>
      </w:pPr>
      <w:bookmarkStart w:id="3" w:name="_heading=h.3znysh7" w:colFirst="0" w:colLast="0"/>
      <w:bookmarkEnd w:id="3"/>
      <w:r>
        <w:lastRenderedPageBreak/>
        <w:t>Strategic Direction</w:t>
      </w:r>
    </w:p>
    <w:p w14:paraId="0000002E" w14:textId="7AAD50D5" w:rsidR="00FC356B" w:rsidRDefault="00000000">
      <w:pPr>
        <w:rPr>
          <w:b/>
          <w:i/>
        </w:rPr>
      </w:pPr>
      <w:r>
        <w:rPr>
          <w:b/>
          <w:i/>
        </w:rPr>
        <w:t>Examin</w:t>
      </w:r>
      <w:r w:rsidR="00F36B5C">
        <w:rPr>
          <w:b/>
          <w:i/>
        </w:rPr>
        <w:t>ation of</w:t>
      </w:r>
      <w:r>
        <w:rPr>
          <w:b/>
          <w:i/>
        </w:rPr>
        <w:t xml:space="preserve"> the strategic direction of the organisation</w:t>
      </w:r>
    </w:p>
    <w:p w14:paraId="0000002F" w14:textId="77777777" w:rsidR="00FC356B" w:rsidRDefault="00000000">
      <w:r>
        <w:t>Hilton Hotel has initiated multiple strategic directors to contribute in their growth process, achieving their mission’s ad goals, sustainability aspects and many more. Their strategic directions have included various segments, including ESG, hospitality, and Responsible travel. These directions have emphasised different factors to enhance the overall performance of the company. Incorporating these strategic directions has helped them expand globally (</w:t>
      </w:r>
      <w:proofErr w:type="spellStart"/>
      <w:r>
        <w:t>Kollarova</w:t>
      </w:r>
      <w:proofErr w:type="spellEnd"/>
      <w:r>
        <w:t xml:space="preserve">, 2020). These strategic directors primarily aimed to expand the operations of Hilton Hotek while leveraging brand awareness and customer base. The key elements of their strategy include brand diversification, sustainability focus, customer-centric approach, global expansion, franchise model, and many more. </w:t>
      </w:r>
    </w:p>
    <w:p w14:paraId="00000030" w14:textId="77777777" w:rsidR="00FC356B" w:rsidRDefault="00000000">
      <w:pPr>
        <w:rPr>
          <w:u w:val="single"/>
        </w:rPr>
      </w:pPr>
      <w:r>
        <w:rPr>
          <w:u w:val="single"/>
        </w:rPr>
        <w:t xml:space="preserve">Hospitality </w:t>
      </w:r>
    </w:p>
    <w:p w14:paraId="00000031" w14:textId="77777777" w:rsidR="00FC356B" w:rsidRDefault="00000000">
      <w:r>
        <w:t xml:space="preserve">The hospitality strategic direction focused on their missions, goals and expansion process. This strategic direction utilised franchises, compelling advertisement technologies, and marketing strategies, catering to a wide range of customers and many more. </w:t>
      </w:r>
    </w:p>
    <w:p w14:paraId="00000032" w14:textId="77777777" w:rsidR="00FC356B" w:rsidRDefault="00000000">
      <w:pPr>
        <w:rPr>
          <w:u w:val="single"/>
        </w:rPr>
      </w:pPr>
      <w:r>
        <w:rPr>
          <w:u w:val="single"/>
        </w:rPr>
        <w:t>Responsible travel</w:t>
      </w:r>
    </w:p>
    <w:p w14:paraId="00000033" w14:textId="77777777" w:rsidR="00FC356B" w:rsidRDefault="00000000">
      <w:r>
        <w:t xml:space="preserve">Responsible travel is another strategic direction of Hilton Hotels. This direction emphasised promoting sustainability while promoting a customer-centric approach. Furthermore, they diversified their services to cater to a wide range of customers (Rockett, 2023). </w:t>
      </w:r>
    </w:p>
    <w:p w14:paraId="00000034" w14:textId="77777777" w:rsidR="00FC356B" w:rsidRDefault="00000000">
      <w:pPr>
        <w:rPr>
          <w:u w:val="single"/>
        </w:rPr>
      </w:pPr>
      <w:r>
        <w:rPr>
          <w:u w:val="single"/>
        </w:rPr>
        <w:t xml:space="preserve">ESG </w:t>
      </w:r>
    </w:p>
    <w:p w14:paraId="00000035" w14:textId="77777777" w:rsidR="00FC356B" w:rsidRDefault="00000000">
      <w:r>
        <w:t xml:space="preserve">Environmental, social and governance is other key feature of their strategic direction. This strategic direction of Hilton Hotel emphasised utilising sustainable methods, like electric vehicles and degradable food packaging, and collaborating with the governments to promote infrastructure growth for the social surrounding (Pereira-Moliner et al., 2021). </w:t>
      </w:r>
    </w:p>
    <w:p w14:paraId="00000036" w14:textId="45724F55" w:rsidR="00FC356B" w:rsidRDefault="00000000">
      <w:pPr>
        <w:rPr>
          <w:b/>
          <w:i/>
        </w:rPr>
      </w:pPr>
      <w:r>
        <w:rPr>
          <w:b/>
          <w:i/>
        </w:rPr>
        <w:t>Analy</w:t>
      </w:r>
      <w:r w:rsidR="00F36B5C">
        <w:rPr>
          <w:b/>
          <w:i/>
        </w:rPr>
        <w:t>sis of</w:t>
      </w:r>
      <w:r>
        <w:rPr>
          <w:b/>
          <w:i/>
        </w:rPr>
        <w:t xml:space="preserve"> the strategies implemented to achieve their long-term objectives.</w:t>
      </w:r>
    </w:p>
    <w:p w14:paraId="00000037" w14:textId="77777777" w:rsidR="00FC356B" w:rsidRDefault="00000000">
      <w:r>
        <w:t>The above-mentioned strategic directions impelled various strategies to achieve their long-term goals and objectives. These strategies included diversifying the brand portfolio, franchise model, customer loyalty program, digital marketing and AI incorporation, employee development and customer-centric approach, sustainability initiatives, and many more (</w:t>
      </w:r>
      <w:proofErr w:type="spellStart"/>
      <w:r>
        <w:t>Banyeva</w:t>
      </w:r>
      <w:proofErr w:type="spellEnd"/>
      <w:r>
        <w:t xml:space="preserve"> et al., 2023). These strategies significantly assisted them in attracting a wide range of customers from different regions. </w:t>
      </w:r>
    </w:p>
    <w:p w14:paraId="368971B3" w14:textId="77777777" w:rsidR="00547A0C" w:rsidRDefault="00547A0C">
      <w:pPr>
        <w:rPr>
          <w:u w:val="single"/>
        </w:rPr>
      </w:pPr>
    </w:p>
    <w:p w14:paraId="00000038" w14:textId="1D3933EB" w:rsidR="00FC356B" w:rsidRDefault="00000000">
      <w:pPr>
        <w:rPr>
          <w:u w:val="single"/>
        </w:rPr>
      </w:pPr>
      <w:r>
        <w:rPr>
          <w:u w:val="single"/>
        </w:rPr>
        <w:lastRenderedPageBreak/>
        <w:t>Sustainability initiatives</w:t>
      </w:r>
    </w:p>
    <w:p w14:paraId="00000039" w14:textId="77777777" w:rsidR="00FC356B" w:rsidRDefault="00000000">
      <w:r>
        <w:t xml:space="preserve">They aimed to utilise electric vehicles for transportation purposes. Furthermore, they also focused on using degradable products and reducing their carbon emission. This helped them in achieving their long-term goal of achieving sustainable structure. Also, they have initiated the use of recycled products and have used FSC-certified wooden key cards. These aspects have assisted them in maintaining CSR policies while ensuring sustainable growth of the company. </w:t>
      </w:r>
    </w:p>
    <w:p w14:paraId="0000003A" w14:textId="77777777" w:rsidR="00FC356B" w:rsidRDefault="00000000">
      <w:pPr>
        <w:rPr>
          <w:u w:val="single"/>
        </w:rPr>
      </w:pPr>
      <w:r>
        <w:rPr>
          <w:u w:val="single"/>
        </w:rPr>
        <w:t>Digital marketing and AI integration</w:t>
      </w:r>
    </w:p>
    <w:p w14:paraId="0000003B" w14:textId="77777777" w:rsidR="00FC356B" w:rsidRDefault="00000000">
      <w:r>
        <w:t>Digital marketing helped the company to enhance its storytelling strategies while improving its visual image. Also helped the company to assess the movements of customers and enhance its marketing strategy (Grewal and Levy, 2022). Furthermore, the implementation process of AI has helped them in providing satisfactory customer service. They integrated AI in their chatbots, payment structures, and many more. AI implementation helped them serve their customers with any queries. These factors helped them in enhancing their performance as well as attracting customers from global locations (</w:t>
      </w:r>
      <w:proofErr w:type="spellStart"/>
      <w:r>
        <w:t>Bilgihan</w:t>
      </w:r>
      <w:proofErr w:type="spellEnd"/>
      <w:r>
        <w:t xml:space="preserve"> and Ricci, 2024). </w:t>
      </w:r>
    </w:p>
    <w:p w14:paraId="0000003C" w14:textId="77777777" w:rsidR="00FC356B" w:rsidRDefault="00000000">
      <w:pPr>
        <w:rPr>
          <w:u w:val="single"/>
        </w:rPr>
      </w:pPr>
      <w:r>
        <w:rPr>
          <w:u w:val="single"/>
        </w:rPr>
        <w:t xml:space="preserve">Brand portfolio diversification </w:t>
      </w:r>
    </w:p>
    <w:p w14:paraId="0000003D" w14:textId="77777777" w:rsidR="00FC356B" w:rsidRDefault="00000000">
      <w:r>
        <w:t>Hilton Hotels has been strategically developing and enhancing its services to widen its brand portfolio. They included different customer segments and also acquired various hotel brands. This helped them in exploring different budgets while enhancing their overall cost structure. Furthermore, they established new hotels and partnered with various individual hotel owners to expand their business (</w:t>
      </w:r>
      <w:r>
        <w:rPr>
          <w:color w:val="222222"/>
          <w:highlight w:val="white"/>
        </w:rPr>
        <w:t>Hayes, 2022)</w:t>
      </w:r>
      <w:r>
        <w:t xml:space="preserve">. </w:t>
      </w:r>
    </w:p>
    <w:p w14:paraId="0000003E" w14:textId="77777777" w:rsidR="00FC356B" w:rsidRDefault="00000000">
      <w:r>
        <w:t>These strategic directions and strategies have assisted them in achieving their long-term goals. Also, it has assisted them in expanding their business globally. However, considering their customer-centric approach for expanding business, they implemented various theories including Customer-centricity, a franchising model and many more.</w:t>
      </w:r>
    </w:p>
    <w:p w14:paraId="0000003F" w14:textId="77777777" w:rsidR="00FC356B" w:rsidRDefault="00000000">
      <w:pPr>
        <w:rPr>
          <w:b/>
        </w:rPr>
      </w:pPr>
      <w:r>
        <w:rPr>
          <w:b/>
        </w:rPr>
        <w:t xml:space="preserve">Customer Centricity Theory </w:t>
      </w:r>
    </w:p>
    <w:p w14:paraId="00000040" w14:textId="77777777" w:rsidR="00FC356B" w:rsidRDefault="00000000">
      <w:r>
        <w:t>This theory or business strategy prioritised customer expectations and satisfaction factors. This model has helped Hilton Hotels to assess the customer's perspectives, which helped them expand their business (Fader, 2020). Also, utilising this model helped them in understanding each customer's segment, including psychological, demographic, and many other segments (</w:t>
      </w:r>
      <w:r>
        <w:rPr>
          <w:color w:val="222222"/>
          <w:highlight w:val="white"/>
        </w:rPr>
        <w:t>Arnold, 2020)</w:t>
      </w:r>
      <w:r>
        <w:t xml:space="preserve">. Meanwhile, that assisted them in fostering connections with customers while letting them contribute to the planning process of the company (Urbany and Dapena-Baron, 2024). </w:t>
      </w:r>
      <w:r>
        <w:lastRenderedPageBreak/>
        <w:t xml:space="preserve">Furthermore, this theory assisted Hilton Hotels in incorporating innovation for their customers. Considering these aspects, these significantly help them in expanding their business while enhancing their consumer base. </w:t>
      </w:r>
    </w:p>
    <w:p w14:paraId="00000041" w14:textId="77777777" w:rsidR="00FC356B" w:rsidRDefault="00FC356B"/>
    <w:p w14:paraId="00000042" w14:textId="77777777" w:rsidR="00FC356B" w:rsidRDefault="00FC356B"/>
    <w:p w14:paraId="00000043" w14:textId="77777777" w:rsidR="00FC356B" w:rsidRDefault="00000000">
      <w:r>
        <w:br w:type="page"/>
      </w:r>
    </w:p>
    <w:p w14:paraId="00000044" w14:textId="77777777" w:rsidR="00FC356B" w:rsidRDefault="00000000">
      <w:pPr>
        <w:pStyle w:val="Heading1"/>
      </w:pPr>
      <w:bookmarkStart w:id="4" w:name="_heading=h.2et92p0" w:colFirst="0" w:colLast="0"/>
      <w:bookmarkEnd w:id="4"/>
      <w:r>
        <w:lastRenderedPageBreak/>
        <w:t>Conclusion</w:t>
      </w:r>
    </w:p>
    <w:p w14:paraId="00000045" w14:textId="77777777" w:rsidR="00FC356B" w:rsidRDefault="00000000">
      <w:r>
        <w:t xml:space="preserve">The above report has focused on discussing the Hilton Hotel’s managerial work. Considering this, it has evaluated the organisational structure, culture and goals of the company. The company emphasised diversity, maintaining sustainability, continuous development and expansion. Furthermore, it has stated the recent change initiatives incorporated by Hilton Hotels. This section has included stakeholder theory to understand how stakeholders have contributed to the change initiative development of the company. Furthermore, the report has explored the strategic directions and strategies of the company and has evaluated the customer-centricity theory implemented by the Hilton Hotel. All this information has helped in understanding the organisational structure theoretical approaches of the company. </w:t>
      </w:r>
    </w:p>
    <w:p w14:paraId="00000046" w14:textId="77777777" w:rsidR="00FC356B" w:rsidRDefault="00000000">
      <w:pPr>
        <w:rPr>
          <w:b/>
        </w:rPr>
      </w:pPr>
      <w:r>
        <w:rPr>
          <w:b/>
        </w:rPr>
        <w:t>Recommendations</w:t>
      </w:r>
    </w:p>
    <w:p w14:paraId="00000047" w14:textId="77777777" w:rsidR="00FC356B" w:rsidRDefault="00000000">
      <w:r>
        <w:t xml:space="preserve">Considering the current situation of the company, it is necessary to implement more sustainable technologies. Hence, it is recommended to use a business management tool to enhance the operational workflow of the company. Furthermore, it is also recommended that Hilton Hotels incorporate more innovative leadership theories to empower the employees as this will enable them to provide satisfactory customer services. Also, promoting community and social collaboration will help them in complying with the government regulations while also helping them in promoting their brand image. Also, it is recommended that Hilton Hotels reduce their overall waste generation while effectively managing it. This will significantly contribute to their ability to maintain CSR policies. These strategies and recommendations can enhance their overall efficiency while contributing to their organisational expansion. </w:t>
      </w:r>
      <w:r>
        <w:br w:type="page"/>
      </w:r>
    </w:p>
    <w:p w14:paraId="00000048" w14:textId="77777777" w:rsidR="00FC356B" w:rsidRDefault="00000000">
      <w:pPr>
        <w:pStyle w:val="Heading1"/>
      </w:pPr>
      <w:bookmarkStart w:id="5" w:name="_heading=h.tyjcwt" w:colFirst="0" w:colLast="0"/>
      <w:bookmarkEnd w:id="5"/>
      <w:r>
        <w:lastRenderedPageBreak/>
        <w:t>References</w:t>
      </w:r>
    </w:p>
    <w:p w14:paraId="3675AD6A" w14:textId="77777777" w:rsidR="009A13D2" w:rsidRPr="009A13D2" w:rsidRDefault="009A13D2" w:rsidP="009A13D2">
      <w:pPr>
        <w:rPr>
          <w:color w:val="222222"/>
          <w:highlight w:val="white"/>
        </w:rPr>
      </w:pPr>
      <w:r w:rsidRPr="009A13D2">
        <w:rPr>
          <w:color w:val="222222"/>
          <w:highlight w:val="white"/>
        </w:rPr>
        <w:t xml:space="preserve">Achmad, W. and </w:t>
      </w:r>
      <w:proofErr w:type="spellStart"/>
      <w:r w:rsidRPr="009A13D2">
        <w:rPr>
          <w:color w:val="222222"/>
          <w:highlight w:val="white"/>
        </w:rPr>
        <w:t>Yulianah</w:t>
      </w:r>
      <w:proofErr w:type="spellEnd"/>
      <w:r w:rsidRPr="009A13D2">
        <w:rPr>
          <w:color w:val="222222"/>
          <w:highlight w:val="white"/>
        </w:rPr>
        <w:t>, Y., (2022). Corporate social responsibility of the hospitality industry in realizing sustainable tourism development. Enrichment: Journal of Management, 12(2), pp.1610-1616.</w:t>
      </w:r>
    </w:p>
    <w:p w14:paraId="5B8A7DF8" w14:textId="77777777" w:rsidR="009A13D2" w:rsidRPr="009A13D2" w:rsidRDefault="009A13D2" w:rsidP="009A13D2">
      <w:pPr>
        <w:rPr>
          <w:color w:val="222222"/>
          <w:highlight w:val="white"/>
        </w:rPr>
      </w:pPr>
      <w:r w:rsidRPr="009A13D2">
        <w:rPr>
          <w:color w:val="222222"/>
          <w:highlight w:val="white"/>
        </w:rPr>
        <w:t>Arnold, J. (2020) Work Psychology (7th edition) Harlow: Pearson Education Limited.</w:t>
      </w:r>
    </w:p>
    <w:p w14:paraId="6B0F715A" w14:textId="77777777" w:rsidR="009A13D2" w:rsidRPr="009A13D2" w:rsidRDefault="009A13D2" w:rsidP="009A13D2">
      <w:pPr>
        <w:rPr>
          <w:color w:val="222222"/>
          <w:highlight w:val="white"/>
        </w:rPr>
      </w:pPr>
      <w:proofErr w:type="spellStart"/>
      <w:r w:rsidRPr="009A13D2">
        <w:rPr>
          <w:color w:val="222222"/>
          <w:highlight w:val="white"/>
        </w:rPr>
        <w:t>Banyeva</w:t>
      </w:r>
      <w:proofErr w:type="spellEnd"/>
      <w:r w:rsidRPr="009A13D2">
        <w:rPr>
          <w:color w:val="222222"/>
          <w:highlight w:val="white"/>
        </w:rPr>
        <w:t xml:space="preserve">, I., </w:t>
      </w:r>
      <w:proofErr w:type="spellStart"/>
      <w:r w:rsidRPr="009A13D2">
        <w:rPr>
          <w:color w:val="222222"/>
          <w:highlight w:val="white"/>
        </w:rPr>
        <w:t>Lebedieva</w:t>
      </w:r>
      <w:proofErr w:type="spellEnd"/>
      <w:r w:rsidRPr="009A13D2">
        <w:rPr>
          <w:color w:val="222222"/>
          <w:highlight w:val="white"/>
        </w:rPr>
        <w:t xml:space="preserve">, N., </w:t>
      </w:r>
      <w:proofErr w:type="spellStart"/>
      <w:r w:rsidRPr="009A13D2">
        <w:rPr>
          <w:color w:val="222222"/>
          <w:highlight w:val="white"/>
        </w:rPr>
        <w:t>Parfinenko</w:t>
      </w:r>
      <w:proofErr w:type="spellEnd"/>
      <w:r w:rsidRPr="009A13D2">
        <w:rPr>
          <w:color w:val="222222"/>
          <w:highlight w:val="white"/>
        </w:rPr>
        <w:t xml:space="preserve">, T., </w:t>
      </w:r>
      <w:proofErr w:type="spellStart"/>
      <w:r w:rsidRPr="009A13D2">
        <w:rPr>
          <w:color w:val="222222"/>
          <w:highlight w:val="white"/>
        </w:rPr>
        <w:t>Velychko</w:t>
      </w:r>
      <w:proofErr w:type="spellEnd"/>
      <w:r w:rsidRPr="009A13D2">
        <w:rPr>
          <w:color w:val="222222"/>
          <w:highlight w:val="white"/>
        </w:rPr>
        <w:t xml:space="preserve">, O., Petrova, O. and </w:t>
      </w:r>
      <w:proofErr w:type="spellStart"/>
      <w:r w:rsidRPr="009A13D2">
        <w:rPr>
          <w:color w:val="222222"/>
          <w:highlight w:val="white"/>
        </w:rPr>
        <w:t>Peresichna</w:t>
      </w:r>
      <w:proofErr w:type="spellEnd"/>
      <w:r w:rsidRPr="009A13D2">
        <w:rPr>
          <w:color w:val="222222"/>
          <w:highlight w:val="white"/>
        </w:rPr>
        <w:t>, S., (2023). Digital Tools of Marketing Strategies in Hotel Branding. Journal of Information Technology Management, 15(1), pp.62-88.</w:t>
      </w:r>
    </w:p>
    <w:p w14:paraId="4A7C76DE" w14:textId="77777777" w:rsidR="009A13D2" w:rsidRDefault="009A13D2" w:rsidP="009A13D2">
      <w:proofErr w:type="spellStart"/>
      <w:r>
        <w:t>Bilgihan</w:t>
      </w:r>
      <w:proofErr w:type="spellEnd"/>
      <w:r>
        <w:t>, A. and Ricci, P., (2024). The new era of hotel marketing: integrating cutting-edge technologies with core marketing principles. Journal of Hospitality and Tourism Technology, 15(1), pp.123-137.</w:t>
      </w:r>
    </w:p>
    <w:p w14:paraId="23E8EF27" w14:textId="77777777" w:rsidR="009A13D2" w:rsidRPr="009A13D2" w:rsidRDefault="009A13D2" w:rsidP="009A13D2">
      <w:pPr>
        <w:rPr>
          <w:color w:val="222222"/>
          <w:highlight w:val="white"/>
        </w:rPr>
      </w:pPr>
      <w:r w:rsidRPr="009A13D2">
        <w:rPr>
          <w:color w:val="222222"/>
          <w:highlight w:val="white"/>
        </w:rPr>
        <w:t>Boddy, D. (2017) Management: An Introduction (7th Ed), Harlow, Pearson</w:t>
      </w:r>
    </w:p>
    <w:p w14:paraId="3A2B701A" w14:textId="77777777" w:rsidR="009A13D2" w:rsidRPr="009A13D2" w:rsidRDefault="009A13D2" w:rsidP="009A13D2">
      <w:pPr>
        <w:rPr>
          <w:color w:val="222222"/>
          <w:highlight w:val="white"/>
        </w:rPr>
      </w:pPr>
      <w:proofErr w:type="spellStart"/>
      <w:r w:rsidRPr="009A13D2">
        <w:rPr>
          <w:color w:val="222222"/>
          <w:highlight w:val="white"/>
        </w:rPr>
        <w:t>Buhalis</w:t>
      </w:r>
      <w:proofErr w:type="spellEnd"/>
      <w:r w:rsidRPr="009A13D2">
        <w:rPr>
          <w:color w:val="222222"/>
          <w:highlight w:val="white"/>
        </w:rPr>
        <w:t>, D. and Park, S., (2021). Brand management and cocreation lessons from tourism and hospitality: introduction to the special issue. Journal of Product &amp; Brand Management, 30(1), pp.1-11.</w:t>
      </w:r>
    </w:p>
    <w:p w14:paraId="2F78737B" w14:textId="77777777" w:rsidR="009A13D2" w:rsidRDefault="009A13D2" w:rsidP="009A13D2">
      <w:r>
        <w:t>Fader, P., (2020). Customer centricity: Focus on the right customers for strategic advantage. University of Pennsylvania Press.</w:t>
      </w:r>
    </w:p>
    <w:p w14:paraId="3AF30DF3" w14:textId="77777777" w:rsidR="009A13D2" w:rsidRDefault="009A13D2" w:rsidP="009A13D2">
      <w:r>
        <w:t>Freeman, R.E., (2023). The politics of stakeholder theory: Some future directions. In R. Edward Freeman’s selected works on stakeholder theory and business ethics (pp. 119-132). Cham: Springer International Publishing.</w:t>
      </w:r>
    </w:p>
    <w:p w14:paraId="196AFC12" w14:textId="77777777" w:rsidR="009A13D2" w:rsidRDefault="009A13D2" w:rsidP="009A13D2">
      <w:r>
        <w:t>Grewal, D. and Levy, M., (2022). Marketing. McGraw-Hill.</w:t>
      </w:r>
    </w:p>
    <w:p w14:paraId="3854FB62" w14:textId="77777777" w:rsidR="009A13D2" w:rsidRPr="009A13D2" w:rsidRDefault="009A13D2" w:rsidP="009A13D2">
      <w:pPr>
        <w:rPr>
          <w:color w:val="222222"/>
          <w:highlight w:val="white"/>
        </w:rPr>
      </w:pPr>
      <w:r w:rsidRPr="009A13D2">
        <w:rPr>
          <w:color w:val="222222"/>
          <w:highlight w:val="white"/>
        </w:rPr>
        <w:t xml:space="preserve">Griffin, R.W., (2022). Fundamentals of management. Cengage Learning, </w:t>
      </w:r>
      <w:proofErr w:type="gramStart"/>
      <w:r w:rsidRPr="009A13D2">
        <w:rPr>
          <w:color w:val="222222"/>
          <w:highlight w:val="white"/>
        </w:rPr>
        <w:t>Inc..</w:t>
      </w:r>
      <w:proofErr w:type="gramEnd"/>
    </w:p>
    <w:p w14:paraId="2F3CA4F6" w14:textId="77777777" w:rsidR="009A13D2" w:rsidRPr="009A13D2" w:rsidRDefault="009A13D2" w:rsidP="009A13D2">
      <w:pPr>
        <w:rPr>
          <w:color w:val="222222"/>
          <w:highlight w:val="white"/>
        </w:rPr>
      </w:pPr>
      <w:r w:rsidRPr="009A13D2">
        <w:rPr>
          <w:color w:val="222222"/>
          <w:highlight w:val="white"/>
        </w:rPr>
        <w:t>Harlow, Pearson.</w:t>
      </w:r>
    </w:p>
    <w:p w14:paraId="44913A59" w14:textId="77777777" w:rsidR="009A13D2" w:rsidRPr="009A13D2" w:rsidRDefault="009A13D2" w:rsidP="009A13D2">
      <w:pPr>
        <w:rPr>
          <w:color w:val="222222"/>
          <w:highlight w:val="white"/>
        </w:rPr>
      </w:pPr>
      <w:r w:rsidRPr="009A13D2">
        <w:rPr>
          <w:color w:val="222222"/>
          <w:highlight w:val="white"/>
        </w:rPr>
        <w:t>Harvey, C. and Maclean, M., (2023). Historical organization studies. In Handbook of historical methods for management (pp. 17-34). Edward Elgar Publishing.</w:t>
      </w:r>
    </w:p>
    <w:p w14:paraId="12783F07" w14:textId="77777777" w:rsidR="009A13D2" w:rsidRPr="009A13D2" w:rsidRDefault="009A13D2" w:rsidP="009A13D2">
      <w:pPr>
        <w:rPr>
          <w:color w:val="222222"/>
          <w:highlight w:val="white"/>
        </w:rPr>
      </w:pPr>
      <w:r w:rsidRPr="009A13D2">
        <w:rPr>
          <w:color w:val="222222"/>
          <w:highlight w:val="white"/>
        </w:rPr>
        <w:t>Hayes, J., (2022). </w:t>
      </w:r>
      <w:r w:rsidRPr="009A13D2">
        <w:rPr>
          <w:i/>
          <w:color w:val="222222"/>
          <w:highlight w:val="white"/>
        </w:rPr>
        <w:t>The theory and practice of change management</w:t>
      </w:r>
      <w:r w:rsidRPr="009A13D2">
        <w:rPr>
          <w:color w:val="222222"/>
          <w:highlight w:val="white"/>
        </w:rPr>
        <w:t>. Bloomsbury Publishing.</w:t>
      </w:r>
    </w:p>
    <w:p w14:paraId="2A16A917" w14:textId="77777777" w:rsidR="009A13D2" w:rsidRPr="009A13D2" w:rsidRDefault="009A13D2" w:rsidP="009A13D2">
      <w:pPr>
        <w:rPr>
          <w:color w:val="222222"/>
          <w:highlight w:val="white"/>
        </w:rPr>
      </w:pPr>
      <w:r w:rsidRPr="009A13D2">
        <w:rPr>
          <w:color w:val="222222"/>
          <w:highlight w:val="white"/>
        </w:rPr>
        <w:t xml:space="preserve">Hilton, C.A., (2021). </w:t>
      </w:r>
      <w:proofErr w:type="spellStart"/>
      <w:r w:rsidRPr="009A13D2">
        <w:rPr>
          <w:color w:val="222222"/>
          <w:highlight w:val="white"/>
        </w:rPr>
        <w:t>Indigenomics</w:t>
      </w:r>
      <w:proofErr w:type="spellEnd"/>
      <w:r w:rsidRPr="009A13D2">
        <w:rPr>
          <w:color w:val="222222"/>
          <w:highlight w:val="white"/>
        </w:rPr>
        <w:t>: Taking a seat at the economic table. New Society Publishers.</w:t>
      </w:r>
    </w:p>
    <w:p w14:paraId="42619E03" w14:textId="77777777" w:rsidR="009A13D2" w:rsidRDefault="009A13D2" w:rsidP="009A13D2">
      <w:proofErr w:type="spellStart"/>
      <w:r>
        <w:t>Hörisch</w:t>
      </w:r>
      <w:proofErr w:type="spellEnd"/>
      <w:r>
        <w:t xml:space="preserve">, J., </w:t>
      </w:r>
      <w:proofErr w:type="spellStart"/>
      <w:r>
        <w:t>Schaltegger</w:t>
      </w:r>
      <w:proofErr w:type="spellEnd"/>
      <w:r>
        <w:t>, S. and Freeman, R.E., (2020). Integrating stakeholder theory and sustainability accounting: A conceptual synthesis. Journal of Cleaner Production, 275, p.124097.</w:t>
      </w:r>
    </w:p>
    <w:p w14:paraId="35F7BDF2" w14:textId="77777777" w:rsidR="009A13D2" w:rsidRDefault="009A13D2" w:rsidP="009A13D2">
      <w:proofErr w:type="spellStart"/>
      <w:r>
        <w:t>Kollarova</w:t>
      </w:r>
      <w:proofErr w:type="spellEnd"/>
      <w:r>
        <w:t>, D., (2020). Globalisation and its impact on the creation of sustainable points of purchase. In SHS Web of Conferences (Vol. 74, p. 04011). EDP Sciences.</w:t>
      </w:r>
    </w:p>
    <w:p w14:paraId="7C3EB31E" w14:textId="77777777" w:rsidR="009A13D2" w:rsidRPr="009A13D2" w:rsidRDefault="009A13D2" w:rsidP="009A13D2">
      <w:pPr>
        <w:rPr>
          <w:color w:val="222222"/>
          <w:highlight w:val="white"/>
        </w:rPr>
      </w:pPr>
      <w:r w:rsidRPr="009A13D2">
        <w:rPr>
          <w:color w:val="222222"/>
          <w:highlight w:val="white"/>
        </w:rPr>
        <w:lastRenderedPageBreak/>
        <w:t>Mullins, L &amp; Dosser, P. (2013) Hospitality Management and Organisational Behaviour (5th Ed)</w:t>
      </w:r>
    </w:p>
    <w:p w14:paraId="0C6A8DAC" w14:textId="77777777" w:rsidR="009A13D2" w:rsidRPr="009A13D2" w:rsidRDefault="009A13D2" w:rsidP="009A13D2">
      <w:pPr>
        <w:rPr>
          <w:color w:val="222222"/>
          <w:highlight w:val="white"/>
        </w:rPr>
      </w:pPr>
      <w:r w:rsidRPr="009A13D2">
        <w:rPr>
          <w:color w:val="222222"/>
          <w:highlight w:val="white"/>
        </w:rPr>
        <w:t>Mullins, L (2019) Organisational Behaviour in the Workplace (12th edition) Harlow: Pearson</w:t>
      </w:r>
    </w:p>
    <w:p w14:paraId="6EC9B80D" w14:textId="77777777" w:rsidR="009A13D2" w:rsidRPr="009A13D2" w:rsidRDefault="009A13D2" w:rsidP="009A13D2">
      <w:pPr>
        <w:rPr>
          <w:color w:val="222222"/>
          <w:highlight w:val="white"/>
        </w:rPr>
      </w:pPr>
      <w:r w:rsidRPr="009A13D2">
        <w:rPr>
          <w:color w:val="222222"/>
          <w:highlight w:val="white"/>
        </w:rPr>
        <w:t>Mullins, L. (2023) Management and Organisational Behaviour (13th edition) Harlow: Pearson</w:t>
      </w:r>
    </w:p>
    <w:p w14:paraId="4BA6D03F" w14:textId="77777777" w:rsidR="009A13D2" w:rsidRPr="009A13D2" w:rsidRDefault="009A13D2" w:rsidP="009A13D2">
      <w:pPr>
        <w:rPr>
          <w:color w:val="222222"/>
          <w:highlight w:val="white"/>
        </w:rPr>
      </w:pPr>
      <w:r w:rsidRPr="009A13D2">
        <w:rPr>
          <w:color w:val="222222"/>
          <w:highlight w:val="white"/>
        </w:rPr>
        <w:t xml:space="preserve">Neck, C.P., Houghton, J.D. and Murray, E.L., (2023). Organizational </w:t>
      </w:r>
      <w:proofErr w:type="spellStart"/>
      <w:r w:rsidRPr="009A13D2">
        <w:rPr>
          <w:color w:val="222222"/>
          <w:highlight w:val="white"/>
        </w:rPr>
        <w:t>behavior</w:t>
      </w:r>
      <w:proofErr w:type="spellEnd"/>
      <w:r w:rsidRPr="009A13D2">
        <w:rPr>
          <w:color w:val="222222"/>
          <w:highlight w:val="white"/>
        </w:rPr>
        <w:t>: A skill-building approach. Sage Publications.</w:t>
      </w:r>
    </w:p>
    <w:p w14:paraId="598FCEBC" w14:textId="77777777" w:rsidR="009A13D2" w:rsidRPr="009A13D2" w:rsidRDefault="009A13D2" w:rsidP="009A13D2">
      <w:pPr>
        <w:rPr>
          <w:color w:val="222222"/>
          <w:highlight w:val="white"/>
        </w:rPr>
      </w:pPr>
      <w:r w:rsidRPr="009A13D2">
        <w:rPr>
          <w:color w:val="222222"/>
          <w:highlight w:val="white"/>
        </w:rPr>
        <w:t>O’Leary, R. and Hilton, R.M., (2022). Life and work: Always choosing. In Work-Life Balance in Higher Education (pp. 12-18). Routledge.</w:t>
      </w:r>
    </w:p>
    <w:p w14:paraId="7CFAF7EE" w14:textId="77777777" w:rsidR="009A13D2" w:rsidRDefault="009A13D2" w:rsidP="009A13D2">
      <w:r>
        <w:t>Pereira-Moliner, J., López-Gamero, M.D., Molina-</w:t>
      </w:r>
      <w:proofErr w:type="spellStart"/>
      <w:r>
        <w:t>Azorín</w:t>
      </w:r>
      <w:proofErr w:type="spellEnd"/>
      <w:r>
        <w:t xml:space="preserve">, J.F., </w:t>
      </w:r>
      <w:proofErr w:type="spellStart"/>
      <w:r>
        <w:t>Tarí</w:t>
      </w:r>
      <w:proofErr w:type="spellEnd"/>
      <w:r>
        <w:t xml:space="preserve">, J.J. and </w:t>
      </w:r>
      <w:proofErr w:type="spellStart"/>
      <w:r>
        <w:t>Pertusa</w:t>
      </w:r>
      <w:proofErr w:type="spellEnd"/>
      <w:r>
        <w:t>-Ortega, E.M., (2021). Sustainability, competitive advantages and performance in the hotel industry: A synergistic relationship.</w:t>
      </w:r>
    </w:p>
    <w:p w14:paraId="43066C68" w14:textId="77777777" w:rsidR="009A13D2" w:rsidRPr="009A13D2" w:rsidRDefault="009A13D2" w:rsidP="009A13D2">
      <w:pPr>
        <w:rPr>
          <w:color w:val="222222"/>
          <w:highlight w:val="white"/>
        </w:rPr>
      </w:pPr>
      <w:r w:rsidRPr="009A13D2">
        <w:rPr>
          <w:color w:val="222222"/>
          <w:highlight w:val="white"/>
        </w:rPr>
        <w:t>Reidhead, C., (2020). Impact of organizational culture on employee satisfaction: A case of Hilton hotel, United Kingdom. Journal of Economics and Business, 3(1).</w:t>
      </w:r>
    </w:p>
    <w:p w14:paraId="6879B0DD" w14:textId="77777777" w:rsidR="009A13D2" w:rsidRDefault="009A13D2" w:rsidP="009A13D2">
      <w:r>
        <w:t>Rockett, G., (2023). History/overview of Hilton. The Routledge Handbook of Diversity, Equity, and Inclusion Management in the Hospitality Industry.</w:t>
      </w:r>
    </w:p>
    <w:p w14:paraId="1F82FB62" w14:textId="77777777" w:rsidR="009A13D2" w:rsidRDefault="009A13D2" w:rsidP="009A13D2">
      <w:r>
        <w:t>Urbany, J.E. and Dapena-Baron, M., (2024). The pursuit of customer centricity. AMS Review, 14(3), pp.298-307.</w:t>
      </w:r>
    </w:p>
    <w:p w14:paraId="7EF2A40E" w14:textId="77777777" w:rsidR="009A13D2" w:rsidRPr="009A13D2" w:rsidRDefault="009A13D2" w:rsidP="009A13D2">
      <w:pPr>
        <w:rPr>
          <w:color w:val="222222"/>
          <w:highlight w:val="white"/>
        </w:rPr>
      </w:pPr>
      <w:r w:rsidRPr="009A13D2">
        <w:rPr>
          <w:color w:val="222222"/>
          <w:highlight w:val="white"/>
        </w:rPr>
        <w:t xml:space="preserve">Zientara, P., </w:t>
      </w:r>
      <w:proofErr w:type="spellStart"/>
      <w:r w:rsidRPr="009A13D2">
        <w:rPr>
          <w:color w:val="222222"/>
          <w:highlight w:val="white"/>
        </w:rPr>
        <w:t>Bohdanowicz</w:t>
      </w:r>
      <w:proofErr w:type="spellEnd"/>
      <w:r w:rsidRPr="009A13D2">
        <w:rPr>
          <w:color w:val="222222"/>
          <w:highlight w:val="white"/>
        </w:rPr>
        <w:t xml:space="preserve">-Godfrey, P., Whitely, C. and Maciejewski, G., (2020). A case study of </w:t>
      </w:r>
      <w:proofErr w:type="spellStart"/>
      <w:r w:rsidRPr="009A13D2">
        <w:rPr>
          <w:color w:val="222222"/>
          <w:highlight w:val="white"/>
        </w:rPr>
        <w:t>LightStay</w:t>
      </w:r>
      <w:proofErr w:type="spellEnd"/>
      <w:r w:rsidRPr="009A13D2">
        <w:rPr>
          <w:color w:val="222222"/>
          <w:highlight w:val="white"/>
        </w:rPr>
        <w:t xml:space="preserve"> (2010–2017)—Hilton’s corporate responsibility management system. Energies, 13(9), p.2303.</w:t>
      </w:r>
    </w:p>
    <w:sectPr w:rsidR="009A13D2" w:rsidRPr="009A13D2">
      <w:headerReference w:type="default" r:id="rId8"/>
      <w:footerReference w:type="default" r:id="rId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A3440" w14:textId="77777777" w:rsidR="00BE4472" w:rsidRDefault="00BE4472">
      <w:pPr>
        <w:spacing w:line="240" w:lineRule="auto"/>
      </w:pPr>
      <w:r>
        <w:separator/>
      </w:r>
    </w:p>
  </w:endnote>
  <w:endnote w:type="continuationSeparator" w:id="0">
    <w:p w14:paraId="4EF08250" w14:textId="77777777" w:rsidR="00BE4472" w:rsidRDefault="00BE44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5" w14:textId="2C2A8953" w:rsidR="00FC356B"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547A0C">
      <w:rPr>
        <w:b/>
        <w:noProof/>
        <w:color w:val="000000"/>
      </w:rPr>
      <w:t>2</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547A0C">
      <w:rPr>
        <w:b/>
        <w:noProof/>
        <w:color w:val="000000"/>
      </w:rPr>
      <w:t>3</w:t>
    </w:r>
    <w:r>
      <w:rPr>
        <w:b/>
        <w:color w:val="000000"/>
      </w:rPr>
      <w:fldChar w:fldCharType="end"/>
    </w:r>
  </w:p>
  <w:p w14:paraId="00000066" w14:textId="77777777" w:rsidR="00FC356B" w:rsidRDefault="00FC356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1E2A8" w14:textId="77777777" w:rsidR="00BE4472" w:rsidRDefault="00BE4472">
      <w:pPr>
        <w:spacing w:line="240" w:lineRule="auto"/>
      </w:pPr>
      <w:r>
        <w:separator/>
      </w:r>
    </w:p>
  </w:footnote>
  <w:footnote w:type="continuationSeparator" w:id="0">
    <w:p w14:paraId="6829DDA9" w14:textId="77777777" w:rsidR="00BE4472" w:rsidRDefault="00BE44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4" w14:textId="77777777" w:rsidR="00FC356B" w:rsidRDefault="00000000">
    <w:pPr>
      <w:jc w:val="right"/>
    </w:pPr>
    <w:r>
      <w:t>Management &amp;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312E7F"/>
    <w:multiLevelType w:val="hybridMultilevel"/>
    <w:tmpl w:val="D98087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92003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56B"/>
    <w:rsid w:val="004723F8"/>
    <w:rsid w:val="00547A0C"/>
    <w:rsid w:val="00573DDC"/>
    <w:rsid w:val="006316B4"/>
    <w:rsid w:val="00683B65"/>
    <w:rsid w:val="0068720D"/>
    <w:rsid w:val="009A13D2"/>
    <w:rsid w:val="00BE4472"/>
    <w:rsid w:val="00F36B5C"/>
    <w:rsid w:val="00F6611C"/>
    <w:rsid w:val="00FC35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3B764"/>
  <w15:docId w15:val="{C3EA0AB9-1ECC-4528-960D-68C8ACB95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052E6"/>
    <w:pPr>
      <w:tabs>
        <w:tab w:val="center" w:pos="4513"/>
        <w:tab w:val="right" w:pos="9026"/>
      </w:tabs>
      <w:spacing w:line="240" w:lineRule="auto"/>
    </w:pPr>
  </w:style>
  <w:style w:type="character" w:customStyle="1" w:styleId="HeaderChar">
    <w:name w:val="Header Char"/>
    <w:basedOn w:val="DefaultParagraphFont"/>
    <w:link w:val="Header"/>
    <w:uiPriority w:val="99"/>
    <w:rsid w:val="00F052E6"/>
  </w:style>
  <w:style w:type="paragraph" w:styleId="Footer">
    <w:name w:val="footer"/>
    <w:basedOn w:val="Normal"/>
    <w:link w:val="FooterChar"/>
    <w:uiPriority w:val="99"/>
    <w:unhideWhenUsed/>
    <w:rsid w:val="00F052E6"/>
    <w:pPr>
      <w:tabs>
        <w:tab w:val="center" w:pos="4513"/>
        <w:tab w:val="right" w:pos="9026"/>
      </w:tabs>
      <w:spacing w:line="240" w:lineRule="auto"/>
    </w:pPr>
  </w:style>
  <w:style w:type="character" w:customStyle="1" w:styleId="FooterChar">
    <w:name w:val="Footer Char"/>
    <w:basedOn w:val="DefaultParagraphFont"/>
    <w:link w:val="Footer"/>
    <w:uiPriority w:val="99"/>
    <w:rsid w:val="00F052E6"/>
  </w:style>
  <w:style w:type="paragraph" w:styleId="ListParagraph">
    <w:name w:val="List Paragraph"/>
    <w:basedOn w:val="Normal"/>
    <w:uiPriority w:val="34"/>
    <w:qFormat/>
    <w:rsid w:val="00F052E6"/>
    <w:pPr>
      <w:ind w:left="720"/>
      <w:contextualSpacing/>
    </w:pPr>
  </w:style>
  <w:style w:type="paragraph" w:styleId="TOCHeading">
    <w:name w:val="TOC Heading"/>
    <w:basedOn w:val="Heading1"/>
    <w:next w:val="Normal"/>
    <w:uiPriority w:val="39"/>
    <w:unhideWhenUsed/>
    <w:qFormat/>
    <w:rsid w:val="00F052E6"/>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052E6"/>
    <w:pPr>
      <w:spacing w:after="100"/>
    </w:pPr>
  </w:style>
  <w:style w:type="paragraph" w:styleId="TOC2">
    <w:name w:val="toc 2"/>
    <w:basedOn w:val="Normal"/>
    <w:next w:val="Normal"/>
    <w:autoRedefine/>
    <w:uiPriority w:val="39"/>
    <w:unhideWhenUsed/>
    <w:rsid w:val="00F052E6"/>
    <w:pPr>
      <w:spacing w:after="100"/>
      <w:ind w:left="240"/>
    </w:pPr>
  </w:style>
  <w:style w:type="character" w:styleId="Hyperlink">
    <w:name w:val="Hyperlink"/>
    <w:basedOn w:val="DefaultParagraphFont"/>
    <w:uiPriority w:val="99"/>
    <w:unhideWhenUsed/>
    <w:rsid w:val="00F052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kChY/BMTuRQ8RreV6QpmCgx4TQ==">CgMxLjAyCGguZ2pkZ3hzMgloLjMwajB6bGwyCWguMWZvYjl0ZTIJaC4zem55c2g3MgloLjJldDkycDAyCGgudHlqY3d0OAByITFLQ3lFX0dkVnJQc2ZuQlVyMmxaY3ZPM1NXdElpWFZmeg==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2980</Words>
  <Characters>16991</Characters>
  <Application>Microsoft Office Word</Application>
  <DocSecurity>0</DocSecurity>
  <Lines>141</Lines>
  <Paragraphs>39</Paragraphs>
  <ScaleCrop>false</ScaleCrop>
  <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MirelSan Funie</cp:lastModifiedBy>
  <cp:revision>2</cp:revision>
  <dcterms:created xsi:type="dcterms:W3CDTF">2025-03-07T11:34:00Z</dcterms:created>
  <dcterms:modified xsi:type="dcterms:W3CDTF">2025-03-09T18:51:00Z</dcterms:modified>
</cp:coreProperties>
</file>