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7DBA" w14:textId="2C3206F7" w:rsidR="5BDDA74D" w:rsidRDefault="5BDDA74D" w:rsidP="2B49D85C">
      <w:pPr>
        <w:rPr>
          <w:rFonts w:ascii="Aptos" w:eastAsia="Aptos" w:hAnsi="Aptos" w:cs="Aptos"/>
        </w:rPr>
      </w:pPr>
      <w:r w:rsidRPr="2B49D85C">
        <w:rPr>
          <w:rFonts w:ascii="Aptos" w:eastAsia="Aptos" w:hAnsi="Aptos" w:cs="Aptos"/>
          <w:color w:val="000000" w:themeColor="text1"/>
        </w:rPr>
        <w:t>Corentine Byrd</w:t>
      </w:r>
      <w:r>
        <w:br/>
      </w:r>
      <w:r w:rsidRPr="2B49D85C">
        <w:rPr>
          <w:rFonts w:ascii="Aptos" w:eastAsia="Aptos" w:hAnsi="Aptos" w:cs="Aptos"/>
          <w:color w:val="000000" w:themeColor="text1"/>
        </w:rPr>
        <w:t>Exploring the Humanities (HPHP4018)</w:t>
      </w:r>
      <w:r>
        <w:br/>
      </w:r>
      <w:r w:rsidRPr="2B49D85C">
        <w:rPr>
          <w:rFonts w:ascii="Aptos" w:eastAsia="Aptos" w:hAnsi="Aptos" w:cs="Aptos"/>
          <w:color w:val="000000" w:themeColor="text1"/>
        </w:rPr>
        <w:t>Adiscussion on the nature and direction of my chosen discipline and their relationship within the wider range of humanities.</w:t>
      </w:r>
    </w:p>
    <w:p w14:paraId="68B4A3AE" w14:textId="012230BD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41C9A667" w14:textId="4A02A479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3AAC28AE" w14:textId="5533D16F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B1E2143" w14:textId="4D00938C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C712FBE" w14:textId="14839DE9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06062F8F" w14:textId="48485DC4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6C8AD75F" w14:textId="58E0A9D0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4DC6B002" w14:textId="4FF04D31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CF6E0BB" w14:textId="0D27CBD0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2AF94A2" w14:textId="789744F9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1CAE70FC" w14:textId="71E789FC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2FB47A7D" w14:textId="0CB5476F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18EBEA3F" w14:textId="008549D4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3EB8F662" w14:textId="656E5A72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3EB04BB7" w14:textId="0D9B0BDB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25B9E74" w14:textId="16D0DA6B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59E749F" w14:textId="3B501268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1692F83E" w14:textId="75AE582D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195DE21" w14:textId="1F16ED6B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32B75E54" w14:textId="0DF2FD11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8C35858" w14:textId="6BD49E52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6B3EC47" w14:textId="6F985F7C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5B7B39A4" w14:textId="1ED5F9F8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6EBE4406" w14:textId="77777777" w:rsidR="00143579" w:rsidRDefault="00143579" w:rsidP="2B49D85C">
      <w:pPr>
        <w:rPr>
          <w:rFonts w:ascii="Aptos" w:eastAsia="Aptos" w:hAnsi="Aptos" w:cs="Aptos"/>
          <w:color w:val="000000" w:themeColor="text1"/>
        </w:rPr>
      </w:pPr>
    </w:p>
    <w:p w14:paraId="336C93C1" w14:textId="30DB7903" w:rsidR="53B33A6E" w:rsidRDefault="53B33A6E" w:rsidP="2B49D85C">
      <w:pPr>
        <w:rPr>
          <w:rFonts w:ascii="Aptos" w:eastAsia="Aptos" w:hAnsi="Aptos" w:cs="Aptos"/>
          <w:color w:val="000000" w:themeColor="text1"/>
        </w:rPr>
      </w:pPr>
      <w:r w:rsidRPr="2B49D85C">
        <w:rPr>
          <w:rFonts w:ascii="Aptos" w:eastAsia="Aptos" w:hAnsi="Aptos" w:cs="Aptos"/>
          <w:color w:val="000000" w:themeColor="text1"/>
        </w:rPr>
        <w:lastRenderedPageBreak/>
        <w:t>As a discipline, history is in a somewhat transitory period, struggling to find a coherent identity under the academic infighting of various subgroups.</w:t>
      </w:r>
      <w:r w:rsidR="6ABA97F2" w:rsidRPr="2B49D85C">
        <w:rPr>
          <w:rFonts w:ascii="Aptos" w:eastAsia="Aptos" w:hAnsi="Aptos" w:cs="Aptos"/>
          <w:color w:val="000000" w:themeColor="text1"/>
        </w:rPr>
        <w:t xml:space="preserve"> The long shadow of colonialism has left </w:t>
      </w:r>
      <w:r w:rsidR="42DBB521" w:rsidRPr="2B49D85C">
        <w:rPr>
          <w:rFonts w:ascii="Aptos" w:eastAsia="Aptos" w:hAnsi="Aptos" w:cs="Aptos"/>
          <w:color w:val="000000" w:themeColor="text1"/>
        </w:rPr>
        <w:t>two</w:t>
      </w:r>
      <w:r w:rsidR="6ABA97F2" w:rsidRPr="2B49D85C">
        <w:rPr>
          <w:rFonts w:ascii="Aptos" w:eastAsia="Aptos" w:hAnsi="Aptos" w:cs="Aptos"/>
          <w:color w:val="000000" w:themeColor="text1"/>
        </w:rPr>
        <w:t xml:space="preserve"> dis</w:t>
      </w:r>
      <w:r w:rsidR="64A101A6" w:rsidRPr="2B49D85C">
        <w:rPr>
          <w:rFonts w:ascii="Aptos" w:eastAsia="Aptos" w:hAnsi="Aptos" w:cs="Aptos"/>
          <w:color w:val="000000" w:themeColor="text1"/>
        </w:rPr>
        <w:t xml:space="preserve">tinct school of postcolonial </w:t>
      </w:r>
      <w:r w:rsidR="4905E777" w:rsidRPr="2B49D85C">
        <w:rPr>
          <w:rFonts w:ascii="Aptos" w:eastAsia="Aptos" w:hAnsi="Aptos" w:cs="Aptos"/>
          <w:color w:val="000000" w:themeColor="text1"/>
        </w:rPr>
        <w:t xml:space="preserve">and decolonial </w:t>
      </w:r>
      <w:r w:rsidR="64A101A6" w:rsidRPr="2B49D85C">
        <w:rPr>
          <w:rFonts w:ascii="Aptos" w:eastAsia="Aptos" w:hAnsi="Aptos" w:cs="Aptos"/>
          <w:color w:val="000000" w:themeColor="text1"/>
        </w:rPr>
        <w:t>thought</w:t>
      </w:r>
      <w:r w:rsidR="7BF511FD" w:rsidRPr="2B49D85C">
        <w:rPr>
          <w:rFonts w:ascii="Aptos" w:eastAsia="Aptos" w:hAnsi="Aptos" w:cs="Aptos"/>
          <w:color w:val="000000" w:themeColor="text1"/>
        </w:rPr>
        <w:t xml:space="preserve">, existing at the same time as a reactionary response of patriotic, nationalistic historical thought seen prominently in the United States. </w:t>
      </w:r>
      <w:r w:rsidR="13D03CCF" w:rsidRPr="2B49D85C">
        <w:rPr>
          <w:rFonts w:ascii="Aptos" w:eastAsia="Aptos" w:hAnsi="Aptos" w:cs="Aptos"/>
          <w:color w:val="000000" w:themeColor="text1"/>
        </w:rPr>
        <w:t xml:space="preserve">There is also a continued divide between </w:t>
      </w:r>
      <w:r w:rsidR="3F8DDF83" w:rsidRPr="2B49D85C">
        <w:rPr>
          <w:rFonts w:ascii="Aptos" w:eastAsia="Aptos" w:hAnsi="Aptos" w:cs="Aptos"/>
          <w:color w:val="000000" w:themeColor="text1"/>
        </w:rPr>
        <w:t xml:space="preserve">a </w:t>
      </w:r>
      <w:r w:rsidR="13D03CCF" w:rsidRPr="2B49D85C">
        <w:rPr>
          <w:rFonts w:ascii="Aptos" w:eastAsia="Aptos" w:hAnsi="Aptos" w:cs="Aptos"/>
          <w:color w:val="000000" w:themeColor="text1"/>
        </w:rPr>
        <w:t xml:space="preserve">smaller, borderline antiquarian thought, </w:t>
      </w:r>
      <w:r w:rsidR="31BBF933" w:rsidRPr="2B49D85C">
        <w:rPr>
          <w:rFonts w:ascii="Aptos" w:eastAsia="Aptos" w:hAnsi="Aptos" w:cs="Aptos"/>
          <w:color w:val="000000" w:themeColor="text1"/>
        </w:rPr>
        <w:t>borne</w:t>
      </w:r>
      <w:r w:rsidR="13D03CCF" w:rsidRPr="2B49D85C">
        <w:rPr>
          <w:rFonts w:ascii="Aptos" w:eastAsia="Aptos" w:hAnsi="Aptos" w:cs="Aptos"/>
          <w:color w:val="000000" w:themeColor="text1"/>
        </w:rPr>
        <w:t xml:space="preserve"> most prominently in the late 20th</w:t>
      </w:r>
      <w:r w:rsidR="7CD5611D" w:rsidRPr="2B49D85C">
        <w:rPr>
          <w:rFonts w:ascii="Aptos" w:eastAsia="Aptos" w:hAnsi="Aptos" w:cs="Aptos"/>
          <w:color w:val="000000" w:themeColor="text1"/>
        </w:rPr>
        <w:t xml:space="preserve"> century</w:t>
      </w:r>
      <w:r w:rsidR="2D7B221A" w:rsidRPr="2B49D85C">
        <w:rPr>
          <w:rFonts w:ascii="Aptos" w:eastAsia="Aptos" w:hAnsi="Aptos" w:cs="Aptos"/>
          <w:color w:val="000000" w:themeColor="text1"/>
        </w:rPr>
        <w:t xml:space="preserve"> with microhistories</w:t>
      </w:r>
      <w:r w:rsidR="1135D7DB" w:rsidRPr="2B49D85C">
        <w:rPr>
          <w:rFonts w:ascii="Aptos" w:eastAsia="Aptos" w:hAnsi="Aptos" w:cs="Aptos"/>
          <w:color w:val="000000" w:themeColor="text1"/>
        </w:rPr>
        <w:t>, and a grander, more unified historical school of thought intending to create a larger narrative towards the field. Simultaneously, there is a severe crisis in history stemming from a systematic defunding of the human</w:t>
      </w:r>
      <w:r w:rsidR="6E137193" w:rsidRPr="2B49D85C">
        <w:rPr>
          <w:rFonts w:ascii="Aptos" w:eastAsia="Aptos" w:hAnsi="Aptos" w:cs="Aptos"/>
          <w:color w:val="000000" w:themeColor="text1"/>
        </w:rPr>
        <w:t>ities at large, with history departments in universities based in the United Kingdom being struck especially hard, having had a continued decline in funding</w:t>
      </w:r>
      <w:r w:rsidR="585918F2" w:rsidRPr="2B49D85C">
        <w:rPr>
          <w:rFonts w:ascii="Aptos" w:eastAsia="Aptos" w:hAnsi="Aptos" w:cs="Aptos"/>
          <w:color w:val="000000" w:themeColor="text1"/>
        </w:rPr>
        <w:t xml:space="preserve"> and, therefore, existence, with some universities now dropping their history departments entirely. </w:t>
      </w:r>
      <w:r>
        <w:br/>
      </w:r>
      <w:r>
        <w:br/>
      </w:r>
      <w:r w:rsidR="1A5EF3E7" w:rsidRPr="2B49D85C">
        <w:rPr>
          <w:rFonts w:ascii="Aptos" w:eastAsia="Aptos" w:hAnsi="Aptos" w:cs="Aptos"/>
          <w:color w:val="000000" w:themeColor="text1"/>
        </w:rPr>
        <w:t xml:space="preserve">History is a broad discipline which, it can be argued, contains many other disciplines under its wing. The likes of archaeology, anthropology, </w:t>
      </w:r>
      <w:r w:rsidR="442CAC63" w:rsidRPr="2B49D85C">
        <w:rPr>
          <w:rFonts w:ascii="Aptos" w:eastAsia="Aptos" w:hAnsi="Aptos" w:cs="Aptos"/>
          <w:color w:val="000000" w:themeColor="text1"/>
        </w:rPr>
        <w:t xml:space="preserve">linguistics, </w:t>
      </w:r>
      <w:r w:rsidR="1A5EF3E7" w:rsidRPr="2B49D85C">
        <w:rPr>
          <w:rFonts w:ascii="Aptos" w:eastAsia="Aptos" w:hAnsi="Aptos" w:cs="Aptos"/>
          <w:color w:val="000000" w:themeColor="text1"/>
        </w:rPr>
        <w:t>mythology</w:t>
      </w:r>
      <w:r w:rsidR="467916A2" w:rsidRPr="2B49D85C">
        <w:rPr>
          <w:rFonts w:ascii="Aptos" w:eastAsia="Aptos" w:hAnsi="Aptos" w:cs="Aptos"/>
          <w:color w:val="000000" w:themeColor="text1"/>
        </w:rPr>
        <w:t xml:space="preserve"> and religious studies all necessarily interact with history heavily. Archaeology in its very existence is a study of historical human activity, primarily known to the public at la</w:t>
      </w:r>
      <w:r w:rsidR="64D2C3F8" w:rsidRPr="2B49D85C">
        <w:rPr>
          <w:rFonts w:ascii="Aptos" w:eastAsia="Aptos" w:hAnsi="Aptos" w:cs="Aptos"/>
          <w:color w:val="000000" w:themeColor="text1"/>
        </w:rPr>
        <w:t xml:space="preserve">rge as excavating the ruins of old buildings and studying the implications of the structures and interpreting them through a historical lens. Anthropology, the studying of human activity and societies, </w:t>
      </w:r>
      <w:r w:rsidR="5F2DAFE3" w:rsidRPr="2B49D85C">
        <w:rPr>
          <w:rFonts w:ascii="Aptos" w:eastAsia="Aptos" w:hAnsi="Aptos" w:cs="Aptos"/>
          <w:color w:val="000000" w:themeColor="text1"/>
        </w:rPr>
        <w:t>cannot interact with the current existence of human societies without interrogating the past societies and previous forms of the society and activity the field is studying. Linguistics is built off a backb</w:t>
      </w:r>
      <w:r w:rsidR="181DACE9" w:rsidRPr="2B49D85C">
        <w:rPr>
          <w:rFonts w:ascii="Aptos" w:eastAsia="Aptos" w:hAnsi="Aptos" w:cs="Aptos"/>
          <w:color w:val="000000" w:themeColor="text1"/>
        </w:rPr>
        <w:t xml:space="preserve">one of previous forms of the language studied, making most linguistic study at least adjacent to and continuing a history of language. Mythology and religious studies are both primarily focused on the reinterpretation and studying of symbolism, messaging </w:t>
      </w:r>
      <w:r w:rsidR="572F1ADD" w:rsidRPr="2B49D85C">
        <w:rPr>
          <w:rFonts w:ascii="Aptos" w:eastAsia="Aptos" w:hAnsi="Aptos" w:cs="Aptos"/>
          <w:color w:val="000000" w:themeColor="text1"/>
        </w:rPr>
        <w:t>and language from texts often thousands of years old in origin</w:t>
      </w:r>
      <w:r w:rsidR="7E4E4860" w:rsidRPr="2B49D85C">
        <w:rPr>
          <w:rFonts w:ascii="Aptos" w:eastAsia="Aptos" w:hAnsi="Aptos" w:cs="Aptos"/>
          <w:color w:val="000000" w:themeColor="text1"/>
        </w:rPr>
        <w:t xml:space="preserve"> and older in oral tradition, which requires an understanding of the historical context when these were written.</w:t>
      </w:r>
      <w:r w:rsidR="4FA0A635" w:rsidRPr="2B49D85C">
        <w:rPr>
          <w:rFonts w:ascii="Aptos" w:eastAsia="Aptos" w:hAnsi="Aptos" w:cs="Aptos"/>
          <w:color w:val="000000" w:themeColor="text1"/>
        </w:rPr>
        <w:t xml:space="preserve"> History is thusly uniquely interlinked with many other subjects within the humanities, and histories of non-humanities disciplines are also common.</w:t>
      </w:r>
      <w:r>
        <w:br/>
      </w:r>
      <w:r>
        <w:br/>
      </w:r>
      <w:r w:rsidR="23F83179" w:rsidRPr="2B49D85C">
        <w:rPr>
          <w:rFonts w:ascii="Aptos" w:eastAsia="Aptos" w:hAnsi="Aptos" w:cs="Aptos"/>
          <w:color w:val="000000" w:themeColor="text1"/>
        </w:rPr>
        <w:t>The direction of history as a discipline is, as it always has been, fractured.</w:t>
      </w:r>
      <w:r w:rsidR="477D60EE" w:rsidRPr="2B49D85C">
        <w:rPr>
          <w:rFonts w:ascii="Aptos" w:eastAsia="Aptos" w:hAnsi="Aptos" w:cs="Aptos"/>
          <w:color w:val="000000" w:themeColor="text1"/>
        </w:rPr>
        <w:t xml:space="preserve"> The Bibliography of British and Irish History (BB</w:t>
      </w:r>
      <w:r w:rsidR="155A56AE" w:rsidRPr="2B49D85C">
        <w:rPr>
          <w:rFonts w:ascii="Aptos" w:eastAsia="Aptos" w:hAnsi="Aptos" w:cs="Aptos"/>
          <w:color w:val="000000" w:themeColor="text1"/>
        </w:rPr>
        <w:t xml:space="preserve">IH) recorded 4,288 new publications in </w:t>
      </w:r>
      <w:r w:rsidR="2BD670B5" w:rsidRPr="2B49D85C">
        <w:rPr>
          <w:rFonts w:ascii="Aptos" w:eastAsia="Aptos" w:hAnsi="Aptos" w:cs="Aptos"/>
          <w:color w:val="000000" w:themeColor="text1"/>
        </w:rPr>
        <w:t>June 2020 and</w:t>
      </w:r>
      <w:r w:rsidR="155A56AE" w:rsidRPr="2B49D85C">
        <w:rPr>
          <w:rFonts w:ascii="Aptos" w:eastAsia="Aptos" w:hAnsi="Aptos" w:cs="Aptos"/>
          <w:color w:val="000000" w:themeColor="text1"/>
        </w:rPr>
        <w:t xml:space="preserve"> recorded that</w:t>
      </w:r>
      <w:r w:rsidR="4DEC638B" w:rsidRPr="2B49D85C">
        <w:rPr>
          <w:rFonts w:ascii="Aptos" w:eastAsia="Aptos" w:hAnsi="Aptos" w:cs="Aptos"/>
          <w:color w:val="000000" w:themeColor="text1"/>
        </w:rPr>
        <w:t xml:space="preserve"> </w:t>
      </w:r>
      <w:r w:rsidR="188D75B5" w:rsidRPr="2B49D85C">
        <w:rPr>
          <w:rFonts w:ascii="Aptos" w:eastAsia="Aptos" w:hAnsi="Aptos" w:cs="Aptos"/>
          <w:color w:val="000000" w:themeColor="text1"/>
        </w:rPr>
        <w:t>430 of these had the subject text “women”, 284 had the subject text “urban”</w:t>
      </w:r>
      <w:r w:rsidR="13CAC076" w:rsidRPr="2B49D85C">
        <w:rPr>
          <w:rFonts w:ascii="Aptos" w:eastAsia="Aptos" w:hAnsi="Aptos" w:cs="Aptos"/>
          <w:color w:val="000000" w:themeColor="text1"/>
        </w:rPr>
        <w:t xml:space="preserve"> and</w:t>
      </w:r>
      <w:r w:rsidR="188D75B5" w:rsidRPr="2B49D85C">
        <w:rPr>
          <w:rFonts w:ascii="Aptos" w:eastAsia="Aptos" w:hAnsi="Aptos" w:cs="Aptos"/>
          <w:color w:val="000000" w:themeColor="text1"/>
        </w:rPr>
        <w:t xml:space="preserve"> 257 had the subject text “gender relations”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1"/>
      </w:r>
      <w:r w:rsidR="14FE86F9" w:rsidRPr="2B49D85C">
        <w:rPr>
          <w:rFonts w:ascii="Aptos" w:eastAsia="Aptos" w:hAnsi="Aptos" w:cs="Aptos"/>
          <w:color w:val="000000" w:themeColor="text1"/>
        </w:rPr>
        <w:t>.</w:t>
      </w:r>
      <w:r w:rsidR="134CCC0A" w:rsidRPr="2B49D85C">
        <w:rPr>
          <w:rFonts w:ascii="Aptos" w:eastAsia="Aptos" w:hAnsi="Aptos" w:cs="Aptos"/>
          <w:color w:val="000000" w:themeColor="text1"/>
        </w:rPr>
        <w:t xml:space="preserve"> These being the most popular publication themes indicate an increased</w:t>
      </w:r>
      <w:r w:rsidR="76BADB53" w:rsidRPr="2B49D85C">
        <w:rPr>
          <w:rFonts w:ascii="Aptos" w:eastAsia="Aptos" w:hAnsi="Aptos" w:cs="Aptos"/>
          <w:color w:val="000000" w:themeColor="text1"/>
        </w:rPr>
        <w:t xml:space="preserve"> focus in recent years on interdisciplinary studies.</w:t>
      </w:r>
      <w:r w:rsidR="4D1EC4F8" w:rsidRPr="2B49D85C">
        <w:rPr>
          <w:rFonts w:ascii="Aptos" w:eastAsia="Aptos" w:hAnsi="Aptos" w:cs="Aptos"/>
          <w:color w:val="000000" w:themeColor="text1"/>
        </w:rPr>
        <w:t xml:space="preserve"> This BBIH report also indicated an increased focus on animal publications known as the ‘animal turn’, with 60 publications having the subject text </w:t>
      </w:r>
      <w:r w:rsidR="4D1EC4F8" w:rsidRPr="2B49D85C">
        <w:rPr>
          <w:rFonts w:ascii="Aptos" w:eastAsia="Aptos" w:hAnsi="Aptos" w:cs="Aptos"/>
          <w:color w:val="000000" w:themeColor="text1"/>
        </w:rPr>
        <w:lastRenderedPageBreak/>
        <w:t>“</w:t>
      </w:r>
      <w:r w:rsidR="32E935EC" w:rsidRPr="2B49D85C">
        <w:rPr>
          <w:rFonts w:ascii="Aptos" w:eastAsia="Aptos" w:hAnsi="Aptos" w:cs="Aptos"/>
          <w:color w:val="000000" w:themeColor="text1"/>
        </w:rPr>
        <w:t>animals”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2"/>
      </w:r>
      <w:r w:rsidR="384B9CB0" w:rsidRPr="2B49D85C">
        <w:rPr>
          <w:rFonts w:ascii="Aptos" w:eastAsia="Aptos" w:hAnsi="Aptos" w:cs="Aptos"/>
          <w:color w:val="000000" w:themeColor="text1"/>
        </w:rPr>
        <w:t xml:space="preserve">, </w:t>
      </w:r>
      <w:r w:rsidR="25A6B587" w:rsidRPr="2B49D85C">
        <w:rPr>
          <w:rFonts w:ascii="Aptos" w:eastAsia="Aptos" w:hAnsi="Aptos" w:cs="Aptos"/>
          <w:color w:val="000000" w:themeColor="text1"/>
        </w:rPr>
        <w:t>and noted a significant uptick in the relatively new subject text of ‘celebrity’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3"/>
      </w:r>
      <w:r w:rsidR="25A6B587" w:rsidRPr="2B49D85C">
        <w:rPr>
          <w:rFonts w:ascii="Aptos" w:eastAsia="Aptos" w:hAnsi="Aptos" w:cs="Aptos"/>
          <w:color w:val="000000" w:themeColor="text1"/>
        </w:rPr>
        <w:t xml:space="preserve">. </w:t>
      </w:r>
      <w:r w:rsidR="2B1D66E3" w:rsidRPr="2B49D85C">
        <w:rPr>
          <w:rFonts w:ascii="Aptos" w:eastAsia="Aptos" w:hAnsi="Aptos" w:cs="Aptos"/>
          <w:color w:val="000000" w:themeColor="text1"/>
        </w:rPr>
        <w:t>It can thus be seen that historiographic writing has shifted substantially toward interdisciplinarity and more new subjects of study.</w:t>
      </w:r>
    </w:p>
    <w:p w14:paraId="7BEE16FF" w14:textId="0CB18F30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575810B" w14:textId="1B78480E" w:rsidR="065C2AD9" w:rsidRDefault="065C2AD9" w:rsidP="2B49D85C">
      <w:pPr>
        <w:rPr>
          <w:rFonts w:ascii="Aptos" w:eastAsia="Aptos" w:hAnsi="Aptos" w:cs="Aptos"/>
          <w:color w:val="000000" w:themeColor="text1"/>
        </w:rPr>
      </w:pPr>
      <w:r w:rsidRPr="2B49D85C">
        <w:rPr>
          <w:rFonts w:ascii="Aptos" w:eastAsia="Aptos" w:hAnsi="Aptos" w:cs="Aptos"/>
          <w:color w:val="000000" w:themeColor="text1"/>
        </w:rPr>
        <w:t xml:space="preserve">In a </w:t>
      </w:r>
      <w:r w:rsidR="1CBCC76E" w:rsidRPr="2B49D85C">
        <w:rPr>
          <w:rFonts w:ascii="Aptos" w:eastAsia="Aptos" w:hAnsi="Aptos" w:cs="Aptos"/>
          <w:color w:val="000000" w:themeColor="text1"/>
        </w:rPr>
        <w:t xml:space="preserve">2024 </w:t>
      </w:r>
      <w:r w:rsidRPr="2B49D85C">
        <w:rPr>
          <w:rFonts w:ascii="Aptos" w:eastAsia="Aptos" w:hAnsi="Aptos" w:cs="Aptos"/>
          <w:color w:val="000000" w:themeColor="text1"/>
        </w:rPr>
        <w:t>briefing from the Royal Historical Society, a clear split becomes visible between post-1992 universities and pre-1992</w:t>
      </w:r>
      <w:r w:rsidR="05FB0CD0" w:rsidRPr="2B49D85C">
        <w:rPr>
          <w:rFonts w:ascii="Aptos" w:eastAsia="Aptos" w:hAnsi="Aptos" w:cs="Aptos"/>
          <w:color w:val="000000" w:themeColor="text1"/>
        </w:rPr>
        <w:t>, non-Russell Group universities. While both groups of universities are significantly cutting their numbers in history, this is markedly more dramatic in post-1992 universities; 88% of departments in post-1992 universities reported a decrease in sta</w:t>
      </w:r>
      <w:r w:rsidR="14B463B2" w:rsidRPr="2B49D85C">
        <w:rPr>
          <w:rFonts w:ascii="Aptos" w:eastAsia="Aptos" w:hAnsi="Aptos" w:cs="Aptos"/>
          <w:color w:val="000000" w:themeColor="text1"/>
        </w:rPr>
        <w:t>ffing since 2020, while 58% reported the loss of one or more degree programme, and 80% reported a loss of one or more courses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4"/>
      </w:r>
      <w:r w:rsidR="14B463B2" w:rsidRPr="2B49D85C">
        <w:rPr>
          <w:rFonts w:ascii="Aptos" w:eastAsia="Aptos" w:hAnsi="Aptos" w:cs="Aptos"/>
          <w:color w:val="000000" w:themeColor="text1"/>
        </w:rPr>
        <w:t>.</w:t>
      </w:r>
      <w:r w:rsidR="556BDC48" w:rsidRPr="2B49D85C">
        <w:rPr>
          <w:rFonts w:ascii="Aptos" w:eastAsia="Aptos" w:hAnsi="Aptos" w:cs="Aptos"/>
          <w:color w:val="000000" w:themeColor="text1"/>
        </w:rPr>
        <w:t xml:space="preserve"> While these numbers are less </w:t>
      </w:r>
      <w:r w:rsidR="186CB20C" w:rsidRPr="2B49D85C">
        <w:rPr>
          <w:rFonts w:ascii="Aptos" w:eastAsia="Aptos" w:hAnsi="Aptos" w:cs="Aptos"/>
          <w:color w:val="000000" w:themeColor="text1"/>
        </w:rPr>
        <w:t>concerning in pre-1992 universities, they are still troubling.</w:t>
      </w:r>
      <w:r w:rsidR="7F24CD10" w:rsidRPr="2B49D85C">
        <w:rPr>
          <w:rFonts w:ascii="Aptos" w:eastAsia="Aptos" w:hAnsi="Aptos" w:cs="Aptos"/>
          <w:color w:val="000000" w:themeColor="text1"/>
        </w:rPr>
        <w:t xml:space="preserve"> 68% of these universities’ departments report a decrease in staffing, while 36% report the loss of </w:t>
      </w:r>
      <w:bookmarkStart w:id="0" w:name="_Int_m8hD4Ypv"/>
      <w:proofErr w:type="gramStart"/>
      <w:r w:rsidR="7F24CD10" w:rsidRPr="2B49D85C">
        <w:rPr>
          <w:rFonts w:ascii="Aptos" w:eastAsia="Aptos" w:hAnsi="Aptos" w:cs="Aptos"/>
          <w:color w:val="000000" w:themeColor="text1"/>
        </w:rPr>
        <w:t>one or more degree</w:t>
      </w:r>
      <w:bookmarkEnd w:id="0"/>
      <w:proofErr w:type="gramEnd"/>
      <w:r w:rsidR="7F24CD10" w:rsidRPr="2B49D85C">
        <w:rPr>
          <w:rFonts w:ascii="Aptos" w:eastAsia="Aptos" w:hAnsi="Aptos" w:cs="Aptos"/>
          <w:color w:val="000000" w:themeColor="text1"/>
        </w:rPr>
        <w:t xml:space="preserve"> programmes</w:t>
      </w:r>
      <w:r w:rsidR="6464C1C5" w:rsidRPr="2B49D85C">
        <w:rPr>
          <w:rFonts w:ascii="Aptos" w:eastAsia="Aptos" w:hAnsi="Aptos" w:cs="Aptos"/>
          <w:color w:val="000000" w:themeColor="text1"/>
        </w:rPr>
        <w:t>, another 36% having reported a loss of one or more courses.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5"/>
      </w:r>
      <w:r w:rsidR="7F92870B" w:rsidRPr="2B49D85C">
        <w:rPr>
          <w:rFonts w:ascii="Aptos" w:eastAsia="Aptos" w:hAnsi="Aptos" w:cs="Aptos"/>
          <w:color w:val="000000" w:themeColor="text1"/>
        </w:rPr>
        <w:t xml:space="preserve"> These numbers are catastrophic. With many British students choosing history as their subject of choice on degree courses, the prospect of continued cuts to history departments </w:t>
      </w:r>
      <w:r w:rsidR="3C16CF6F" w:rsidRPr="2B49D85C">
        <w:rPr>
          <w:rFonts w:ascii="Aptos" w:eastAsia="Aptos" w:hAnsi="Aptos" w:cs="Aptos"/>
          <w:color w:val="000000" w:themeColor="text1"/>
        </w:rPr>
        <w:t>is a burgeoning crisis. History A-levels are the fifth most studied of any discipline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6"/>
      </w:r>
      <w:r w:rsidR="3C16CF6F" w:rsidRPr="2B49D85C">
        <w:rPr>
          <w:rFonts w:ascii="Aptos" w:eastAsia="Aptos" w:hAnsi="Aptos" w:cs="Aptos"/>
          <w:color w:val="000000" w:themeColor="text1"/>
        </w:rPr>
        <w:t>, but the</w:t>
      </w:r>
      <w:r w:rsidR="23B1C924" w:rsidRPr="2B49D85C">
        <w:rPr>
          <w:rFonts w:ascii="Aptos" w:eastAsia="Aptos" w:hAnsi="Aptos" w:cs="Aptos"/>
          <w:color w:val="000000" w:themeColor="text1"/>
        </w:rPr>
        <w:t xml:space="preserve">se </w:t>
      </w:r>
      <w:r w:rsidR="3C16CF6F" w:rsidRPr="2B49D85C">
        <w:rPr>
          <w:rFonts w:ascii="Aptos" w:eastAsia="Aptos" w:hAnsi="Aptos" w:cs="Aptos"/>
          <w:color w:val="000000" w:themeColor="text1"/>
        </w:rPr>
        <w:t>prospective students</w:t>
      </w:r>
      <w:r w:rsidR="447964E8" w:rsidRPr="2B49D85C">
        <w:rPr>
          <w:rFonts w:ascii="Aptos" w:eastAsia="Aptos" w:hAnsi="Aptos" w:cs="Aptos"/>
          <w:color w:val="000000" w:themeColor="text1"/>
        </w:rPr>
        <w:t xml:space="preserve"> face the reality that they are</w:t>
      </w:r>
      <w:r w:rsidR="3C16CF6F" w:rsidRPr="2B49D85C">
        <w:rPr>
          <w:rFonts w:ascii="Aptos" w:eastAsia="Aptos" w:hAnsi="Aptos" w:cs="Aptos"/>
          <w:color w:val="000000" w:themeColor="text1"/>
        </w:rPr>
        <w:t xml:space="preserve"> going into </w:t>
      </w:r>
      <w:r w:rsidR="74192F8B" w:rsidRPr="2B49D85C">
        <w:rPr>
          <w:rFonts w:ascii="Aptos" w:eastAsia="Aptos" w:hAnsi="Aptos" w:cs="Aptos"/>
          <w:color w:val="000000" w:themeColor="text1"/>
        </w:rPr>
        <w:t>largely underfunded courses which are suffering budget cuts. This casts a dark cloud over the prospective future of history in the United Kingd</w:t>
      </w:r>
      <w:r w:rsidR="7E0BEA0D" w:rsidRPr="2B49D85C">
        <w:rPr>
          <w:rFonts w:ascii="Aptos" w:eastAsia="Aptos" w:hAnsi="Aptos" w:cs="Aptos"/>
          <w:color w:val="000000" w:themeColor="text1"/>
        </w:rPr>
        <w:t>om, as there does not seem to be an increase in budgets or employment on the horizon within history degree courses.</w:t>
      </w:r>
      <w:r w:rsidR="4547F2D9" w:rsidRPr="2B49D85C">
        <w:rPr>
          <w:rFonts w:ascii="Aptos" w:eastAsia="Aptos" w:hAnsi="Aptos" w:cs="Aptos"/>
          <w:color w:val="000000" w:themeColor="text1"/>
        </w:rPr>
        <w:t xml:space="preserve"> The Royal Historical Society proposes that a solution to this is emphasising </w:t>
      </w:r>
      <w:r w:rsidR="39E72B82" w:rsidRPr="2B49D85C">
        <w:rPr>
          <w:rFonts w:ascii="Aptos" w:eastAsia="Aptos" w:hAnsi="Aptos" w:cs="Aptos"/>
          <w:color w:val="000000" w:themeColor="text1"/>
        </w:rPr>
        <w:t xml:space="preserve">the positive value of having a history degree, with </w:t>
      </w:r>
      <w:r w:rsidR="3B2ECD2D" w:rsidRPr="2B49D85C">
        <w:rPr>
          <w:rFonts w:ascii="Aptos" w:eastAsia="Aptos" w:hAnsi="Aptos" w:cs="Aptos"/>
          <w:color w:val="000000" w:themeColor="text1"/>
        </w:rPr>
        <w:t xml:space="preserve">their briefing offering positive employment numbers for history degree holders. </w:t>
      </w:r>
      <w:r w:rsidR="41BD9DE9" w:rsidRPr="2B49D85C">
        <w:rPr>
          <w:rFonts w:ascii="Aptos" w:eastAsia="Aptos" w:hAnsi="Aptos" w:cs="Aptos"/>
          <w:color w:val="000000" w:themeColor="text1"/>
        </w:rPr>
        <w:t>87% of graduares were ‘in sustained employment, further study or both’ five years after completing an undergraduate degree’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7"/>
      </w:r>
      <w:r w:rsidR="08837551" w:rsidRPr="2B49D85C">
        <w:rPr>
          <w:rFonts w:ascii="Aptos" w:eastAsia="Aptos" w:hAnsi="Aptos" w:cs="Aptos"/>
          <w:color w:val="000000" w:themeColor="text1"/>
        </w:rPr>
        <w:t>, which the Royal Historical Society shows as evidence of the positive value of studying history.</w:t>
      </w:r>
    </w:p>
    <w:p w14:paraId="41D12642" w14:textId="30CBA7AC" w:rsidR="2B49D85C" w:rsidRDefault="2B49D85C" w:rsidP="2B49D85C">
      <w:pPr>
        <w:rPr>
          <w:rFonts w:ascii="Aptos" w:eastAsia="Aptos" w:hAnsi="Aptos" w:cs="Aptos"/>
          <w:color w:val="000000" w:themeColor="text1"/>
        </w:rPr>
      </w:pPr>
    </w:p>
    <w:p w14:paraId="7EEEFAAA" w14:textId="77777777" w:rsidR="00143579" w:rsidRDefault="00714C49" w:rsidP="2B49D85C">
      <w:pPr>
        <w:rPr>
          <w:rFonts w:ascii="Aptos" w:eastAsia="Aptos" w:hAnsi="Aptos" w:cs="Aptos"/>
          <w:color w:val="000000" w:themeColor="text1"/>
        </w:rPr>
      </w:pPr>
      <w:r w:rsidRPr="2B49D85C">
        <w:rPr>
          <w:rFonts w:ascii="Aptos" w:eastAsia="Aptos" w:hAnsi="Aptos" w:cs="Aptos"/>
          <w:color w:val="000000" w:themeColor="text1"/>
        </w:rPr>
        <w:t>Historians Steven Mintz and Johann Neem have both theorized about a greater, nationalist history in response to right-wing movements societally in the United States.</w:t>
      </w:r>
      <w:r w:rsidR="4D5367FA" w:rsidRPr="2B49D85C">
        <w:rPr>
          <w:rFonts w:ascii="Aptos" w:eastAsia="Aptos" w:hAnsi="Aptos" w:cs="Aptos"/>
          <w:color w:val="000000" w:themeColor="text1"/>
        </w:rPr>
        <w:t xml:space="preserve"> Their responses both echo a pre-1970s historical grand narrative, with Neem advocat</w:t>
      </w:r>
      <w:r w:rsidR="0CC99C2D" w:rsidRPr="2B49D85C">
        <w:rPr>
          <w:rFonts w:ascii="Aptos" w:eastAsia="Aptos" w:hAnsi="Aptos" w:cs="Aptos"/>
          <w:color w:val="000000" w:themeColor="text1"/>
        </w:rPr>
        <w:t>ing for a history that ‘share(s) not just the present but also the past’</w:t>
      </w:r>
      <w:r w:rsidR="7EA2C543" w:rsidRPr="2B49D85C">
        <w:rPr>
          <w:rFonts w:ascii="Aptos" w:eastAsia="Aptos" w:hAnsi="Aptos" w:cs="Aptos"/>
          <w:color w:val="000000" w:themeColor="text1"/>
        </w:rPr>
        <w:t xml:space="preserve"> as he opines America currently requires a ‘mainstream’ history, a midpoint between the </w:t>
      </w:r>
      <w:r w:rsidR="7EA2C543" w:rsidRPr="2B49D85C">
        <w:rPr>
          <w:rFonts w:ascii="Aptos" w:eastAsia="Aptos" w:hAnsi="Aptos" w:cs="Aptos"/>
          <w:color w:val="000000" w:themeColor="text1"/>
        </w:rPr>
        <w:lastRenderedPageBreak/>
        <w:t>‘post-American’, progressive historical approach, and the ‘</w:t>
      </w:r>
      <w:r w:rsidR="18E9961A" w:rsidRPr="2B49D85C">
        <w:rPr>
          <w:rFonts w:ascii="Aptos" w:eastAsia="Aptos" w:hAnsi="Aptos" w:cs="Aptos"/>
          <w:color w:val="000000" w:themeColor="text1"/>
        </w:rPr>
        <w:t xml:space="preserve">hyper-American”, which creates an idealized vision of American history where the atrocities which can be attributed to the American state are secondary to a free state revelling </w:t>
      </w:r>
      <w:r w:rsidR="47AC2D4A" w:rsidRPr="2B49D85C">
        <w:rPr>
          <w:rFonts w:ascii="Aptos" w:eastAsia="Aptos" w:hAnsi="Aptos" w:cs="Aptos"/>
          <w:color w:val="000000" w:themeColor="text1"/>
        </w:rPr>
        <w:t>in the beauty of operating under the natural human condition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8"/>
      </w:r>
      <w:r w:rsidR="47AC2D4A" w:rsidRPr="2B49D85C">
        <w:rPr>
          <w:rFonts w:ascii="Aptos" w:eastAsia="Aptos" w:hAnsi="Aptos" w:cs="Aptos"/>
          <w:color w:val="000000" w:themeColor="text1"/>
        </w:rPr>
        <w:t>.</w:t>
      </w:r>
      <w:r w:rsidR="591883B3" w:rsidRPr="2B49D85C">
        <w:rPr>
          <w:rFonts w:ascii="Aptos" w:eastAsia="Aptos" w:hAnsi="Aptos" w:cs="Aptos"/>
          <w:color w:val="000000" w:themeColor="text1"/>
        </w:rPr>
        <w:t xml:space="preserve"> Mintz does not take such an active approach toward attempting to u</w:t>
      </w:r>
      <w:r w:rsidR="54F1E0FA" w:rsidRPr="2B49D85C">
        <w:rPr>
          <w:rFonts w:ascii="Aptos" w:eastAsia="Aptos" w:hAnsi="Aptos" w:cs="Aptos"/>
          <w:color w:val="000000" w:themeColor="text1"/>
        </w:rPr>
        <w:t>nite America beyond a shared history and instead aims to create a ‘new history’, arguing that academia’s ‘overspecialization and fragmentation</w:t>
      </w:r>
      <w:r w:rsidR="3E9CBC3C" w:rsidRPr="2B49D85C">
        <w:rPr>
          <w:rFonts w:ascii="Aptos" w:eastAsia="Aptos" w:hAnsi="Aptos" w:cs="Aptos"/>
          <w:color w:val="000000" w:themeColor="text1"/>
        </w:rPr>
        <w:t xml:space="preserve"> [...]</w:t>
      </w:r>
      <w:r w:rsidR="54F1E0FA" w:rsidRPr="2B49D85C">
        <w:rPr>
          <w:rFonts w:ascii="Aptos" w:eastAsia="Aptos" w:hAnsi="Aptos" w:cs="Aptos"/>
          <w:color w:val="000000" w:themeColor="text1"/>
        </w:rPr>
        <w:t xml:space="preserve"> has also led to a fragmentation of the field, where historians focus on narrower topics and methods, at the expense of broader, interdisciplinary approaches.</w:t>
      </w:r>
      <w:r w:rsidR="22C6D473" w:rsidRPr="2B49D85C">
        <w:rPr>
          <w:rFonts w:ascii="Aptos" w:eastAsia="Aptos" w:hAnsi="Aptos" w:cs="Aptos"/>
          <w:color w:val="000000" w:themeColor="text1"/>
        </w:rPr>
        <w:t>’</w:t>
      </w:r>
      <w:r w:rsidRPr="2B49D85C">
        <w:rPr>
          <w:rStyle w:val="FootnoteReference"/>
          <w:rFonts w:ascii="Aptos" w:eastAsia="Aptos" w:hAnsi="Aptos" w:cs="Aptos"/>
          <w:color w:val="000000" w:themeColor="text1"/>
        </w:rPr>
        <w:footnoteReference w:id="9"/>
      </w:r>
      <w:r w:rsidR="2D1C95B5" w:rsidRPr="2B49D85C">
        <w:rPr>
          <w:rFonts w:ascii="Aptos" w:eastAsia="Aptos" w:hAnsi="Aptos" w:cs="Aptos"/>
          <w:color w:val="000000" w:themeColor="text1"/>
        </w:rPr>
        <w:t xml:space="preserve"> He proposes a more global, interdisciplinary approach to history study</w:t>
      </w:r>
      <w:r w:rsidR="589CE31E" w:rsidRPr="2B49D85C">
        <w:rPr>
          <w:rFonts w:ascii="Aptos" w:eastAsia="Aptos" w:hAnsi="Aptos" w:cs="Aptos"/>
          <w:color w:val="000000" w:themeColor="text1"/>
        </w:rPr>
        <w:t>, with an internationalist attempt to expand history’s remit and create a new paradigm of academia.</w:t>
      </w:r>
      <w:r>
        <w:br/>
      </w:r>
      <w:r>
        <w:br/>
      </w:r>
      <w:r>
        <w:br/>
      </w:r>
      <w:r w:rsidR="00F5C8FB" w:rsidRPr="2B49D85C">
        <w:rPr>
          <w:rFonts w:ascii="Aptos" w:eastAsia="Aptos" w:hAnsi="Aptos" w:cs="Aptos"/>
          <w:color w:val="000000" w:themeColor="text1"/>
        </w:rPr>
        <w:t xml:space="preserve">In general, therefore, there is no agreed consensus for how to solve the problems currently affecting the history sector. While it is undeniably a serious issue for </w:t>
      </w:r>
      <w:r w:rsidR="785DC5D4" w:rsidRPr="2B49D85C">
        <w:rPr>
          <w:rFonts w:ascii="Aptos" w:eastAsia="Aptos" w:hAnsi="Aptos" w:cs="Aptos"/>
          <w:color w:val="000000" w:themeColor="text1"/>
        </w:rPr>
        <w:t>both political and monetary reasons, the solutions proposed are either attempting to call back to a simpler, grand narrative form of history, or simply emphasising that history graduates can hold down employment easier after university. Nonetheless, it is hig</w:t>
      </w:r>
      <w:r w:rsidR="334A30C0" w:rsidRPr="2B49D85C">
        <w:rPr>
          <w:rFonts w:ascii="Aptos" w:eastAsia="Aptos" w:hAnsi="Aptos" w:cs="Aptos"/>
          <w:color w:val="000000" w:themeColor="text1"/>
        </w:rPr>
        <w:t>hly unlikely that these threats will cause the destruction or even significant long-term damage to the field. History is interwoven in so many forms of the humanities that it is inescapable. Any humanities degree holder, and many in the non-humanities fields</w:t>
      </w:r>
      <w:r w:rsidR="46A50BC1" w:rsidRPr="2B49D85C">
        <w:rPr>
          <w:rFonts w:ascii="Aptos" w:eastAsia="Aptos" w:hAnsi="Aptos" w:cs="Aptos"/>
          <w:color w:val="000000" w:themeColor="text1"/>
        </w:rPr>
        <w:t>, will interact with a subject history at minimum, with an understanding of their disciplines requiring a grasp on history. It is incredibly deeply interwoven, and despite attempts to form a larger, more cohesive history, smaller interdisciplinary studies continue to dominate th</w:t>
      </w:r>
      <w:r w:rsidR="48D0AD69" w:rsidRPr="2B49D85C">
        <w:rPr>
          <w:rFonts w:ascii="Aptos" w:eastAsia="Aptos" w:hAnsi="Aptos" w:cs="Aptos"/>
          <w:color w:val="000000" w:themeColor="text1"/>
        </w:rPr>
        <w:t>e field, as they have for much of the 2020s.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753D1AA0" w14:textId="3113461E" w:rsidR="2B49D85C" w:rsidRDefault="49B4C25D" w:rsidP="2B49D85C">
      <w:pPr>
        <w:rPr>
          <w:rFonts w:ascii="Aptos" w:eastAsia="Aptos" w:hAnsi="Aptos" w:cs="Aptos"/>
          <w:color w:val="000000" w:themeColor="text1"/>
        </w:rPr>
      </w:pPr>
      <w:r w:rsidRPr="2B49D85C">
        <w:rPr>
          <w:rFonts w:ascii="Aptos" w:eastAsia="Aptos" w:hAnsi="Aptos" w:cs="Aptos"/>
          <w:color w:val="000000" w:themeColor="text1"/>
        </w:rPr>
        <w:lastRenderedPageBreak/>
        <w:t>Bibliography</w:t>
      </w:r>
      <w:r>
        <w:br/>
      </w:r>
      <w:r>
        <w:br/>
      </w:r>
      <w:proofErr w:type="spellStart"/>
      <w:r w:rsidR="1AAE29E1" w:rsidRPr="2B49D85C">
        <w:rPr>
          <w:rFonts w:ascii="Aptos" w:eastAsia="Aptos" w:hAnsi="Aptos" w:cs="Aptos"/>
          <w:color w:val="000000" w:themeColor="text1"/>
        </w:rPr>
        <w:t>Bibliography</w:t>
      </w:r>
      <w:proofErr w:type="spellEnd"/>
      <w:r w:rsidR="1AAE29E1" w:rsidRPr="2B49D85C">
        <w:rPr>
          <w:rFonts w:ascii="Aptos" w:eastAsia="Aptos" w:hAnsi="Aptos" w:cs="Aptos"/>
          <w:color w:val="000000" w:themeColor="text1"/>
        </w:rPr>
        <w:t xml:space="preserve"> of British and Irish History, </w:t>
      </w:r>
      <w:r w:rsidR="1AAE29E1" w:rsidRPr="2B49D85C">
        <w:rPr>
          <w:rFonts w:ascii="Aptos" w:eastAsia="Aptos" w:hAnsi="Aptos" w:cs="Aptos"/>
          <w:i/>
          <w:iCs/>
          <w:color w:val="000000" w:themeColor="text1"/>
        </w:rPr>
        <w:t>‘What’s trending in new historical writing? Four perspectives from the Bibliography of British and Irish History’</w:t>
      </w:r>
      <w:r w:rsidR="24986888" w:rsidRPr="2B49D85C">
        <w:rPr>
          <w:rFonts w:ascii="Aptos" w:eastAsia="Aptos" w:hAnsi="Aptos" w:cs="Aptos"/>
          <w:color w:val="000000" w:themeColor="text1"/>
        </w:rPr>
        <w:t xml:space="preserve"> (28 July 2020). &lt;https://blog.history.ac.uk/2020/07/whats-trending-in-new-historical-writing-four-perspectives-from-the-bibliography-of-british-and-irish-history/&gt; [accessed 26 October 2025]</w:t>
      </w:r>
      <w:r>
        <w:br/>
      </w:r>
      <w:r>
        <w:br/>
      </w:r>
      <w:r w:rsidR="443D0084" w:rsidRPr="2B49D85C">
        <w:rPr>
          <w:rFonts w:ascii="Aptos" w:eastAsia="Aptos" w:hAnsi="Aptos" w:cs="Aptos"/>
          <w:color w:val="000000" w:themeColor="text1"/>
        </w:rPr>
        <w:t xml:space="preserve">Mintz, Steven, </w:t>
      </w:r>
      <w:r w:rsidR="443D0084" w:rsidRPr="2B49D85C">
        <w:rPr>
          <w:rFonts w:ascii="Aptos" w:eastAsia="Aptos" w:hAnsi="Aptos" w:cs="Aptos"/>
          <w:i/>
          <w:iCs/>
          <w:color w:val="000000" w:themeColor="text1"/>
        </w:rPr>
        <w:t>‘How History Can Reclaim Its Relevance in the 21st Century’</w:t>
      </w:r>
      <w:r w:rsidR="443D0084" w:rsidRPr="2B49D85C">
        <w:rPr>
          <w:rFonts w:ascii="Aptos" w:eastAsia="Aptos" w:hAnsi="Aptos" w:cs="Aptos"/>
          <w:color w:val="000000" w:themeColor="text1"/>
        </w:rPr>
        <w:t>, Inside Higher Ed, August 15</w:t>
      </w:r>
      <w:proofErr w:type="gramStart"/>
      <w:r w:rsidR="443D0084" w:rsidRPr="2B49D85C">
        <w:rPr>
          <w:rFonts w:ascii="Aptos" w:eastAsia="Aptos" w:hAnsi="Aptos" w:cs="Aptos"/>
          <w:color w:val="000000" w:themeColor="text1"/>
        </w:rPr>
        <w:t xml:space="preserve"> 2024</w:t>
      </w:r>
      <w:proofErr w:type="gramEnd"/>
      <w:r w:rsidR="443D0084" w:rsidRPr="2B49D85C">
        <w:rPr>
          <w:rFonts w:ascii="Aptos" w:eastAsia="Aptos" w:hAnsi="Aptos" w:cs="Aptos"/>
          <w:color w:val="000000" w:themeColor="text1"/>
        </w:rPr>
        <w:t>. &lt;https://www.insidehighered.com/opinion/columns/higher-ed-gamma/2024/08/15/re-engaging-history-social-sciences-and-modern&gt; [accessed 26 October 2025]</w:t>
      </w:r>
      <w:r>
        <w:br/>
      </w:r>
      <w:r>
        <w:br/>
      </w:r>
      <w:r w:rsidR="742C17A1" w:rsidRPr="2B49D85C">
        <w:rPr>
          <w:rFonts w:ascii="Aptos" w:eastAsia="Aptos" w:hAnsi="Aptos" w:cs="Aptos"/>
          <w:color w:val="000000" w:themeColor="text1"/>
        </w:rPr>
        <w:t>Neem, Johann, ‘</w:t>
      </w:r>
      <w:r w:rsidR="742C17A1" w:rsidRPr="2B49D85C">
        <w:rPr>
          <w:rFonts w:ascii="Aptos" w:eastAsia="Aptos" w:hAnsi="Aptos" w:cs="Aptos"/>
          <w:i/>
          <w:iCs/>
          <w:color w:val="000000" w:themeColor="text1"/>
        </w:rPr>
        <w:t>Bringing American History Back Home for the 250th'</w:t>
      </w:r>
      <w:r w:rsidR="742C17A1" w:rsidRPr="2B49D85C">
        <w:rPr>
          <w:rFonts w:ascii="Aptos" w:eastAsia="Aptos" w:hAnsi="Aptos" w:cs="Aptos"/>
          <w:color w:val="000000" w:themeColor="text1"/>
        </w:rPr>
        <w:t>, American Historial Association, 14 July 2025. &lt;https://www.historians.org/perspectives-article/bringing-american-history-back-home-for-the-250th/&gt; [accessed 26 October 2025]</w:t>
      </w:r>
      <w:r>
        <w:br/>
      </w:r>
      <w:r>
        <w:br/>
      </w:r>
      <w:r w:rsidR="207DEC3D" w:rsidRPr="2B49D85C">
        <w:rPr>
          <w:rFonts w:ascii="Aptos" w:eastAsia="Aptos" w:hAnsi="Aptos" w:cs="Aptos"/>
          <w:color w:val="000000" w:themeColor="text1"/>
        </w:rPr>
        <w:t xml:space="preserve">Royal Historical Society, </w:t>
      </w:r>
      <w:r w:rsidR="207DEC3D" w:rsidRPr="2B49D85C">
        <w:rPr>
          <w:rFonts w:ascii="Aptos" w:eastAsia="Aptos" w:hAnsi="Aptos" w:cs="Aptos"/>
          <w:i/>
          <w:iCs/>
          <w:color w:val="000000" w:themeColor="text1"/>
        </w:rPr>
        <w:t>‘The Value of History: a new briefing from the Royal Historical Society’</w:t>
      </w:r>
      <w:r w:rsidR="207DEC3D" w:rsidRPr="2B49D85C">
        <w:rPr>
          <w:rFonts w:ascii="Aptos" w:eastAsia="Aptos" w:hAnsi="Aptos" w:cs="Aptos"/>
          <w:color w:val="000000" w:themeColor="text1"/>
        </w:rPr>
        <w:t xml:space="preserve"> (October 30</w:t>
      </w:r>
      <w:proofErr w:type="gramStart"/>
      <w:r w:rsidR="207DEC3D" w:rsidRPr="2B49D85C">
        <w:rPr>
          <w:rFonts w:ascii="Aptos" w:eastAsia="Aptos" w:hAnsi="Aptos" w:cs="Aptos"/>
          <w:color w:val="000000" w:themeColor="text1"/>
        </w:rPr>
        <w:t xml:space="preserve"> 2024</w:t>
      </w:r>
      <w:proofErr w:type="gramEnd"/>
      <w:r w:rsidR="207DEC3D" w:rsidRPr="2B49D85C">
        <w:rPr>
          <w:rFonts w:ascii="Aptos" w:eastAsia="Aptos" w:hAnsi="Aptos" w:cs="Aptos"/>
          <w:color w:val="000000" w:themeColor="text1"/>
        </w:rPr>
        <w:t xml:space="preserve">). &lt;https://blog.royalhistsoc.org/2024/10/30/the-value-of-history-a-new-briefing-from-the-royal-historical-society/&gt; [accessed 26 October 2025]  </w:t>
      </w:r>
    </w:p>
    <w:sectPr w:rsidR="2B49D85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B4A49" w14:textId="77777777" w:rsidR="00D91CC0" w:rsidRDefault="00D91CC0">
      <w:pPr>
        <w:spacing w:after="0" w:line="240" w:lineRule="auto"/>
      </w:pPr>
      <w:r>
        <w:separator/>
      </w:r>
    </w:p>
  </w:endnote>
  <w:endnote w:type="continuationSeparator" w:id="0">
    <w:p w14:paraId="54AA9379" w14:textId="77777777" w:rsidR="00D91CC0" w:rsidRDefault="00D91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7EFD" w14:textId="77777777" w:rsidR="00D91CC0" w:rsidRDefault="00D91CC0">
      <w:pPr>
        <w:spacing w:after="0" w:line="240" w:lineRule="auto"/>
      </w:pPr>
      <w:r>
        <w:separator/>
      </w:r>
    </w:p>
  </w:footnote>
  <w:footnote w:type="continuationSeparator" w:id="0">
    <w:p w14:paraId="10707227" w14:textId="77777777" w:rsidR="00D91CC0" w:rsidRDefault="00D91CC0">
      <w:pPr>
        <w:spacing w:after="0" w:line="240" w:lineRule="auto"/>
      </w:pPr>
      <w:r>
        <w:continuationSeparator/>
      </w:r>
    </w:p>
  </w:footnote>
  <w:footnote w:id="1">
    <w:p w14:paraId="64F855D5" w14:textId="603981EF" w:rsidR="2B49D85C" w:rsidRDefault="2B49D85C" w:rsidP="2B49D85C">
      <w:pPr>
        <w:pStyle w:val="FootnoteText"/>
      </w:pPr>
      <w:r w:rsidRPr="2B49D85C">
        <w:rPr>
          <w:rStyle w:val="FootnoteReference"/>
        </w:rPr>
        <w:footnoteRef/>
      </w:r>
      <w:r>
        <w:t xml:space="preserve"> Bibliography of British and Irish History, </w:t>
      </w:r>
      <w:r w:rsidRPr="2B49D85C">
        <w:rPr>
          <w:i/>
          <w:iCs/>
        </w:rPr>
        <w:t>‘What’s trending in new historical writing? Four perspectives from the Bibliography of British and Irish History’</w:t>
      </w:r>
      <w:r>
        <w:t xml:space="preserve"> (28 July 2020). &lt;https://blog.history.ac.uk/2020/07/whats-trending-in-new-historical-writing-four-perspectives-from-the-bibliography-of-british-and-irish-history/&gt; [accessed 26 October 2025]</w:t>
      </w:r>
    </w:p>
  </w:footnote>
  <w:footnote w:id="2">
    <w:p w14:paraId="43F24F20" w14:textId="1817F4C1" w:rsidR="2B49D85C" w:rsidRDefault="2B49D85C" w:rsidP="2B49D85C">
      <w:pPr>
        <w:pStyle w:val="FootnoteText"/>
        <w:rPr>
          <w:i/>
          <w:iCs/>
        </w:rPr>
      </w:pPr>
      <w:r w:rsidRPr="2B49D85C">
        <w:rPr>
          <w:rStyle w:val="FootnoteReference"/>
        </w:rPr>
        <w:footnoteRef/>
      </w:r>
      <w:r>
        <w:t xml:space="preserve"> </w:t>
      </w:r>
      <w:r w:rsidRPr="2B49D85C">
        <w:rPr>
          <w:i/>
          <w:iCs/>
        </w:rPr>
        <w:t>ibid.</w:t>
      </w:r>
    </w:p>
  </w:footnote>
  <w:footnote w:id="3">
    <w:p w14:paraId="6984DBC0" w14:textId="219EBB08" w:rsidR="2B49D85C" w:rsidRDefault="2B49D85C" w:rsidP="2B49D85C">
      <w:pPr>
        <w:pStyle w:val="FootnoteText"/>
        <w:rPr>
          <w:i/>
          <w:iCs/>
        </w:rPr>
      </w:pPr>
      <w:r w:rsidRPr="2B49D85C">
        <w:rPr>
          <w:rStyle w:val="FootnoteReference"/>
        </w:rPr>
        <w:footnoteRef/>
      </w:r>
      <w:r>
        <w:t xml:space="preserve"> </w:t>
      </w:r>
      <w:r w:rsidRPr="2B49D85C">
        <w:rPr>
          <w:i/>
          <w:iCs/>
        </w:rPr>
        <w:t>ibid.</w:t>
      </w:r>
    </w:p>
  </w:footnote>
  <w:footnote w:id="4">
    <w:p w14:paraId="4FE5D447" w14:textId="53769D70" w:rsidR="2B49D85C" w:rsidRDefault="2B49D85C" w:rsidP="2B49D85C">
      <w:pPr>
        <w:pStyle w:val="FootnoteText"/>
      </w:pPr>
      <w:r w:rsidRPr="2B49D85C">
        <w:rPr>
          <w:rStyle w:val="FootnoteReference"/>
        </w:rPr>
        <w:footnoteRef/>
      </w:r>
      <w:r w:rsidRPr="2B49D85C">
        <w:rPr>
          <w:i/>
          <w:iCs/>
        </w:rPr>
        <w:t xml:space="preserve"> </w:t>
      </w:r>
      <w:r w:rsidRPr="2B49D85C">
        <w:t>Royal Historical Society</w:t>
      </w:r>
      <w:r w:rsidRPr="2B49D85C">
        <w:rPr>
          <w:i/>
          <w:iCs/>
        </w:rPr>
        <w:t xml:space="preserve">, The Value of History: a new briefing from the Royal Historical Society </w:t>
      </w:r>
      <w:r w:rsidRPr="2B49D85C">
        <w:t>(October 30</w:t>
      </w:r>
      <w:proofErr w:type="gramStart"/>
      <w:r w:rsidRPr="2B49D85C">
        <w:t xml:space="preserve"> 2024</w:t>
      </w:r>
      <w:proofErr w:type="gramEnd"/>
      <w:r w:rsidRPr="2B49D85C">
        <w:t>). &lt;https://blog.royalhistsoc.org/2024/10/30/the-value-of-history-a-new-briefing-from-the-royal-historical-society/&gt; [accessed 26 October 2025]</w:t>
      </w:r>
    </w:p>
  </w:footnote>
  <w:footnote w:id="5">
    <w:p w14:paraId="0643D627" w14:textId="31733415" w:rsidR="2B49D85C" w:rsidRDefault="2B49D85C" w:rsidP="2B49D85C">
      <w:pPr>
        <w:pStyle w:val="FootnoteText"/>
        <w:rPr>
          <w:i/>
          <w:iCs/>
        </w:rPr>
      </w:pPr>
      <w:r w:rsidRPr="2B49D85C">
        <w:rPr>
          <w:rStyle w:val="FootnoteReference"/>
        </w:rPr>
        <w:footnoteRef/>
      </w:r>
      <w:r>
        <w:t xml:space="preserve"> </w:t>
      </w:r>
      <w:r w:rsidRPr="2B49D85C">
        <w:rPr>
          <w:i/>
          <w:iCs/>
        </w:rPr>
        <w:t>ibid.</w:t>
      </w:r>
    </w:p>
  </w:footnote>
  <w:footnote w:id="6">
    <w:p w14:paraId="20BC8E00" w14:textId="31C5BD0A" w:rsidR="2B49D85C" w:rsidRDefault="2B49D85C" w:rsidP="2B49D85C">
      <w:pPr>
        <w:pStyle w:val="FootnoteText"/>
        <w:rPr>
          <w:i/>
          <w:iCs/>
        </w:rPr>
      </w:pPr>
      <w:r w:rsidRPr="2B49D85C">
        <w:rPr>
          <w:rStyle w:val="FootnoteReference"/>
        </w:rPr>
        <w:footnoteRef/>
      </w:r>
      <w:r>
        <w:t xml:space="preserve"> </w:t>
      </w:r>
      <w:r w:rsidRPr="2B49D85C">
        <w:rPr>
          <w:i/>
          <w:iCs/>
        </w:rPr>
        <w:t>ibid.</w:t>
      </w:r>
    </w:p>
  </w:footnote>
  <w:footnote w:id="7">
    <w:p w14:paraId="4D0714AE" w14:textId="1311B790" w:rsidR="2B49D85C" w:rsidRDefault="2B49D85C" w:rsidP="2B49D85C">
      <w:pPr>
        <w:pStyle w:val="FootnoteText"/>
        <w:rPr>
          <w:i/>
          <w:iCs/>
        </w:rPr>
      </w:pPr>
      <w:r w:rsidRPr="2B49D85C">
        <w:rPr>
          <w:rStyle w:val="FootnoteReference"/>
        </w:rPr>
        <w:footnoteRef/>
      </w:r>
      <w:r>
        <w:t xml:space="preserve"> </w:t>
      </w:r>
      <w:r w:rsidRPr="2B49D85C">
        <w:rPr>
          <w:i/>
          <w:iCs/>
        </w:rPr>
        <w:t>ibid.</w:t>
      </w:r>
    </w:p>
  </w:footnote>
  <w:footnote w:id="8">
    <w:p w14:paraId="6DB963F3" w14:textId="2E1796C7" w:rsidR="2B49D85C" w:rsidRDefault="2B49D85C" w:rsidP="2B49D85C">
      <w:pPr>
        <w:pStyle w:val="FootnoteText"/>
      </w:pPr>
      <w:r w:rsidRPr="2B49D85C">
        <w:rPr>
          <w:rStyle w:val="FootnoteReference"/>
        </w:rPr>
        <w:footnoteRef/>
      </w:r>
      <w:r>
        <w:t xml:space="preserve"> Johann Neem, ‘Bringing American History Back Home for the 250</w:t>
      </w:r>
      <w:r w:rsidRPr="2B49D85C">
        <w:rPr>
          <w:vertAlign w:val="superscript"/>
        </w:rPr>
        <w:t>th</w:t>
      </w:r>
      <w:r>
        <w:t xml:space="preserve">', </w:t>
      </w:r>
      <w:r w:rsidRPr="2B49D85C">
        <w:rPr>
          <w:i/>
          <w:iCs/>
        </w:rPr>
        <w:t xml:space="preserve">American Historial Association, </w:t>
      </w:r>
      <w:r w:rsidRPr="2B49D85C">
        <w:t>14 July 2025. &lt;https://www.historians.org/perspectives-article/bringing-american-history-back-home-for-the-250th/&gt; [accessed 26 October 2025]</w:t>
      </w:r>
    </w:p>
  </w:footnote>
  <w:footnote w:id="9">
    <w:p w14:paraId="5123A9F3" w14:textId="1D9FD7E3" w:rsidR="2B49D85C" w:rsidRDefault="2B49D85C" w:rsidP="2B49D85C">
      <w:pPr>
        <w:pStyle w:val="FootnoteText"/>
      </w:pPr>
      <w:r w:rsidRPr="2B49D85C">
        <w:rPr>
          <w:rStyle w:val="FootnoteReference"/>
        </w:rPr>
        <w:footnoteRef/>
      </w:r>
      <w:r>
        <w:t xml:space="preserve"> Steven Mintz, ‘How History Can Reclaim Its Relevance in the 21st Century’, </w:t>
      </w:r>
      <w:r w:rsidRPr="2B49D85C">
        <w:rPr>
          <w:i/>
          <w:iCs/>
        </w:rPr>
        <w:t xml:space="preserve">Inside Higher Ed, </w:t>
      </w:r>
      <w:r w:rsidRPr="2B49D85C">
        <w:t>August 15</w:t>
      </w:r>
      <w:proofErr w:type="gramStart"/>
      <w:r w:rsidRPr="2B49D85C">
        <w:t xml:space="preserve"> 2024</w:t>
      </w:r>
      <w:proofErr w:type="gramEnd"/>
      <w:r w:rsidRPr="2B49D85C">
        <w:t>. &lt;https://www.insidehighered.com/opinion/columns/higher-ed-gamma/2024/08/15/re-engaging-history-social-sciences-and-modern&gt; [accessed 26 October 2025]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8hD4Ypv" int2:invalidationBookmarkName="" int2:hashCode="nyw/o9YPMSq0n7" int2:id="kQcAPrtD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47A8F9"/>
    <w:rsid w:val="001003BC"/>
    <w:rsid w:val="00143579"/>
    <w:rsid w:val="00714C49"/>
    <w:rsid w:val="00D91CC0"/>
    <w:rsid w:val="00F5C8FB"/>
    <w:rsid w:val="013E8A16"/>
    <w:rsid w:val="03758D79"/>
    <w:rsid w:val="04B05D6B"/>
    <w:rsid w:val="05FB0CD0"/>
    <w:rsid w:val="061B3CCC"/>
    <w:rsid w:val="065C2AD9"/>
    <w:rsid w:val="06F9A55E"/>
    <w:rsid w:val="071CB118"/>
    <w:rsid w:val="079F5098"/>
    <w:rsid w:val="082A1D45"/>
    <w:rsid w:val="082EFE8C"/>
    <w:rsid w:val="08837551"/>
    <w:rsid w:val="0944A3D2"/>
    <w:rsid w:val="097B4DC1"/>
    <w:rsid w:val="0B1238B3"/>
    <w:rsid w:val="0C6ED443"/>
    <w:rsid w:val="0CBAE941"/>
    <w:rsid w:val="0CC99C2D"/>
    <w:rsid w:val="0CE34F0C"/>
    <w:rsid w:val="0CF107A0"/>
    <w:rsid w:val="0FAEC8D2"/>
    <w:rsid w:val="10566930"/>
    <w:rsid w:val="1082CA21"/>
    <w:rsid w:val="10E698BF"/>
    <w:rsid w:val="1135D7DB"/>
    <w:rsid w:val="117A93A0"/>
    <w:rsid w:val="134CCC0A"/>
    <w:rsid w:val="1382205A"/>
    <w:rsid w:val="13CAC076"/>
    <w:rsid w:val="13D03CCF"/>
    <w:rsid w:val="14B463B2"/>
    <w:rsid w:val="14FE86F9"/>
    <w:rsid w:val="155A56AE"/>
    <w:rsid w:val="165BC930"/>
    <w:rsid w:val="175C5CE4"/>
    <w:rsid w:val="17E4F435"/>
    <w:rsid w:val="181DACE9"/>
    <w:rsid w:val="186CB20C"/>
    <w:rsid w:val="188D75B5"/>
    <w:rsid w:val="18BA7B37"/>
    <w:rsid w:val="18E9961A"/>
    <w:rsid w:val="1A5EF3E7"/>
    <w:rsid w:val="1AAE29E1"/>
    <w:rsid w:val="1B583482"/>
    <w:rsid w:val="1C5C9746"/>
    <w:rsid w:val="1CBCC76E"/>
    <w:rsid w:val="1ECFA0FF"/>
    <w:rsid w:val="2060C0DB"/>
    <w:rsid w:val="207DEC3D"/>
    <w:rsid w:val="211BD18A"/>
    <w:rsid w:val="22C6D473"/>
    <w:rsid w:val="237A7C23"/>
    <w:rsid w:val="237B1F30"/>
    <w:rsid w:val="23A0CEA6"/>
    <w:rsid w:val="23B1C924"/>
    <w:rsid w:val="23F83179"/>
    <w:rsid w:val="2450FF02"/>
    <w:rsid w:val="24986888"/>
    <w:rsid w:val="255C3AD0"/>
    <w:rsid w:val="25A6B587"/>
    <w:rsid w:val="25E6842A"/>
    <w:rsid w:val="26AE0EB4"/>
    <w:rsid w:val="26F2ADA2"/>
    <w:rsid w:val="2784194D"/>
    <w:rsid w:val="286193CD"/>
    <w:rsid w:val="2911A7FE"/>
    <w:rsid w:val="295C8C55"/>
    <w:rsid w:val="2A2597DB"/>
    <w:rsid w:val="2A30B6D0"/>
    <w:rsid w:val="2A3862B7"/>
    <w:rsid w:val="2AAFB930"/>
    <w:rsid w:val="2B1D66E3"/>
    <w:rsid w:val="2B49D85C"/>
    <w:rsid w:val="2BD670B5"/>
    <w:rsid w:val="2D1C95B5"/>
    <w:rsid w:val="2D7B221A"/>
    <w:rsid w:val="2E2CC4A6"/>
    <w:rsid w:val="2E50FEED"/>
    <w:rsid w:val="3191F34A"/>
    <w:rsid w:val="31BBF933"/>
    <w:rsid w:val="31FB24B9"/>
    <w:rsid w:val="32E935EC"/>
    <w:rsid w:val="334A30C0"/>
    <w:rsid w:val="33A6E8AC"/>
    <w:rsid w:val="33DE14C2"/>
    <w:rsid w:val="34D33DC2"/>
    <w:rsid w:val="34F4ED60"/>
    <w:rsid w:val="384B9CB0"/>
    <w:rsid w:val="3864D623"/>
    <w:rsid w:val="38C208E5"/>
    <w:rsid w:val="39E72B82"/>
    <w:rsid w:val="3A67CE68"/>
    <w:rsid w:val="3B2ECD2D"/>
    <w:rsid w:val="3B620123"/>
    <w:rsid w:val="3BC02704"/>
    <w:rsid w:val="3BDD09B3"/>
    <w:rsid w:val="3C16CF6F"/>
    <w:rsid w:val="3CA24C29"/>
    <w:rsid w:val="3D477DC0"/>
    <w:rsid w:val="3DA17390"/>
    <w:rsid w:val="3E9CBC3C"/>
    <w:rsid w:val="3EDDE520"/>
    <w:rsid w:val="3F8DDF83"/>
    <w:rsid w:val="4029196E"/>
    <w:rsid w:val="41BD9DE9"/>
    <w:rsid w:val="42DBB521"/>
    <w:rsid w:val="430AFDFF"/>
    <w:rsid w:val="4319F4AD"/>
    <w:rsid w:val="442CAC63"/>
    <w:rsid w:val="443D0084"/>
    <w:rsid w:val="447964E8"/>
    <w:rsid w:val="44F21940"/>
    <w:rsid w:val="4547F2D9"/>
    <w:rsid w:val="4596FDA0"/>
    <w:rsid w:val="45F159C4"/>
    <w:rsid w:val="460197EC"/>
    <w:rsid w:val="460FCACF"/>
    <w:rsid w:val="467916A2"/>
    <w:rsid w:val="46A50BC1"/>
    <w:rsid w:val="4733A879"/>
    <w:rsid w:val="477D60EE"/>
    <w:rsid w:val="47AC2D4A"/>
    <w:rsid w:val="48D0AD69"/>
    <w:rsid w:val="4905E777"/>
    <w:rsid w:val="498FC9CB"/>
    <w:rsid w:val="49B4C25D"/>
    <w:rsid w:val="4C620C55"/>
    <w:rsid w:val="4CEEC8B9"/>
    <w:rsid w:val="4D1EC4F8"/>
    <w:rsid w:val="4D5367FA"/>
    <w:rsid w:val="4DA9BF16"/>
    <w:rsid w:val="4DEC638B"/>
    <w:rsid w:val="4E303B20"/>
    <w:rsid w:val="4F741CE9"/>
    <w:rsid w:val="4FA0A635"/>
    <w:rsid w:val="5033E7D9"/>
    <w:rsid w:val="5077D430"/>
    <w:rsid w:val="512526B2"/>
    <w:rsid w:val="5243722D"/>
    <w:rsid w:val="52E4D345"/>
    <w:rsid w:val="532EAE9F"/>
    <w:rsid w:val="53B33A6E"/>
    <w:rsid w:val="54E29FFA"/>
    <w:rsid w:val="54F1E0FA"/>
    <w:rsid w:val="556BDC48"/>
    <w:rsid w:val="559391B0"/>
    <w:rsid w:val="5674536C"/>
    <w:rsid w:val="572F1ADD"/>
    <w:rsid w:val="585918F2"/>
    <w:rsid w:val="589CE31E"/>
    <w:rsid w:val="58C8E777"/>
    <w:rsid w:val="591883B3"/>
    <w:rsid w:val="5ADDA078"/>
    <w:rsid w:val="5BDDA74D"/>
    <w:rsid w:val="5C01F040"/>
    <w:rsid w:val="5F2A585F"/>
    <w:rsid w:val="5F2DAFE3"/>
    <w:rsid w:val="5F5CA43D"/>
    <w:rsid w:val="5F78AB73"/>
    <w:rsid w:val="5F87C2FC"/>
    <w:rsid w:val="6106475D"/>
    <w:rsid w:val="61299166"/>
    <w:rsid w:val="619AF63C"/>
    <w:rsid w:val="61F92A72"/>
    <w:rsid w:val="6255DF83"/>
    <w:rsid w:val="63291D00"/>
    <w:rsid w:val="63974081"/>
    <w:rsid w:val="63E07035"/>
    <w:rsid w:val="6464C1C5"/>
    <w:rsid w:val="64A101A6"/>
    <w:rsid w:val="64D2C3F8"/>
    <w:rsid w:val="667766D9"/>
    <w:rsid w:val="683CD03B"/>
    <w:rsid w:val="684E69EF"/>
    <w:rsid w:val="6940EE03"/>
    <w:rsid w:val="6ABA97F2"/>
    <w:rsid w:val="6AD97571"/>
    <w:rsid w:val="6BDFF650"/>
    <w:rsid w:val="6C31C9C5"/>
    <w:rsid w:val="6E137193"/>
    <w:rsid w:val="6F35F283"/>
    <w:rsid w:val="6FE70B3F"/>
    <w:rsid w:val="7003E41A"/>
    <w:rsid w:val="72AB6561"/>
    <w:rsid w:val="72C9C0EB"/>
    <w:rsid w:val="73143222"/>
    <w:rsid w:val="738237B8"/>
    <w:rsid w:val="73A9B094"/>
    <w:rsid w:val="7408C83A"/>
    <w:rsid w:val="74192F8B"/>
    <w:rsid w:val="7423227E"/>
    <w:rsid w:val="742C17A1"/>
    <w:rsid w:val="76BADB53"/>
    <w:rsid w:val="771BA56F"/>
    <w:rsid w:val="7808C35F"/>
    <w:rsid w:val="785DC5D4"/>
    <w:rsid w:val="7873BE03"/>
    <w:rsid w:val="7BF511FD"/>
    <w:rsid w:val="7CD5611D"/>
    <w:rsid w:val="7E0BEA0D"/>
    <w:rsid w:val="7E47A8F9"/>
    <w:rsid w:val="7E4E4860"/>
    <w:rsid w:val="7E866124"/>
    <w:rsid w:val="7EA2C543"/>
    <w:rsid w:val="7F24CD10"/>
    <w:rsid w:val="7F928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7A8F9"/>
  <w15:chartTrackingRefBased/>
  <w15:docId w15:val="{6F4B6A62-DC2A-48E2-B007-C896AAA0D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uiPriority w:val="99"/>
    <w:semiHidden/>
    <w:unhideWhenUsed/>
    <w:rsid w:val="2B49D85C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1280</Words>
  <Characters>7301</Characters>
  <Application>Microsoft Office Word</Application>
  <DocSecurity>0</DocSecurity>
  <Lines>60</Lines>
  <Paragraphs>17</Paragraphs>
  <ScaleCrop>false</ScaleCrop>
  <Company/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Corentine Byrd (2404309)</dc:creator>
  <cp:keywords/>
  <dc:description/>
  <cp:lastModifiedBy>Corentine Byrd (2404309)</cp:lastModifiedBy>
  <cp:revision>3</cp:revision>
  <dcterms:created xsi:type="dcterms:W3CDTF">2025-10-26T14:07:00Z</dcterms:created>
  <dcterms:modified xsi:type="dcterms:W3CDTF">2025-10-26T23:40:00Z</dcterms:modified>
</cp:coreProperties>
</file>