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FC14" w14:textId="189BD244" w:rsidR="00D9194E" w:rsidRPr="00121ECC" w:rsidRDefault="00D9194E" w:rsidP="00D9194E">
      <w:pPr>
        <w:spacing w:before="800"/>
        <w:jc w:val="center"/>
        <w:rPr>
          <w:rFonts w:ascii="Arial" w:eastAsia="Arial" w:hAnsi="Arial" w:cs="Arial"/>
          <w:b/>
          <w:bCs/>
          <w:sz w:val="26"/>
          <w:szCs w:val="26"/>
        </w:rPr>
      </w:pPr>
      <w:r w:rsidRPr="00121ECC">
        <w:rPr>
          <w:rFonts w:ascii="Arial" w:eastAsia="Arial" w:hAnsi="Arial" w:cs="Arial"/>
          <w:b/>
          <w:bCs/>
          <w:sz w:val="26"/>
          <w:szCs w:val="26"/>
        </w:rPr>
        <w:t>A Critical Evaluation of Person-Centred Care and Partnership Working in a Residential Care Home Setting</w:t>
      </w:r>
    </w:p>
    <w:p w14:paraId="476D5E15" w14:textId="77777777" w:rsidR="00D9194E" w:rsidRPr="00121ECC" w:rsidRDefault="00D9194E" w:rsidP="00D9194E">
      <w:pPr>
        <w:spacing w:before="800" w:line="360" w:lineRule="auto"/>
        <w:jc w:val="center"/>
        <w:rPr>
          <w:rFonts w:ascii="Arial" w:hAnsi="Arial" w:cs="Arial"/>
          <w:b/>
          <w:bCs/>
        </w:rPr>
      </w:pPr>
      <w:r w:rsidRPr="00121ECC">
        <w:rPr>
          <w:rFonts w:ascii="Arial" w:eastAsia="Arial" w:hAnsi="Arial" w:cs="Arial"/>
          <w:b/>
          <w:bCs/>
        </w:rPr>
        <w:t>STUDENT NAME:</w:t>
      </w:r>
    </w:p>
    <w:p w14:paraId="49BF2445" w14:textId="77777777" w:rsidR="00D9194E" w:rsidRPr="00121ECC" w:rsidRDefault="00D9194E" w:rsidP="00D9194E">
      <w:pPr>
        <w:spacing w:before="200" w:line="360" w:lineRule="auto"/>
        <w:jc w:val="center"/>
        <w:rPr>
          <w:rFonts w:ascii="Arial" w:eastAsia="Arial" w:hAnsi="Arial" w:cs="Arial"/>
          <w:b/>
          <w:bCs/>
        </w:rPr>
      </w:pPr>
      <w:r w:rsidRPr="00121ECC">
        <w:rPr>
          <w:rFonts w:ascii="Arial" w:eastAsia="Arial" w:hAnsi="Arial" w:cs="Arial"/>
          <w:b/>
          <w:bCs/>
        </w:rPr>
        <w:t>STUDENT ID:</w:t>
      </w:r>
    </w:p>
    <w:p w14:paraId="44DF4056" w14:textId="77777777" w:rsidR="00D9194E" w:rsidRPr="00121ECC" w:rsidRDefault="00D9194E" w:rsidP="00D9194E">
      <w:pPr>
        <w:spacing w:before="800" w:line="360" w:lineRule="auto"/>
        <w:jc w:val="center"/>
        <w:rPr>
          <w:rFonts w:ascii="Arial" w:eastAsia="Arial" w:hAnsi="Arial" w:cs="Arial"/>
          <w:b/>
          <w:bCs/>
        </w:rPr>
      </w:pPr>
      <w:r w:rsidRPr="00121ECC">
        <w:rPr>
          <w:rFonts w:ascii="Arial" w:eastAsia="Arial" w:hAnsi="Arial" w:cs="Arial"/>
          <w:b/>
          <w:bCs/>
        </w:rPr>
        <w:t>MODULE: PRINCIPLES OF HEALTH AND SOCIAL CARE PRACTICE</w:t>
      </w:r>
    </w:p>
    <w:p w14:paraId="43B3F1D8" w14:textId="77777777" w:rsidR="00D9194E" w:rsidRPr="00121ECC" w:rsidRDefault="00D9194E" w:rsidP="00D9194E">
      <w:pPr>
        <w:spacing w:before="800" w:line="360" w:lineRule="auto"/>
        <w:jc w:val="center"/>
        <w:rPr>
          <w:rFonts w:ascii="Arial" w:eastAsia="Arial" w:hAnsi="Arial" w:cs="Arial"/>
          <w:b/>
          <w:bCs/>
        </w:rPr>
      </w:pPr>
      <w:r w:rsidRPr="00121ECC">
        <w:rPr>
          <w:rFonts w:ascii="Arial" w:eastAsia="Arial" w:hAnsi="Arial" w:cs="Arial"/>
          <w:b/>
          <w:bCs/>
        </w:rPr>
        <w:t>MODULE CODE: BMHP5016</w:t>
      </w:r>
    </w:p>
    <w:p w14:paraId="6951B3B3" w14:textId="77777777" w:rsidR="00D9194E" w:rsidRPr="00121ECC" w:rsidRDefault="00D9194E" w:rsidP="00D9194E">
      <w:pPr>
        <w:spacing w:before="200" w:line="360" w:lineRule="auto"/>
        <w:jc w:val="center"/>
        <w:rPr>
          <w:rFonts w:ascii="Arial" w:eastAsia="Arial" w:hAnsi="Arial" w:cs="Arial"/>
          <w:b/>
          <w:bCs/>
        </w:rPr>
      </w:pPr>
      <w:r w:rsidRPr="00121ECC">
        <w:rPr>
          <w:rFonts w:ascii="Arial" w:eastAsia="Arial" w:hAnsi="Arial" w:cs="Arial"/>
          <w:b/>
          <w:bCs/>
        </w:rPr>
        <w:t>COMPONENT 2: WRITTEN ASSIGNMENT (REPORT</w:t>
      </w:r>
    </w:p>
    <w:p w14:paraId="7E67B7C2" w14:textId="77777777" w:rsidR="00D9194E" w:rsidRPr="00121ECC" w:rsidRDefault="00D9194E" w:rsidP="00D9194E">
      <w:pPr>
        <w:spacing w:line="360" w:lineRule="auto"/>
        <w:jc w:val="center"/>
        <w:rPr>
          <w:rFonts w:ascii="Arial" w:eastAsia="Arial" w:hAnsi="Arial" w:cs="Arial"/>
          <w:b/>
          <w:bCs/>
        </w:rPr>
      </w:pPr>
      <w:r w:rsidRPr="00121ECC">
        <w:rPr>
          <w:rFonts w:ascii="Arial" w:eastAsia="Arial" w:hAnsi="Arial" w:cs="Arial"/>
          <w:b/>
          <w:bCs/>
        </w:rPr>
        <w:t>UNIVERSITY OF WALES TRINITY SAINT DAVID</w:t>
      </w:r>
    </w:p>
    <w:p w14:paraId="6C019698" w14:textId="77777777" w:rsidR="00D9194E" w:rsidRPr="00121ECC" w:rsidRDefault="00D9194E" w:rsidP="00D9194E">
      <w:pPr>
        <w:spacing w:line="360" w:lineRule="auto"/>
        <w:jc w:val="center"/>
        <w:rPr>
          <w:rFonts w:ascii="Arial" w:hAnsi="Arial" w:cs="Arial"/>
          <w:b/>
          <w:bCs/>
        </w:rPr>
      </w:pPr>
      <w:r w:rsidRPr="00121ECC">
        <w:rPr>
          <w:rFonts w:ascii="Arial" w:eastAsia="Arial" w:hAnsi="Arial" w:cs="Arial"/>
          <w:b/>
          <w:bCs/>
        </w:rPr>
        <w:t>SUBMISSION DATE: JULY 26</w:t>
      </w:r>
      <w:r w:rsidRPr="00121ECC">
        <w:rPr>
          <w:rFonts w:ascii="Arial" w:eastAsia="Arial" w:hAnsi="Arial" w:cs="Arial"/>
          <w:b/>
          <w:bCs/>
          <w:vertAlign w:val="superscript"/>
        </w:rPr>
        <w:t>TH</w:t>
      </w:r>
      <w:r w:rsidRPr="00121ECC">
        <w:rPr>
          <w:rFonts w:ascii="Arial" w:eastAsia="Arial" w:hAnsi="Arial" w:cs="Arial"/>
          <w:b/>
          <w:bCs/>
        </w:rPr>
        <w:t>, 2026</w:t>
      </w:r>
    </w:p>
    <w:p w14:paraId="13FB2EA5" w14:textId="77777777" w:rsidR="00D9194E" w:rsidRPr="00121ECC" w:rsidRDefault="00D9194E" w:rsidP="00D9194E">
      <w:pPr>
        <w:spacing w:before="200" w:line="360" w:lineRule="auto"/>
        <w:jc w:val="both"/>
        <w:rPr>
          <w:rFonts w:ascii="Arial" w:hAnsi="Arial" w:cs="Arial"/>
        </w:rPr>
      </w:pPr>
    </w:p>
    <w:p w14:paraId="2CDE2E2E" w14:textId="77777777" w:rsidR="00D9194E" w:rsidRPr="00121ECC" w:rsidRDefault="00D9194E" w:rsidP="00D9194E">
      <w:pPr>
        <w:spacing w:before="800"/>
        <w:jc w:val="center"/>
      </w:pPr>
    </w:p>
    <w:p w14:paraId="6FA6AA3E" w14:textId="77777777" w:rsidR="00D9194E" w:rsidRPr="00121ECC" w:rsidRDefault="00D9194E" w:rsidP="00D9194E"/>
    <w:p w14:paraId="48EC37BC" w14:textId="77777777" w:rsidR="00D9194E" w:rsidRPr="00121ECC" w:rsidRDefault="00D9194E" w:rsidP="00D9194E"/>
    <w:p w14:paraId="4142729E" w14:textId="77777777" w:rsidR="00D9194E" w:rsidRPr="00121ECC" w:rsidRDefault="00D9194E" w:rsidP="00D9194E"/>
    <w:p w14:paraId="7C57EBC7" w14:textId="77777777" w:rsidR="00D9194E" w:rsidRPr="00121ECC" w:rsidRDefault="00D9194E">
      <w:pPr>
        <w:rPr>
          <w:rFonts w:ascii="Arial" w:eastAsiaTheme="majorEastAsia" w:hAnsi="Arial" w:cs="Arial"/>
          <w:b/>
          <w:bCs/>
        </w:rPr>
      </w:pPr>
      <w:r w:rsidRPr="00121ECC">
        <w:rPr>
          <w:rFonts w:ascii="Arial" w:hAnsi="Arial" w:cs="Arial"/>
          <w:b/>
          <w:bCs/>
        </w:rPr>
        <w:br w:type="page"/>
      </w:r>
    </w:p>
    <w:p w14:paraId="24B0F548" w14:textId="2639394C" w:rsidR="00D9194E" w:rsidRPr="00121ECC" w:rsidRDefault="00D9194E" w:rsidP="00D9194E">
      <w:pPr>
        <w:pStyle w:val="Heading1"/>
        <w:spacing w:line="360" w:lineRule="auto"/>
        <w:jc w:val="both"/>
        <w:rPr>
          <w:rFonts w:ascii="Arial" w:hAnsi="Arial" w:cs="Arial"/>
          <w:b/>
          <w:bCs/>
          <w:color w:val="auto"/>
          <w:sz w:val="22"/>
          <w:szCs w:val="22"/>
        </w:rPr>
      </w:pPr>
      <w:bookmarkStart w:id="0" w:name="_Toc235495664"/>
      <w:r w:rsidRPr="00121ECC">
        <w:rPr>
          <w:rFonts w:ascii="Arial" w:hAnsi="Arial" w:cs="Arial"/>
          <w:b/>
          <w:bCs/>
          <w:color w:val="auto"/>
          <w:sz w:val="22"/>
          <w:szCs w:val="22"/>
        </w:rPr>
        <w:lastRenderedPageBreak/>
        <w:t>Abstract</w:t>
      </w:r>
      <w:bookmarkEnd w:id="0"/>
    </w:p>
    <w:p w14:paraId="33BE859A" w14:textId="53FD22F5" w:rsidR="00D9194E" w:rsidRPr="00121ECC" w:rsidRDefault="00D9194E" w:rsidP="00D9194E">
      <w:pPr>
        <w:spacing w:line="360" w:lineRule="auto"/>
        <w:jc w:val="both"/>
        <w:rPr>
          <w:rFonts w:ascii="Arial" w:hAnsi="Arial" w:cs="Arial"/>
        </w:rPr>
      </w:pPr>
      <w:r w:rsidRPr="00121ECC">
        <w:rPr>
          <w:rFonts w:ascii="Arial" w:hAnsi="Arial" w:cs="Arial"/>
        </w:rPr>
        <w:t xml:space="preserve">The report critically analyses </w:t>
      </w:r>
      <w:r w:rsidRPr="00121ECC">
        <w:rPr>
          <w:rFonts w:ascii="Arial" w:hAnsi="Arial" w:cs="Arial"/>
        </w:rPr>
        <w:t>person-centred</w:t>
      </w:r>
      <w:r w:rsidRPr="00121ECC">
        <w:rPr>
          <w:rFonts w:ascii="Arial" w:hAnsi="Arial" w:cs="Arial"/>
        </w:rPr>
        <w:t xml:space="preserve"> care (PCC) and partnership working (PW) within a residential care home for older adults with a focus on a resident with dementia. It demonstrates that there is no uniform definition of PCC found in the literature and, therefore, issues of uniformity of practice at the bedside. The Person-Centred Nursing Framework by McCormack and McCance is used as the underpinning theory, and it is found that the framework does not ensure the conditions needed for the practice of person-centred care, especially workforce stability within the organisation. The principles of Gill's four are applied to a realistic problem of autonomy versus safety, and he argues that a balance is required which must take into account staff availability. Partnership working with other health and social care services is assessed as conditional, where working practices are formalised and links are regular and consistent, but not automatic when structures for integration are in place. The Care Act 2014 and Health and Care Act 2022 continually transform the statutory responsibilities to deliver person-centred, integrated care at care home level through staffing, funding and local interpretation. Finally, the report offers two recommendations on the matters of staff retention and partnership working using digital tools.</w:t>
      </w:r>
    </w:p>
    <w:p w14:paraId="3132FFF9" w14:textId="53CCACA6" w:rsidR="00D9194E" w:rsidRPr="00121ECC" w:rsidRDefault="00D9194E">
      <w:pPr>
        <w:rPr>
          <w:rFonts w:ascii="Arial" w:hAnsi="Arial" w:cs="Arial"/>
        </w:rPr>
      </w:pPr>
      <w:r w:rsidRPr="00121ECC">
        <w:rPr>
          <w:rFonts w:ascii="Arial" w:hAnsi="Arial" w:cs="Arial"/>
        </w:rPr>
        <w:br w:type="page"/>
      </w:r>
    </w:p>
    <w:p w14:paraId="6E083937" w14:textId="77777777" w:rsidR="00D9194E" w:rsidRPr="00121ECC" w:rsidRDefault="00D9194E" w:rsidP="00D9194E">
      <w:pPr>
        <w:spacing w:line="360" w:lineRule="auto"/>
        <w:jc w:val="both"/>
        <w:rPr>
          <w:rFonts w:ascii="Arial" w:hAnsi="Arial" w:cs="Arial"/>
        </w:rPr>
      </w:pPr>
    </w:p>
    <w:sdt>
      <w:sdtPr>
        <w:rPr>
          <w:color w:val="auto"/>
        </w:rPr>
        <w:id w:val="801886246"/>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19D79815" w14:textId="554A2121" w:rsidR="00D9194E" w:rsidRPr="00121ECC" w:rsidRDefault="00D9194E">
          <w:pPr>
            <w:pStyle w:val="TOCHeading"/>
            <w:rPr>
              <w:color w:val="auto"/>
            </w:rPr>
          </w:pPr>
          <w:r w:rsidRPr="00121ECC">
            <w:rPr>
              <w:color w:val="auto"/>
            </w:rPr>
            <w:t>Table of Contents</w:t>
          </w:r>
        </w:p>
        <w:p w14:paraId="5F119B78" w14:textId="12D91879" w:rsidR="00121ECC" w:rsidRPr="00121ECC" w:rsidRDefault="00D9194E">
          <w:pPr>
            <w:pStyle w:val="TOC1"/>
            <w:tabs>
              <w:tab w:val="right" w:leader="dot" w:pos="9016"/>
            </w:tabs>
            <w:rPr>
              <w:rFonts w:eastAsiaTheme="minorEastAsia"/>
              <w:noProof/>
              <w:lang w:val="en-KE" w:eastAsia="en-KE"/>
            </w:rPr>
          </w:pPr>
          <w:r w:rsidRPr="00121ECC">
            <w:fldChar w:fldCharType="begin"/>
          </w:r>
          <w:r w:rsidRPr="00121ECC">
            <w:instrText xml:space="preserve"> TOC \o "1-3" \h \z \u </w:instrText>
          </w:r>
          <w:r w:rsidRPr="00121ECC">
            <w:fldChar w:fldCharType="separate"/>
          </w:r>
          <w:hyperlink w:anchor="_Toc235495664" w:history="1">
            <w:r w:rsidR="00121ECC" w:rsidRPr="00121ECC">
              <w:rPr>
                <w:rStyle w:val="Hyperlink"/>
                <w:rFonts w:ascii="Arial" w:hAnsi="Arial" w:cs="Arial"/>
                <w:b/>
                <w:bCs/>
                <w:noProof/>
                <w:color w:val="auto"/>
              </w:rPr>
              <w:t>Abstract</w:t>
            </w:r>
            <w:r w:rsidR="00121ECC" w:rsidRPr="00121ECC">
              <w:rPr>
                <w:noProof/>
                <w:webHidden/>
              </w:rPr>
              <w:tab/>
            </w:r>
            <w:r w:rsidR="00121ECC" w:rsidRPr="00121ECC">
              <w:rPr>
                <w:noProof/>
                <w:webHidden/>
              </w:rPr>
              <w:fldChar w:fldCharType="begin"/>
            </w:r>
            <w:r w:rsidR="00121ECC" w:rsidRPr="00121ECC">
              <w:rPr>
                <w:noProof/>
                <w:webHidden/>
              </w:rPr>
              <w:instrText xml:space="preserve"> PAGEREF _Toc235495664 \h </w:instrText>
            </w:r>
            <w:r w:rsidR="00121ECC" w:rsidRPr="00121ECC">
              <w:rPr>
                <w:noProof/>
                <w:webHidden/>
              </w:rPr>
            </w:r>
            <w:r w:rsidR="00121ECC" w:rsidRPr="00121ECC">
              <w:rPr>
                <w:noProof/>
                <w:webHidden/>
              </w:rPr>
              <w:fldChar w:fldCharType="separate"/>
            </w:r>
            <w:r w:rsidR="00121ECC" w:rsidRPr="00121ECC">
              <w:rPr>
                <w:noProof/>
                <w:webHidden/>
              </w:rPr>
              <w:t>2</w:t>
            </w:r>
            <w:r w:rsidR="00121ECC" w:rsidRPr="00121ECC">
              <w:rPr>
                <w:noProof/>
                <w:webHidden/>
              </w:rPr>
              <w:fldChar w:fldCharType="end"/>
            </w:r>
          </w:hyperlink>
        </w:p>
        <w:p w14:paraId="418621CF" w14:textId="4BF06F91" w:rsidR="00121ECC" w:rsidRPr="00121ECC" w:rsidRDefault="00121ECC">
          <w:pPr>
            <w:pStyle w:val="TOC1"/>
            <w:tabs>
              <w:tab w:val="right" w:leader="dot" w:pos="9016"/>
            </w:tabs>
            <w:rPr>
              <w:rFonts w:eastAsiaTheme="minorEastAsia"/>
              <w:noProof/>
              <w:lang w:val="en-KE" w:eastAsia="en-KE"/>
            </w:rPr>
          </w:pPr>
          <w:hyperlink w:anchor="_Toc235495665" w:history="1">
            <w:r w:rsidRPr="00121ECC">
              <w:rPr>
                <w:rStyle w:val="Hyperlink"/>
                <w:rFonts w:ascii="Arial" w:hAnsi="Arial" w:cs="Arial"/>
                <w:b/>
                <w:bCs/>
                <w:noProof/>
                <w:color w:val="auto"/>
              </w:rPr>
              <w:t>Introduction</w:t>
            </w:r>
            <w:r w:rsidRPr="00121ECC">
              <w:rPr>
                <w:noProof/>
                <w:webHidden/>
              </w:rPr>
              <w:tab/>
            </w:r>
            <w:r w:rsidRPr="00121ECC">
              <w:rPr>
                <w:noProof/>
                <w:webHidden/>
              </w:rPr>
              <w:fldChar w:fldCharType="begin"/>
            </w:r>
            <w:r w:rsidRPr="00121ECC">
              <w:rPr>
                <w:noProof/>
                <w:webHidden/>
              </w:rPr>
              <w:instrText xml:space="preserve"> PAGEREF _Toc235495665 \h </w:instrText>
            </w:r>
            <w:r w:rsidRPr="00121ECC">
              <w:rPr>
                <w:noProof/>
                <w:webHidden/>
              </w:rPr>
            </w:r>
            <w:r w:rsidRPr="00121ECC">
              <w:rPr>
                <w:noProof/>
                <w:webHidden/>
              </w:rPr>
              <w:fldChar w:fldCharType="separate"/>
            </w:r>
            <w:r w:rsidRPr="00121ECC">
              <w:rPr>
                <w:noProof/>
                <w:webHidden/>
              </w:rPr>
              <w:t>4</w:t>
            </w:r>
            <w:r w:rsidRPr="00121ECC">
              <w:rPr>
                <w:noProof/>
                <w:webHidden/>
              </w:rPr>
              <w:fldChar w:fldCharType="end"/>
            </w:r>
          </w:hyperlink>
        </w:p>
        <w:p w14:paraId="51CBEC86" w14:textId="10D59DFB" w:rsidR="00121ECC" w:rsidRPr="00121ECC" w:rsidRDefault="00121ECC">
          <w:pPr>
            <w:pStyle w:val="TOC1"/>
            <w:tabs>
              <w:tab w:val="right" w:leader="dot" w:pos="9016"/>
            </w:tabs>
            <w:rPr>
              <w:rFonts w:eastAsiaTheme="minorEastAsia"/>
              <w:noProof/>
              <w:lang w:val="en-KE" w:eastAsia="en-KE"/>
            </w:rPr>
          </w:pPr>
          <w:hyperlink w:anchor="_Toc235495666" w:history="1">
            <w:r w:rsidRPr="00121ECC">
              <w:rPr>
                <w:rStyle w:val="Hyperlink"/>
                <w:rFonts w:ascii="Arial" w:hAnsi="Arial" w:cs="Arial"/>
                <w:b/>
                <w:bCs/>
                <w:noProof/>
                <w:color w:val="auto"/>
              </w:rPr>
              <w:t>Definition of Person-Centred Care</w:t>
            </w:r>
            <w:r w:rsidRPr="00121ECC">
              <w:rPr>
                <w:noProof/>
                <w:webHidden/>
              </w:rPr>
              <w:tab/>
            </w:r>
            <w:r w:rsidRPr="00121ECC">
              <w:rPr>
                <w:noProof/>
                <w:webHidden/>
              </w:rPr>
              <w:fldChar w:fldCharType="begin"/>
            </w:r>
            <w:r w:rsidRPr="00121ECC">
              <w:rPr>
                <w:noProof/>
                <w:webHidden/>
              </w:rPr>
              <w:instrText xml:space="preserve"> PAGEREF _Toc235495666 \h </w:instrText>
            </w:r>
            <w:r w:rsidRPr="00121ECC">
              <w:rPr>
                <w:noProof/>
                <w:webHidden/>
              </w:rPr>
            </w:r>
            <w:r w:rsidRPr="00121ECC">
              <w:rPr>
                <w:noProof/>
                <w:webHidden/>
              </w:rPr>
              <w:fldChar w:fldCharType="separate"/>
            </w:r>
            <w:r w:rsidRPr="00121ECC">
              <w:rPr>
                <w:noProof/>
                <w:webHidden/>
              </w:rPr>
              <w:t>4</w:t>
            </w:r>
            <w:r w:rsidRPr="00121ECC">
              <w:rPr>
                <w:noProof/>
                <w:webHidden/>
              </w:rPr>
              <w:fldChar w:fldCharType="end"/>
            </w:r>
          </w:hyperlink>
        </w:p>
        <w:p w14:paraId="173DA0DB" w14:textId="1B554E6C" w:rsidR="00121ECC" w:rsidRPr="00121ECC" w:rsidRDefault="00121ECC">
          <w:pPr>
            <w:pStyle w:val="TOC1"/>
            <w:tabs>
              <w:tab w:val="right" w:leader="dot" w:pos="9016"/>
            </w:tabs>
            <w:rPr>
              <w:rFonts w:eastAsiaTheme="minorEastAsia"/>
              <w:noProof/>
              <w:lang w:val="en-KE" w:eastAsia="en-KE"/>
            </w:rPr>
          </w:pPr>
          <w:hyperlink w:anchor="_Toc235495667" w:history="1">
            <w:r w:rsidRPr="00121ECC">
              <w:rPr>
                <w:rStyle w:val="Hyperlink"/>
                <w:rFonts w:ascii="Arial" w:hAnsi="Arial" w:cs="Arial"/>
                <w:b/>
                <w:bCs/>
                <w:noProof/>
                <w:color w:val="auto"/>
              </w:rPr>
              <w:t>Relevant Theories</w:t>
            </w:r>
            <w:r w:rsidRPr="00121ECC">
              <w:rPr>
                <w:noProof/>
                <w:webHidden/>
              </w:rPr>
              <w:tab/>
            </w:r>
            <w:r w:rsidRPr="00121ECC">
              <w:rPr>
                <w:noProof/>
                <w:webHidden/>
              </w:rPr>
              <w:fldChar w:fldCharType="begin"/>
            </w:r>
            <w:r w:rsidRPr="00121ECC">
              <w:rPr>
                <w:noProof/>
                <w:webHidden/>
              </w:rPr>
              <w:instrText xml:space="preserve"> PAGEREF _Toc235495667 \h </w:instrText>
            </w:r>
            <w:r w:rsidRPr="00121ECC">
              <w:rPr>
                <w:noProof/>
                <w:webHidden/>
              </w:rPr>
            </w:r>
            <w:r w:rsidRPr="00121ECC">
              <w:rPr>
                <w:noProof/>
                <w:webHidden/>
              </w:rPr>
              <w:fldChar w:fldCharType="separate"/>
            </w:r>
            <w:r w:rsidRPr="00121ECC">
              <w:rPr>
                <w:noProof/>
                <w:webHidden/>
              </w:rPr>
              <w:t>5</w:t>
            </w:r>
            <w:r w:rsidRPr="00121ECC">
              <w:rPr>
                <w:noProof/>
                <w:webHidden/>
              </w:rPr>
              <w:fldChar w:fldCharType="end"/>
            </w:r>
          </w:hyperlink>
        </w:p>
        <w:p w14:paraId="3250B2AC" w14:textId="785E67D9" w:rsidR="00121ECC" w:rsidRPr="00121ECC" w:rsidRDefault="00121ECC">
          <w:pPr>
            <w:pStyle w:val="TOC1"/>
            <w:tabs>
              <w:tab w:val="right" w:leader="dot" w:pos="9016"/>
            </w:tabs>
            <w:rPr>
              <w:rFonts w:eastAsiaTheme="minorEastAsia"/>
              <w:noProof/>
              <w:lang w:val="en-KE" w:eastAsia="en-KE"/>
            </w:rPr>
          </w:pPr>
          <w:hyperlink w:anchor="_Toc235495668" w:history="1">
            <w:r w:rsidRPr="00121ECC">
              <w:rPr>
                <w:rStyle w:val="Hyperlink"/>
                <w:rFonts w:ascii="Arial" w:hAnsi="Arial" w:cs="Arial"/>
                <w:b/>
                <w:bCs/>
                <w:noProof/>
                <w:color w:val="auto"/>
              </w:rPr>
              <w:t>Ethical Fundamentals</w:t>
            </w:r>
            <w:r w:rsidRPr="00121ECC">
              <w:rPr>
                <w:noProof/>
                <w:webHidden/>
              </w:rPr>
              <w:tab/>
            </w:r>
            <w:r w:rsidRPr="00121ECC">
              <w:rPr>
                <w:noProof/>
                <w:webHidden/>
              </w:rPr>
              <w:fldChar w:fldCharType="begin"/>
            </w:r>
            <w:r w:rsidRPr="00121ECC">
              <w:rPr>
                <w:noProof/>
                <w:webHidden/>
              </w:rPr>
              <w:instrText xml:space="preserve"> PAGEREF _Toc235495668 \h </w:instrText>
            </w:r>
            <w:r w:rsidRPr="00121ECC">
              <w:rPr>
                <w:noProof/>
                <w:webHidden/>
              </w:rPr>
            </w:r>
            <w:r w:rsidRPr="00121ECC">
              <w:rPr>
                <w:noProof/>
                <w:webHidden/>
              </w:rPr>
              <w:fldChar w:fldCharType="separate"/>
            </w:r>
            <w:r w:rsidRPr="00121ECC">
              <w:rPr>
                <w:noProof/>
                <w:webHidden/>
              </w:rPr>
              <w:t>5</w:t>
            </w:r>
            <w:r w:rsidRPr="00121ECC">
              <w:rPr>
                <w:noProof/>
                <w:webHidden/>
              </w:rPr>
              <w:fldChar w:fldCharType="end"/>
            </w:r>
          </w:hyperlink>
        </w:p>
        <w:p w14:paraId="5CE34467" w14:textId="7998382D" w:rsidR="00121ECC" w:rsidRPr="00121ECC" w:rsidRDefault="00121ECC">
          <w:pPr>
            <w:pStyle w:val="TOC1"/>
            <w:tabs>
              <w:tab w:val="right" w:leader="dot" w:pos="9016"/>
            </w:tabs>
            <w:rPr>
              <w:rFonts w:eastAsiaTheme="minorEastAsia"/>
              <w:noProof/>
              <w:lang w:val="en-KE" w:eastAsia="en-KE"/>
            </w:rPr>
          </w:pPr>
          <w:hyperlink w:anchor="_Toc235495669" w:history="1">
            <w:r w:rsidRPr="00121ECC">
              <w:rPr>
                <w:rStyle w:val="Hyperlink"/>
                <w:rFonts w:ascii="Arial" w:hAnsi="Arial" w:cs="Arial"/>
                <w:b/>
                <w:bCs/>
                <w:noProof/>
                <w:color w:val="auto"/>
              </w:rPr>
              <w:t>Evaluation of Partnership Working</w:t>
            </w:r>
            <w:r w:rsidRPr="00121ECC">
              <w:rPr>
                <w:noProof/>
                <w:webHidden/>
              </w:rPr>
              <w:tab/>
            </w:r>
            <w:r w:rsidRPr="00121ECC">
              <w:rPr>
                <w:noProof/>
                <w:webHidden/>
              </w:rPr>
              <w:fldChar w:fldCharType="begin"/>
            </w:r>
            <w:r w:rsidRPr="00121ECC">
              <w:rPr>
                <w:noProof/>
                <w:webHidden/>
              </w:rPr>
              <w:instrText xml:space="preserve"> PAGEREF _Toc235495669 \h </w:instrText>
            </w:r>
            <w:r w:rsidRPr="00121ECC">
              <w:rPr>
                <w:noProof/>
                <w:webHidden/>
              </w:rPr>
            </w:r>
            <w:r w:rsidRPr="00121ECC">
              <w:rPr>
                <w:noProof/>
                <w:webHidden/>
              </w:rPr>
              <w:fldChar w:fldCharType="separate"/>
            </w:r>
            <w:r w:rsidRPr="00121ECC">
              <w:rPr>
                <w:noProof/>
                <w:webHidden/>
              </w:rPr>
              <w:t>6</w:t>
            </w:r>
            <w:r w:rsidRPr="00121ECC">
              <w:rPr>
                <w:noProof/>
                <w:webHidden/>
              </w:rPr>
              <w:fldChar w:fldCharType="end"/>
            </w:r>
          </w:hyperlink>
        </w:p>
        <w:p w14:paraId="15C40E0B" w14:textId="6E692887" w:rsidR="00121ECC" w:rsidRPr="00121ECC" w:rsidRDefault="00121ECC">
          <w:pPr>
            <w:pStyle w:val="TOC1"/>
            <w:tabs>
              <w:tab w:val="right" w:leader="dot" w:pos="9016"/>
            </w:tabs>
            <w:rPr>
              <w:rFonts w:eastAsiaTheme="minorEastAsia"/>
              <w:noProof/>
              <w:lang w:val="en-KE" w:eastAsia="en-KE"/>
            </w:rPr>
          </w:pPr>
          <w:hyperlink w:anchor="_Toc235495670" w:history="1">
            <w:r w:rsidRPr="00121ECC">
              <w:rPr>
                <w:rStyle w:val="Hyperlink"/>
                <w:rFonts w:ascii="Arial" w:hAnsi="Arial" w:cs="Arial"/>
                <w:b/>
                <w:bCs/>
                <w:noProof/>
                <w:color w:val="auto"/>
              </w:rPr>
              <w:t>Policy and Legislation</w:t>
            </w:r>
            <w:r w:rsidRPr="00121ECC">
              <w:rPr>
                <w:noProof/>
                <w:webHidden/>
              </w:rPr>
              <w:tab/>
            </w:r>
            <w:r w:rsidRPr="00121ECC">
              <w:rPr>
                <w:noProof/>
                <w:webHidden/>
              </w:rPr>
              <w:fldChar w:fldCharType="begin"/>
            </w:r>
            <w:r w:rsidRPr="00121ECC">
              <w:rPr>
                <w:noProof/>
                <w:webHidden/>
              </w:rPr>
              <w:instrText xml:space="preserve"> PAGEREF _Toc235495670 \h </w:instrText>
            </w:r>
            <w:r w:rsidRPr="00121ECC">
              <w:rPr>
                <w:noProof/>
                <w:webHidden/>
              </w:rPr>
            </w:r>
            <w:r w:rsidRPr="00121ECC">
              <w:rPr>
                <w:noProof/>
                <w:webHidden/>
              </w:rPr>
              <w:fldChar w:fldCharType="separate"/>
            </w:r>
            <w:r w:rsidRPr="00121ECC">
              <w:rPr>
                <w:noProof/>
                <w:webHidden/>
              </w:rPr>
              <w:t>6</w:t>
            </w:r>
            <w:r w:rsidRPr="00121ECC">
              <w:rPr>
                <w:noProof/>
                <w:webHidden/>
              </w:rPr>
              <w:fldChar w:fldCharType="end"/>
            </w:r>
          </w:hyperlink>
        </w:p>
        <w:p w14:paraId="1D5B81AF" w14:textId="1B19710C" w:rsidR="00121ECC" w:rsidRPr="00121ECC" w:rsidRDefault="00121ECC">
          <w:pPr>
            <w:pStyle w:val="TOC1"/>
            <w:tabs>
              <w:tab w:val="right" w:leader="dot" w:pos="9016"/>
            </w:tabs>
            <w:rPr>
              <w:rFonts w:eastAsiaTheme="minorEastAsia"/>
              <w:noProof/>
              <w:lang w:val="en-KE" w:eastAsia="en-KE"/>
            </w:rPr>
          </w:pPr>
          <w:hyperlink w:anchor="_Toc235495671" w:history="1">
            <w:r w:rsidRPr="00121ECC">
              <w:rPr>
                <w:rStyle w:val="Hyperlink"/>
                <w:rFonts w:ascii="Arial" w:hAnsi="Arial" w:cs="Arial"/>
                <w:b/>
                <w:bCs/>
                <w:noProof/>
                <w:color w:val="auto"/>
              </w:rPr>
              <w:t>Recommendations</w:t>
            </w:r>
            <w:r w:rsidRPr="00121ECC">
              <w:rPr>
                <w:noProof/>
                <w:webHidden/>
              </w:rPr>
              <w:tab/>
            </w:r>
            <w:r w:rsidRPr="00121ECC">
              <w:rPr>
                <w:noProof/>
                <w:webHidden/>
              </w:rPr>
              <w:fldChar w:fldCharType="begin"/>
            </w:r>
            <w:r w:rsidRPr="00121ECC">
              <w:rPr>
                <w:noProof/>
                <w:webHidden/>
              </w:rPr>
              <w:instrText xml:space="preserve"> PAGEREF _Toc235495671 \h </w:instrText>
            </w:r>
            <w:r w:rsidRPr="00121ECC">
              <w:rPr>
                <w:noProof/>
                <w:webHidden/>
              </w:rPr>
            </w:r>
            <w:r w:rsidRPr="00121ECC">
              <w:rPr>
                <w:noProof/>
                <w:webHidden/>
              </w:rPr>
              <w:fldChar w:fldCharType="separate"/>
            </w:r>
            <w:r w:rsidRPr="00121ECC">
              <w:rPr>
                <w:noProof/>
                <w:webHidden/>
              </w:rPr>
              <w:t>7</w:t>
            </w:r>
            <w:r w:rsidRPr="00121ECC">
              <w:rPr>
                <w:noProof/>
                <w:webHidden/>
              </w:rPr>
              <w:fldChar w:fldCharType="end"/>
            </w:r>
          </w:hyperlink>
        </w:p>
        <w:p w14:paraId="5A8AC734" w14:textId="2EEE5D30" w:rsidR="00121ECC" w:rsidRPr="00121ECC" w:rsidRDefault="00121ECC">
          <w:pPr>
            <w:pStyle w:val="TOC1"/>
            <w:tabs>
              <w:tab w:val="right" w:leader="dot" w:pos="9016"/>
            </w:tabs>
            <w:rPr>
              <w:rFonts w:eastAsiaTheme="minorEastAsia"/>
              <w:noProof/>
              <w:lang w:val="en-KE" w:eastAsia="en-KE"/>
            </w:rPr>
          </w:pPr>
          <w:hyperlink w:anchor="_Toc235495672" w:history="1">
            <w:r w:rsidRPr="00121ECC">
              <w:rPr>
                <w:rStyle w:val="Hyperlink"/>
                <w:rFonts w:ascii="Arial" w:hAnsi="Arial" w:cs="Arial"/>
                <w:b/>
                <w:bCs/>
                <w:noProof/>
                <w:color w:val="auto"/>
              </w:rPr>
              <w:t>Conclusion</w:t>
            </w:r>
            <w:r w:rsidRPr="00121ECC">
              <w:rPr>
                <w:noProof/>
                <w:webHidden/>
              </w:rPr>
              <w:tab/>
            </w:r>
            <w:r w:rsidRPr="00121ECC">
              <w:rPr>
                <w:noProof/>
                <w:webHidden/>
              </w:rPr>
              <w:fldChar w:fldCharType="begin"/>
            </w:r>
            <w:r w:rsidRPr="00121ECC">
              <w:rPr>
                <w:noProof/>
                <w:webHidden/>
              </w:rPr>
              <w:instrText xml:space="preserve"> PAGEREF _Toc235495672 \h </w:instrText>
            </w:r>
            <w:r w:rsidRPr="00121ECC">
              <w:rPr>
                <w:noProof/>
                <w:webHidden/>
              </w:rPr>
            </w:r>
            <w:r w:rsidRPr="00121ECC">
              <w:rPr>
                <w:noProof/>
                <w:webHidden/>
              </w:rPr>
              <w:fldChar w:fldCharType="separate"/>
            </w:r>
            <w:r w:rsidRPr="00121ECC">
              <w:rPr>
                <w:noProof/>
                <w:webHidden/>
              </w:rPr>
              <w:t>7</w:t>
            </w:r>
            <w:r w:rsidRPr="00121ECC">
              <w:rPr>
                <w:noProof/>
                <w:webHidden/>
              </w:rPr>
              <w:fldChar w:fldCharType="end"/>
            </w:r>
          </w:hyperlink>
        </w:p>
        <w:p w14:paraId="1908EB50" w14:textId="7C6C6ABB" w:rsidR="00121ECC" w:rsidRPr="00121ECC" w:rsidRDefault="00121ECC">
          <w:pPr>
            <w:pStyle w:val="TOC1"/>
            <w:tabs>
              <w:tab w:val="right" w:leader="dot" w:pos="9016"/>
            </w:tabs>
            <w:rPr>
              <w:rFonts w:eastAsiaTheme="minorEastAsia"/>
              <w:noProof/>
              <w:lang w:val="en-KE" w:eastAsia="en-KE"/>
            </w:rPr>
          </w:pPr>
          <w:hyperlink w:anchor="_Toc235495673" w:history="1">
            <w:r w:rsidRPr="00121ECC">
              <w:rPr>
                <w:rStyle w:val="Hyperlink"/>
                <w:rFonts w:ascii="Arial" w:eastAsia="Arial" w:hAnsi="Arial" w:cs="Arial"/>
                <w:b/>
                <w:bCs/>
                <w:noProof/>
                <w:color w:val="auto"/>
              </w:rPr>
              <w:t>Reference List</w:t>
            </w:r>
            <w:r w:rsidRPr="00121ECC">
              <w:rPr>
                <w:noProof/>
                <w:webHidden/>
              </w:rPr>
              <w:tab/>
            </w:r>
            <w:r w:rsidRPr="00121ECC">
              <w:rPr>
                <w:noProof/>
                <w:webHidden/>
              </w:rPr>
              <w:fldChar w:fldCharType="begin"/>
            </w:r>
            <w:r w:rsidRPr="00121ECC">
              <w:rPr>
                <w:noProof/>
                <w:webHidden/>
              </w:rPr>
              <w:instrText xml:space="preserve"> PAGEREF _Toc235495673 \h </w:instrText>
            </w:r>
            <w:r w:rsidRPr="00121ECC">
              <w:rPr>
                <w:noProof/>
                <w:webHidden/>
              </w:rPr>
            </w:r>
            <w:r w:rsidRPr="00121ECC">
              <w:rPr>
                <w:noProof/>
                <w:webHidden/>
              </w:rPr>
              <w:fldChar w:fldCharType="separate"/>
            </w:r>
            <w:r w:rsidRPr="00121ECC">
              <w:rPr>
                <w:noProof/>
                <w:webHidden/>
              </w:rPr>
              <w:t>9</w:t>
            </w:r>
            <w:r w:rsidRPr="00121ECC">
              <w:rPr>
                <w:noProof/>
                <w:webHidden/>
              </w:rPr>
              <w:fldChar w:fldCharType="end"/>
            </w:r>
          </w:hyperlink>
        </w:p>
        <w:p w14:paraId="7EF214B3" w14:textId="0638123D" w:rsidR="00D9194E" w:rsidRPr="00121ECC" w:rsidRDefault="00D9194E">
          <w:r w:rsidRPr="00121ECC">
            <w:rPr>
              <w:b/>
              <w:bCs/>
              <w:noProof/>
            </w:rPr>
            <w:fldChar w:fldCharType="end"/>
          </w:r>
        </w:p>
      </w:sdtContent>
    </w:sdt>
    <w:p w14:paraId="76E90DA2" w14:textId="77777777" w:rsidR="00D9194E" w:rsidRPr="00121ECC" w:rsidRDefault="00D9194E" w:rsidP="00D9194E">
      <w:pPr>
        <w:spacing w:line="360" w:lineRule="auto"/>
        <w:jc w:val="both"/>
        <w:rPr>
          <w:rFonts w:ascii="Arial" w:hAnsi="Arial" w:cs="Arial"/>
        </w:rPr>
      </w:pPr>
    </w:p>
    <w:p w14:paraId="0FFA4DED" w14:textId="77777777" w:rsidR="00D9194E" w:rsidRPr="00121ECC" w:rsidRDefault="00D9194E">
      <w:pPr>
        <w:rPr>
          <w:rFonts w:ascii="Arial" w:eastAsiaTheme="majorEastAsia" w:hAnsi="Arial" w:cs="Arial"/>
          <w:b/>
          <w:bCs/>
        </w:rPr>
      </w:pPr>
      <w:r w:rsidRPr="00121ECC">
        <w:rPr>
          <w:rFonts w:ascii="Arial" w:hAnsi="Arial" w:cs="Arial"/>
          <w:b/>
          <w:bCs/>
        </w:rPr>
        <w:br w:type="page"/>
      </w:r>
    </w:p>
    <w:p w14:paraId="2F18327F" w14:textId="4A5DEA82" w:rsidR="00D9194E" w:rsidRPr="00121ECC" w:rsidRDefault="00D9194E" w:rsidP="00D9194E">
      <w:pPr>
        <w:pStyle w:val="Heading1"/>
        <w:spacing w:line="360" w:lineRule="auto"/>
        <w:jc w:val="both"/>
        <w:rPr>
          <w:rFonts w:ascii="Arial" w:hAnsi="Arial" w:cs="Arial"/>
          <w:b/>
          <w:bCs/>
          <w:color w:val="auto"/>
          <w:sz w:val="22"/>
          <w:szCs w:val="22"/>
        </w:rPr>
      </w:pPr>
      <w:bookmarkStart w:id="1" w:name="_Toc235495665"/>
      <w:r w:rsidRPr="00121ECC">
        <w:rPr>
          <w:rFonts w:ascii="Arial" w:hAnsi="Arial" w:cs="Arial"/>
          <w:b/>
          <w:bCs/>
          <w:color w:val="auto"/>
          <w:sz w:val="22"/>
          <w:szCs w:val="22"/>
        </w:rPr>
        <w:lastRenderedPageBreak/>
        <w:t>Introduction</w:t>
      </w:r>
      <w:bookmarkEnd w:id="1"/>
    </w:p>
    <w:p w14:paraId="4E560BE6" w14:textId="3AA06B23" w:rsidR="00D9194E" w:rsidRPr="00121ECC" w:rsidRDefault="00D9194E" w:rsidP="00D9194E">
      <w:pPr>
        <w:spacing w:line="360" w:lineRule="auto"/>
        <w:jc w:val="both"/>
        <w:rPr>
          <w:rFonts w:ascii="Arial" w:hAnsi="Arial" w:cs="Arial"/>
        </w:rPr>
      </w:pPr>
      <w:r w:rsidRPr="00121ECC">
        <w:rPr>
          <w:rFonts w:ascii="Arial" w:hAnsi="Arial" w:cs="Arial"/>
        </w:rPr>
        <w:t>This report, which draws on a case study of a residential care home for older people, critically examines person-centred care (PCC) and partnership working (PW) in UK health and social care practice with a specific focus on the case of one older resident with dementia. This context poses significant challenges for both principles: it is difficult to prevent cognitive fluctuations influencing expressions of preference, and difficult to maintain the same continuity of relationships over time with staff who rotate. The report initially outlines what is meant by PCC</w:t>
      </w:r>
      <w:r w:rsidRPr="00121ECC">
        <w:rPr>
          <w:rFonts w:ascii="Arial" w:hAnsi="Arial" w:cs="Arial"/>
        </w:rPr>
        <w:t>,</w:t>
      </w:r>
      <w:r w:rsidRPr="00121ECC">
        <w:rPr>
          <w:rFonts w:ascii="Arial" w:hAnsi="Arial" w:cs="Arial"/>
        </w:rPr>
        <w:t xml:space="preserve"> with the advantages and disadvantages of it </w:t>
      </w:r>
      <w:r w:rsidRPr="00121ECC">
        <w:rPr>
          <w:rFonts w:ascii="Arial" w:hAnsi="Arial" w:cs="Arial"/>
        </w:rPr>
        <w:t>being</w:t>
      </w:r>
      <w:r w:rsidRPr="00121ECC">
        <w:rPr>
          <w:rFonts w:ascii="Arial" w:hAnsi="Arial" w:cs="Arial"/>
        </w:rPr>
        <w:t xml:space="preserve"> discussed before using the Person-Centred Nursing Framework by McCormack and McCance as the underlying theory. It then explores the ethical underpinnings of care home practice by Gillon's four principles, reviews partnership working with other health and social care partners and explores the Care Act 2014 and Health and Care Act 2022. The argument throughout is that PCC and PW are more easily legislated and modelled rather than sustained day to day in a care home where the staffing circumstances and the organisation culture can have as large an influence on the outcomes as the intention of the individual practitioner, and the tension between the two is explored in each section before recommendations are made.</w:t>
      </w:r>
    </w:p>
    <w:p w14:paraId="5613679F" w14:textId="77777777" w:rsidR="00D9194E" w:rsidRPr="00121ECC" w:rsidRDefault="00D9194E" w:rsidP="00D9194E">
      <w:pPr>
        <w:pStyle w:val="Heading1"/>
        <w:spacing w:line="360" w:lineRule="auto"/>
        <w:jc w:val="both"/>
        <w:rPr>
          <w:rFonts w:ascii="Arial" w:hAnsi="Arial" w:cs="Arial"/>
          <w:b/>
          <w:bCs/>
          <w:color w:val="auto"/>
          <w:sz w:val="22"/>
          <w:szCs w:val="22"/>
        </w:rPr>
      </w:pPr>
      <w:bookmarkStart w:id="2" w:name="_Toc235495666"/>
      <w:r w:rsidRPr="00121ECC">
        <w:rPr>
          <w:rFonts w:ascii="Arial" w:hAnsi="Arial" w:cs="Arial"/>
          <w:b/>
          <w:bCs/>
          <w:color w:val="auto"/>
          <w:sz w:val="22"/>
          <w:szCs w:val="22"/>
        </w:rPr>
        <w:t>Definition of Person-Centred Care</w:t>
      </w:r>
      <w:bookmarkEnd w:id="2"/>
    </w:p>
    <w:p w14:paraId="417B1C46" w14:textId="66FB58B1" w:rsidR="00D9194E" w:rsidRPr="00121ECC" w:rsidRDefault="00D9194E" w:rsidP="00D9194E">
      <w:pPr>
        <w:spacing w:line="360" w:lineRule="auto"/>
        <w:jc w:val="both"/>
        <w:rPr>
          <w:rFonts w:ascii="Arial" w:hAnsi="Arial" w:cs="Arial"/>
        </w:rPr>
      </w:pPr>
      <w:r w:rsidRPr="00121ECC">
        <w:rPr>
          <w:rFonts w:ascii="Arial" w:hAnsi="Arial" w:cs="Arial"/>
        </w:rPr>
        <w:t xml:space="preserve">There is no fixed definition for </w:t>
      </w:r>
      <w:r w:rsidRPr="00121ECC">
        <w:rPr>
          <w:rFonts w:ascii="Arial" w:hAnsi="Arial" w:cs="Arial"/>
        </w:rPr>
        <w:t xml:space="preserve">a </w:t>
      </w:r>
      <w:r w:rsidRPr="00121ECC">
        <w:rPr>
          <w:rFonts w:ascii="Arial" w:hAnsi="Arial" w:cs="Arial"/>
        </w:rPr>
        <w:t xml:space="preserve">person-centred approach to care in the literature, yet it is incorporated into UK care home policy. While Grover et al. (2022) identify a consistent link between PCC and individualised care and shared </w:t>
      </w:r>
      <w:r w:rsidRPr="00121ECC">
        <w:rPr>
          <w:rFonts w:ascii="Arial" w:hAnsi="Arial" w:cs="Arial"/>
        </w:rPr>
        <w:t>decision-making</w:t>
      </w:r>
      <w:r w:rsidRPr="00121ECC">
        <w:rPr>
          <w:rFonts w:ascii="Arial" w:hAnsi="Arial" w:cs="Arial"/>
        </w:rPr>
        <w:t>, it remains challenging to define universally across settings, including care homes. Rosengren</w:t>
      </w:r>
      <w:r w:rsidRPr="00121ECC">
        <w:rPr>
          <w:rFonts w:ascii="Arial" w:hAnsi="Arial" w:cs="Arial"/>
        </w:rPr>
        <w:t xml:space="preserve"> et al.</w:t>
      </w:r>
      <w:r w:rsidRPr="00121ECC">
        <w:rPr>
          <w:rFonts w:ascii="Arial" w:hAnsi="Arial" w:cs="Arial"/>
        </w:rPr>
        <w:t xml:space="preserve"> (2021) continue this by saying the idea has been taken up in various ways by European discourse, gaining different meanings in different organisational contexts where it is used. But for the person with dementia living in a care home, this is directly relevant – If PCC is not understood as one and the same, one carer might view PCC as 'keeping a schedule the person is accustomed </w:t>
      </w:r>
      <w:r w:rsidRPr="00121ECC">
        <w:rPr>
          <w:rFonts w:ascii="Arial" w:hAnsi="Arial" w:cs="Arial"/>
        </w:rPr>
        <w:t>to '</w:t>
      </w:r>
      <w:r w:rsidRPr="00121ECC">
        <w:rPr>
          <w:rFonts w:ascii="Arial" w:hAnsi="Arial" w:cs="Arial"/>
        </w:rPr>
        <w:t xml:space="preserve">; another might view PCC as 'meeting the person's wishes at this moment', and both may be just as justified in believing </w:t>
      </w:r>
      <w:r w:rsidRPr="00121ECC">
        <w:rPr>
          <w:rFonts w:ascii="Arial" w:hAnsi="Arial" w:cs="Arial"/>
        </w:rPr>
        <w:t>they are</w:t>
      </w:r>
      <w:r w:rsidRPr="00121ECC">
        <w:rPr>
          <w:rFonts w:ascii="Arial" w:hAnsi="Arial" w:cs="Arial"/>
        </w:rPr>
        <w:t xml:space="preserve"> delivering PCC. Then Rutherford et al. (2025) hone this even further</w:t>
      </w:r>
      <w:r w:rsidRPr="00121ECC">
        <w:rPr>
          <w:rFonts w:ascii="Arial" w:hAnsi="Arial" w:cs="Arial"/>
        </w:rPr>
        <w:t>,</w:t>
      </w:r>
      <w:r w:rsidRPr="00121ECC">
        <w:rPr>
          <w:rFonts w:ascii="Arial" w:hAnsi="Arial" w:cs="Arial"/>
        </w:rPr>
        <w:t xml:space="preserve"> stating that POROs are seldom used as endpoints for assessment in practice, particularly in the care home setting where the person with dementia may not be able to self-report, and where family members/proxies may have a different understanding of "good" PCC. This lack of consensus in terms of definition and evaluation has direct application to the practical implementation of PCC through practical frameworks in care home nursing, which is now the next consideration.</w:t>
      </w:r>
    </w:p>
    <w:p w14:paraId="2AF87748" w14:textId="77777777" w:rsidR="00D9194E" w:rsidRPr="00121ECC" w:rsidRDefault="00D9194E" w:rsidP="00D9194E">
      <w:pPr>
        <w:pStyle w:val="Heading1"/>
        <w:spacing w:line="360" w:lineRule="auto"/>
        <w:jc w:val="both"/>
        <w:rPr>
          <w:rFonts w:ascii="Arial" w:hAnsi="Arial" w:cs="Arial"/>
          <w:b/>
          <w:bCs/>
          <w:color w:val="auto"/>
          <w:sz w:val="22"/>
          <w:szCs w:val="22"/>
        </w:rPr>
      </w:pPr>
      <w:bookmarkStart w:id="3" w:name="_Toc235495667"/>
      <w:r w:rsidRPr="00121ECC">
        <w:rPr>
          <w:rFonts w:ascii="Arial" w:hAnsi="Arial" w:cs="Arial"/>
          <w:b/>
          <w:bCs/>
          <w:color w:val="auto"/>
          <w:sz w:val="22"/>
          <w:szCs w:val="22"/>
        </w:rPr>
        <w:lastRenderedPageBreak/>
        <w:t>Relevant Theories</w:t>
      </w:r>
      <w:bookmarkEnd w:id="3"/>
    </w:p>
    <w:p w14:paraId="1904D46F" w14:textId="280D38CD" w:rsidR="00D9194E" w:rsidRPr="00121ECC" w:rsidRDefault="00D9194E" w:rsidP="00D9194E">
      <w:pPr>
        <w:spacing w:line="360" w:lineRule="auto"/>
        <w:jc w:val="both"/>
        <w:rPr>
          <w:rFonts w:ascii="Arial" w:hAnsi="Arial" w:cs="Arial"/>
        </w:rPr>
      </w:pPr>
      <w:r w:rsidRPr="00121ECC">
        <w:rPr>
          <w:rFonts w:ascii="Arial" w:hAnsi="Arial" w:cs="Arial"/>
        </w:rPr>
        <w:t xml:space="preserve">McCormack and McCance's (2021) Person-Centred Nursing Framework identifies the care environment, alongside prerequisites such as staff's professional competence and interpersonal skills, as a precondition for person-centred processes such as shared decision-making and sympathetic presence to occur at all. This is relevant for the care home setting as it moves responsibility for PCC beyond the caring hand and into the organisational culture and physical environment that the caring hand operates within, meaning that the caring hand may be an astute, passionate, caring practitioner, but unless the environment within the organisation allows her/him to sustain the relational processes that are described, then there is structural reason to believe that the caring hand may be unable to do so regardless of their intent. The framework was further </w:t>
      </w:r>
      <w:proofErr w:type="spellStart"/>
      <w:r w:rsidRPr="00121ECC">
        <w:rPr>
          <w:rFonts w:ascii="Arial" w:hAnsi="Arial" w:cs="Arial"/>
        </w:rPr>
        <w:t>analyzed</w:t>
      </w:r>
      <w:proofErr w:type="spellEnd"/>
      <w:r w:rsidRPr="00121ECC">
        <w:rPr>
          <w:rFonts w:ascii="Arial" w:hAnsi="Arial" w:cs="Arial"/>
        </w:rPr>
        <w:t xml:space="preserve"> by McCance and McCormack (2025)</w:t>
      </w:r>
      <w:r w:rsidRPr="00121ECC">
        <w:rPr>
          <w:rFonts w:ascii="Arial" w:hAnsi="Arial" w:cs="Arial"/>
        </w:rPr>
        <w:t>,</w:t>
      </w:r>
      <w:r w:rsidRPr="00121ECC">
        <w:rPr>
          <w:rFonts w:ascii="Arial" w:hAnsi="Arial" w:cs="Arial"/>
        </w:rPr>
        <w:t xml:space="preserve"> who suggested that person-centredness is not maintained over time based on only individual competence but is also dependent on healthful workplace cultures. For care homes in particular, it's a development that comes as a welcome change where high staff turnover is a reality</w:t>
      </w:r>
      <w:r w:rsidR="00121ECC" w:rsidRPr="00121ECC">
        <w:rPr>
          <w:rFonts w:ascii="Arial" w:hAnsi="Arial" w:cs="Arial"/>
        </w:rPr>
        <w:t>,</w:t>
      </w:r>
      <w:r w:rsidRPr="00121ECC">
        <w:rPr>
          <w:rFonts w:ascii="Arial" w:hAnsi="Arial" w:cs="Arial"/>
        </w:rPr>
        <w:t xml:space="preserve"> as continuity, which is integral to its core processes such as knowing the resident's biography and life history, is actively hindered by this. Looking at PCC as an emerging research field, Forsgren et al. (2025) observed that much of the empirical evidence that underpins such frameworks is centred on acute and community-based settings, suggesting that the prerequisites for the care environment may not be applicable to the specific care home setting and staffing and funding conditions. The framework provides a plausible theory of how one could achieve PCC, but there are organisational factors that the framework fails to ensure, such as workforce stability, which are important for making the model work in practice in a care home.</w:t>
      </w:r>
    </w:p>
    <w:p w14:paraId="6956608B" w14:textId="77777777" w:rsidR="00D9194E" w:rsidRPr="00121ECC" w:rsidRDefault="00D9194E" w:rsidP="00D9194E">
      <w:pPr>
        <w:pStyle w:val="Heading1"/>
        <w:spacing w:line="360" w:lineRule="auto"/>
        <w:jc w:val="both"/>
        <w:rPr>
          <w:rFonts w:ascii="Arial" w:hAnsi="Arial" w:cs="Arial"/>
          <w:b/>
          <w:bCs/>
          <w:color w:val="auto"/>
          <w:sz w:val="22"/>
          <w:szCs w:val="22"/>
        </w:rPr>
      </w:pPr>
      <w:bookmarkStart w:id="4" w:name="_Toc235495668"/>
      <w:r w:rsidRPr="00121ECC">
        <w:rPr>
          <w:rFonts w:ascii="Arial" w:hAnsi="Arial" w:cs="Arial"/>
          <w:b/>
          <w:bCs/>
          <w:color w:val="auto"/>
          <w:sz w:val="22"/>
          <w:szCs w:val="22"/>
        </w:rPr>
        <w:t>Ethical Fundamentals</w:t>
      </w:r>
      <w:bookmarkEnd w:id="4"/>
    </w:p>
    <w:p w14:paraId="31C29382" w14:textId="4A6B86A5" w:rsidR="00D9194E" w:rsidRPr="00121ECC" w:rsidRDefault="00D9194E" w:rsidP="00D9194E">
      <w:pPr>
        <w:spacing w:line="360" w:lineRule="auto"/>
        <w:jc w:val="both"/>
        <w:rPr>
          <w:rFonts w:ascii="Arial" w:hAnsi="Arial" w:cs="Arial"/>
        </w:rPr>
      </w:pPr>
      <w:r w:rsidRPr="00121ECC">
        <w:rPr>
          <w:rFonts w:ascii="Arial" w:hAnsi="Arial" w:cs="Arial"/>
        </w:rPr>
        <w:t xml:space="preserve">Gillon's (1994) principles of biomedical ethics (autonomy, beneficence, non-maleficence and justice) continue to provide a basic framework for understanding ethical dilemmas in care practice, and apply to a care home resident with a dementia diagnosis. For example, a concrete concern is the resident who wants to walk around the care home without supervision; autonomy would be expressed as continued independence and personal choice, but variable cognitive function and a history of falls </w:t>
      </w:r>
      <w:r w:rsidRPr="00121ECC">
        <w:rPr>
          <w:rFonts w:ascii="Arial" w:hAnsi="Arial" w:cs="Arial"/>
        </w:rPr>
        <w:t>pose</w:t>
      </w:r>
      <w:r w:rsidRPr="00121ECC">
        <w:rPr>
          <w:rFonts w:ascii="Arial" w:hAnsi="Arial" w:cs="Arial"/>
        </w:rPr>
        <w:t xml:space="preserve"> a concern for non-maleficence: walking unsupervised could lead to injury that the resident may not be able to foresee or avoid. Beneficence is added to the mix, as limiting residents' mobility to keep them safe could potentially be detrimental to their welfare and autonomy in their everyday lives, making it impossible to solve neatly with any one of the principles. Justice is also addressed at the level of the care home: continuously monitoring one resident more closely than another requires precious staff time that cannot be allocated to other residents, thus individual ethical decisions </w:t>
      </w:r>
      <w:r w:rsidRPr="00121ECC">
        <w:rPr>
          <w:rFonts w:ascii="Arial" w:hAnsi="Arial" w:cs="Arial"/>
        </w:rPr>
        <w:lastRenderedPageBreak/>
        <w:t>in a care home have implications for the wider group of residents, in addition to implications for the individual. In practice it is not possible to resolve this dilemma by applying any one principle alone, but by balancing the four principles with each other, and then in this case a compromise between these principles is achievable and preferable—such as, in this case, a compromise between autonomy and non-maleficence, which is proportionate and risk-assessed, and which in practice can be supported, but not fully restricted or fully unsupervised movement.</w:t>
      </w:r>
    </w:p>
    <w:p w14:paraId="10A1A1FE" w14:textId="77777777" w:rsidR="00D9194E" w:rsidRPr="00121ECC" w:rsidRDefault="00D9194E" w:rsidP="00D9194E">
      <w:pPr>
        <w:pStyle w:val="Heading1"/>
        <w:spacing w:line="360" w:lineRule="auto"/>
        <w:jc w:val="both"/>
        <w:rPr>
          <w:rFonts w:ascii="Arial" w:hAnsi="Arial" w:cs="Arial"/>
          <w:b/>
          <w:bCs/>
          <w:color w:val="auto"/>
          <w:sz w:val="22"/>
          <w:szCs w:val="22"/>
        </w:rPr>
      </w:pPr>
      <w:bookmarkStart w:id="5" w:name="_Toc235495669"/>
      <w:r w:rsidRPr="00121ECC">
        <w:rPr>
          <w:rFonts w:ascii="Arial" w:hAnsi="Arial" w:cs="Arial"/>
          <w:b/>
          <w:bCs/>
          <w:color w:val="auto"/>
          <w:sz w:val="22"/>
          <w:szCs w:val="22"/>
        </w:rPr>
        <w:t>Evaluation of Partnership Working</w:t>
      </w:r>
      <w:bookmarkEnd w:id="5"/>
    </w:p>
    <w:p w14:paraId="23D056DB" w14:textId="6DEE91BE" w:rsidR="00D9194E" w:rsidRPr="00121ECC" w:rsidRDefault="00D9194E" w:rsidP="00D9194E">
      <w:pPr>
        <w:spacing w:line="360" w:lineRule="auto"/>
        <w:jc w:val="both"/>
        <w:rPr>
          <w:rFonts w:ascii="Arial" w:hAnsi="Arial" w:cs="Arial"/>
        </w:rPr>
      </w:pPr>
      <w:r w:rsidRPr="00121ECC">
        <w:rPr>
          <w:rFonts w:ascii="Arial" w:hAnsi="Arial" w:cs="Arial"/>
        </w:rPr>
        <w:t>Partnership working is the effective working together between the care home and the much wider health and social care system, including GPs, district nurse teams and local authorities, and is important because a care home can only support a resident to meet their full needs, especially complex needs such as dementia, with the help of its staff and resources. However, partnership working in practice is not always easy: Heek et al. (2026) cite unclear roles and systems as a constant challenge of effective integrated care projects; it is often unclear who is responsible for the ongoing clinical needs of a resident when they are in the care home and travelling to their GP's surgery or district nurse's home visits. However, while partnership working builds better and more trusted relationships between services and people who use them, for care home residents, Thomson</w:t>
      </w:r>
      <w:r w:rsidR="00121ECC" w:rsidRPr="00121ECC">
        <w:rPr>
          <w:rFonts w:ascii="Arial" w:hAnsi="Arial" w:cs="Arial"/>
        </w:rPr>
        <w:t xml:space="preserve"> et al. </w:t>
      </w:r>
      <w:r w:rsidRPr="00121ECC">
        <w:rPr>
          <w:rFonts w:ascii="Arial" w:hAnsi="Arial" w:cs="Arial"/>
        </w:rPr>
        <w:t xml:space="preserve"> (2024) found that such relationships were only achieved when certain enabling conditions were in place, including a named liaison contact between the care home and external health services, not just when it was written into partnership arrangements. Effective partnership working in practice is more about the roles and point of contact clearly identified by frontline staff in the home and by visiting professionals, and less about the presence of formal structures for integration; a lack of this can result in the most significant coordination of care gaps being felt as Heek et al. (2026) has found, when it comes to the care of people who live with dementia, where needs are likely to be most changeable and require extended time periods to notice.</w:t>
      </w:r>
    </w:p>
    <w:p w14:paraId="0AA0D146" w14:textId="77777777" w:rsidR="00D9194E" w:rsidRPr="00121ECC" w:rsidRDefault="00D9194E" w:rsidP="00D9194E">
      <w:pPr>
        <w:pStyle w:val="Heading1"/>
        <w:spacing w:line="360" w:lineRule="auto"/>
        <w:jc w:val="both"/>
        <w:rPr>
          <w:rFonts w:ascii="Arial" w:hAnsi="Arial" w:cs="Arial"/>
          <w:b/>
          <w:bCs/>
          <w:color w:val="auto"/>
          <w:sz w:val="22"/>
          <w:szCs w:val="22"/>
        </w:rPr>
      </w:pPr>
      <w:bookmarkStart w:id="6" w:name="_Toc235495670"/>
      <w:r w:rsidRPr="00121ECC">
        <w:rPr>
          <w:rFonts w:ascii="Arial" w:hAnsi="Arial" w:cs="Arial"/>
          <w:b/>
          <w:bCs/>
          <w:color w:val="auto"/>
          <w:sz w:val="22"/>
          <w:szCs w:val="22"/>
        </w:rPr>
        <w:t>Policy and Legislation</w:t>
      </w:r>
      <w:bookmarkEnd w:id="6"/>
    </w:p>
    <w:p w14:paraId="5689295E" w14:textId="4ACF81CB" w:rsidR="00D9194E" w:rsidRPr="00121ECC" w:rsidRDefault="00D9194E" w:rsidP="00D9194E">
      <w:pPr>
        <w:spacing w:line="360" w:lineRule="auto"/>
        <w:jc w:val="both"/>
        <w:rPr>
          <w:rFonts w:ascii="Arial" w:hAnsi="Arial" w:cs="Arial"/>
        </w:rPr>
      </w:pPr>
      <w:r w:rsidRPr="00121ECC">
        <w:rPr>
          <w:rFonts w:ascii="Arial" w:hAnsi="Arial" w:cs="Arial"/>
        </w:rPr>
        <w:t xml:space="preserve">Marczak et al. (2022) found that, in practice, the ambitions outlined in the Care Act 2014 were not uniformly realised across local authorities, with different levels of resourcing across the local </w:t>
      </w:r>
      <w:r w:rsidRPr="00121ECC">
        <w:rPr>
          <w:rFonts w:ascii="Arial" w:hAnsi="Arial" w:cs="Arial"/>
        </w:rPr>
        <w:t>authorities</w:t>
      </w:r>
      <w:r w:rsidRPr="00121ECC">
        <w:rPr>
          <w:rFonts w:ascii="Arial" w:hAnsi="Arial" w:cs="Arial"/>
        </w:rPr>
        <w:t xml:space="preserve"> and different interpretations of the intentions of the Act. This divide becomes apparent at care home level; Damant et al. (2026) examined the implementation of person-centred care planning within care homes in England, and identified that the conditions of their staffing and the lack of alignment between them and their regulatory frameworks had a greater impact on the implementation of </w:t>
      </w:r>
      <w:r w:rsidRPr="00121ECC">
        <w:rPr>
          <w:rFonts w:ascii="Arial" w:hAnsi="Arial" w:cs="Arial"/>
        </w:rPr>
        <w:t>person-centred</w:t>
      </w:r>
      <w:r w:rsidRPr="00121ECC">
        <w:rPr>
          <w:rFonts w:ascii="Arial" w:hAnsi="Arial" w:cs="Arial"/>
        </w:rPr>
        <w:t xml:space="preserve"> care planning than the statutory duty itself. An additional layer of complexity is added by Symonds et al. (2020) who noted that when </w:t>
      </w:r>
      <w:r w:rsidRPr="00121ECC">
        <w:rPr>
          <w:rFonts w:ascii="Arial" w:hAnsi="Arial" w:cs="Arial"/>
        </w:rPr>
        <w:lastRenderedPageBreak/>
        <w:t>people were implementing social care assessments they often talked about being "person-centred" but without an agreed or consistent understanding of what this should entail in practice; this means that even where there is a statutory requirement, the term "person-centred" is not expressed in a consistent manner across care homes or practitioners. The Health and Care Act 2022 then legally recognised the concept of ICSs (Great Britain, 2022) and while this may be described as 'still floundering' in some areas, as set out by Page et al (2024) during its early implementation, it has a direct impact on the extent to which care homes are embedded in local health economies and thus on how the partner working described above can function. Taken together, this evidence indicates that person-centred and integrated practice has been a consistent aspect of policy since 2014, and has been more about the interpretation of the policy, and staffing and funding arrangements, locally than it is about the policy itself.</w:t>
      </w:r>
    </w:p>
    <w:p w14:paraId="6704EB2A" w14:textId="77777777" w:rsidR="00D9194E" w:rsidRPr="00121ECC" w:rsidRDefault="00D9194E" w:rsidP="00D9194E">
      <w:pPr>
        <w:pStyle w:val="Heading1"/>
        <w:spacing w:line="360" w:lineRule="auto"/>
        <w:jc w:val="both"/>
        <w:rPr>
          <w:rFonts w:ascii="Arial" w:hAnsi="Arial" w:cs="Arial"/>
          <w:b/>
          <w:bCs/>
          <w:color w:val="auto"/>
          <w:sz w:val="22"/>
          <w:szCs w:val="22"/>
        </w:rPr>
      </w:pPr>
      <w:bookmarkStart w:id="7" w:name="_Toc235495671"/>
      <w:r w:rsidRPr="00121ECC">
        <w:rPr>
          <w:rFonts w:ascii="Arial" w:hAnsi="Arial" w:cs="Arial"/>
          <w:b/>
          <w:bCs/>
          <w:color w:val="auto"/>
          <w:sz w:val="22"/>
          <w:szCs w:val="22"/>
        </w:rPr>
        <w:t>Recommendations</w:t>
      </w:r>
      <w:bookmarkEnd w:id="7"/>
    </w:p>
    <w:p w14:paraId="42BE994D" w14:textId="1471C8EC" w:rsidR="00D9194E" w:rsidRPr="00121ECC" w:rsidRDefault="00D9194E" w:rsidP="00D9194E">
      <w:pPr>
        <w:spacing w:line="360" w:lineRule="auto"/>
        <w:jc w:val="both"/>
        <w:rPr>
          <w:rFonts w:ascii="Arial" w:hAnsi="Arial" w:cs="Arial"/>
        </w:rPr>
      </w:pPr>
      <w:r w:rsidRPr="00121ECC">
        <w:rPr>
          <w:rFonts w:ascii="Arial" w:hAnsi="Arial" w:cs="Arial"/>
        </w:rPr>
        <w:t xml:space="preserve">Based on the above limitations, the following recommendations are made: First, as McCance and McCormack (2025) and Damant et al. (2026) both point out, people-centred practice in care homes is threatened by workforce instability, which needs to be addressed, for biographical knowledge (see Person Centred Nursing Framework) and biographical continuity (see Person Centred Nursing Framework and the Dementia Care Mapping Programme) are essential tenets of person-centred care that rely on this. This recommendation is based on the assumption that care homes have enough funding to focus on retention over minimum safe staffing, but would be restricted to additional investment in commissioning, rather than changes to the amount within the care home organisation alone. Second, as Heek et al. (2026) discuss, there can be coordination challenges in partnership working, thus, the standardisation of a single named contact address for each resident with their external care team needs to be addressed, and </w:t>
      </w:r>
      <w:proofErr w:type="spellStart"/>
      <w:r w:rsidRPr="00121ECC">
        <w:rPr>
          <w:rFonts w:ascii="Arial" w:hAnsi="Arial" w:cs="Arial"/>
        </w:rPr>
        <w:t>Wannheden</w:t>
      </w:r>
      <w:proofErr w:type="spellEnd"/>
      <w:r w:rsidRPr="00121ECC">
        <w:rPr>
          <w:rFonts w:ascii="Arial" w:hAnsi="Arial" w:cs="Arial"/>
        </w:rPr>
        <w:t xml:space="preserve"> et al. (2022) and Chute et al. (2022) both found support for the use of digital tools to enhance patient-professional partnership working as long as it is integrated into everyday working practice and information is transferable. This is based on good staff digital literacy and reliable IT systems, which may not be present in a care home setting where the workforce is ageing</w:t>
      </w:r>
      <w:r w:rsidRPr="00121ECC">
        <w:rPr>
          <w:rFonts w:ascii="Arial" w:hAnsi="Arial" w:cs="Arial"/>
        </w:rPr>
        <w:t>,</w:t>
      </w:r>
      <w:r w:rsidRPr="00121ECC">
        <w:rPr>
          <w:rFonts w:ascii="Arial" w:hAnsi="Arial" w:cs="Arial"/>
        </w:rPr>
        <w:t xml:space="preserve"> and there has been a history of limited investment in IT systems, for instance, and would need to be supported with dedicated staff training as well as the technology.</w:t>
      </w:r>
    </w:p>
    <w:p w14:paraId="250C0028" w14:textId="77777777" w:rsidR="00D9194E" w:rsidRPr="00121ECC" w:rsidRDefault="00D9194E" w:rsidP="00D9194E">
      <w:pPr>
        <w:pStyle w:val="Heading1"/>
        <w:spacing w:line="360" w:lineRule="auto"/>
        <w:jc w:val="both"/>
        <w:rPr>
          <w:rFonts w:ascii="Arial" w:hAnsi="Arial" w:cs="Arial"/>
          <w:b/>
          <w:bCs/>
          <w:color w:val="auto"/>
          <w:sz w:val="22"/>
          <w:szCs w:val="22"/>
        </w:rPr>
      </w:pPr>
      <w:bookmarkStart w:id="8" w:name="_Toc235495672"/>
      <w:r w:rsidRPr="00121ECC">
        <w:rPr>
          <w:rFonts w:ascii="Arial" w:hAnsi="Arial" w:cs="Arial"/>
          <w:b/>
          <w:bCs/>
          <w:color w:val="auto"/>
          <w:sz w:val="22"/>
          <w:szCs w:val="22"/>
        </w:rPr>
        <w:t>Conclusion</w:t>
      </w:r>
      <w:bookmarkEnd w:id="8"/>
    </w:p>
    <w:p w14:paraId="03B71D04" w14:textId="25A1D6F1" w:rsidR="00666549" w:rsidRPr="00121ECC" w:rsidRDefault="00D9194E" w:rsidP="00D9194E">
      <w:pPr>
        <w:spacing w:line="360" w:lineRule="auto"/>
        <w:jc w:val="both"/>
        <w:rPr>
          <w:rFonts w:ascii="Arial" w:hAnsi="Arial" w:cs="Arial"/>
        </w:rPr>
      </w:pPr>
      <w:r w:rsidRPr="00121ECC">
        <w:rPr>
          <w:rFonts w:ascii="Arial" w:hAnsi="Arial" w:cs="Arial"/>
        </w:rPr>
        <w:t xml:space="preserve">This report has demonstrated that there is no consensus definition of </w:t>
      </w:r>
      <w:r w:rsidRPr="00121ECC">
        <w:rPr>
          <w:rFonts w:ascii="Arial" w:hAnsi="Arial" w:cs="Arial"/>
        </w:rPr>
        <w:t>person-centred</w:t>
      </w:r>
      <w:r w:rsidRPr="00121ECC">
        <w:rPr>
          <w:rFonts w:ascii="Arial" w:hAnsi="Arial" w:cs="Arial"/>
        </w:rPr>
        <w:t xml:space="preserve"> care in a residential setting, and that this can have an impact on the consistency of </w:t>
      </w:r>
      <w:r w:rsidRPr="00121ECC">
        <w:rPr>
          <w:rFonts w:ascii="Arial" w:hAnsi="Arial" w:cs="Arial"/>
        </w:rPr>
        <w:t>delivery</w:t>
      </w:r>
      <w:r w:rsidRPr="00121ECC">
        <w:rPr>
          <w:rFonts w:ascii="Arial" w:hAnsi="Arial" w:cs="Arial"/>
        </w:rPr>
        <w:t xml:space="preserve"> of </w:t>
      </w:r>
      <w:r w:rsidRPr="00121ECC">
        <w:rPr>
          <w:rFonts w:ascii="Arial" w:hAnsi="Arial" w:cs="Arial"/>
        </w:rPr>
        <w:t>person-centred</w:t>
      </w:r>
      <w:r w:rsidRPr="00121ECC">
        <w:rPr>
          <w:rFonts w:ascii="Arial" w:hAnsi="Arial" w:cs="Arial"/>
        </w:rPr>
        <w:t xml:space="preserve"> care to someone living with dementia. However, whilst the Person-Centred Nursing </w:t>
      </w:r>
      <w:r w:rsidRPr="00121ECC">
        <w:rPr>
          <w:rFonts w:ascii="Arial" w:hAnsi="Arial" w:cs="Arial"/>
        </w:rPr>
        <w:lastRenderedPageBreak/>
        <w:t>Framework provides a believable narrative of what makes person-centred practice possible, it relies on organisational factors, such as workforce stability, which the model is not able to generate. The use of Gillon's four principles to a realistic problem in care home practice demonstrated that there is no single principle to overcome competing demands for autonomy and safety, and that a proportionate combination relies on the ability of the staffing rather than on ethical principles. The introduction of partnership working and legislation requires integrated, person-centred practice, but this is always refashioned at the point of delivery as a result of staffing, funding and local interpretation. The recommended solutions above would improve care home practice in terms of workforce stability and coordination significantly towards the person-centred, partnership working goal outlined in policy.</w:t>
      </w:r>
    </w:p>
    <w:p w14:paraId="3EE9EE4E" w14:textId="77777777" w:rsidR="00121ECC" w:rsidRPr="00121ECC" w:rsidRDefault="00121ECC">
      <w:pPr>
        <w:rPr>
          <w:rFonts w:ascii="Arial" w:eastAsia="Arial" w:hAnsi="Arial" w:cs="Arial"/>
          <w:b/>
          <w:bCs/>
        </w:rPr>
      </w:pPr>
      <w:r w:rsidRPr="00121ECC">
        <w:rPr>
          <w:rFonts w:ascii="Arial" w:eastAsia="Arial" w:hAnsi="Arial" w:cs="Arial"/>
          <w:b/>
          <w:bCs/>
        </w:rPr>
        <w:br w:type="page"/>
      </w:r>
    </w:p>
    <w:p w14:paraId="0A293187" w14:textId="745A1524" w:rsidR="00D9194E" w:rsidRPr="00121ECC" w:rsidRDefault="00D9194E" w:rsidP="00D9194E">
      <w:pPr>
        <w:pStyle w:val="Heading1"/>
        <w:spacing w:before="300" w:after="150" w:line="360" w:lineRule="auto"/>
        <w:jc w:val="both"/>
        <w:rPr>
          <w:rFonts w:ascii="Arial" w:hAnsi="Arial" w:cs="Arial"/>
          <w:color w:val="auto"/>
          <w:sz w:val="22"/>
          <w:szCs w:val="22"/>
        </w:rPr>
      </w:pPr>
      <w:bookmarkStart w:id="9" w:name="_Toc235495673"/>
      <w:r w:rsidRPr="00121ECC">
        <w:rPr>
          <w:rFonts w:ascii="Arial" w:eastAsia="Arial" w:hAnsi="Arial" w:cs="Arial"/>
          <w:b/>
          <w:bCs/>
          <w:color w:val="auto"/>
          <w:sz w:val="22"/>
          <w:szCs w:val="22"/>
        </w:rPr>
        <w:lastRenderedPageBreak/>
        <w:t>Reference List</w:t>
      </w:r>
      <w:bookmarkEnd w:id="9"/>
    </w:p>
    <w:p w14:paraId="695DCCD3"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Chute, C., French, T., Raman, S. and Bradley, J. (2022) 'User requirements for comanaged digital health and care', Journal of Medical Internet Research, 24(6), p.e35337. </w:t>
      </w:r>
      <w:hyperlink r:id="rId7" w:history="1">
        <w:r w:rsidRPr="00121ECC">
          <w:rPr>
            <w:rStyle w:val="Hyperlink"/>
            <w:rFonts w:ascii="Arial" w:hAnsi="Arial" w:cs="Arial"/>
            <w:color w:val="auto"/>
          </w:rPr>
          <w:t>https://www.jmir.org/2022/6/e35337</w:t>
        </w:r>
      </w:hyperlink>
    </w:p>
    <w:p w14:paraId="4E87B11D"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Damant, J., </w:t>
      </w:r>
      <w:proofErr w:type="spellStart"/>
      <w:r w:rsidRPr="00121ECC">
        <w:rPr>
          <w:rFonts w:ascii="Arial" w:eastAsia="Arial" w:hAnsi="Arial" w:cs="Arial"/>
        </w:rPr>
        <w:t>Hamashima</w:t>
      </w:r>
      <w:proofErr w:type="spellEnd"/>
      <w:r w:rsidRPr="00121ECC">
        <w:rPr>
          <w:rFonts w:ascii="Arial" w:eastAsia="Arial" w:hAnsi="Arial" w:cs="Arial"/>
        </w:rPr>
        <w:t xml:space="preserve">, Y., Toma, M., Smith, N., Taylor, J., Caprioli, T., Jasim, S., Prato, L., </w:t>
      </w:r>
      <w:proofErr w:type="spellStart"/>
      <w:r w:rsidRPr="00121ECC">
        <w:rPr>
          <w:rFonts w:ascii="Arial" w:eastAsia="Arial" w:hAnsi="Arial" w:cs="Arial"/>
        </w:rPr>
        <w:t>Mcleod</w:t>
      </w:r>
      <w:proofErr w:type="spellEnd"/>
      <w:r w:rsidRPr="00121ECC">
        <w:rPr>
          <w:rFonts w:ascii="Arial" w:eastAsia="Arial" w:hAnsi="Arial" w:cs="Arial"/>
        </w:rPr>
        <w:t xml:space="preserve">, H., Giebel, C. and Peters, M. (2026) 'Investigating person-centred care planning in care homes across England: an exploratory study of practices and contextual factors', Journal of Advanced Nursing, 82(1), pp.617–631. </w:t>
      </w:r>
      <w:hyperlink r:id="rId8" w:history="1">
        <w:r w:rsidRPr="00121ECC">
          <w:rPr>
            <w:rStyle w:val="Hyperlink"/>
            <w:rFonts w:ascii="Arial" w:hAnsi="Arial" w:cs="Arial"/>
            <w:color w:val="auto"/>
          </w:rPr>
          <w:t>https://onlinelibrary.wiley.com/doi/pdf/10.1111/jan.16965</w:t>
        </w:r>
      </w:hyperlink>
    </w:p>
    <w:p w14:paraId="46A2860B"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Forsgren, E., Feldthusen, C., </w:t>
      </w:r>
      <w:proofErr w:type="spellStart"/>
      <w:r w:rsidRPr="00121ECC">
        <w:rPr>
          <w:rFonts w:ascii="Arial" w:eastAsia="Arial" w:hAnsi="Arial" w:cs="Arial"/>
        </w:rPr>
        <w:t>Wallström</w:t>
      </w:r>
      <w:proofErr w:type="spellEnd"/>
      <w:r w:rsidRPr="00121ECC">
        <w:rPr>
          <w:rFonts w:ascii="Arial" w:eastAsia="Arial" w:hAnsi="Arial" w:cs="Arial"/>
        </w:rPr>
        <w:t xml:space="preserve">, S., </w:t>
      </w:r>
      <w:proofErr w:type="spellStart"/>
      <w:r w:rsidRPr="00121ECC">
        <w:rPr>
          <w:rFonts w:ascii="Arial" w:eastAsia="Arial" w:hAnsi="Arial" w:cs="Arial"/>
        </w:rPr>
        <w:t>Thunström</w:t>
      </w:r>
      <w:proofErr w:type="spellEnd"/>
      <w:r w:rsidRPr="00121ECC">
        <w:rPr>
          <w:rFonts w:ascii="Arial" w:eastAsia="Arial" w:hAnsi="Arial" w:cs="Arial"/>
        </w:rPr>
        <w:t xml:space="preserve">, L., Kullman, L., Sawatzky, R. and </w:t>
      </w:r>
      <w:proofErr w:type="spellStart"/>
      <w:r w:rsidRPr="00121ECC">
        <w:rPr>
          <w:rFonts w:ascii="Arial" w:eastAsia="Arial" w:hAnsi="Arial" w:cs="Arial"/>
        </w:rPr>
        <w:t>Öhlén</w:t>
      </w:r>
      <w:proofErr w:type="spellEnd"/>
      <w:r w:rsidRPr="00121ECC">
        <w:rPr>
          <w:rFonts w:ascii="Arial" w:eastAsia="Arial" w:hAnsi="Arial" w:cs="Arial"/>
        </w:rPr>
        <w:t xml:space="preserve">, J. (2025) 'Person-centred care as an evolving field of research: a scoping review', Frontiers in Health Services, 5, p.1534178. </w:t>
      </w:r>
      <w:hyperlink r:id="rId9" w:history="1">
        <w:r w:rsidRPr="00121ECC">
          <w:rPr>
            <w:rStyle w:val="Hyperlink"/>
            <w:rFonts w:ascii="Arial" w:hAnsi="Arial" w:cs="Arial"/>
            <w:color w:val="auto"/>
          </w:rPr>
          <w:t>https://doi.org/10.3389/frhs.2025.1534178</w:t>
        </w:r>
      </w:hyperlink>
    </w:p>
    <w:p w14:paraId="63FD2C09"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Gillon, R. (1994) 'Medical ethics: four principles plus attention to scope', BMJ, 309, p.184. </w:t>
      </w:r>
      <w:hyperlink r:id="rId10" w:history="1">
        <w:r w:rsidRPr="00121ECC">
          <w:rPr>
            <w:rStyle w:val="Hyperlink"/>
            <w:rFonts w:ascii="Arial" w:hAnsi="Arial" w:cs="Arial"/>
            <w:color w:val="auto"/>
          </w:rPr>
          <w:t>https://www.ht.lu.se/media/utbildning/dokument/kurser/FPRB01/20132/gillon.pdf</w:t>
        </w:r>
      </w:hyperlink>
    </w:p>
    <w:p w14:paraId="028F3F86"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Grover, S., Fitzpatrick, A., Azim, F.T., Ariza-Vega, P., Bellwood, P., Burns, J., Burton, E., Fleig, L., Clemson, L., Hoppmann, C.A., Madden, K.M., Price, M., Langford, D. and Ashe, M.C. (2022) 'Defining and implementing patient-</w:t>
      </w:r>
      <w:proofErr w:type="spellStart"/>
      <w:r w:rsidRPr="00121ECC">
        <w:rPr>
          <w:rFonts w:ascii="Arial" w:eastAsia="Arial" w:hAnsi="Arial" w:cs="Arial"/>
        </w:rPr>
        <w:t>centered</w:t>
      </w:r>
      <w:proofErr w:type="spellEnd"/>
      <w:r w:rsidRPr="00121ECC">
        <w:rPr>
          <w:rFonts w:ascii="Arial" w:eastAsia="Arial" w:hAnsi="Arial" w:cs="Arial"/>
        </w:rPr>
        <w:t xml:space="preserve"> care: an umbrella review', Patient Education and </w:t>
      </w:r>
      <w:proofErr w:type="spellStart"/>
      <w:r w:rsidRPr="00121ECC">
        <w:rPr>
          <w:rFonts w:ascii="Arial" w:eastAsia="Arial" w:hAnsi="Arial" w:cs="Arial"/>
        </w:rPr>
        <w:t>Counseling</w:t>
      </w:r>
      <w:proofErr w:type="spellEnd"/>
      <w:r w:rsidRPr="00121ECC">
        <w:rPr>
          <w:rFonts w:ascii="Arial" w:eastAsia="Arial" w:hAnsi="Arial" w:cs="Arial"/>
        </w:rPr>
        <w:t xml:space="preserve">, 105(7), pp.1679–1688. </w:t>
      </w:r>
      <w:hyperlink r:id="rId11" w:history="1">
        <w:r w:rsidRPr="00121ECC">
          <w:rPr>
            <w:rStyle w:val="Hyperlink"/>
            <w:rFonts w:ascii="Arial" w:hAnsi="Arial" w:cs="Arial"/>
            <w:color w:val="auto"/>
          </w:rPr>
          <w:t>https://doi.org/10.1016/j.pec.2021.11.004</w:t>
        </w:r>
      </w:hyperlink>
    </w:p>
    <w:p w14:paraId="4C849A85"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Great Britain (2014) Care Act 2014, c.23. London: The Stationery Office. </w:t>
      </w:r>
      <w:hyperlink r:id="rId12" w:history="1">
        <w:r w:rsidRPr="00121ECC">
          <w:rPr>
            <w:rStyle w:val="Hyperlink"/>
            <w:rFonts w:ascii="Arial" w:hAnsi="Arial" w:cs="Arial"/>
            <w:color w:val="auto"/>
          </w:rPr>
          <w:t>https://www.legislation.gov.uk/ukpga/2014/23/contents</w:t>
        </w:r>
      </w:hyperlink>
    </w:p>
    <w:p w14:paraId="1628CBEB"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Great Britain (2022) Health and Care Act 2022, c.31. London: The Stationery Office. Available at: </w:t>
      </w:r>
      <w:hyperlink r:id="rId13" w:history="1">
        <w:r w:rsidRPr="00121ECC">
          <w:rPr>
            <w:rStyle w:val="Hyperlink"/>
            <w:rFonts w:ascii="Arial" w:hAnsi="Arial" w:cs="Arial"/>
            <w:color w:val="auto"/>
          </w:rPr>
          <w:t>https://www.legislation.gov.uk/ukpga/2022/31/contents</w:t>
        </w:r>
      </w:hyperlink>
    </w:p>
    <w:p w14:paraId="3623BA8F"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Heek, H.C., </w:t>
      </w:r>
      <w:proofErr w:type="spellStart"/>
      <w:r w:rsidRPr="00121ECC">
        <w:rPr>
          <w:rFonts w:ascii="Arial" w:eastAsia="Arial" w:hAnsi="Arial" w:cs="Arial"/>
        </w:rPr>
        <w:t>Nooteboom</w:t>
      </w:r>
      <w:proofErr w:type="spellEnd"/>
      <w:r w:rsidRPr="00121ECC">
        <w:rPr>
          <w:rFonts w:ascii="Arial" w:eastAsia="Arial" w:hAnsi="Arial" w:cs="Arial"/>
        </w:rPr>
        <w:t xml:space="preserve">, L.A., </w:t>
      </w:r>
      <w:proofErr w:type="spellStart"/>
      <w:r w:rsidRPr="00121ECC">
        <w:rPr>
          <w:rFonts w:ascii="Arial" w:eastAsia="Arial" w:hAnsi="Arial" w:cs="Arial"/>
        </w:rPr>
        <w:t>Barnhoorn</w:t>
      </w:r>
      <w:proofErr w:type="spellEnd"/>
      <w:r w:rsidRPr="00121ECC">
        <w:rPr>
          <w:rFonts w:ascii="Arial" w:eastAsia="Arial" w:hAnsi="Arial" w:cs="Arial"/>
        </w:rPr>
        <w:t xml:space="preserve">-Bos, A.M., Vermeiren, R.R. and Mulder, E.A. (2026) 'A balancing act: partnership dynamics in practice when organising and developing integrated care initiatives', International Journal of Integrated Care, 26(1), p.5. </w:t>
      </w:r>
      <w:hyperlink r:id="rId14" w:history="1">
        <w:r w:rsidRPr="00121ECC">
          <w:rPr>
            <w:rStyle w:val="Hyperlink"/>
            <w:rFonts w:ascii="Arial" w:hAnsi="Arial" w:cs="Arial"/>
            <w:color w:val="auto"/>
          </w:rPr>
          <w:t>https://pmc.ncbi.nlm.nih.gov/articles/PMC12880003/</w:t>
        </w:r>
      </w:hyperlink>
    </w:p>
    <w:p w14:paraId="13B8BEAB"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Marczak, J., Fernandez, J.L., Manthorpe, J., Brimblecombe, N., Moriarty, J., Knapp, M. and Snell, T. (2022) 'How have the Care Act 2014 ambitions to support carers translated into local practice? Findings from a process evaluation study of local stakeholders' perceptions of Care Act implementation', Health &amp; Social Care in the Community, 30(5). </w:t>
      </w:r>
      <w:hyperlink r:id="rId15" w:history="1">
        <w:r w:rsidRPr="00121ECC">
          <w:rPr>
            <w:rStyle w:val="Hyperlink"/>
            <w:rFonts w:ascii="Arial" w:hAnsi="Arial" w:cs="Arial"/>
            <w:color w:val="auto"/>
          </w:rPr>
          <w:t>https://onlinelibrary.wiley.com/doi/10.1111/hsc.13599</w:t>
        </w:r>
      </w:hyperlink>
    </w:p>
    <w:p w14:paraId="31775ADF"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lastRenderedPageBreak/>
        <w:t xml:space="preserve">McCance, T. and McCormack, B. (2025) 'The person-centred nursing framework: a mid-range theory for nursing practice', Journal of Research in Nursing, 30(1), pp.47–60. </w:t>
      </w:r>
      <w:hyperlink r:id="rId16" w:history="1">
        <w:r w:rsidRPr="00121ECC">
          <w:rPr>
            <w:rStyle w:val="Hyperlink"/>
            <w:rFonts w:ascii="Arial" w:hAnsi="Arial" w:cs="Arial"/>
            <w:color w:val="auto"/>
          </w:rPr>
          <w:t>https://doi.org/10.1177/17449871241281428</w:t>
        </w:r>
      </w:hyperlink>
    </w:p>
    <w:p w14:paraId="4AE5F20E"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McCormack, B. and McCance, T. (2021) 'The person-centred nursing framework', in Dewing, J., McCormack, B. and McCance, T. (eds.) Person-centred Nursing Research: Methodology, Methods and Outcomes. Cham: Springer, pp.13–28. </w:t>
      </w:r>
      <w:hyperlink r:id="rId17" w:history="1">
        <w:r w:rsidRPr="00121ECC">
          <w:rPr>
            <w:rStyle w:val="Hyperlink"/>
            <w:rFonts w:ascii="Arial" w:hAnsi="Arial" w:cs="Arial"/>
            <w:color w:val="auto"/>
          </w:rPr>
          <w:t>https://doi.org/10.1007/978-3-030-27868-7_2</w:t>
        </w:r>
      </w:hyperlink>
    </w:p>
    <w:p w14:paraId="7283E324"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Page, B., Sugavanam, T., Hogan, H., Fitzpatrick, R. and Lalani, M. (2024) 'Floundering or flourishing? Early insights from the inception of integrated care systems in England', International Journal of Integrated Care, 24(3), p.4.</w:t>
      </w:r>
      <w:r w:rsidRPr="00121ECC">
        <w:rPr>
          <w:rFonts w:ascii="Arial" w:hAnsi="Arial" w:cs="Arial"/>
          <w:lang w:val="en-US"/>
        </w:rPr>
        <w:t xml:space="preserve"> </w:t>
      </w:r>
      <w:hyperlink r:id="rId18" w:history="1">
        <w:r w:rsidRPr="00121ECC">
          <w:rPr>
            <w:rStyle w:val="Hyperlink"/>
            <w:rFonts w:ascii="Arial" w:hAnsi="Arial" w:cs="Arial"/>
            <w:color w:val="auto"/>
          </w:rPr>
          <w:t>https://reference-global.com/download/article/10.5334/ijic.7738.pdf</w:t>
        </w:r>
      </w:hyperlink>
    </w:p>
    <w:p w14:paraId="48ADD709" w14:textId="77777777" w:rsidR="00D9194E" w:rsidRPr="00121ECC" w:rsidRDefault="00D9194E" w:rsidP="00D9194E">
      <w:pPr>
        <w:spacing w:line="360" w:lineRule="auto"/>
        <w:ind w:left="720" w:hanging="720"/>
        <w:jc w:val="both"/>
        <w:rPr>
          <w:rFonts w:ascii="Arial" w:hAnsi="Arial" w:cs="Arial"/>
          <w:lang w:val="en-US"/>
        </w:rPr>
      </w:pPr>
      <w:r w:rsidRPr="00121ECC">
        <w:rPr>
          <w:rFonts w:ascii="Arial" w:eastAsia="Arial" w:hAnsi="Arial" w:cs="Arial"/>
        </w:rPr>
        <w:t xml:space="preserve">Rosengren, K., </w:t>
      </w:r>
      <w:proofErr w:type="spellStart"/>
      <w:r w:rsidRPr="00121ECC">
        <w:rPr>
          <w:rFonts w:ascii="Arial" w:eastAsia="Arial" w:hAnsi="Arial" w:cs="Arial"/>
        </w:rPr>
        <w:t>Brannefors</w:t>
      </w:r>
      <w:proofErr w:type="spellEnd"/>
      <w:r w:rsidRPr="00121ECC">
        <w:rPr>
          <w:rFonts w:ascii="Arial" w:eastAsia="Arial" w:hAnsi="Arial" w:cs="Arial"/>
        </w:rPr>
        <w:t xml:space="preserve">, P. and Carlstrom, E. (2021) 'Adoption of the concept of person-centred care into discourse in Europe: a systematic literature review', Journal of Health Organization and Management, 35(9), pp.265–280. </w:t>
      </w:r>
      <w:hyperlink r:id="rId19" w:history="1">
        <w:r w:rsidRPr="00121ECC">
          <w:rPr>
            <w:rStyle w:val="Hyperlink"/>
            <w:rFonts w:ascii="Arial" w:hAnsi="Arial" w:cs="Arial"/>
            <w:color w:val="auto"/>
          </w:rPr>
          <w:t>https://doi.org/10.1108/JHOM-01-2021-0008</w:t>
        </w:r>
      </w:hyperlink>
    </w:p>
    <w:p w14:paraId="501F50F5"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Rutherford, C., Boehnke, J., Greenhalgh, J., Tyagi, V., McCance, T. and McCormack, B. (2025) 'Time is now to consider how we evaluate person-centred care—the role of patient-reported outcomes', Frontiers in Health Services, 5, p.1578037. </w:t>
      </w:r>
      <w:hyperlink r:id="rId20" w:history="1">
        <w:r w:rsidRPr="00121ECC">
          <w:rPr>
            <w:rStyle w:val="Hyperlink"/>
            <w:rFonts w:ascii="Arial" w:hAnsi="Arial" w:cs="Arial"/>
            <w:color w:val="auto"/>
          </w:rPr>
          <w:t>https://doi.org/10.3389/frhs.2025.1578037</w:t>
        </w:r>
      </w:hyperlink>
    </w:p>
    <w:p w14:paraId="5C7194EE"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Symonds, J., Miles, C., Steel, M., Porter, S. and Williams, V. (2020) 'Making person-centred assessments', Journal of Social Work, 20(4), pp.431–447. </w:t>
      </w:r>
      <w:hyperlink r:id="rId21" w:history="1">
        <w:r w:rsidRPr="00121ECC">
          <w:rPr>
            <w:rStyle w:val="Hyperlink"/>
            <w:rFonts w:ascii="Arial" w:hAnsi="Arial" w:cs="Arial"/>
            <w:color w:val="auto"/>
          </w:rPr>
          <w:t>https://doi.org/10.1177/1468017319830593</w:t>
        </w:r>
      </w:hyperlink>
    </w:p>
    <w:p w14:paraId="0C6B44B5" w14:textId="77777777" w:rsidR="00D9194E" w:rsidRPr="00121ECC" w:rsidRDefault="00D9194E" w:rsidP="00D9194E">
      <w:pPr>
        <w:spacing w:line="360" w:lineRule="auto"/>
        <w:ind w:left="720" w:hanging="720"/>
        <w:jc w:val="both"/>
        <w:rPr>
          <w:rFonts w:ascii="Arial" w:hAnsi="Arial" w:cs="Arial"/>
        </w:rPr>
      </w:pPr>
      <w:r w:rsidRPr="00121ECC">
        <w:rPr>
          <w:rFonts w:ascii="Arial" w:eastAsia="Arial" w:hAnsi="Arial" w:cs="Arial"/>
        </w:rPr>
        <w:t xml:space="preserve">Thomson, L.J.M., Waterson, H. and Chatterjee, H.J. (2024) 'Successes and challenges of partnership working to tackle health inequalities using collaborative approaches to community-based research: mixed methods analysis of focus group evidence', International Journal for Equity in Health, 23(1), p.135. </w:t>
      </w:r>
      <w:hyperlink r:id="rId22" w:history="1">
        <w:r w:rsidRPr="00121ECC">
          <w:rPr>
            <w:rStyle w:val="Hyperlink"/>
            <w:rFonts w:ascii="Arial" w:hAnsi="Arial" w:cs="Arial"/>
            <w:color w:val="auto"/>
          </w:rPr>
          <w:t>https://link.springer.com/content/pdf/10.1186/s12939-024-02216-1.pdf</w:t>
        </w:r>
      </w:hyperlink>
    </w:p>
    <w:p w14:paraId="0A3789DB" w14:textId="77777777" w:rsidR="00D9194E" w:rsidRPr="00121ECC" w:rsidRDefault="00D9194E" w:rsidP="00D9194E">
      <w:pPr>
        <w:spacing w:line="360" w:lineRule="auto"/>
        <w:ind w:left="720" w:hanging="720"/>
        <w:jc w:val="both"/>
        <w:rPr>
          <w:rFonts w:ascii="Arial" w:hAnsi="Arial" w:cs="Arial"/>
        </w:rPr>
      </w:pPr>
      <w:proofErr w:type="spellStart"/>
      <w:r w:rsidRPr="00121ECC">
        <w:rPr>
          <w:rFonts w:ascii="Arial" w:eastAsia="Arial" w:hAnsi="Arial" w:cs="Arial"/>
        </w:rPr>
        <w:t>Wannheden</w:t>
      </w:r>
      <w:proofErr w:type="spellEnd"/>
      <w:r w:rsidRPr="00121ECC">
        <w:rPr>
          <w:rFonts w:ascii="Arial" w:eastAsia="Arial" w:hAnsi="Arial" w:cs="Arial"/>
        </w:rPr>
        <w:t xml:space="preserve">, C., Åberg-Wennerholm, M., Dahlberg, M., </w:t>
      </w:r>
      <w:proofErr w:type="spellStart"/>
      <w:r w:rsidRPr="00121ECC">
        <w:rPr>
          <w:rFonts w:ascii="Arial" w:eastAsia="Arial" w:hAnsi="Arial" w:cs="Arial"/>
        </w:rPr>
        <w:t>Revenäs</w:t>
      </w:r>
      <w:proofErr w:type="spellEnd"/>
      <w:r w:rsidRPr="00121ECC">
        <w:rPr>
          <w:rFonts w:ascii="Arial" w:eastAsia="Arial" w:hAnsi="Arial" w:cs="Arial"/>
        </w:rPr>
        <w:t xml:space="preserve">, Å., Tolf, S., </w:t>
      </w:r>
      <w:proofErr w:type="spellStart"/>
      <w:r w:rsidRPr="00121ECC">
        <w:rPr>
          <w:rFonts w:ascii="Arial" w:eastAsia="Arial" w:hAnsi="Arial" w:cs="Arial"/>
        </w:rPr>
        <w:t>Eftimovska</w:t>
      </w:r>
      <w:proofErr w:type="spellEnd"/>
      <w:r w:rsidRPr="00121ECC">
        <w:rPr>
          <w:rFonts w:ascii="Arial" w:eastAsia="Arial" w:hAnsi="Arial" w:cs="Arial"/>
        </w:rPr>
        <w:t xml:space="preserve">, E. and </w:t>
      </w:r>
      <w:proofErr w:type="spellStart"/>
      <w:r w:rsidRPr="00121ECC">
        <w:rPr>
          <w:rFonts w:ascii="Arial" w:eastAsia="Arial" w:hAnsi="Arial" w:cs="Arial"/>
        </w:rPr>
        <w:t>Brommels</w:t>
      </w:r>
      <w:proofErr w:type="spellEnd"/>
      <w:r w:rsidRPr="00121ECC">
        <w:rPr>
          <w:rFonts w:ascii="Arial" w:eastAsia="Arial" w:hAnsi="Arial" w:cs="Arial"/>
        </w:rPr>
        <w:t xml:space="preserve">, M. (2022) 'Digital health technologies enabling partnerships in chronic care management: scoping review', Journal of Medical Internet Research, 24(8), p.e38980. </w:t>
      </w:r>
      <w:hyperlink r:id="rId23" w:history="1">
        <w:r w:rsidRPr="00121ECC">
          <w:rPr>
            <w:rStyle w:val="Hyperlink"/>
            <w:rFonts w:ascii="Arial" w:hAnsi="Arial" w:cs="Arial"/>
            <w:color w:val="auto"/>
          </w:rPr>
          <w:t>https://www.jmir.org/2022/8/e38980</w:t>
        </w:r>
      </w:hyperlink>
    </w:p>
    <w:p w14:paraId="0FB04F95" w14:textId="77777777" w:rsidR="00D9194E" w:rsidRPr="00121ECC" w:rsidRDefault="00D9194E" w:rsidP="00D9194E">
      <w:pPr>
        <w:spacing w:line="360" w:lineRule="auto"/>
        <w:ind w:left="720" w:hanging="720"/>
        <w:jc w:val="both"/>
        <w:rPr>
          <w:rFonts w:ascii="Arial" w:hAnsi="Arial" w:cs="Arial"/>
        </w:rPr>
      </w:pPr>
    </w:p>
    <w:p w14:paraId="4F54FAE0" w14:textId="77777777" w:rsidR="00D9194E" w:rsidRPr="00121ECC" w:rsidRDefault="00D9194E" w:rsidP="00D9194E">
      <w:pPr>
        <w:spacing w:line="360" w:lineRule="auto"/>
        <w:jc w:val="both"/>
        <w:rPr>
          <w:rFonts w:ascii="Arial" w:hAnsi="Arial" w:cs="Arial"/>
        </w:rPr>
      </w:pPr>
    </w:p>
    <w:sectPr w:rsidR="00D9194E" w:rsidRPr="00121ECC">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503D4" w14:textId="77777777" w:rsidR="009E3841" w:rsidRDefault="009E3841" w:rsidP="00121ECC">
      <w:pPr>
        <w:spacing w:after="0" w:line="240" w:lineRule="auto"/>
      </w:pPr>
      <w:r>
        <w:separator/>
      </w:r>
    </w:p>
  </w:endnote>
  <w:endnote w:type="continuationSeparator" w:id="0">
    <w:p w14:paraId="791B3CCD" w14:textId="77777777" w:rsidR="009E3841" w:rsidRDefault="009E3841" w:rsidP="00121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926683"/>
      <w:docPartObj>
        <w:docPartGallery w:val="Page Numbers (Bottom of Page)"/>
        <w:docPartUnique/>
      </w:docPartObj>
    </w:sdtPr>
    <w:sdtContent>
      <w:sdt>
        <w:sdtPr>
          <w:id w:val="-1705238520"/>
          <w:docPartObj>
            <w:docPartGallery w:val="Page Numbers (Top of Page)"/>
            <w:docPartUnique/>
          </w:docPartObj>
        </w:sdtPr>
        <w:sdtContent>
          <w:p w14:paraId="32423CE5" w14:textId="1C94D76F" w:rsidR="00121ECC" w:rsidRDefault="00121ECC">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8EE4CC0" w14:textId="77777777" w:rsidR="00121ECC" w:rsidRDefault="00121E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29405" w14:textId="77777777" w:rsidR="009E3841" w:rsidRDefault="009E3841" w:rsidP="00121ECC">
      <w:pPr>
        <w:spacing w:after="0" w:line="240" w:lineRule="auto"/>
      </w:pPr>
      <w:r>
        <w:separator/>
      </w:r>
    </w:p>
  </w:footnote>
  <w:footnote w:type="continuationSeparator" w:id="0">
    <w:p w14:paraId="32FCD22A" w14:textId="77777777" w:rsidR="009E3841" w:rsidRDefault="009E3841" w:rsidP="00121E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94E"/>
    <w:rsid w:val="00121ECC"/>
    <w:rsid w:val="00666549"/>
    <w:rsid w:val="009E3841"/>
    <w:rsid w:val="00D9194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DC0B"/>
  <w15:chartTrackingRefBased/>
  <w15:docId w15:val="{E01A6834-6A43-4987-9703-728B3A667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919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94E"/>
    <w:rPr>
      <w:rFonts w:asciiTheme="majorHAnsi" w:eastAsiaTheme="majorEastAsia" w:hAnsiTheme="majorHAnsi" w:cstheme="majorBidi"/>
      <w:color w:val="2F5496" w:themeColor="accent1" w:themeShade="BF"/>
      <w:sz w:val="32"/>
      <w:szCs w:val="32"/>
      <w:lang w:val="en-GB"/>
    </w:rPr>
  </w:style>
  <w:style w:type="character" w:styleId="Hyperlink">
    <w:name w:val="Hyperlink"/>
    <w:uiPriority w:val="99"/>
    <w:unhideWhenUsed/>
    <w:rsid w:val="00D9194E"/>
    <w:rPr>
      <w:color w:val="0563C1"/>
      <w:u w:val="single"/>
    </w:rPr>
  </w:style>
  <w:style w:type="paragraph" w:styleId="TOCHeading">
    <w:name w:val="TOC Heading"/>
    <w:basedOn w:val="Heading1"/>
    <w:next w:val="Normal"/>
    <w:uiPriority w:val="39"/>
    <w:unhideWhenUsed/>
    <w:qFormat/>
    <w:rsid w:val="00D9194E"/>
    <w:pPr>
      <w:outlineLvl w:val="9"/>
    </w:pPr>
    <w:rPr>
      <w:lang w:val="en-US"/>
    </w:rPr>
  </w:style>
  <w:style w:type="paragraph" w:styleId="TOC1">
    <w:name w:val="toc 1"/>
    <w:basedOn w:val="Normal"/>
    <w:next w:val="Normal"/>
    <w:autoRedefine/>
    <w:uiPriority w:val="39"/>
    <w:unhideWhenUsed/>
    <w:rsid w:val="00D9194E"/>
    <w:pPr>
      <w:spacing w:after="100"/>
    </w:pPr>
  </w:style>
  <w:style w:type="paragraph" w:styleId="Header">
    <w:name w:val="header"/>
    <w:basedOn w:val="Normal"/>
    <w:link w:val="HeaderChar"/>
    <w:uiPriority w:val="99"/>
    <w:unhideWhenUsed/>
    <w:rsid w:val="00121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ECC"/>
    <w:rPr>
      <w:lang w:val="en-GB"/>
    </w:rPr>
  </w:style>
  <w:style w:type="paragraph" w:styleId="Footer">
    <w:name w:val="footer"/>
    <w:basedOn w:val="Normal"/>
    <w:link w:val="FooterChar"/>
    <w:uiPriority w:val="99"/>
    <w:unhideWhenUsed/>
    <w:rsid w:val="00121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EC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pdf/10.1111/jan.16965" TargetMode="External"/><Relationship Id="rId13" Type="http://schemas.openxmlformats.org/officeDocument/2006/relationships/hyperlink" Target="https://www.legislation.gov.uk/ukpga/2022/31/contents" TargetMode="External"/><Relationship Id="rId18" Type="http://schemas.openxmlformats.org/officeDocument/2006/relationships/hyperlink" Target="https://reference-global.com/download/article/10.5334/ijic.7738.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177/1468017319830593" TargetMode="External"/><Relationship Id="rId7" Type="http://schemas.openxmlformats.org/officeDocument/2006/relationships/hyperlink" Target="https://www.jmir.org/2022/6/e35337" TargetMode="External"/><Relationship Id="rId12" Type="http://schemas.openxmlformats.org/officeDocument/2006/relationships/hyperlink" Target="https://www.legislation.gov.uk/ukpga/2014/23/contents" TargetMode="External"/><Relationship Id="rId17" Type="http://schemas.openxmlformats.org/officeDocument/2006/relationships/hyperlink" Target="https://doi.org/10.1007/978-3-030-27868-7_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77/17449871241281428" TargetMode="External"/><Relationship Id="rId20" Type="http://schemas.openxmlformats.org/officeDocument/2006/relationships/hyperlink" Target="https://doi.org/10.3389/frhs.2025.157803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pec.2021.11.004"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onlinelibrary.wiley.com/doi/10.1111/hsc.13599" TargetMode="External"/><Relationship Id="rId23" Type="http://schemas.openxmlformats.org/officeDocument/2006/relationships/hyperlink" Target="https://www.jmir.org/2022/8/e38980" TargetMode="External"/><Relationship Id="rId10" Type="http://schemas.openxmlformats.org/officeDocument/2006/relationships/hyperlink" Target="https://www.ht.lu.se/media/utbildning/dokument/kurser/FPRB01/20132/gillon.pdf" TargetMode="External"/><Relationship Id="rId19" Type="http://schemas.openxmlformats.org/officeDocument/2006/relationships/hyperlink" Target="https://doi.org/10.1108/JHOM-01-2021-0008" TargetMode="External"/><Relationship Id="rId4" Type="http://schemas.openxmlformats.org/officeDocument/2006/relationships/webSettings" Target="webSettings.xml"/><Relationship Id="rId9" Type="http://schemas.openxmlformats.org/officeDocument/2006/relationships/hyperlink" Target="https://doi.org/10.3389/frhs.2025.1534178" TargetMode="External"/><Relationship Id="rId14" Type="http://schemas.openxmlformats.org/officeDocument/2006/relationships/hyperlink" Target="https://pmc.ncbi.nlm.nih.gov/articles/PMC12880003/" TargetMode="External"/><Relationship Id="rId22" Type="http://schemas.openxmlformats.org/officeDocument/2006/relationships/hyperlink" Target="https://link.springer.com/content/pdf/10.1186/s12939-024-02216-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EA5B7-DC15-4D5B-9B81-B2CF0347A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3123</Words>
  <Characters>17804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2026-07-20T23:55:00Z</dcterms:created>
  <dcterms:modified xsi:type="dcterms:W3CDTF">2026-07-21T00:09:00Z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7fb426ca-d09e-49f3-98aa-14595c19d809</vt:lpwstr>
  </property>
</Properties>
</file>