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9EE09A" w14:textId="14EE877B" w:rsidR="007F0687" w:rsidRPr="007F0687" w:rsidRDefault="007F0687" w:rsidP="007F0687">
      <w:pPr>
        <w:jc w:val="center"/>
        <w:rPr>
          <w:b/>
          <w:bCs/>
          <w:u w:val="single"/>
        </w:rPr>
      </w:pPr>
      <w:r w:rsidRPr="007F0687">
        <w:rPr>
          <w:b/>
          <w:bCs/>
          <w:u w:val="single"/>
        </w:rPr>
        <w:t>Curriculum Leadership and Innovation Report</w:t>
      </w:r>
    </w:p>
    <w:p w14:paraId="57F3BD76" w14:textId="78E00759" w:rsidR="007F0687" w:rsidRPr="007F0687" w:rsidRDefault="007F0687" w:rsidP="007F0687">
      <w:pPr>
        <w:jc w:val="center"/>
        <w:rPr>
          <w:b/>
          <w:bCs/>
        </w:rPr>
      </w:pPr>
      <w:r w:rsidRPr="007F0687">
        <w:rPr>
          <w:b/>
          <w:bCs/>
        </w:rPr>
        <w:t>(400</w:t>
      </w:r>
      <w:r w:rsidR="005267F5">
        <w:rPr>
          <w:b/>
          <w:bCs/>
        </w:rPr>
        <w:t>0</w:t>
      </w:r>
      <w:r w:rsidRPr="007F0687">
        <w:rPr>
          <w:b/>
          <w:bCs/>
        </w:rPr>
        <w:t xml:space="preserve"> words)</w:t>
      </w:r>
    </w:p>
    <w:p w14:paraId="29730CE6" w14:textId="77777777" w:rsidR="00E70C6F" w:rsidRDefault="00CE6582">
      <w:pPr>
        <w:rPr>
          <w:b/>
          <w:bCs/>
          <w:u w:val="single"/>
        </w:rPr>
      </w:pPr>
      <w:r w:rsidRPr="00F979ED">
        <w:rPr>
          <w:b/>
          <w:bCs/>
          <w:u w:val="single"/>
        </w:rPr>
        <w:t xml:space="preserve">Introduction </w:t>
      </w:r>
    </w:p>
    <w:p w14:paraId="583D733E" w14:textId="648A8934" w:rsidR="00D00B9A" w:rsidRPr="009A7022" w:rsidRDefault="00D00B9A">
      <w:pPr>
        <w:rPr>
          <w:color w:val="000000" w:themeColor="text1"/>
        </w:rPr>
      </w:pPr>
      <w:r w:rsidRPr="00D00B9A">
        <w:rPr>
          <w:color w:val="000000" w:themeColor="text1"/>
        </w:rPr>
        <w:t xml:space="preserve">Since </w:t>
      </w:r>
      <w:proofErr w:type="spellStart"/>
      <w:r w:rsidRPr="00D00B9A">
        <w:rPr>
          <w:color w:val="000000" w:themeColor="text1"/>
        </w:rPr>
        <w:t>Wales’</w:t>
      </w:r>
      <w:proofErr w:type="spellEnd"/>
      <w:r w:rsidRPr="00D00B9A">
        <w:rPr>
          <w:color w:val="000000" w:themeColor="text1"/>
        </w:rPr>
        <w:t xml:space="preserve"> devolution in 1999, </w:t>
      </w:r>
      <w:r w:rsidRPr="009A7022">
        <w:rPr>
          <w:color w:val="000000" w:themeColor="text1"/>
        </w:rPr>
        <w:t xml:space="preserve">it has been argued that the curriculum </w:t>
      </w:r>
      <w:r w:rsidRPr="00D00B9A">
        <w:rPr>
          <w:color w:val="000000" w:themeColor="text1"/>
        </w:rPr>
        <w:t>has experienced three distinct ‘waves’ of policy reform,</w:t>
      </w:r>
      <w:r w:rsidRPr="009A7022">
        <w:rPr>
          <w:color w:val="000000" w:themeColor="text1"/>
        </w:rPr>
        <w:t xml:space="preserve"> significantly reprioritising approaches to teacher agency, assessment and accountability</w:t>
      </w:r>
      <w:r w:rsidRPr="00D00B9A">
        <w:rPr>
          <w:color w:val="000000" w:themeColor="text1"/>
        </w:rPr>
        <w:t xml:space="preserve"> (Connolly et al., 2018; Evans, 2021; Titley, Davies, &amp; Atherton, 2020). The first wave, described by Reynolds (2008) as experimental, relaxed accountability measures and placed greater trust in teacher assessment over statutory method</w:t>
      </w:r>
      <w:r w:rsidRPr="009A7022">
        <w:rPr>
          <w:color w:val="000000" w:themeColor="text1"/>
        </w:rPr>
        <w:t xml:space="preserve"> approaches</w:t>
      </w:r>
      <w:r w:rsidRPr="00D00B9A">
        <w:rPr>
          <w:color w:val="000000" w:themeColor="text1"/>
        </w:rPr>
        <w:t xml:space="preserve"> (Power, 2016). However, </w:t>
      </w:r>
      <w:r w:rsidRPr="009A7022">
        <w:rPr>
          <w:color w:val="000000" w:themeColor="text1"/>
        </w:rPr>
        <w:t>reacting to</w:t>
      </w:r>
      <w:r w:rsidRPr="00D00B9A">
        <w:rPr>
          <w:color w:val="000000" w:themeColor="text1"/>
        </w:rPr>
        <w:t xml:space="preserve"> poor PISA results in 2009, the Welsh Government reversed its stance, implementing stricter accountability measures to raise standards (Davies et al., 2018). The publication of </w:t>
      </w:r>
      <w:r w:rsidRPr="00D00B9A">
        <w:rPr>
          <w:i/>
          <w:iCs/>
          <w:color w:val="000000" w:themeColor="text1"/>
        </w:rPr>
        <w:t>Successful Futures</w:t>
      </w:r>
      <w:r w:rsidRPr="00D00B9A">
        <w:rPr>
          <w:color w:val="000000" w:themeColor="text1"/>
        </w:rPr>
        <w:t xml:space="preserve"> (Donaldson, 2015) marked the third wave, promoting greater autonomy for teachers and schools (Sinnema, </w:t>
      </w:r>
      <w:proofErr w:type="spellStart"/>
      <w:r w:rsidRPr="00D00B9A">
        <w:rPr>
          <w:color w:val="000000" w:themeColor="text1"/>
        </w:rPr>
        <w:t>Nieveen</w:t>
      </w:r>
      <w:proofErr w:type="spellEnd"/>
      <w:r w:rsidRPr="00D00B9A">
        <w:rPr>
          <w:color w:val="000000" w:themeColor="text1"/>
        </w:rPr>
        <w:t>, &amp; Priestley, 2020). Donaldson (2015) emphasised the importance of devolving decision-making to those ‘closest to the teaching and learning process,’ as they ultimately implement reform (Huizinga et al., 2014</w:t>
      </w:r>
      <w:r w:rsidRPr="009A7022">
        <w:rPr>
          <w:color w:val="000000" w:themeColor="text1"/>
        </w:rPr>
        <w:t>: 33</w:t>
      </w:r>
      <w:r w:rsidRPr="00D00B9A">
        <w:rPr>
          <w:color w:val="000000" w:themeColor="text1"/>
        </w:rPr>
        <w:t>).</w:t>
      </w:r>
    </w:p>
    <w:p w14:paraId="18C06B86" w14:textId="353D216D" w:rsidR="00D00B9A" w:rsidRPr="00D00B9A" w:rsidRDefault="00D00B9A" w:rsidP="00D00B9A">
      <w:pPr>
        <w:rPr>
          <w:color w:val="000000" w:themeColor="text1"/>
        </w:rPr>
      </w:pPr>
      <w:r w:rsidRPr="00D00B9A">
        <w:rPr>
          <w:color w:val="000000" w:themeColor="text1"/>
        </w:rPr>
        <w:t xml:space="preserve">This </w:t>
      </w:r>
      <w:r w:rsidRPr="009A7022">
        <w:rPr>
          <w:color w:val="000000" w:themeColor="text1"/>
        </w:rPr>
        <w:t>‘pendulum swing’ (</w:t>
      </w:r>
      <w:proofErr w:type="spellStart"/>
      <w:r w:rsidRPr="009A7022">
        <w:rPr>
          <w:color w:val="000000" w:themeColor="text1"/>
        </w:rPr>
        <w:t>Nieveen</w:t>
      </w:r>
      <w:proofErr w:type="spellEnd"/>
      <w:r w:rsidRPr="009A7022">
        <w:rPr>
          <w:color w:val="000000" w:themeColor="text1"/>
        </w:rPr>
        <w:t xml:space="preserve"> and Kuiper, 2012) </w:t>
      </w:r>
      <w:r w:rsidRPr="00D00B9A">
        <w:rPr>
          <w:color w:val="000000" w:themeColor="text1"/>
        </w:rPr>
        <w:t>between curriculum regulation and freedom presents challenges for school leaders, who must navigate the balance between external accountability and teacher agency. Bolden (2004) highlights the critical role of leadership in the success of the education sector, stressing the need for effective leadership models to manage tensions between innovation and consistency</w:t>
      </w:r>
      <w:r w:rsidRPr="009A7022">
        <w:rPr>
          <w:color w:val="000000" w:themeColor="text1"/>
        </w:rPr>
        <w:t xml:space="preserve"> </w:t>
      </w:r>
      <w:r w:rsidRPr="009A7022">
        <w:rPr>
          <w:color w:val="000000" w:themeColor="text1"/>
        </w:rPr>
        <w:t>(</w:t>
      </w:r>
      <w:r w:rsidRPr="009A7022">
        <w:rPr>
          <w:color w:val="000000" w:themeColor="text1"/>
          <w:highlight w:val="yellow"/>
        </w:rPr>
        <w:t>Fullan, Quinn, &amp; McEachen, 2017</w:t>
      </w:r>
      <w:r w:rsidRPr="009A7022">
        <w:rPr>
          <w:color w:val="000000" w:themeColor="text1"/>
        </w:rPr>
        <w:t>).</w:t>
      </w:r>
      <w:r w:rsidRPr="00D00B9A">
        <w:rPr>
          <w:color w:val="000000" w:themeColor="text1"/>
        </w:rPr>
        <w:t xml:space="preserve"> As leadership is second only to classroom teaching in its impact on student learning (</w:t>
      </w:r>
      <w:proofErr w:type="spellStart"/>
      <w:r w:rsidRPr="00D00B9A">
        <w:rPr>
          <w:color w:val="000000" w:themeColor="text1"/>
        </w:rPr>
        <w:t>Leithwood</w:t>
      </w:r>
      <w:proofErr w:type="spellEnd"/>
      <w:r w:rsidRPr="00D00B9A">
        <w:rPr>
          <w:color w:val="000000" w:themeColor="text1"/>
        </w:rPr>
        <w:t xml:space="preserve"> et al., 2006; </w:t>
      </w:r>
      <w:proofErr w:type="spellStart"/>
      <w:r w:rsidRPr="00D00B9A">
        <w:rPr>
          <w:color w:val="000000" w:themeColor="text1"/>
        </w:rPr>
        <w:t>Leithwood</w:t>
      </w:r>
      <w:proofErr w:type="spellEnd"/>
      <w:r w:rsidRPr="00D00B9A">
        <w:rPr>
          <w:color w:val="000000" w:themeColor="text1"/>
        </w:rPr>
        <w:t>, Harris, &amp; Hopkins, 2020), deliberate and strategic leadership decisions are essential to maximis</w:t>
      </w:r>
      <w:r w:rsidRPr="009A7022">
        <w:rPr>
          <w:color w:val="000000" w:themeColor="text1"/>
        </w:rPr>
        <w:t xml:space="preserve">e </w:t>
      </w:r>
      <w:r w:rsidRPr="00D00B9A">
        <w:rPr>
          <w:color w:val="000000" w:themeColor="text1"/>
        </w:rPr>
        <w:t>positive educational outcomes.</w:t>
      </w:r>
    </w:p>
    <w:p w14:paraId="5E590F01" w14:textId="77777777" w:rsidR="00D00B9A" w:rsidRDefault="00D00B9A"/>
    <w:p w14:paraId="4103902F" w14:textId="6C4B81A8" w:rsidR="00CE6582" w:rsidRDefault="00CE6582">
      <w:pPr>
        <w:rPr>
          <w:b/>
          <w:bCs/>
          <w:u w:val="single"/>
        </w:rPr>
      </w:pPr>
      <w:r w:rsidRPr="00F979ED">
        <w:rPr>
          <w:b/>
          <w:bCs/>
          <w:u w:val="single"/>
        </w:rPr>
        <w:t>Theoretical Framework</w:t>
      </w:r>
      <w:r w:rsidR="003212FE">
        <w:rPr>
          <w:b/>
          <w:bCs/>
          <w:u w:val="single"/>
        </w:rPr>
        <w:t>s</w:t>
      </w:r>
      <w:r w:rsidR="00CB3370">
        <w:rPr>
          <w:b/>
          <w:bCs/>
          <w:u w:val="single"/>
        </w:rPr>
        <w:t xml:space="preserve"> and Curriculum Leadership Models</w:t>
      </w:r>
    </w:p>
    <w:p w14:paraId="18489EC6" w14:textId="77777777" w:rsidR="009A7022" w:rsidRPr="001C37B0" w:rsidRDefault="009A7022" w:rsidP="009A7022">
      <w:pPr>
        <w:rPr>
          <w:color w:val="000000" w:themeColor="text1"/>
        </w:rPr>
      </w:pPr>
      <w:r w:rsidRPr="001C37B0">
        <w:rPr>
          <w:color w:val="000000" w:themeColor="text1"/>
        </w:rPr>
        <w:t>In the context of Curriculum for Wales (</w:t>
      </w:r>
      <w:proofErr w:type="spellStart"/>
      <w:r w:rsidRPr="001C37B0">
        <w:rPr>
          <w:color w:val="000000" w:themeColor="text1"/>
        </w:rPr>
        <w:t>CfW</w:t>
      </w:r>
      <w:proofErr w:type="spellEnd"/>
      <w:r w:rsidRPr="001C37B0">
        <w:rPr>
          <w:color w:val="000000" w:themeColor="text1"/>
        </w:rPr>
        <w:t>), school leaders have been granted the autonomy to make curriculum decisions (Donaldson, 2015). The effectiveness of curricular reform is closely tied to the capabilities of school leaders (Ganon-</w:t>
      </w:r>
      <w:proofErr w:type="spellStart"/>
      <w:r w:rsidRPr="001C37B0">
        <w:rPr>
          <w:color w:val="000000" w:themeColor="text1"/>
        </w:rPr>
        <w:t>Shilon</w:t>
      </w:r>
      <w:proofErr w:type="spellEnd"/>
      <w:r w:rsidRPr="001C37B0">
        <w:rPr>
          <w:color w:val="000000" w:themeColor="text1"/>
        </w:rPr>
        <w:t xml:space="preserve"> &amp; Schechter, 2017), requiring a comprehensive understanding of curriculum models and their suitability within a school’s unique context, values, and needs (</w:t>
      </w:r>
      <w:proofErr w:type="spellStart"/>
      <w:r w:rsidRPr="001C37B0">
        <w:rPr>
          <w:color w:val="000000" w:themeColor="text1"/>
        </w:rPr>
        <w:t>Glatthorn</w:t>
      </w:r>
      <w:proofErr w:type="spellEnd"/>
      <w:r w:rsidRPr="001C37B0">
        <w:rPr>
          <w:color w:val="000000" w:themeColor="text1"/>
        </w:rPr>
        <w:t xml:space="preserve"> et al., 2018). Leaders must also create the necessary conditions for teachers at all levels to develop and implement curriculum models that drive reform (Philippou, </w:t>
      </w:r>
      <w:proofErr w:type="spellStart"/>
      <w:r w:rsidRPr="001C37B0">
        <w:rPr>
          <w:color w:val="000000" w:themeColor="text1"/>
        </w:rPr>
        <w:t>Kontovourki</w:t>
      </w:r>
      <w:proofErr w:type="spellEnd"/>
      <w:r w:rsidRPr="001C37B0">
        <w:rPr>
          <w:color w:val="000000" w:themeColor="text1"/>
        </w:rPr>
        <w:t>, &amp; Theodorou, 2014). This autonomy demands effective leadership to ensure curriculum choices are critically examined, a culture of inquiry is nurtured, and continuous refinement is prioritised (Priestley &amp; Drew, 2017).</w:t>
      </w:r>
    </w:p>
    <w:p w14:paraId="564D1589" w14:textId="77777777" w:rsidR="009A7022" w:rsidRPr="001C37B0" w:rsidRDefault="009A7022" w:rsidP="009A7022">
      <w:pPr>
        <w:rPr>
          <w:color w:val="000000" w:themeColor="text1"/>
        </w:rPr>
      </w:pPr>
      <w:r w:rsidRPr="001C37B0">
        <w:rPr>
          <w:color w:val="000000" w:themeColor="text1"/>
        </w:rPr>
        <w:lastRenderedPageBreak/>
        <w:t>Although leadership is widely regarded as second only to classroom teaching in terms of improving student learning (</w:t>
      </w:r>
      <w:proofErr w:type="spellStart"/>
      <w:r w:rsidRPr="001C37B0">
        <w:rPr>
          <w:color w:val="000000" w:themeColor="text1"/>
        </w:rPr>
        <w:t>Leithwood</w:t>
      </w:r>
      <w:proofErr w:type="spellEnd"/>
      <w:r w:rsidRPr="001C37B0">
        <w:rPr>
          <w:color w:val="000000" w:themeColor="text1"/>
        </w:rPr>
        <w:t xml:space="preserve"> et al., 2006; </w:t>
      </w:r>
      <w:proofErr w:type="spellStart"/>
      <w:r w:rsidRPr="001C37B0">
        <w:rPr>
          <w:color w:val="000000" w:themeColor="text1"/>
        </w:rPr>
        <w:t>Leithwood</w:t>
      </w:r>
      <w:proofErr w:type="spellEnd"/>
      <w:r w:rsidRPr="001C37B0">
        <w:rPr>
          <w:color w:val="000000" w:themeColor="text1"/>
        </w:rPr>
        <w:t xml:space="preserve">, Harris, &amp; Hopkins, 2020), there is no universally agreed definition of leadership (Bush, 2008). Many definitions incorporate the idea of ‘social influence’ (Yukl, 2002: 3), but perspectives on educational leadership have evolved. Gunter (2004) suggests that ‘educational administration’ shifted towards ‘educational management’ before transitioning into ‘educational leadership,’ reflecting how research has responded to emerging educational challenges (Gümüş, </w:t>
      </w:r>
      <w:proofErr w:type="spellStart"/>
      <w:r w:rsidRPr="001C37B0">
        <w:rPr>
          <w:color w:val="000000" w:themeColor="text1"/>
        </w:rPr>
        <w:t>Bellibaş</w:t>
      </w:r>
      <w:proofErr w:type="spellEnd"/>
      <w:r w:rsidRPr="001C37B0">
        <w:rPr>
          <w:color w:val="000000" w:themeColor="text1"/>
        </w:rPr>
        <w:t>, &amp; Gümüş, 2018).</w:t>
      </w:r>
    </w:p>
    <w:p w14:paraId="2A997A07" w14:textId="05F2EBF6" w:rsidR="009A7022" w:rsidRPr="001C37B0" w:rsidRDefault="009A7022" w:rsidP="009A7022">
      <w:pPr>
        <w:rPr>
          <w:color w:val="000000" w:themeColor="text1"/>
        </w:rPr>
      </w:pPr>
      <w:r w:rsidRPr="001C37B0">
        <w:rPr>
          <w:color w:val="000000" w:themeColor="text1"/>
        </w:rPr>
        <w:t>Debate persists over whether educational leadership consists of two core functions</w:t>
      </w:r>
      <w:r w:rsidR="00ED0D59" w:rsidRPr="001C37B0">
        <w:rPr>
          <w:color w:val="000000" w:themeColor="text1"/>
        </w:rPr>
        <w:t xml:space="preserve">, </w:t>
      </w:r>
      <w:r w:rsidRPr="001C37B0">
        <w:rPr>
          <w:color w:val="000000" w:themeColor="text1"/>
        </w:rPr>
        <w:t>‘providing direction and exercising influence’ (</w:t>
      </w:r>
      <w:proofErr w:type="spellStart"/>
      <w:r w:rsidRPr="001C37B0">
        <w:rPr>
          <w:color w:val="000000" w:themeColor="text1"/>
        </w:rPr>
        <w:t>Leithwood</w:t>
      </w:r>
      <w:proofErr w:type="spellEnd"/>
      <w:r w:rsidRPr="001C37B0">
        <w:rPr>
          <w:color w:val="000000" w:themeColor="text1"/>
        </w:rPr>
        <w:t xml:space="preserve"> &amp; Riehl, 2005: 14)</w:t>
      </w:r>
      <w:r w:rsidR="00ED0D59" w:rsidRPr="001C37B0">
        <w:rPr>
          <w:color w:val="000000" w:themeColor="text1"/>
        </w:rPr>
        <w:t xml:space="preserve">, </w:t>
      </w:r>
      <w:r w:rsidRPr="001C37B0">
        <w:rPr>
          <w:color w:val="000000" w:themeColor="text1"/>
        </w:rPr>
        <w:t xml:space="preserve">or whether it encompasses three dimensions: influence, value-setting, and vision articulation (Bush &amp; Glover, 2003: 5). Yukl (2002: 4) argues that leadership definitions are ‘arbitrary,’ yet selecting an appropriate leadership model is crucial. As Wales implements </w:t>
      </w:r>
      <w:proofErr w:type="spellStart"/>
      <w:r w:rsidRPr="001C37B0">
        <w:rPr>
          <w:color w:val="000000" w:themeColor="text1"/>
        </w:rPr>
        <w:t>CfW</w:t>
      </w:r>
      <w:proofErr w:type="spellEnd"/>
      <w:r w:rsidRPr="001C37B0">
        <w:rPr>
          <w:color w:val="000000" w:themeColor="text1"/>
        </w:rPr>
        <w:t>, a significant departure from previous curricula, concerns have emerged regarding its practical enactment (Milton &amp; Morgan, 2023). Given the pluralistic nature of educational leadership (Bush, 2007), a careful analysis of leadership models is necessary to ensure alignment with specific school contexts.</w:t>
      </w:r>
    </w:p>
    <w:p w14:paraId="78111EAE" w14:textId="77777777" w:rsidR="003641C5" w:rsidRDefault="003641C5" w:rsidP="002E4E0D"/>
    <w:p w14:paraId="371FD5D3" w14:textId="402CE32B" w:rsidR="00CB3370" w:rsidRPr="00CB3370" w:rsidRDefault="00CB3370" w:rsidP="002E4E0D">
      <w:pPr>
        <w:rPr>
          <w:b/>
          <w:bCs/>
        </w:rPr>
      </w:pPr>
      <w:r w:rsidRPr="00CB3370">
        <w:rPr>
          <w:b/>
          <w:bCs/>
        </w:rPr>
        <w:t>Instructional Leadership</w:t>
      </w:r>
    </w:p>
    <w:p w14:paraId="34251EB3" w14:textId="18C7535E" w:rsidR="001C37B0" w:rsidRPr="00393DE4" w:rsidRDefault="001C37B0" w:rsidP="001C37B0">
      <w:pPr>
        <w:rPr>
          <w:color w:val="000000" w:themeColor="text1"/>
        </w:rPr>
      </w:pPr>
      <w:r w:rsidRPr="00393DE4">
        <w:rPr>
          <w:color w:val="000000" w:themeColor="text1"/>
        </w:rPr>
        <w:t>Hallinger and Murphy’s (1985) instructional leadership model is founded on three core principles: defining the school’s mission, managing and supervising curriculum implementation to ensure high-quality learning, and enhancing teaching capacity through professional development and incentives. Research suggests that instructional leadership can foster mutual support and collaboration among teachers, leading to school improvement (</w:t>
      </w:r>
      <w:proofErr w:type="spellStart"/>
      <w:r w:rsidRPr="00393DE4">
        <w:rPr>
          <w:color w:val="000000" w:themeColor="text1"/>
        </w:rPr>
        <w:t>Duyar</w:t>
      </w:r>
      <w:proofErr w:type="spellEnd"/>
      <w:r w:rsidRPr="00393DE4">
        <w:rPr>
          <w:color w:val="000000" w:themeColor="text1"/>
        </w:rPr>
        <w:t xml:space="preserve">, Gumus, &amp; </w:t>
      </w:r>
      <w:proofErr w:type="spellStart"/>
      <w:r w:rsidRPr="00393DE4">
        <w:rPr>
          <w:color w:val="000000" w:themeColor="text1"/>
        </w:rPr>
        <w:t>Bellibas</w:t>
      </w:r>
      <w:proofErr w:type="spellEnd"/>
      <w:r w:rsidRPr="00393DE4">
        <w:rPr>
          <w:color w:val="000000" w:themeColor="text1"/>
        </w:rPr>
        <w:t xml:space="preserve">, 2013; Goddard et al., 2015; Gümüş, Bulut, &amp; </w:t>
      </w:r>
      <w:proofErr w:type="spellStart"/>
      <w:r w:rsidRPr="00393DE4">
        <w:rPr>
          <w:color w:val="000000" w:themeColor="text1"/>
        </w:rPr>
        <w:t>Bellibaş</w:t>
      </w:r>
      <w:proofErr w:type="spellEnd"/>
      <w:r w:rsidRPr="00393DE4">
        <w:rPr>
          <w:color w:val="000000" w:themeColor="text1"/>
        </w:rPr>
        <w:t xml:space="preserve">, 2013; Harris &amp; Jones, 2010). However, critics note that instructional leadership at times prioritises teaching over learning outcomes (Bush, 2013) and places excessive emphasis on the </w:t>
      </w:r>
      <w:proofErr w:type="spellStart"/>
      <w:r w:rsidRPr="00393DE4">
        <w:rPr>
          <w:color w:val="000000" w:themeColor="text1"/>
        </w:rPr>
        <w:t>headteacher</w:t>
      </w:r>
      <w:r w:rsidRPr="00393DE4">
        <w:rPr>
          <w:color w:val="000000" w:themeColor="text1"/>
        </w:rPr>
        <w:t>l</w:t>
      </w:r>
      <w:proofErr w:type="spellEnd"/>
      <w:r w:rsidRPr="00393DE4">
        <w:rPr>
          <w:color w:val="000000" w:themeColor="text1"/>
        </w:rPr>
        <w:t xml:space="preserve"> as the central authority (Hallinger, 2003). The Curriculum for Wales (</w:t>
      </w:r>
      <w:proofErr w:type="spellStart"/>
      <w:r w:rsidRPr="00393DE4">
        <w:rPr>
          <w:color w:val="000000" w:themeColor="text1"/>
        </w:rPr>
        <w:t>CfW</w:t>
      </w:r>
      <w:proofErr w:type="spellEnd"/>
      <w:r w:rsidRPr="00393DE4">
        <w:rPr>
          <w:color w:val="000000" w:themeColor="text1"/>
        </w:rPr>
        <w:t xml:space="preserve">), by contrast, calls for distributed leadership, empowering teachers as </w:t>
      </w:r>
      <w:r w:rsidRPr="00393DE4">
        <w:rPr>
          <w:color w:val="000000" w:themeColor="text1"/>
        </w:rPr>
        <w:t>‘</w:t>
      </w:r>
      <w:r w:rsidRPr="00393DE4">
        <w:rPr>
          <w:color w:val="000000" w:themeColor="text1"/>
        </w:rPr>
        <w:t>agents of change</w:t>
      </w:r>
      <w:r w:rsidRPr="00393DE4">
        <w:rPr>
          <w:color w:val="000000" w:themeColor="text1"/>
        </w:rPr>
        <w:t>’</w:t>
      </w:r>
      <w:r w:rsidRPr="00393DE4">
        <w:rPr>
          <w:color w:val="000000" w:themeColor="text1"/>
        </w:rPr>
        <w:t xml:space="preserve"> (Priestley, Biesta, &amp; Robinson, 2013; Goodson, 2003; </w:t>
      </w:r>
      <w:proofErr w:type="spellStart"/>
      <w:r w:rsidRPr="00393DE4">
        <w:rPr>
          <w:color w:val="000000" w:themeColor="text1"/>
        </w:rPr>
        <w:t>Nieveen</w:t>
      </w:r>
      <w:proofErr w:type="spellEnd"/>
      <w:r w:rsidRPr="00393DE4">
        <w:rPr>
          <w:color w:val="000000" w:themeColor="text1"/>
        </w:rPr>
        <w:t xml:space="preserve">, 2011; Sinnema, </w:t>
      </w:r>
      <w:proofErr w:type="spellStart"/>
      <w:r w:rsidRPr="00393DE4">
        <w:rPr>
          <w:color w:val="000000" w:themeColor="text1"/>
        </w:rPr>
        <w:t>Nieveen</w:t>
      </w:r>
      <w:proofErr w:type="spellEnd"/>
      <w:r w:rsidRPr="00393DE4">
        <w:rPr>
          <w:color w:val="000000" w:themeColor="text1"/>
        </w:rPr>
        <w:t>, &amp; Priestley, 2020) rather than mere implementers. Critics argue that an instructional leadership model underpinned by rigid accountability and compliance may inhibit teacher agency (Erichsen &amp; Reynolds, 2020)</w:t>
      </w:r>
      <w:r w:rsidRPr="00393DE4">
        <w:rPr>
          <w:color w:val="000000" w:themeColor="text1"/>
        </w:rPr>
        <w:t xml:space="preserve"> and</w:t>
      </w:r>
      <w:r w:rsidRPr="00393DE4">
        <w:rPr>
          <w:color w:val="000000" w:themeColor="text1"/>
        </w:rPr>
        <w:t xml:space="preserve"> create a culture of performativity (Perryman &amp; Calvert, 2020). Harris (2013) contends that </w:t>
      </w:r>
      <w:r w:rsidRPr="00393DE4">
        <w:rPr>
          <w:color w:val="000000" w:themeColor="text1"/>
        </w:rPr>
        <w:t>‘</w:t>
      </w:r>
      <w:r w:rsidRPr="00393DE4">
        <w:rPr>
          <w:color w:val="000000" w:themeColor="text1"/>
        </w:rPr>
        <w:t>formal leaders acting alone will not achieve school and system transformation,</w:t>
      </w:r>
      <w:r w:rsidRPr="00393DE4">
        <w:rPr>
          <w:color w:val="000000" w:themeColor="text1"/>
        </w:rPr>
        <w:t>’</w:t>
      </w:r>
      <w:r w:rsidRPr="00393DE4">
        <w:rPr>
          <w:color w:val="000000" w:themeColor="text1"/>
        </w:rPr>
        <w:t xml:space="preserve"> while Lambert (2002) declares the era of instructional leadership over, calling for models that broaden teacher participation.</w:t>
      </w:r>
    </w:p>
    <w:p w14:paraId="0F179558" w14:textId="77777777" w:rsidR="001C37B0" w:rsidRPr="00393DE4" w:rsidRDefault="001C37B0" w:rsidP="001C37B0">
      <w:pPr>
        <w:rPr>
          <w:color w:val="000000" w:themeColor="text1"/>
        </w:rPr>
      </w:pPr>
    </w:p>
    <w:p w14:paraId="377A6992" w14:textId="4F1A1179" w:rsidR="001C37B0" w:rsidRPr="00393DE4" w:rsidRDefault="001C37B0" w:rsidP="001C37B0">
      <w:pPr>
        <w:rPr>
          <w:color w:val="000000" w:themeColor="text1"/>
        </w:rPr>
      </w:pPr>
      <w:r w:rsidRPr="00393DE4">
        <w:rPr>
          <w:color w:val="000000" w:themeColor="text1"/>
        </w:rPr>
        <w:lastRenderedPageBreak/>
        <w:t xml:space="preserve">From a structuralist viewpoint, Bernstein’s (1990) </w:t>
      </w:r>
      <w:r w:rsidRPr="00393DE4">
        <w:rPr>
          <w:color w:val="000000" w:themeColor="text1"/>
        </w:rPr>
        <w:t>‘</w:t>
      </w:r>
      <w:r w:rsidRPr="00393DE4">
        <w:rPr>
          <w:color w:val="000000" w:themeColor="text1"/>
        </w:rPr>
        <w:t>Pedagogic Device</w:t>
      </w:r>
      <w:r w:rsidRPr="00393DE4">
        <w:rPr>
          <w:color w:val="000000" w:themeColor="text1"/>
        </w:rPr>
        <w:t>’</w:t>
      </w:r>
      <w:r w:rsidRPr="00393DE4">
        <w:rPr>
          <w:color w:val="000000" w:themeColor="text1"/>
        </w:rPr>
        <w:t xml:space="preserve"> conceptualises curriculum as socially and politically constructed, cautioning against assumptions of value-neutrality (</w:t>
      </w:r>
      <w:proofErr w:type="spellStart"/>
      <w:r w:rsidRPr="00393DE4">
        <w:rPr>
          <w:color w:val="000000" w:themeColor="text1"/>
        </w:rPr>
        <w:t>Sadovnik</w:t>
      </w:r>
      <w:proofErr w:type="spellEnd"/>
      <w:r w:rsidRPr="00393DE4">
        <w:rPr>
          <w:color w:val="000000" w:themeColor="text1"/>
        </w:rPr>
        <w:t xml:space="preserve">, 1991). Instructional leadership often involves </w:t>
      </w:r>
      <w:r w:rsidRPr="00393DE4">
        <w:rPr>
          <w:color w:val="000000" w:themeColor="text1"/>
        </w:rPr>
        <w:t>‘</w:t>
      </w:r>
      <w:r w:rsidRPr="00393DE4">
        <w:rPr>
          <w:color w:val="000000" w:themeColor="text1"/>
        </w:rPr>
        <w:t>strong framing,</w:t>
      </w:r>
      <w:r w:rsidRPr="00393DE4">
        <w:rPr>
          <w:color w:val="000000" w:themeColor="text1"/>
        </w:rPr>
        <w:t>’</w:t>
      </w:r>
      <w:r w:rsidRPr="00393DE4">
        <w:rPr>
          <w:color w:val="000000" w:themeColor="text1"/>
        </w:rPr>
        <w:t xml:space="preserve"> whereby leaders determine curriculum content, pacing, and sequencing (Bernstein, 1990). This approach can provide clarity yet limit teacher autonomy. Bernstein’s notion of </w:t>
      </w:r>
      <w:r w:rsidRPr="00393DE4">
        <w:rPr>
          <w:color w:val="000000" w:themeColor="text1"/>
        </w:rPr>
        <w:t>‘</w:t>
      </w:r>
      <w:r w:rsidRPr="00393DE4">
        <w:rPr>
          <w:color w:val="000000" w:themeColor="text1"/>
        </w:rPr>
        <w:t>classification</w:t>
      </w:r>
      <w:r w:rsidRPr="00393DE4">
        <w:rPr>
          <w:color w:val="000000" w:themeColor="text1"/>
        </w:rPr>
        <w:t xml:space="preserve">’ - </w:t>
      </w:r>
      <w:r w:rsidRPr="00393DE4">
        <w:rPr>
          <w:color w:val="000000" w:themeColor="text1"/>
        </w:rPr>
        <w:t>the boundaries between knowledge types</w:t>
      </w:r>
      <w:r w:rsidRPr="00393DE4">
        <w:rPr>
          <w:color w:val="000000" w:themeColor="text1"/>
        </w:rPr>
        <w:t xml:space="preserve"> - </w:t>
      </w:r>
      <w:r w:rsidRPr="00393DE4">
        <w:rPr>
          <w:color w:val="000000" w:themeColor="text1"/>
        </w:rPr>
        <w:t xml:space="preserve">also illuminates how instructional leadership may encourage traditional, compartmentalised </w:t>
      </w:r>
      <w:r w:rsidRPr="00393DE4">
        <w:rPr>
          <w:color w:val="000000" w:themeColor="text1"/>
        </w:rPr>
        <w:t>‘</w:t>
      </w:r>
      <w:r w:rsidRPr="00393DE4">
        <w:rPr>
          <w:color w:val="000000" w:themeColor="text1"/>
        </w:rPr>
        <w:t>vertical knowledge structures</w:t>
      </w:r>
      <w:r w:rsidRPr="00393DE4">
        <w:rPr>
          <w:color w:val="000000" w:themeColor="text1"/>
        </w:rPr>
        <w:t>’</w:t>
      </w:r>
      <w:r w:rsidRPr="00393DE4">
        <w:rPr>
          <w:color w:val="000000" w:themeColor="text1"/>
        </w:rPr>
        <w:t xml:space="preserve"> (Bernstein, 2000), reinforcing </w:t>
      </w:r>
      <w:r w:rsidRPr="00393DE4">
        <w:rPr>
          <w:color w:val="000000" w:themeColor="text1"/>
        </w:rPr>
        <w:t>‘</w:t>
      </w:r>
      <w:r w:rsidRPr="00393DE4">
        <w:rPr>
          <w:color w:val="000000" w:themeColor="text1"/>
        </w:rPr>
        <w:t>collection codes</w:t>
      </w:r>
      <w:r w:rsidRPr="00393DE4">
        <w:rPr>
          <w:color w:val="000000" w:themeColor="text1"/>
        </w:rPr>
        <w:t>’</w:t>
      </w:r>
      <w:r w:rsidRPr="00393DE4">
        <w:rPr>
          <w:color w:val="000000" w:themeColor="text1"/>
        </w:rPr>
        <w:t xml:space="preserve"> that favour discrete subjects and hierarchical authority. </w:t>
      </w:r>
      <w:proofErr w:type="spellStart"/>
      <w:r w:rsidRPr="00393DE4">
        <w:rPr>
          <w:color w:val="000000" w:themeColor="text1"/>
        </w:rPr>
        <w:t>CfW</w:t>
      </w:r>
      <w:proofErr w:type="spellEnd"/>
      <w:r w:rsidRPr="00393DE4">
        <w:rPr>
          <w:color w:val="000000" w:themeColor="text1"/>
        </w:rPr>
        <w:t xml:space="preserve">, in contrast, promotes integrated codes by breaking down subject boundaries to encourage interdisciplinary learning (Bernstein, 1971). Moreover, instructional leadership’s visible pedagogic practice and explicit power relations run counter to </w:t>
      </w:r>
      <w:proofErr w:type="spellStart"/>
      <w:r w:rsidRPr="00393DE4">
        <w:rPr>
          <w:color w:val="000000" w:themeColor="text1"/>
        </w:rPr>
        <w:t>CfW’s</w:t>
      </w:r>
      <w:proofErr w:type="spellEnd"/>
      <w:r w:rsidRPr="00393DE4">
        <w:rPr>
          <w:color w:val="000000" w:themeColor="text1"/>
        </w:rPr>
        <w:t xml:space="preserve"> emphasis on </w:t>
      </w:r>
      <w:r w:rsidRPr="00393DE4">
        <w:rPr>
          <w:color w:val="000000" w:themeColor="text1"/>
        </w:rPr>
        <w:t>‘</w:t>
      </w:r>
      <w:r w:rsidRPr="00393DE4">
        <w:rPr>
          <w:color w:val="000000" w:themeColor="text1"/>
        </w:rPr>
        <w:t>weak framing</w:t>
      </w:r>
      <w:r w:rsidRPr="00393DE4">
        <w:rPr>
          <w:color w:val="000000" w:themeColor="text1"/>
        </w:rPr>
        <w:t>’</w:t>
      </w:r>
      <w:r w:rsidRPr="00393DE4">
        <w:rPr>
          <w:color w:val="000000" w:themeColor="text1"/>
        </w:rPr>
        <w:t>, which relies on trust in teachers to innovate and adapt (Bernstein, 1996).</w:t>
      </w:r>
    </w:p>
    <w:p w14:paraId="64264B1D" w14:textId="2D3E0B24" w:rsidR="001C37B0" w:rsidRPr="00393DE4" w:rsidRDefault="001C37B0" w:rsidP="001C37B0">
      <w:pPr>
        <w:rPr>
          <w:color w:val="000000" w:themeColor="text1"/>
        </w:rPr>
      </w:pPr>
      <w:r w:rsidRPr="00393DE4">
        <w:rPr>
          <w:color w:val="000000" w:themeColor="text1"/>
        </w:rPr>
        <w:t xml:space="preserve">Tyler’s (1949) </w:t>
      </w:r>
      <w:r w:rsidR="00393DE4" w:rsidRPr="00393DE4">
        <w:rPr>
          <w:color w:val="000000" w:themeColor="text1"/>
        </w:rPr>
        <w:t>r</w:t>
      </w:r>
      <w:r w:rsidRPr="00393DE4">
        <w:rPr>
          <w:color w:val="000000" w:themeColor="text1"/>
        </w:rPr>
        <w:t>ational-</w:t>
      </w:r>
      <w:r w:rsidR="00393DE4" w:rsidRPr="00393DE4">
        <w:rPr>
          <w:color w:val="000000" w:themeColor="text1"/>
        </w:rPr>
        <w:t>l</w:t>
      </w:r>
      <w:r w:rsidRPr="00393DE4">
        <w:rPr>
          <w:color w:val="000000" w:themeColor="text1"/>
        </w:rPr>
        <w:t xml:space="preserve">inear </w:t>
      </w:r>
      <w:r w:rsidR="00393DE4" w:rsidRPr="00393DE4">
        <w:rPr>
          <w:color w:val="000000" w:themeColor="text1"/>
        </w:rPr>
        <w:t>m</w:t>
      </w:r>
      <w:r w:rsidRPr="00393DE4">
        <w:rPr>
          <w:color w:val="000000" w:themeColor="text1"/>
        </w:rPr>
        <w:t>odel offers another lens through which to view instructional leadership. This model stresses defining objectives, organising experiences, and evaluating outcomes</w:t>
      </w:r>
      <w:r w:rsidRPr="00393DE4">
        <w:rPr>
          <w:color w:val="000000" w:themeColor="text1"/>
        </w:rPr>
        <w:t xml:space="preserve"> - </w:t>
      </w:r>
      <w:r w:rsidRPr="00393DE4">
        <w:rPr>
          <w:color w:val="000000" w:themeColor="text1"/>
        </w:rPr>
        <w:t xml:space="preserve">processes mirroring instructional leadership’s focus on clear goals and measurable results. Often considered deductive (Lunenburg, 2011: </w:t>
      </w:r>
      <w:proofErr w:type="spellStart"/>
      <w:r w:rsidRPr="00393DE4">
        <w:rPr>
          <w:color w:val="000000" w:themeColor="text1"/>
        </w:rPr>
        <w:t>Bhuttah</w:t>
      </w:r>
      <w:proofErr w:type="spellEnd"/>
      <w:r w:rsidRPr="00393DE4">
        <w:rPr>
          <w:color w:val="000000" w:themeColor="text1"/>
        </w:rPr>
        <w:t xml:space="preserve"> et al., 1019), this structured approach may offer much-needed direction amid the perceived confusion surrounding </w:t>
      </w:r>
      <w:proofErr w:type="spellStart"/>
      <w:r w:rsidRPr="00393DE4">
        <w:rPr>
          <w:color w:val="000000" w:themeColor="text1"/>
        </w:rPr>
        <w:t>CfW’s</w:t>
      </w:r>
      <w:proofErr w:type="spellEnd"/>
      <w:r w:rsidRPr="00393DE4">
        <w:rPr>
          <w:color w:val="000000" w:themeColor="text1"/>
        </w:rPr>
        <w:t xml:space="preserve"> implementation noted by Davies et al. (2024). Supporters</w:t>
      </w:r>
      <w:r w:rsidR="00393DE4" w:rsidRPr="00393DE4">
        <w:rPr>
          <w:color w:val="000000" w:themeColor="text1"/>
        </w:rPr>
        <w:t xml:space="preserve"> of Tyler’s model,</w:t>
      </w:r>
      <w:r w:rsidRPr="00393DE4">
        <w:rPr>
          <w:color w:val="000000" w:themeColor="text1"/>
        </w:rPr>
        <w:t xml:space="preserve"> like Popham (1968)</w:t>
      </w:r>
      <w:r w:rsidR="00393DE4" w:rsidRPr="00393DE4">
        <w:rPr>
          <w:color w:val="000000" w:themeColor="text1"/>
        </w:rPr>
        <w:t>,</w:t>
      </w:r>
      <w:r w:rsidRPr="00393DE4">
        <w:rPr>
          <w:color w:val="000000" w:themeColor="text1"/>
        </w:rPr>
        <w:t xml:space="preserve"> assert that explicit objectives make it easier to focus on key instructional outcomes</w:t>
      </w:r>
      <w:r w:rsidR="00393DE4" w:rsidRPr="00393DE4">
        <w:rPr>
          <w:color w:val="000000" w:themeColor="text1"/>
        </w:rPr>
        <w:t xml:space="preserve">. Such guidance may </w:t>
      </w:r>
      <w:r w:rsidRPr="00393DE4">
        <w:rPr>
          <w:color w:val="000000" w:themeColor="text1"/>
        </w:rPr>
        <w:t>address</w:t>
      </w:r>
      <w:r w:rsidR="00393DE4" w:rsidRPr="00393DE4">
        <w:rPr>
          <w:color w:val="000000" w:themeColor="text1"/>
        </w:rPr>
        <w:t xml:space="preserve"> some of the</w:t>
      </w:r>
      <w:r w:rsidRPr="00393DE4">
        <w:rPr>
          <w:color w:val="000000" w:themeColor="text1"/>
        </w:rPr>
        <w:t xml:space="preserve"> teacher preparedness concerns raised by Evans (2021</w:t>
      </w:r>
      <w:proofErr w:type="gramStart"/>
      <w:r w:rsidRPr="00393DE4">
        <w:rPr>
          <w:color w:val="000000" w:themeColor="text1"/>
        </w:rPr>
        <w:t>)</w:t>
      </w:r>
      <w:r w:rsidR="00393DE4" w:rsidRPr="00393DE4">
        <w:rPr>
          <w:color w:val="000000" w:themeColor="text1"/>
        </w:rPr>
        <w:t>, but</w:t>
      </w:r>
      <w:proofErr w:type="gramEnd"/>
      <w:r w:rsidR="00393DE4" w:rsidRPr="00393DE4">
        <w:rPr>
          <w:color w:val="000000" w:themeColor="text1"/>
        </w:rPr>
        <w:t xml:space="preserve"> not aligning with </w:t>
      </w:r>
      <w:proofErr w:type="spellStart"/>
      <w:r w:rsidR="00393DE4" w:rsidRPr="00393DE4">
        <w:rPr>
          <w:color w:val="000000" w:themeColor="text1"/>
        </w:rPr>
        <w:t>CfW</w:t>
      </w:r>
      <w:proofErr w:type="spellEnd"/>
      <w:r w:rsidR="00393DE4" w:rsidRPr="00393DE4">
        <w:rPr>
          <w:color w:val="000000" w:themeColor="text1"/>
        </w:rPr>
        <w:t xml:space="preserve"> principles</w:t>
      </w:r>
      <w:r w:rsidRPr="00393DE4">
        <w:rPr>
          <w:color w:val="000000" w:themeColor="text1"/>
        </w:rPr>
        <w:t xml:space="preserve">. By clarifying policy expectations, strong instructional leadership could align practices across schools and reduce the uncertainty around </w:t>
      </w:r>
      <w:proofErr w:type="spellStart"/>
      <w:r w:rsidRPr="00393DE4">
        <w:rPr>
          <w:color w:val="000000" w:themeColor="text1"/>
        </w:rPr>
        <w:t>CfW</w:t>
      </w:r>
      <w:proofErr w:type="spellEnd"/>
      <w:r w:rsidRPr="00393DE4">
        <w:rPr>
          <w:color w:val="000000" w:themeColor="text1"/>
        </w:rPr>
        <w:t>.</w:t>
      </w:r>
    </w:p>
    <w:p w14:paraId="5F778505" w14:textId="361D36BC" w:rsidR="001C37B0" w:rsidRPr="00393DE4" w:rsidRDefault="001C37B0" w:rsidP="001C37B0">
      <w:pPr>
        <w:rPr>
          <w:color w:val="000000" w:themeColor="text1"/>
        </w:rPr>
      </w:pPr>
      <w:r w:rsidRPr="00393DE4">
        <w:rPr>
          <w:color w:val="000000" w:themeColor="text1"/>
        </w:rPr>
        <w:t xml:space="preserve">Nevertheless, Tyler’s objectives model, </w:t>
      </w:r>
      <w:proofErr w:type="gramStart"/>
      <w:r w:rsidRPr="00393DE4">
        <w:rPr>
          <w:color w:val="000000" w:themeColor="text1"/>
        </w:rPr>
        <w:t>similar to</w:t>
      </w:r>
      <w:proofErr w:type="gramEnd"/>
      <w:r w:rsidRPr="00393DE4">
        <w:rPr>
          <w:color w:val="000000" w:themeColor="text1"/>
        </w:rPr>
        <w:t xml:space="preserve"> certain forms of instructional leadership, has been criticised for assuming knowledge is neutral (Brummelen, 1994) and for narrowing education to measurable outcomes at the expense of broader aims such as critical thinking, creativity, and social engagement (Pinar, 2012). From Bernstein’s perspective, hierarchical structures and top-down power dynamics (Bernstein, 1990) may perpetuate social inequalities, echoing Young’s (1971) critique of knowledge as socially constructed and controlled by privileged groups. Moreover, Bruner (1966) contended that any subject could be taught in intellectually honest forms, yet the objectives model risks prioritising memorisation over deeper understanding (Stenhouse, 1975). Stenhouse argued for a process model led by “principles of procedure” or “pedagogical aims,” rather than fixed objectives (1975:39), emphasising that teaching should remain responsive to emergent learning opportunities (Jackson, 1966, 1968). Critics also label objectives-focused approaches as undemocratic (Stenhouse, 1975), overly test-oriented (Stake, 1971), and inattentive to aims that only appear once learning has begun (</w:t>
      </w:r>
      <w:proofErr w:type="spellStart"/>
      <w:r w:rsidRPr="00393DE4">
        <w:rPr>
          <w:color w:val="000000" w:themeColor="text1"/>
        </w:rPr>
        <w:t>Kliebard</w:t>
      </w:r>
      <w:proofErr w:type="spellEnd"/>
      <w:r w:rsidRPr="00393DE4">
        <w:rPr>
          <w:color w:val="000000" w:themeColor="text1"/>
        </w:rPr>
        <w:t xml:space="preserve">, 1968; Hogben, 1972). </w:t>
      </w:r>
      <w:r w:rsidRPr="00393DE4">
        <w:rPr>
          <w:color w:val="000000" w:themeColor="text1"/>
        </w:rPr>
        <w:lastRenderedPageBreak/>
        <w:t xml:space="preserve">Weaknesses of the objectives model, highlighted by thinkers including Atkin, Jackson, Stake, and Eisner, reinforce the view that instructional leadership alone may constrain the professional autonomy and collaborative innovation promoted by </w:t>
      </w:r>
      <w:proofErr w:type="spellStart"/>
      <w:r w:rsidRPr="00393DE4">
        <w:rPr>
          <w:color w:val="000000" w:themeColor="text1"/>
        </w:rPr>
        <w:t>CfW</w:t>
      </w:r>
      <w:proofErr w:type="spellEnd"/>
      <w:r w:rsidRPr="00393DE4">
        <w:rPr>
          <w:color w:val="000000" w:themeColor="text1"/>
        </w:rPr>
        <w:t xml:space="preserve"> (Goodson, 2003; </w:t>
      </w:r>
      <w:proofErr w:type="spellStart"/>
      <w:r w:rsidRPr="00393DE4">
        <w:rPr>
          <w:color w:val="000000" w:themeColor="text1"/>
        </w:rPr>
        <w:t>Nieveen</w:t>
      </w:r>
      <w:proofErr w:type="spellEnd"/>
      <w:r w:rsidRPr="00393DE4">
        <w:rPr>
          <w:color w:val="000000" w:themeColor="text1"/>
        </w:rPr>
        <w:t>, 2011; Sinnema, 2020).</w:t>
      </w:r>
    </w:p>
    <w:p w14:paraId="16DFCF09" w14:textId="3509B266" w:rsidR="001C37B0" w:rsidRPr="00393DE4" w:rsidRDefault="001C37B0" w:rsidP="001C37B0">
      <w:pPr>
        <w:rPr>
          <w:color w:val="000000" w:themeColor="text1"/>
        </w:rPr>
      </w:pPr>
      <w:r w:rsidRPr="00393DE4">
        <w:rPr>
          <w:color w:val="000000" w:themeColor="text1"/>
        </w:rPr>
        <w:t xml:space="preserve">In </w:t>
      </w:r>
      <w:r w:rsidR="00393DE4" w:rsidRPr="00393DE4">
        <w:rPr>
          <w:color w:val="000000" w:themeColor="text1"/>
        </w:rPr>
        <w:t>summary</w:t>
      </w:r>
      <w:r w:rsidRPr="00393DE4">
        <w:rPr>
          <w:color w:val="000000" w:themeColor="text1"/>
        </w:rPr>
        <w:t>,</w:t>
      </w:r>
      <w:r w:rsidR="00393DE4" w:rsidRPr="00393DE4">
        <w:rPr>
          <w:color w:val="000000" w:themeColor="text1"/>
        </w:rPr>
        <w:t xml:space="preserve"> whilst</w:t>
      </w:r>
      <w:r w:rsidRPr="00393DE4">
        <w:rPr>
          <w:color w:val="000000" w:themeColor="text1"/>
        </w:rPr>
        <w:t xml:space="preserve"> instructional leadership</w:t>
      </w:r>
      <w:r w:rsidR="00393DE4" w:rsidRPr="00393DE4">
        <w:rPr>
          <w:color w:val="000000" w:themeColor="text1"/>
        </w:rPr>
        <w:t xml:space="preserve"> may be able to</w:t>
      </w:r>
      <w:r w:rsidRPr="00393DE4">
        <w:rPr>
          <w:color w:val="000000" w:themeColor="text1"/>
        </w:rPr>
        <w:t xml:space="preserve"> provide stability and coherence by defining clear objectives and ensuring accountability, its </w:t>
      </w:r>
      <w:r w:rsidR="00393DE4" w:rsidRPr="00393DE4">
        <w:rPr>
          <w:color w:val="000000" w:themeColor="text1"/>
        </w:rPr>
        <w:t>‘</w:t>
      </w:r>
      <w:r w:rsidRPr="00393DE4">
        <w:rPr>
          <w:color w:val="000000" w:themeColor="text1"/>
        </w:rPr>
        <w:t>strong framing</w:t>
      </w:r>
      <w:r w:rsidR="00393DE4" w:rsidRPr="00393DE4">
        <w:rPr>
          <w:color w:val="000000" w:themeColor="text1"/>
        </w:rPr>
        <w:t>’</w:t>
      </w:r>
      <w:r w:rsidRPr="00393DE4">
        <w:rPr>
          <w:color w:val="000000" w:themeColor="text1"/>
        </w:rPr>
        <w:t xml:space="preserve"> and hierarchical power structures can clash with the </w:t>
      </w:r>
      <w:proofErr w:type="spellStart"/>
      <w:r w:rsidRPr="00393DE4">
        <w:rPr>
          <w:color w:val="000000" w:themeColor="text1"/>
        </w:rPr>
        <w:t>CfW’s</w:t>
      </w:r>
      <w:proofErr w:type="spellEnd"/>
      <w:r w:rsidRPr="00393DE4">
        <w:rPr>
          <w:color w:val="000000" w:themeColor="text1"/>
        </w:rPr>
        <w:t xml:space="preserve"> aspiration to nurture teacher agency, foster interdisciplinary learning, and encourage reflective practice. While there is value in the direction it offers, particularly during periods of extensive policy change, leaders and policymakers must remain mindful of the limitations of instructional leadership and objectives-based models if they wish to align with the more expansive and transformative vision of education set out by the Curriculum for Wales.</w:t>
      </w:r>
    </w:p>
    <w:p w14:paraId="1C3A5A56" w14:textId="647EB74D" w:rsidR="00100F36" w:rsidRPr="00100F36" w:rsidRDefault="003834C3" w:rsidP="00C83FB2">
      <w:pPr>
        <w:rPr>
          <w:b/>
          <w:bCs/>
          <w:u w:val="single"/>
        </w:rPr>
      </w:pPr>
      <w:r w:rsidRPr="003834C3">
        <w:rPr>
          <w:b/>
          <w:bCs/>
          <w:u w:val="single"/>
        </w:rPr>
        <w:t>Distributed Leadership</w:t>
      </w:r>
    </w:p>
    <w:p w14:paraId="66A71A0F" w14:textId="03A33EA3" w:rsidR="003F3EFD" w:rsidRPr="003F3EFD" w:rsidRDefault="003F3EFD" w:rsidP="003F3EFD">
      <w:pPr>
        <w:rPr>
          <w:color w:val="000000" w:themeColor="text1"/>
        </w:rPr>
      </w:pPr>
      <w:r w:rsidRPr="003F3EFD">
        <w:rPr>
          <w:color w:val="000000" w:themeColor="text1"/>
        </w:rPr>
        <w:t xml:space="preserve">While </w:t>
      </w:r>
      <w:r w:rsidRPr="003F3EFD">
        <w:rPr>
          <w:color w:val="000000" w:themeColor="text1"/>
        </w:rPr>
        <w:t>‘</w:t>
      </w:r>
      <w:r w:rsidRPr="003F3EFD">
        <w:rPr>
          <w:color w:val="000000" w:themeColor="text1"/>
        </w:rPr>
        <w:t>distributed leadership</w:t>
      </w:r>
      <w:r w:rsidRPr="003F3EFD">
        <w:rPr>
          <w:color w:val="000000" w:themeColor="text1"/>
        </w:rPr>
        <w:t>’</w:t>
      </w:r>
      <w:r w:rsidRPr="003F3EFD">
        <w:rPr>
          <w:color w:val="000000" w:themeColor="text1"/>
        </w:rPr>
        <w:t xml:space="preserve"> might initially be </w:t>
      </w:r>
      <w:r w:rsidRPr="003F3EFD">
        <w:rPr>
          <w:color w:val="000000" w:themeColor="text1"/>
        </w:rPr>
        <w:t>perceived</w:t>
      </w:r>
      <w:r w:rsidRPr="003F3EFD">
        <w:rPr>
          <w:color w:val="000000" w:themeColor="text1"/>
        </w:rPr>
        <w:t xml:space="preserve"> as the </w:t>
      </w:r>
      <w:r w:rsidRPr="003F3EFD">
        <w:rPr>
          <w:color w:val="000000" w:themeColor="text1"/>
        </w:rPr>
        <w:t>antithesis</w:t>
      </w:r>
      <w:r w:rsidRPr="003F3EFD">
        <w:rPr>
          <w:color w:val="000000" w:themeColor="text1"/>
        </w:rPr>
        <w:t xml:space="preserve"> of top-down, authoritarian leadership (</w:t>
      </w:r>
      <w:proofErr w:type="spellStart"/>
      <w:r w:rsidRPr="003F3EFD">
        <w:rPr>
          <w:color w:val="000000" w:themeColor="text1"/>
        </w:rPr>
        <w:t>Gronn</w:t>
      </w:r>
      <w:proofErr w:type="spellEnd"/>
      <w:r w:rsidRPr="003F3EFD">
        <w:rPr>
          <w:color w:val="000000" w:themeColor="text1"/>
        </w:rPr>
        <w:t xml:space="preserve">, 2009), </w:t>
      </w:r>
      <w:r w:rsidRPr="003F3EFD">
        <w:rPr>
          <w:color w:val="000000" w:themeColor="text1"/>
        </w:rPr>
        <w:t>it is generally</w:t>
      </w:r>
      <w:r w:rsidRPr="003F3EFD">
        <w:rPr>
          <w:color w:val="000000" w:themeColor="text1"/>
        </w:rPr>
        <w:t xml:space="preserve"> agree</w:t>
      </w:r>
      <w:r w:rsidRPr="003F3EFD">
        <w:rPr>
          <w:color w:val="000000" w:themeColor="text1"/>
        </w:rPr>
        <w:t>d</w:t>
      </w:r>
      <w:r w:rsidRPr="003F3EFD">
        <w:rPr>
          <w:color w:val="000000" w:themeColor="text1"/>
        </w:rPr>
        <w:t xml:space="preserve"> that it still requires formal leaders to cultivate a culture in which leadership can be effectively shared (Harris, 2013). At its core, distributed leadership strives to </w:t>
      </w:r>
      <w:r w:rsidRPr="003F3EFD">
        <w:rPr>
          <w:color w:val="000000" w:themeColor="text1"/>
        </w:rPr>
        <w:t>‘</w:t>
      </w:r>
      <w:r w:rsidRPr="003F3EFD">
        <w:rPr>
          <w:color w:val="000000" w:themeColor="text1"/>
        </w:rPr>
        <w:t>utilise all available talent within the organisation</w:t>
      </w:r>
      <w:r w:rsidRPr="003F3EFD">
        <w:rPr>
          <w:color w:val="000000" w:themeColor="text1"/>
        </w:rPr>
        <w:t>’</w:t>
      </w:r>
      <w:r w:rsidRPr="003F3EFD">
        <w:rPr>
          <w:color w:val="000000" w:themeColor="text1"/>
        </w:rPr>
        <w:t xml:space="preserve"> (Harris </w:t>
      </w:r>
      <w:r w:rsidRPr="003F3EFD">
        <w:rPr>
          <w:color w:val="000000" w:themeColor="text1"/>
        </w:rPr>
        <w:t>and</w:t>
      </w:r>
      <w:r w:rsidRPr="003F3EFD">
        <w:rPr>
          <w:color w:val="000000" w:themeColor="text1"/>
        </w:rPr>
        <w:t xml:space="preserve"> Hargreaves, 2013), </w:t>
      </w:r>
      <w:r w:rsidRPr="003F3EFD">
        <w:rPr>
          <w:color w:val="000000" w:themeColor="text1"/>
        </w:rPr>
        <w:t>eschewing</w:t>
      </w:r>
      <w:r w:rsidRPr="003F3EFD">
        <w:rPr>
          <w:color w:val="000000" w:themeColor="text1"/>
        </w:rPr>
        <w:t xml:space="preserve"> the notion that instructional leaders must maintain strict control over curriculum and instruction (Goddard, 2003; Heck, Larsen, </w:t>
      </w:r>
      <w:r w:rsidRPr="003F3EFD">
        <w:rPr>
          <w:color w:val="000000" w:themeColor="text1"/>
        </w:rPr>
        <w:t>and</w:t>
      </w:r>
      <w:r w:rsidRPr="003F3EFD">
        <w:rPr>
          <w:color w:val="000000" w:themeColor="text1"/>
        </w:rPr>
        <w:t xml:space="preserve"> </w:t>
      </w:r>
      <w:proofErr w:type="spellStart"/>
      <w:r w:rsidRPr="003F3EFD">
        <w:rPr>
          <w:color w:val="000000" w:themeColor="text1"/>
        </w:rPr>
        <w:t>Marcoulides</w:t>
      </w:r>
      <w:proofErr w:type="spellEnd"/>
      <w:r w:rsidRPr="003F3EFD">
        <w:rPr>
          <w:color w:val="000000" w:themeColor="text1"/>
        </w:rPr>
        <w:t>, 1990). Instead, it emphasi</w:t>
      </w:r>
      <w:r w:rsidRPr="003F3EFD">
        <w:rPr>
          <w:color w:val="000000" w:themeColor="text1"/>
        </w:rPr>
        <w:t>s</w:t>
      </w:r>
      <w:r w:rsidRPr="003F3EFD">
        <w:rPr>
          <w:color w:val="000000" w:themeColor="text1"/>
        </w:rPr>
        <w:t xml:space="preserve">es </w:t>
      </w:r>
      <w:r w:rsidRPr="003F3EFD">
        <w:rPr>
          <w:color w:val="000000" w:themeColor="text1"/>
        </w:rPr>
        <w:t>‘</w:t>
      </w:r>
      <w:r w:rsidRPr="003F3EFD">
        <w:rPr>
          <w:color w:val="000000" w:themeColor="text1"/>
        </w:rPr>
        <w:t>brokering, facilitating and supporting the leadership of others</w:t>
      </w:r>
      <w:r w:rsidRPr="003F3EFD">
        <w:rPr>
          <w:color w:val="000000" w:themeColor="text1"/>
        </w:rPr>
        <w:t>’</w:t>
      </w:r>
      <w:r w:rsidRPr="003F3EFD">
        <w:rPr>
          <w:color w:val="000000" w:themeColor="text1"/>
        </w:rPr>
        <w:t xml:space="preserve"> (Harris, 2013). By embracing a distributed leadership model, leadership shifts to focus on the </w:t>
      </w:r>
      <w:r w:rsidRPr="003F3EFD">
        <w:rPr>
          <w:color w:val="000000" w:themeColor="text1"/>
        </w:rPr>
        <w:t>‘</w:t>
      </w:r>
      <w:r w:rsidRPr="003F3EFD">
        <w:rPr>
          <w:color w:val="000000" w:themeColor="text1"/>
        </w:rPr>
        <w:t>reciprocal interdependencies</w:t>
      </w:r>
      <w:r w:rsidRPr="003F3EFD">
        <w:rPr>
          <w:color w:val="000000" w:themeColor="text1"/>
        </w:rPr>
        <w:t>’</w:t>
      </w:r>
      <w:r w:rsidRPr="003F3EFD">
        <w:rPr>
          <w:color w:val="000000" w:themeColor="text1"/>
        </w:rPr>
        <w:t xml:space="preserve"> between those in formal leadership roles and those closest to educational innovation (Spillane, 2006: 58). This collaborative orientation aligns with the </w:t>
      </w:r>
      <w:proofErr w:type="spellStart"/>
      <w:r w:rsidRPr="003F3EFD">
        <w:rPr>
          <w:color w:val="000000" w:themeColor="text1"/>
        </w:rPr>
        <w:t>CfW</w:t>
      </w:r>
      <w:proofErr w:type="spellEnd"/>
      <w:r w:rsidRPr="003F3EFD">
        <w:rPr>
          <w:color w:val="000000" w:themeColor="text1"/>
        </w:rPr>
        <w:t>, which emphasizes empowering teachers to co-construct learning experiences. Donaldson (2015: 10) observes that earlier, top-down curricula eroded schools’ creativity and underdeveloped the professional capacities of staff</w:t>
      </w:r>
      <w:r w:rsidRPr="003F3EFD">
        <w:rPr>
          <w:color w:val="000000" w:themeColor="text1"/>
        </w:rPr>
        <w:t xml:space="preserve"> - </w:t>
      </w:r>
      <w:r w:rsidRPr="003F3EFD">
        <w:rPr>
          <w:color w:val="000000" w:themeColor="text1"/>
        </w:rPr>
        <w:t>an environment that distributed leadership seeks to remedy through trust and professional autonomy.</w:t>
      </w:r>
    </w:p>
    <w:p w14:paraId="0F9D4EC9" w14:textId="237C3457" w:rsidR="003F3EFD" w:rsidRPr="00CD7B28" w:rsidRDefault="003F3EFD" w:rsidP="003F3EFD">
      <w:pPr>
        <w:rPr>
          <w:color w:val="000000" w:themeColor="text1"/>
        </w:rPr>
      </w:pPr>
      <w:r w:rsidRPr="003F3EFD">
        <w:rPr>
          <w:color w:val="000000" w:themeColor="text1"/>
        </w:rPr>
        <w:t>Such trust on the part of formal leaders values the specialist expertise of colleagues (Cuban, 1988) and</w:t>
      </w:r>
      <w:r w:rsidRPr="003F3EFD">
        <w:rPr>
          <w:color w:val="000000" w:themeColor="text1"/>
        </w:rPr>
        <w:t xml:space="preserve"> encourages </w:t>
      </w:r>
      <w:r w:rsidRPr="003F3EFD">
        <w:rPr>
          <w:color w:val="000000" w:themeColor="text1"/>
        </w:rPr>
        <w:t>collaborative construction of meaning rather than mere compliance (Lambert, 1998: 5) Recogni</w:t>
      </w:r>
      <w:r w:rsidRPr="003F3EFD">
        <w:rPr>
          <w:color w:val="000000" w:themeColor="text1"/>
        </w:rPr>
        <w:t>s</w:t>
      </w:r>
      <w:r w:rsidRPr="003F3EFD">
        <w:rPr>
          <w:color w:val="000000" w:themeColor="text1"/>
        </w:rPr>
        <w:t xml:space="preserve">ing the need for all stakeholders to assume leadership responsibilities can foster meaningful </w:t>
      </w:r>
      <w:r w:rsidRPr="003F3EFD">
        <w:rPr>
          <w:color w:val="000000" w:themeColor="text1"/>
        </w:rPr>
        <w:t>‘</w:t>
      </w:r>
      <w:r w:rsidRPr="003F3EFD">
        <w:rPr>
          <w:color w:val="000000" w:themeColor="text1"/>
        </w:rPr>
        <w:t>collective performance</w:t>
      </w:r>
      <w:r w:rsidRPr="003F3EFD">
        <w:rPr>
          <w:color w:val="000000" w:themeColor="text1"/>
        </w:rPr>
        <w:t>’</w:t>
      </w:r>
      <w:r w:rsidRPr="003F3EFD">
        <w:rPr>
          <w:color w:val="000000" w:themeColor="text1"/>
        </w:rPr>
        <w:t xml:space="preserve"> (</w:t>
      </w:r>
      <w:proofErr w:type="spellStart"/>
      <w:r w:rsidRPr="003F3EFD">
        <w:rPr>
          <w:color w:val="000000" w:themeColor="text1"/>
        </w:rPr>
        <w:t>Gronn</w:t>
      </w:r>
      <w:proofErr w:type="spellEnd"/>
      <w:r w:rsidRPr="003F3EFD">
        <w:rPr>
          <w:color w:val="000000" w:themeColor="text1"/>
        </w:rPr>
        <w:t xml:space="preserve">, 2002). Consequently, Harris et al. (2007) and Lashway (2006) argue that this form of leadership inspires greater teacher empowerment, which can, in turn, spark heightened responsibility for educational innovation—an ambition central to Donaldson’s (2015) </w:t>
      </w:r>
      <w:r w:rsidRPr="00CD7B28">
        <w:rPr>
          <w:color w:val="000000" w:themeColor="text1"/>
        </w:rPr>
        <w:t>transformative vision for curriculum reform.</w:t>
      </w:r>
    </w:p>
    <w:p w14:paraId="20E421FB" w14:textId="77777777" w:rsidR="003F3EFD" w:rsidRPr="00CD7B28" w:rsidRDefault="003F3EFD" w:rsidP="003F3EFD">
      <w:pPr>
        <w:rPr>
          <w:color w:val="000000" w:themeColor="text1"/>
        </w:rPr>
      </w:pPr>
    </w:p>
    <w:p w14:paraId="6AF84D0F" w14:textId="45CDC969" w:rsidR="003F3EFD" w:rsidRPr="00CD7B28" w:rsidRDefault="003F3EFD" w:rsidP="003F3EFD">
      <w:pPr>
        <w:rPr>
          <w:color w:val="000000" w:themeColor="text1"/>
        </w:rPr>
      </w:pPr>
      <w:r w:rsidRPr="00CD7B28">
        <w:rPr>
          <w:color w:val="000000" w:themeColor="text1"/>
        </w:rPr>
        <w:lastRenderedPageBreak/>
        <w:t xml:space="preserve">Despite these strengths, distributed leadership faces considerable critique (Fitzgerald &amp; Gunter, 2008). One common concern is that dispersing leadership can </w:t>
      </w:r>
      <w:r w:rsidRPr="00CD7B28">
        <w:rPr>
          <w:color w:val="000000" w:themeColor="text1"/>
        </w:rPr>
        <w:t xml:space="preserve">lead to role ambiguity, </w:t>
      </w:r>
      <w:proofErr w:type="gramStart"/>
      <w:r w:rsidRPr="00CD7B28">
        <w:rPr>
          <w:color w:val="000000" w:themeColor="text1"/>
        </w:rPr>
        <w:t>blur</w:t>
      </w:r>
      <w:r w:rsidRPr="00CD7B28">
        <w:rPr>
          <w:color w:val="000000" w:themeColor="text1"/>
        </w:rPr>
        <w:t>ring</w:t>
      </w:r>
      <w:r w:rsidRPr="00CD7B28">
        <w:rPr>
          <w:color w:val="000000" w:themeColor="text1"/>
        </w:rPr>
        <w:t xml:space="preserve">  decision</w:t>
      </w:r>
      <w:proofErr w:type="gramEnd"/>
      <w:r w:rsidRPr="00CD7B28">
        <w:rPr>
          <w:color w:val="000000" w:themeColor="text1"/>
        </w:rPr>
        <w:t xml:space="preserve">-making authority (Bennett et al., 2003: 9). Woods and </w:t>
      </w:r>
      <w:proofErr w:type="spellStart"/>
      <w:r w:rsidRPr="00CD7B28">
        <w:rPr>
          <w:color w:val="000000" w:themeColor="text1"/>
        </w:rPr>
        <w:t>Gronn</w:t>
      </w:r>
      <w:proofErr w:type="spellEnd"/>
      <w:r w:rsidRPr="00CD7B28">
        <w:rPr>
          <w:color w:val="000000" w:themeColor="text1"/>
        </w:rPr>
        <w:t xml:space="preserve"> (2009) caution</w:t>
      </w:r>
      <w:r w:rsidRPr="00CD7B28">
        <w:rPr>
          <w:color w:val="000000" w:themeColor="text1"/>
        </w:rPr>
        <w:t>s</w:t>
      </w:r>
      <w:r w:rsidRPr="00CD7B28">
        <w:rPr>
          <w:color w:val="000000" w:themeColor="text1"/>
        </w:rPr>
        <w:t xml:space="preserve"> that while shared leadership appears democratic, it can obscure accountability, complicating </w:t>
      </w:r>
      <w:r w:rsidR="007809AE" w:rsidRPr="00CD7B28">
        <w:rPr>
          <w:color w:val="000000" w:themeColor="text1"/>
        </w:rPr>
        <w:t xml:space="preserve">assessing </w:t>
      </w:r>
      <w:r w:rsidRPr="00CD7B28">
        <w:rPr>
          <w:color w:val="000000" w:themeColor="text1"/>
        </w:rPr>
        <w:t>performance</w:t>
      </w:r>
      <w:r w:rsidR="007809AE" w:rsidRPr="00CD7B28">
        <w:rPr>
          <w:color w:val="000000" w:themeColor="text1"/>
        </w:rPr>
        <w:t xml:space="preserve"> and outcomes</w:t>
      </w:r>
      <w:r w:rsidRPr="00CD7B28">
        <w:rPr>
          <w:color w:val="000000" w:themeColor="text1"/>
        </w:rPr>
        <w:t>. Moreover, Harris (2013) notes that high levels of trust, though integral to distributed leadership, are not easily cultivated in hierarchical systems. Timperley (2008) warns that distributed leadership may devolve into mere task delegation</w:t>
      </w:r>
      <w:r w:rsidR="007809AE" w:rsidRPr="00CD7B28">
        <w:rPr>
          <w:color w:val="000000" w:themeColor="text1"/>
        </w:rPr>
        <w:t xml:space="preserve"> rather than genuine empowerment</w:t>
      </w:r>
      <w:r w:rsidRPr="00CD7B28">
        <w:rPr>
          <w:color w:val="000000" w:themeColor="text1"/>
        </w:rPr>
        <w:t xml:space="preserve">, whereby responsibilities are offloaded without </w:t>
      </w:r>
      <w:r w:rsidR="007809AE" w:rsidRPr="00CD7B28">
        <w:rPr>
          <w:color w:val="000000" w:themeColor="text1"/>
        </w:rPr>
        <w:t>the corresponding</w:t>
      </w:r>
      <w:r w:rsidRPr="00CD7B28">
        <w:rPr>
          <w:color w:val="000000" w:themeColor="text1"/>
        </w:rPr>
        <w:t xml:space="preserve"> authority or support. Lumby (2013) similarly contends that existing power imbalances may remain intact, presenting </w:t>
      </w:r>
      <w:r w:rsidR="007809AE" w:rsidRPr="00CD7B28">
        <w:rPr>
          <w:color w:val="000000" w:themeColor="text1"/>
        </w:rPr>
        <w:t>only an illusion of shared power rather than a substantive redistribution</w:t>
      </w:r>
      <w:r w:rsidRPr="00CD7B28">
        <w:rPr>
          <w:color w:val="000000" w:themeColor="text1"/>
        </w:rPr>
        <w:t xml:space="preserve">. </w:t>
      </w:r>
      <w:r w:rsidR="007809AE" w:rsidRPr="00CD7B28">
        <w:rPr>
          <w:color w:val="000000" w:themeColor="text1"/>
        </w:rPr>
        <w:t>These critiques suggest that</w:t>
      </w:r>
      <w:r w:rsidRPr="00CD7B28">
        <w:rPr>
          <w:color w:val="000000" w:themeColor="text1"/>
        </w:rPr>
        <w:t xml:space="preserve"> while distributed leadership’s principles resonate with</w:t>
      </w:r>
      <w:r w:rsidR="007809AE" w:rsidRPr="00CD7B28">
        <w:rPr>
          <w:color w:val="000000" w:themeColor="text1"/>
        </w:rPr>
        <w:t xml:space="preserve"> aspirational goals of</w:t>
      </w:r>
      <w:r w:rsidRPr="00CD7B28">
        <w:rPr>
          <w:color w:val="000000" w:themeColor="text1"/>
        </w:rPr>
        <w:t xml:space="preserve"> </w:t>
      </w:r>
      <w:proofErr w:type="spellStart"/>
      <w:r w:rsidRPr="00CD7B28">
        <w:rPr>
          <w:color w:val="000000" w:themeColor="text1"/>
        </w:rPr>
        <w:t>CfW</w:t>
      </w:r>
      <w:proofErr w:type="spellEnd"/>
      <w:r w:rsidRPr="00CD7B28">
        <w:rPr>
          <w:color w:val="000000" w:themeColor="text1"/>
        </w:rPr>
        <w:t>, its</w:t>
      </w:r>
      <w:r w:rsidR="007809AE" w:rsidRPr="00CD7B28">
        <w:rPr>
          <w:color w:val="000000" w:themeColor="text1"/>
        </w:rPr>
        <w:t xml:space="preserve"> practical</w:t>
      </w:r>
      <w:r w:rsidRPr="00CD7B28">
        <w:rPr>
          <w:color w:val="000000" w:themeColor="text1"/>
        </w:rPr>
        <w:t xml:space="preserve"> implementation </w:t>
      </w:r>
      <w:r w:rsidR="007809AE" w:rsidRPr="00CD7B28">
        <w:rPr>
          <w:color w:val="000000" w:themeColor="text1"/>
        </w:rPr>
        <w:t>requires careful attention to role c</w:t>
      </w:r>
      <w:r w:rsidRPr="00CD7B28">
        <w:rPr>
          <w:color w:val="000000" w:themeColor="text1"/>
        </w:rPr>
        <w:t>larity, equitable power relationships, and robust accountability structures.</w:t>
      </w:r>
    </w:p>
    <w:p w14:paraId="443F5E07" w14:textId="0A8D51B1" w:rsidR="007F1C34" w:rsidRPr="00373404" w:rsidRDefault="003F3EFD" w:rsidP="00CD7B28">
      <w:pPr>
        <w:rPr>
          <w:color w:val="000000" w:themeColor="text1"/>
        </w:rPr>
      </w:pPr>
      <w:r w:rsidRPr="00373404">
        <w:rPr>
          <w:color w:val="000000" w:themeColor="text1"/>
        </w:rPr>
        <w:t>When examined through</w:t>
      </w:r>
      <w:r w:rsidR="00CD7B28" w:rsidRPr="00373404">
        <w:rPr>
          <w:color w:val="000000" w:themeColor="text1"/>
        </w:rPr>
        <w:t xml:space="preserve"> the lens of</w:t>
      </w:r>
      <w:r w:rsidRPr="00373404">
        <w:rPr>
          <w:color w:val="000000" w:themeColor="text1"/>
        </w:rPr>
        <w:t xml:space="preserve"> Stenhouse’s (1975) process model, distributed leadership aligns more closely with </w:t>
      </w:r>
      <w:proofErr w:type="spellStart"/>
      <w:r w:rsidRPr="00373404">
        <w:rPr>
          <w:color w:val="000000" w:themeColor="text1"/>
        </w:rPr>
        <w:t>CfW</w:t>
      </w:r>
      <w:proofErr w:type="spellEnd"/>
      <w:r w:rsidRPr="00373404">
        <w:rPr>
          <w:color w:val="000000" w:themeColor="text1"/>
        </w:rPr>
        <w:t xml:space="preserve"> than instructional leadership or objectives-based models like Tyler’s. Stenhouse (1975) and McKernan (2008) argue that objectives-driven approaches are better suited to </w:t>
      </w:r>
      <w:r w:rsidR="00CD7B28" w:rsidRPr="00373404">
        <w:rPr>
          <w:color w:val="000000" w:themeColor="text1"/>
        </w:rPr>
        <w:t>‘</w:t>
      </w:r>
      <w:r w:rsidRPr="00373404">
        <w:rPr>
          <w:color w:val="000000" w:themeColor="text1"/>
        </w:rPr>
        <w:t>training</w:t>
      </w:r>
      <w:r w:rsidR="00CD7B28" w:rsidRPr="00373404">
        <w:rPr>
          <w:color w:val="000000" w:themeColor="text1"/>
        </w:rPr>
        <w:t xml:space="preserve"> and instruction’</w:t>
      </w:r>
      <w:r w:rsidRPr="00373404">
        <w:rPr>
          <w:color w:val="000000" w:themeColor="text1"/>
        </w:rPr>
        <w:t xml:space="preserve"> than true </w:t>
      </w:r>
      <w:r w:rsidR="00CD7B28" w:rsidRPr="00373404">
        <w:rPr>
          <w:color w:val="000000" w:themeColor="text1"/>
        </w:rPr>
        <w:t>‘</w:t>
      </w:r>
      <w:r w:rsidRPr="00373404">
        <w:rPr>
          <w:color w:val="000000" w:themeColor="text1"/>
        </w:rPr>
        <w:t>education</w:t>
      </w:r>
      <w:r w:rsidR="00CD7B28" w:rsidRPr="00373404">
        <w:rPr>
          <w:color w:val="000000" w:themeColor="text1"/>
        </w:rPr>
        <w:t>’</w:t>
      </w:r>
      <w:r w:rsidRPr="00373404">
        <w:rPr>
          <w:color w:val="000000" w:themeColor="text1"/>
        </w:rPr>
        <w:t xml:space="preserve">. In contrast, the process model stresses adaptability and flexibility over rigid </w:t>
      </w:r>
      <w:r w:rsidR="00CD7B28" w:rsidRPr="00373404">
        <w:rPr>
          <w:color w:val="000000" w:themeColor="text1"/>
        </w:rPr>
        <w:t>compliance</w:t>
      </w:r>
      <w:r w:rsidRPr="00373404">
        <w:rPr>
          <w:color w:val="000000" w:themeColor="text1"/>
        </w:rPr>
        <w:t xml:space="preserve">. Stenhouse (1975) </w:t>
      </w:r>
      <w:r w:rsidR="00CD7B28" w:rsidRPr="00373404">
        <w:rPr>
          <w:color w:val="000000" w:themeColor="text1"/>
        </w:rPr>
        <w:t>contends</w:t>
      </w:r>
      <w:r w:rsidRPr="00373404">
        <w:rPr>
          <w:color w:val="000000" w:themeColor="text1"/>
        </w:rPr>
        <w:t xml:space="preserve"> that teachers and students should not be confined to mechanistic roles</w:t>
      </w:r>
      <w:r w:rsidR="00CD7B28" w:rsidRPr="00373404">
        <w:rPr>
          <w:color w:val="000000" w:themeColor="text1"/>
        </w:rPr>
        <w:t xml:space="preserve"> - </w:t>
      </w:r>
      <w:r w:rsidRPr="00373404">
        <w:rPr>
          <w:color w:val="000000" w:themeColor="text1"/>
        </w:rPr>
        <w:t xml:space="preserve">teachers as </w:t>
      </w:r>
      <w:r w:rsidR="00CD7B28" w:rsidRPr="00373404">
        <w:rPr>
          <w:color w:val="000000" w:themeColor="text1"/>
        </w:rPr>
        <w:t>‘</w:t>
      </w:r>
      <w:r w:rsidRPr="00373404">
        <w:rPr>
          <w:color w:val="000000" w:themeColor="text1"/>
        </w:rPr>
        <w:t>technicians</w:t>
      </w:r>
      <w:r w:rsidR="00CD7B28" w:rsidRPr="00373404">
        <w:rPr>
          <w:color w:val="000000" w:themeColor="text1"/>
        </w:rPr>
        <w:t>’</w:t>
      </w:r>
      <w:r w:rsidRPr="00373404">
        <w:rPr>
          <w:color w:val="000000" w:themeColor="text1"/>
        </w:rPr>
        <w:t xml:space="preserve"> delivering fixed objectives, and students as passive recipients of content. Instead,</w:t>
      </w:r>
      <w:r w:rsidR="00CD7B28" w:rsidRPr="00373404">
        <w:rPr>
          <w:color w:val="000000" w:themeColor="text1"/>
        </w:rPr>
        <w:t xml:space="preserve"> a process-model values</w:t>
      </w:r>
      <w:r w:rsidRPr="00373404">
        <w:rPr>
          <w:color w:val="000000" w:themeColor="text1"/>
        </w:rPr>
        <w:t xml:space="preserve"> teachers a</w:t>
      </w:r>
      <w:r w:rsidR="00CD7B28" w:rsidRPr="00373404">
        <w:rPr>
          <w:color w:val="000000" w:themeColor="text1"/>
        </w:rPr>
        <w:t>s</w:t>
      </w:r>
      <w:r w:rsidRPr="00373404">
        <w:rPr>
          <w:color w:val="000000" w:themeColor="text1"/>
        </w:rPr>
        <w:t xml:space="preserve"> central to shaping experiences that are “broadened, deepened, enhanced, [and] enriched” </w:t>
      </w:r>
      <w:r w:rsidR="00CD7B28" w:rsidRPr="00373404">
        <w:rPr>
          <w:color w:val="000000" w:themeColor="text1"/>
        </w:rPr>
        <w:t xml:space="preserve">rather than </w:t>
      </w:r>
      <w:r w:rsidR="00CD7B28" w:rsidRPr="00373404">
        <w:rPr>
          <w:color w:val="000000" w:themeColor="text1"/>
        </w:rPr>
        <w:t>being reduced to rigid ‘target</w:t>
      </w:r>
      <w:r w:rsidR="00CD7B28" w:rsidRPr="00373404">
        <w:rPr>
          <w:color w:val="000000" w:themeColor="text1"/>
        </w:rPr>
        <w:t>[s]</w:t>
      </w:r>
      <w:r w:rsidR="00CD7B28" w:rsidRPr="00373404">
        <w:rPr>
          <w:color w:val="000000" w:themeColor="text1"/>
        </w:rPr>
        <w:t xml:space="preserve"> to be hit’ </w:t>
      </w:r>
      <w:r w:rsidRPr="00373404">
        <w:rPr>
          <w:color w:val="000000" w:themeColor="text1"/>
        </w:rPr>
        <w:t xml:space="preserve">(Stenhouse, 1975: 6). Schwab’s (1973) </w:t>
      </w:r>
      <w:r w:rsidR="00CD7B28" w:rsidRPr="00373404">
        <w:rPr>
          <w:color w:val="000000" w:themeColor="text1"/>
        </w:rPr>
        <w:t>‘</w:t>
      </w:r>
      <w:r w:rsidRPr="00373404">
        <w:rPr>
          <w:color w:val="000000" w:themeColor="text1"/>
        </w:rPr>
        <w:t>Practical Curriculum Theory</w:t>
      </w:r>
      <w:r w:rsidR="00CD7B28" w:rsidRPr="00373404">
        <w:rPr>
          <w:color w:val="000000" w:themeColor="text1"/>
        </w:rPr>
        <w:t>’</w:t>
      </w:r>
      <w:r w:rsidRPr="00373404">
        <w:rPr>
          <w:color w:val="000000" w:themeColor="text1"/>
        </w:rPr>
        <w:t xml:space="preserve"> similarly advocates broad collaboration and sees curriculum as an adaptable framework informed by dialogue and shared decision-making</w:t>
      </w:r>
      <w:r w:rsidR="007F1C34" w:rsidRPr="00373404">
        <w:rPr>
          <w:color w:val="000000" w:themeColor="text1"/>
        </w:rPr>
        <w:t xml:space="preserve"> rather than meeting prescribed objectives</w:t>
      </w:r>
      <w:r w:rsidRPr="00373404">
        <w:rPr>
          <w:color w:val="000000" w:themeColor="text1"/>
        </w:rPr>
        <w:t xml:space="preserve">. </w:t>
      </w:r>
      <w:r w:rsidR="007F1C34" w:rsidRPr="00373404">
        <w:rPr>
          <w:color w:val="000000" w:themeColor="text1"/>
        </w:rPr>
        <w:t>McKernan (2010) adopts a similar argument that ‘unpredictable outcomes and novel and unique experiences’ cannot be capitalised on through ‘teachable moments’ that arise from learner curiosity or inquiry when teachers are restricted to the role of curriculum implementer</w:t>
      </w:r>
      <w:r w:rsidR="007F1C34" w:rsidRPr="00373404">
        <w:rPr>
          <w:color w:val="000000" w:themeColor="text1"/>
        </w:rPr>
        <w:t xml:space="preserve">. </w:t>
      </w:r>
      <w:r w:rsidR="00CD7B28" w:rsidRPr="00373404">
        <w:rPr>
          <w:color w:val="000000" w:themeColor="text1"/>
        </w:rPr>
        <w:t>Kelly (2009) ‘Democratic Curriculum Model’ also condemns the pre-specified objectives central to objectives models, instead calling for curriculum to offer meaningful and transformative experiences rather than content to be consumed.</w:t>
      </w:r>
    </w:p>
    <w:p w14:paraId="338E3F5C" w14:textId="5A8FC0D1" w:rsidR="003F3EFD" w:rsidRPr="00373404" w:rsidRDefault="00CD7B28" w:rsidP="003F3EFD">
      <w:pPr>
        <w:rPr>
          <w:color w:val="000000" w:themeColor="text1"/>
        </w:rPr>
      </w:pPr>
      <w:r w:rsidRPr="00373404">
        <w:rPr>
          <w:color w:val="000000" w:themeColor="text1"/>
        </w:rPr>
        <w:t xml:space="preserve"> By decentralising authority and encouraging teachers to innovate, distributed leadership </w:t>
      </w:r>
      <w:r w:rsidR="007F1C34" w:rsidRPr="00373404">
        <w:rPr>
          <w:color w:val="000000" w:themeColor="text1"/>
        </w:rPr>
        <w:t xml:space="preserve">can </w:t>
      </w:r>
      <w:r w:rsidRPr="00373404">
        <w:rPr>
          <w:color w:val="000000" w:themeColor="text1"/>
        </w:rPr>
        <w:t>facilitate teachers to ‘design curricula relevant to the context and specific needs of learners’ (Welsh Government, 2019).</w:t>
      </w:r>
      <w:r w:rsidR="007F1C34" w:rsidRPr="00373404">
        <w:rPr>
          <w:color w:val="000000" w:themeColor="text1"/>
        </w:rPr>
        <w:t xml:space="preserve"> </w:t>
      </w:r>
      <w:r w:rsidR="003F3EFD" w:rsidRPr="00373404">
        <w:rPr>
          <w:color w:val="000000" w:themeColor="text1"/>
        </w:rPr>
        <w:t xml:space="preserve">This approach resonates with Kotter’s (1996) concept of a </w:t>
      </w:r>
      <w:r w:rsidR="007F1C34" w:rsidRPr="00373404">
        <w:rPr>
          <w:color w:val="000000" w:themeColor="text1"/>
        </w:rPr>
        <w:t>‘</w:t>
      </w:r>
      <w:r w:rsidR="003F3EFD" w:rsidRPr="00373404">
        <w:rPr>
          <w:color w:val="000000" w:themeColor="text1"/>
        </w:rPr>
        <w:t>guiding coalition</w:t>
      </w:r>
      <w:r w:rsidR="007F1C34" w:rsidRPr="00373404">
        <w:rPr>
          <w:color w:val="000000" w:themeColor="text1"/>
        </w:rPr>
        <w:t>’</w:t>
      </w:r>
      <w:r w:rsidR="003F3EFD" w:rsidRPr="00373404">
        <w:rPr>
          <w:color w:val="000000" w:themeColor="text1"/>
        </w:rPr>
        <w:t>, whereby a collective group drives and refines the vision for improvement</w:t>
      </w:r>
      <w:r w:rsidR="007F1C34" w:rsidRPr="00373404">
        <w:rPr>
          <w:color w:val="000000" w:themeColor="text1"/>
        </w:rPr>
        <w:t xml:space="preserve"> </w:t>
      </w:r>
      <w:r w:rsidR="00373404" w:rsidRPr="00373404">
        <w:rPr>
          <w:color w:val="000000" w:themeColor="text1"/>
        </w:rPr>
        <w:t>–</w:t>
      </w:r>
      <w:r w:rsidR="007F1C34" w:rsidRPr="00373404">
        <w:rPr>
          <w:color w:val="000000" w:themeColor="text1"/>
        </w:rPr>
        <w:t xml:space="preserve"> </w:t>
      </w:r>
      <w:r w:rsidR="003F3EFD" w:rsidRPr="00373404">
        <w:rPr>
          <w:color w:val="000000" w:themeColor="text1"/>
        </w:rPr>
        <w:t>mirroring</w:t>
      </w:r>
      <w:r w:rsidR="00373404" w:rsidRPr="00373404">
        <w:rPr>
          <w:color w:val="000000" w:themeColor="text1"/>
        </w:rPr>
        <w:t xml:space="preserve"> the collaborative and reflective practices championed by</w:t>
      </w:r>
      <w:r w:rsidR="003F3EFD" w:rsidRPr="00373404">
        <w:rPr>
          <w:color w:val="000000" w:themeColor="text1"/>
        </w:rPr>
        <w:t xml:space="preserve"> Harris and Hargreaves’ (2013</w:t>
      </w:r>
      <w:r w:rsidR="00373404" w:rsidRPr="00373404">
        <w:rPr>
          <w:color w:val="000000" w:themeColor="text1"/>
        </w:rPr>
        <w:t>)</w:t>
      </w:r>
      <w:r w:rsidR="003F3EFD" w:rsidRPr="00373404">
        <w:rPr>
          <w:color w:val="000000" w:themeColor="text1"/>
        </w:rPr>
        <w:t xml:space="preserve">. Positioning teachers as co-constructors </w:t>
      </w:r>
      <w:r w:rsidR="003F3EFD" w:rsidRPr="00373404">
        <w:rPr>
          <w:color w:val="000000" w:themeColor="text1"/>
        </w:rPr>
        <w:lastRenderedPageBreak/>
        <w:t xml:space="preserve">of the curriculum thus naturally </w:t>
      </w:r>
      <w:r w:rsidR="007F1C34" w:rsidRPr="00373404">
        <w:rPr>
          <w:color w:val="000000" w:themeColor="text1"/>
        </w:rPr>
        <w:t>complements</w:t>
      </w:r>
      <w:r w:rsidR="003F3EFD" w:rsidRPr="00373404">
        <w:rPr>
          <w:color w:val="000000" w:themeColor="text1"/>
        </w:rPr>
        <w:t xml:space="preserve"> the principles of distributed leadership, which invite a wider range of voices to shape educational practice.</w:t>
      </w:r>
    </w:p>
    <w:p w14:paraId="44A515FC" w14:textId="4CA570B3" w:rsidR="003F3EFD" w:rsidRPr="00373404" w:rsidRDefault="003F3EFD" w:rsidP="003F3EFD">
      <w:pPr>
        <w:rPr>
          <w:color w:val="000000" w:themeColor="text1"/>
        </w:rPr>
      </w:pPr>
      <w:r w:rsidRPr="00373404">
        <w:rPr>
          <w:color w:val="000000" w:themeColor="text1"/>
        </w:rPr>
        <w:t>Hilda Taba’s (1962) “Grassroots” model further illustrates how teachers, being closest to learners, can guide curriculum development. While Taba maintained the usefulness of objectives</w:t>
      </w:r>
      <w:r w:rsidR="007F1C34" w:rsidRPr="00373404">
        <w:rPr>
          <w:color w:val="000000" w:themeColor="text1"/>
        </w:rPr>
        <w:t xml:space="preserve"> - </w:t>
      </w:r>
      <w:r w:rsidRPr="00373404">
        <w:rPr>
          <w:color w:val="000000" w:themeColor="text1"/>
        </w:rPr>
        <w:t>unlike Stenhouse</w:t>
      </w:r>
      <w:r w:rsidR="007F1C34" w:rsidRPr="00373404">
        <w:rPr>
          <w:color w:val="000000" w:themeColor="text1"/>
        </w:rPr>
        <w:t xml:space="preserve"> (1975)</w:t>
      </w:r>
      <w:r w:rsidRPr="00373404">
        <w:rPr>
          <w:color w:val="000000" w:themeColor="text1"/>
        </w:rPr>
        <w:t>, who rejected them</w:t>
      </w:r>
      <w:r w:rsidR="007F1C34" w:rsidRPr="00373404">
        <w:rPr>
          <w:color w:val="000000" w:themeColor="text1"/>
        </w:rPr>
        <w:t xml:space="preserve"> - </w:t>
      </w:r>
      <w:r w:rsidRPr="00373404">
        <w:rPr>
          <w:color w:val="000000" w:themeColor="text1"/>
        </w:rPr>
        <w:t>she advocated a bottom-up approach in which teachers diagnose student needs and then progress toward broader educational aims (</w:t>
      </w:r>
      <w:proofErr w:type="spellStart"/>
      <w:r w:rsidRPr="00373404">
        <w:rPr>
          <w:color w:val="000000" w:themeColor="text1"/>
        </w:rPr>
        <w:t>Bhuttah</w:t>
      </w:r>
      <w:proofErr w:type="spellEnd"/>
      <w:r w:rsidRPr="00373404">
        <w:rPr>
          <w:color w:val="000000" w:themeColor="text1"/>
        </w:rPr>
        <w:t xml:space="preserve"> et al., 2019). This democratic, participatory perspective echoes </w:t>
      </w:r>
      <w:proofErr w:type="spellStart"/>
      <w:r w:rsidRPr="00373404">
        <w:rPr>
          <w:color w:val="000000" w:themeColor="text1"/>
        </w:rPr>
        <w:t>CfW’s</w:t>
      </w:r>
      <w:proofErr w:type="spellEnd"/>
      <w:r w:rsidRPr="00373404">
        <w:rPr>
          <w:color w:val="000000" w:themeColor="text1"/>
        </w:rPr>
        <w:t xml:space="preserve"> vision of teachers as </w:t>
      </w:r>
      <w:r w:rsidR="007F1C34" w:rsidRPr="00373404">
        <w:rPr>
          <w:color w:val="000000" w:themeColor="text1"/>
        </w:rPr>
        <w:t>‘</w:t>
      </w:r>
      <w:r w:rsidRPr="00373404">
        <w:rPr>
          <w:color w:val="000000" w:themeColor="text1"/>
        </w:rPr>
        <w:t>agents of change</w:t>
      </w:r>
      <w:r w:rsidR="007F1C34" w:rsidRPr="00373404">
        <w:rPr>
          <w:color w:val="000000" w:themeColor="text1"/>
        </w:rPr>
        <w:t>’</w:t>
      </w:r>
      <w:r w:rsidRPr="00373404">
        <w:rPr>
          <w:color w:val="000000" w:themeColor="text1"/>
        </w:rPr>
        <w:t xml:space="preserve"> (Priestley, Biesta, &amp; Robinson, 2013). By championing distributed leadership, </w:t>
      </w:r>
      <w:proofErr w:type="spellStart"/>
      <w:r w:rsidRPr="00373404">
        <w:rPr>
          <w:color w:val="000000" w:themeColor="text1"/>
        </w:rPr>
        <w:t>CfW</w:t>
      </w:r>
      <w:proofErr w:type="spellEnd"/>
      <w:r w:rsidRPr="00373404">
        <w:rPr>
          <w:color w:val="000000" w:themeColor="text1"/>
        </w:rPr>
        <w:t xml:space="preserve"> builds on Taba’s premise, enabling schools to adapt overarching goals to their own contexts while keeping teachers at the heart of curriculum design.</w:t>
      </w:r>
    </w:p>
    <w:p w14:paraId="555C07BA" w14:textId="77777777" w:rsidR="00D50DAC" w:rsidRDefault="00D50DAC" w:rsidP="00D50DAC"/>
    <w:p w14:paraId="7DD5EA47" w14:textId="0975567C" w:rsidR="00C378DF" w:rsidRPr="000D3F6F" w:rsidRDefault="00C378DF" w:rsidP="00C378DF">
      <w:pPr>
        <w:jc w:val="center"/>
        <w:rPr>
          <w:b/>
          <w:bCs/>
          <w:color w:val="000000" w:themeColor="text1"/>
          <w:u w:val="single"/>
        </w:rPr>
      </w:pPr>
      <w:r w:rsidRPr="000D3F6F">
        <w:rPr>
          <w:b/>
          <w:bCs/>
          <w:color w:val="000000" w:themeColor="text1"/>
          <w:u w:val="single"/>
        </w:rPr>
        <w:t>Curriculum Innovation</w:t>
      </w:r>
    </w:p>
    <w:p w14:paraId="679CA99E" w14:textId="18309E1B" w:rsidR="00100F36" w:rsidRPr="000D3F6F" w:rsidRDefault="000002A8" w:rsidP="00C378DF">
      <w:pPr>
        <w:jc w:val="center"/>
        <w:rPr>
          <w:b/>
          <w:bCs/>
          <w:color w:val="000000" w:themeColor="text1"/>
          <w:u w:val="single"/>
        </w:rPr>
      </w:pPr>
      <w:r w:rsidRPr="000D3F6F">
        <w:rPr>
          <w:b/>
          <w:bCs/>
          <w:color w:val="000000" w:themeColor="text1"/>
          <w:u w:val="single"/>
        </w:rPr>
        <w:t>Democratising Curriculum Planning</w:t>
      </w:r>
    </w:p>
    <w:p w14:paraId="35B532BD" w14:textId="1AAEF1D4" w:rsidR="00F629F5" w:rsidRPr="000D3F6F" w:rsidRDefault="00F629F5" w:rsidP="00F629F5">
      <w:pPr>
        <w:rPr>
          <w:color w:val="000000" w:themeColor="text1"/>
        </w:rPr>
      </w:pPr>
      <w:r w:rsidRPr="000D3F6F">
        <w:rPr>
          <w:color w:val="000000" w:themeColor="text1"/>
        </w:rPr>
        <w:t>The current approach to curriculum leadership and planning within the English Department has prioritised standardization and workload reduction, ensuring consistency but at the cost of teacher autonomy, creativity, and learner-centric practices central to the Curriculum for Wales (</w:t>
      </w:r>
      <w:proofErr w:type="spellStart"/>
      <w:r w:rsidRPr="000D3F6F">
        <w:rPr>
          <w:color w:val="000000" w:themeColor="text1"/>
        </w:rPr>
        <w:t>CfW</w:t>
      </w:r>
      <w:proofErr w:type="spellEnd"/>
      <w:r w:rsidRPr="000D3F6F">
        <w:rPr>
          <w:color w:val="000000" w:themeColor="text1"/>
        </w:rPr>
        <w:t xml:space="preserve">). This report </w:t>
      </w:r>
      <w:r w:rsidR="00BA257C" w:rsidRPr="000D3F6F">
        <w:rPr>
          <w:color w:val="000000" w:themeColor="text1"/>
        </w:rPr>
        <w:t>examines</w:t>
      </w:r>
      <w:r w:rsidRPr="000D3F6F">
        <w:rPr>
          <w:color w:val="000000" w:themeColor="text1"/>
        </w:rPr>
        <w:t xml:space="preserve"> how effective collaborative practice, rooted in shared leadership and reflective inquiry, can </w:t>
      </w:r>
      <w:r w:rsidR="00BA257C" w:rsidRPr="000D3F6F">
        <w:rPr>
          <w:color w:val="000000" w:themeColor="text1"/>
        </w:rPr>
        <w:t xml:space="preserve">nurture a more flexible and inclusive curriculum </w:t>
      </w:r>
      <w:r w:rsidRPr="000D3F6F">
        <w:rPr>
          <w:color w:val="000000" w:themeColor="text1"/>
        </w:rPr>
        <w:t>align</w:t>
      </w:r>
      <w:r w:rsidR="00BA257C" w:rsidRPr="000D3F6F">
        <w:rPr>
          <w:color w:val="000000" w:themeColor="text1"/>
        </w:rPr>
        <w:t>ed</w:t>
      </w:r>
      <w:r w:rsidRPr="000D3F6F">
        <w:rPr>
          <w:color w:val="000000" w:themeColor="text1"/>
        </w:rPr>
        <w:t xml:space="preserve"> with </w:t>
      </w:r>
      <w:proofErr w:type="spellStart"/>
      <w:r w:rsidRPr="000D3F6F">
        <w:rPr>
          <w:color w:val="000000" w:themeColor="text1"/>
        </w:rPr>
        <w:t>CfW’s</w:t>
      </w:r>
      <w:proofErr w:type="spellEnd"/>
      <w:r w:rsidRPr="000D3F6F">
        <w:rPr>
          <w:color w:val="000000" w:themeColor="text1"/>
        </w:rPr>
        <w:t xml:space="preserve"> vision while supporting teacher professionalism and innovation.</w:t>
      </w:r>
    </w:p>
    <w:p w14:paraId="56D49158" w14:textId="77777777" w:rsidR="00AB5F7A" w:rsidRPr="000D3F6F" w:rsidRDefault="00AB5F7A" w:rsidP="00F629F5">
      <w:pPr>
        <w:rPr>
          <w:color w:val="000000" w:themeColor="text1"/>
        </w:rPr>
      </w:pPr>
    </w:p>
    <w:p w14:paraId="78447E42" w14:textId="2CA091F2" w:rsidR="00C378DF" w:rsidRPr="000D3F6F" w:rsidRDefault="00F629F5" w:rsidP="00C378DF">
      <w:pPr>
        <w:rPr>
          <w:b/>
          <w:bCs/>
          <w:color w:val="000000" w:themeColor="text1"/>
          <w:u w:val="single"/>
        </w:rPr>
      </w:pPr>
      <w:r w:rsidRPr="000D3F6F">
        <w:rPr>
          <w:b/>
          <w:bCs/>
          <w:color w:val="000000" w:themeColor="text1"/>
          <w:u w:val="single"/>
        </w:rPr>
        <w:t>S</w:t>
      </w:r>
      <w:r w:rsidR="0049072A" w:rsidRPr="000D3F6F">
        <w:rPr>
          <w:b/>
          <w:bCs/>
          <w:color w:val="000000" w:themeColor="text1"/>
          <w:u w:val="single"/>
        </w:rPr>
        <w:t xml:space="preserve">chool </w:t>
      </w:r>
      <w:r w:rsidR="00C378DF" w:rsidRPr="000D3F6F">
        <w:rPr>
          <w:b/>
          <w:bCs/>
          <w:color w:val="000000" w:themeColor="text1"/>
          <w:u w:val="single"/>
        </w:rPr>
        <w:t>Context</w:t>
      </w:r>
    </w:p>
    <w:p w14:paraId="451DE5BA" w14:textId="6C431525" w:rsidR="00444885" w:rsidRPr="000D3F6F" w:rsidRDefault="00C378DF" w:rsidP="00C378DF">
      <w:pPr>
        <w:rPr>
          <w:color w:val="000000" w:themeColor="text1"/>
        </w:rPr>
      </w:pPr>
      <w:r w:rsidRPr="000D3F6F">
        <w:rPr>
          <w:color w:val="000000" w:themeColor="text1"/>
        </w:rPr>
        <w:t xml:space="preserve">This report focuses on curriculum leadership and innovation within </w:t>
      </w:r>
      <w:r w:rsidR="00F2425B" w:rsidRPr="000D3F6F">
        <w:rPr>
          <w:color w:val="000000" w:themeColor="text1"/>
        </w:rPr>
        <w:t xml:space="preserve">a </w:t>
      </w:r>
      <w:r w:rsidR="00444885" w:rsidRPr="000D3F6F">
        <w:rPr>
          <w:color w:val="000000" w:themeColor="text1"/>
        </w:rPr>
        <w:t xml:space="preserve">mixed comprehensive </w:t>
      </w:r>
      <w:r w:rsidRPr="000D3F6F">
        <w:rPr>
          <w:color w:val="000000" w:themeColor="text1"/>
        </w:rPr>
        <w:t>school in Southwest Wales</w:t>
      </w:r>
      <w:r w:rsidR="00444885" w:rsidRPr="000D3F6F">
        <w:rPr>
          <w:color w:val="000000" w:themeColor="text1"/>
        </w:rPr>
        <w:t xml:space="preserve"> </w:t>
      </w:r>
      <w:r w:rsidR="00444885" w:rsidRPr="000D3F6F">
        <w:rPr>
          <w:color w:val="000000" w:themeColor="text1"/>
        </w:rPr>
        <w:t>serving approximately 1,500 students aged 11 to 18</w:t>
      </w:r>
      <w:r w:rsidRPr="000D3F6F">
        <w:rPr>
          <w:color w:val="000000" w:themeColor="text1"/>
        </w:rPr>
        <w:t xml:space="preserve">. </w:t>
      </w:r>
      <w:r w:rsidR="00444885" w:rsidRPr="000D3F6F">
        <w:rPr>
          <w:color w:val="000000" w:themeColor="text1"/>
        </w:rPr>
        <w:t xml:space="preserve">The school aims to extend leadership capacity </w:t>
      </w:r>
      <w:r w:rsidR="00444885" w:rsidRPr="000D3F6F">
        <w:rPr>
          <w:color w:val="000000" w:themeColor="text1"/>
        </w:rPr>
        <w:t>to all</w:t>
      </w:r>
      <w:r w:rsidRPr="000D3F6F">
        <w:rPr>
          <w:color w:val="000000" w:themeColor="text1"/>
        </w:rPr>
        <w:t xml:space="preserve"> stakeholders, seeking to inspire greater leadership in classroom decisions as well as developing a</w:t>
      </w:r>
      <w:r w:rsidR="00444885" w:rsidRPr="000D3F6F">
        <w:rPr>
          <w:color w:val="000000" w:themeColor="text1"/>
        </w:rPr>
        <w:t>n</w:t>
      </w:r>
      <w:r w:rsidRPr="000D3F6F">
        <w:rPr>
          <w:color w:val="000000" w:themeColor="text1"/>
        </w:rPr>
        <w:t xml:space="preserve"> improved</w:t>
      </w:r>
      <w:r w:rsidR="00444885" w:rsidRPr="000D3F6F">
        <w:rPr>
          <w:color w:val="000000" w:themeColor="text1"/>
        </w:rPr>
        <w:t xml:space="preserve"> culture</w:t>
      </w:r>
      <w:r w:rsidRPr="000D3F6F">
        <w:rPr>
          <w:color w:val="000000" w:themeColor="text1"/>
        </w:rPr>
        <w:t xml:space="preserve"> of inquiry. </w:t>
      </w:r>
      <w:r w:rsidR="00444885" w:rsidRPr="000D3F6F">
        <w:rPr>
          <w:color w:val="000000" w:themeColor="text1"/>
        </w:rPr>
        <w:t xml:space="preserve">As of 2025, </w:t>
      </w:r>
      <w:r w:rsidR="00444885" w:rsidRPr="000D3F6F">
        <w:rPr>
          <w:color w:val="000000" w:themeColor="text1"/>
        </w:rPr>
        <w:t>the school</w:t>
      </w:r>
      <w:r w:rsidR="00444885" w:rsidRPr="000D3F6F">
        <w:rPr>
          <w:color w:val="000000" w:themeColor="text1"/>
        </w:rPr>
        <w:t xml:space="preserve"> retains a traditional departmental structure and has yet to adopt the Areas of Learning Experience prescribed by </w:t>
      </w:r>
      <w:proofErr w:type="spellStart"/>
      <w:r w:rsidR="00444885" w:rsidRPr="000D3F6F">
        <w:rPr>
          <w:color w:val="000000" w:themeColor="text1"/>
        </w:rPr>
        <w:t>CfW</w:t>
      </w:r>
      <w:proofErr w:type="spellEnd"/>
      <w:r w:rsidR="00444885" w:rsidRPr="000D3F6F">
        <w:rPr>
          <w:color w:val="000000" w:themeColor="text1"/>
        </w:rPr>
        <w:t xml:space="preserve">. </w:t>
      </w:r>
      <w:r w:rsidR="00444885" w:rsidRPr="000D3F6F">
        <w:rPr>
          <w:color w:val="000000" w:themeColor="text1"/>
        </w:rPr>
        <w:t>When the previous Head of English was seconded to a senior leadership role for 2023–2024, I assumed departmental leadership on an interim basis</w:t>
      </w:r>
      <w:r w:rsidR="00444885" w:rsidRPr="000D3F6F">
        <w:rPr>
          <w:color w:val="000000" w:themeColor="text1"/>
        </w:rPr>
        <w:t xml:space="preserve">. </w:t>
      </w:r>
      <w:proofErr w:type="spellStart"/>
      <w:r w:rsidR="00444885" w:rsidRPr="000D3F6F">
        <w:rPr>
          <w:color w:val="000000" w:themeColor="text1"/>
        </w:rPr>
        <w:t>CfW</w:t>
      </w:r>
      <w:proofErr w:type="spellEnd"/>
      <w:r w:rsidR="00444885" w:rsidRPr="000D3F6F">
        <w:rPr>
          <w:color w:val="000000" w:themeColor="text1"/>
        </w:rPr>
        <w:t xml:space="preserve"> has been introduced incrementally, with Years 7 and 8 fully engaged in the reform, and additional curriculum planning ongoing for 2024–2025 implementation</w:t>
      </w:r>
      <w:r w:rsidR="00444885" w:rsidRPr="000D3F6F">
        <w:rPr>
          <w:color w:val="000000" w:themeColor="text1"/>
        </w:rPr>
        <w:t>.</w:t>
      </w:r>
    </w:p>
    <w:p w14:paraId="082AC7E3" w14:textId="77777777" w:rsidR="00444885" w:rsidRPr="000D3F6F" w:rsidRDefault="00444885" w:rsidP="00C378DF">
      <w:pPr>
        <w:rPr>
          <w:color w:val="000000" w:themeColor="text1"/>
        </w:rPr>
      </w:pPr>
    </w:p>
    <w:p w14:paraId="76FC08BA" w14:textId="6287378D" w:rsidR="00F2425B" w:rsidRPr="000D3F6F" w:rsidRDefault="0049072A" w:rsidP="00C378DF">
      <w:pPr>
        <w:rPr>
          <w:b/>
          <w:bCs/>
          <w:color w:val="000000" w:themeColor="text1"/>
          <w:u w:val="single"/>
        </w:rPr>
      </w:pPr>
      <w:r w:rsidRPr="000D3F6F">
        <w:rPr>
          <w:b/>
          <w:bCs/>
          <w:color w:val="000000" w:themeColor="text1"/>
          <w:u w:val="single"/>
        </w:rPr>
        <w:t xml:space="preserve">Existing </w:t>
      </w:r>
      <w:proofErr w:type="spellStart"/>
      <w:r w:rsidRPr="000D3F6F">
        <w:rPr>
          <w:b/>
          <w:bCs/>
          <w:color w:val="000000" w:themeColor="text1"/>
          <w:u w:val="single"/>
        </w:rPr>
        <w:t>C</w:t>
      </w:r>
      <w:r w:rsidR="00854883" w:rsidRPr="000D3F6F">
        <w:rPr>
          <w:b/>
          <w:bCs/>
          <w:color w:val="000000" w:themeColor="text1"/>
          <w:u w:val="single"/>
        </w:rPr>
        <w:t>fW</w:t>
      </w:r>
      <w:proofErr w:type="spellEnd"/>
      <w:r w:rsidRPr="000D3F6F">
        <w:rPr>
          <w:b/>
          <w:bCs/>
          <w:color w:val="000000" w:themeColor="text1"/>
          <w:u w:val="single"/>
        </w:rPr>
        <w:t xml:space="preserve"> Implementation</w:t>
      </w:r>
    </w:p>
    <w:p w14:paraId="008C989D" w14:textId="2A4130DF" w:rsidR="00CB3ABA" w:rsidRPr="000D3F6F" w:rsidRDefault="00CB3ABA" w:rsidP="00CB3ABA">
      <w:pPr>
        <w:rPr>
          <w:color w:val="000000" w:themeColor="text1"/>
        </w:rPr>
      </w:pPr>
      <w:r w:rsidRPr="000D3F6F">
        <w:rPr>
          <w:color w:val="000000" w:themeColor="text1"/>
        </w:rPr>
        <w:lastRenderedPageBreak/>
        <w:t xml:space="preserve">The former Head of English employed a mixed leadership </w:t>
      </w:r>
      <w:r w:rsidRPr="000D3F6F">
        <w:rPr>
          <w:color w:val="000000" w:themeColor="text1"/>
        </w:rPr>
        <w:t>approach</w:t>
      </w:r>
      <w:r w:rsidRPr="000D3F6F">
        <w:rPr>
          <w:color w:val="000000" w:themeColor="text1"/>
        </w:rPr>
        <w:t xml:space="preserve">, primarily instructional, prescribing texts to study, </w:t>
      </w:r>
      <w:r w:rsidRPr="000D3F6F">
        <w:rPr>
          <w:color w:val="000000" w:themeColor="text1"/>
        </w:rPr>
        <w:t xml:space="preserve">specifying </w:t>
      </w:r>
      <w:r w:rsidRPr="000D3F6F">
        <w:rPr>
          <w:color w:val="000000" w:themeColor="text1"/>
        </w:rPr>
        <w:t xml:space="preserve">skills to </w:t>
      </w:r>
      <w:r w:rsidRPr="000D3F6F">
        <w:rPr>
          <w:color w:val="000000" w:themeColor="text1"/>
        </w:rPr>
        <w:t>practise</w:t>
      </w:r>
      <w:r w:rsidRPr="000D3F6F">
        <w:rPr>
          <w:color w:val="000000" w:themeColor="text1"/>
        </w:rPr>
        <w:t>, and</w:t>
      </w:r>
      <w:r w:rsidRPr="000D3F6F">
        <w:rPr>
          <w:color w:val="000000" w:themeColor="text1"/>
        </w:rPr>
        <w:t xml:space="preserve"> creating</w:t>
      </w:r>
      <w:r w:rsidRPr="000D3F6F">
        <w:rPr>
          <w:color w:val="000000" w:themeColor="text1"/>
        </w:rPr>
        <w:t xml:space="preserve"> summative assessments to</w:t>
      </w:r>
      <w:r w:rsidRPr="000D3F6F">
        <w:rPr>
          <w:color w:val="000000" w:themeColor="text1"/>
        </w:rPr>
        <w:t xml:space="preserve"> be completed by all learners to</w:t>
      </w:r>
      <w:r w:rsidRPr="000D3F6F">
        <w:rPr>
          <w:color w:val="000000" w:themeColor="text1"/>
        </w:rPr>
        <w:t xml:space="preserve"> ensure</w:t>
      </w:r>
      <w:r w:rsidRPr="000D3F6F">
        <w:rPr>
          <w:color w:val="000000" w:themeColor="text1"/>
        </w:rPr>
        <w:t xml:space="preserve"> a</w:t>
      </w:r>
      <w:r w:rsidRPr="000D3F6F">
        <w:rPr>
          <w:color w:val="000000" w:themeColor="text1"/>
        </w:rPr>
        <w:t xml:space="preserve"> consistent </w:t>
      </w:r>
      <w:r w:rsidRPr="000D3F6F">
        <w:rPr>
          <w:color w:val="000000" w:themeColor="text1"/>
        </w:rPr>
        <w:t xml:space="preserve">access </w:t>
      </w:r>
      <w:r w:rsidRPr="000D3F6F">
        <w:rPr>
          <w:color w:val="000000" w:themeColor="text1"/>
        </w:rPr>
        <w:t xml:space="preserve">provision. Social realists such as Young (2008) justify such strong framing by arguing that leaders must guarantee access to ‘powerful knowledge’ for all learners. Yet Bernstein (1968) notes that rigid curriculum control is </w:t>
      </w:r>
      <w:r w:rsidRPr="000D3F6F">
        <w:rPr>
          <w:color w:val="000000" w:themeColor="text1"/>
        </w:rPr>
        <w:t xml:space="preserve">never </w:t>
      </w:r>
      <w:r w:rsidRPr="000D3F6F">
        <w:rPr>
          <w:color w:val="000000" w:themeColor="text1"/>
        </w:rPr>
        <w:t xml:space="preserve">neutral and can perpetuate social inequalities by privileging </w:t>
      </w:r>
      <w:proofErr w:type="gramStart"/>
      <w:r w:rsidRPr="000D3F6F">
        <w:rPr>
          <w:color w:val="000000" w:themeColor="text1"/>
        </w:rPr>
        <w:t>particular knowledge</w:t>
      </w:r>
      <w:proofErr w:type="gramEnd"/>
      <w:r w:rsidRPr="000D3F6F">
        <w:rPr>
          <w:color w:val="000000" w:themeColor="text1"/>
        </w:rPr>
        <w:t xml:space="preserve"> forms</w:t>
      </w:r>
      <w:r w:rsidRPr="000D3F6F">
        <w:rPr>
          <w:color w:val="000000" w:themeColor="text1"/>
        </w:rPr>
        <w:t xml:space="preserve"> and ways of knowing</w:t>
      </w:r>
      <w:r w:rsidRPr="000D3F6F">
        <w:rPr>
          <w:color w:val="000000" w:themeColor="text1"/>
        </w:rPr>
        <w:t>. Stenhouse (1975) likewise critiques strict pre-specification of learning outcomes, suggesting genuine understanding evolves continuously</w:t>
      </w:r>
      <w:r w:rsidRPr="000D3F6F">
        <w:rPr>
          <w:color w:val="000000" w:themeColor="text1"/>
        </w:rPr>
        <w:t xml:space="preserve"> and that</w:t>
      </w:r>
      <w:r w:rsidRPr="000D3F6F">
        <w:rPr>
          <w:color w:val="000000" w:themeColor="text1"/>
        </w:rPr>
        <w:t xml:space="preserve"> aims that can be achieved are inherently flawed as ‘understanding can always be deepened’. McKernan (2010) further argues that prescribing objectives means assessing what is already defined, rather than discovering new knowledge</w:t>
      </w:r>
      <w:r w:rsidR="006D3560" w:rsidRPr="000D3F6F">
        <w:rPr>
          <w:color w:val="000000" w:themeColor="text1"/>
        </w:rPr>
        <w:t xml:space="preserve"> ‘</w:t>
      </w:r>
      <w:r w:rsidR="006D3560" w:rsidRPr="000D3F6F">
        <w:rPr>
          <w:color w:val="000000" w:themeColor="text1"/>
        </w:rPr>
        <w:t>that none yet possess.’</w:t>
      </w:r>
    </w:p>
    <w:p w14:paraId="521275BD" w14:textId="19C993BB" w:rsidR="0091214E" w:rsidRPr="000D3F6F" w:rsidRDefault="00375832" w:rsidP="00375832">
      <w:pPr>
        <w:rPr>
          <w:color w:val="000000" w:themeColor="text1"/>
        </w:rPr>
      </w:pPr>
      <w:r w:rsidRPr="000D3F6F">
        <w:rPr>
          <w:color w:val="000000" w:themeColor="text1"/>
        </w:rPr>
        <w:t xml:space="preserve">This leadership model, akin to Tyler’s objectives-based approach, promoted uniformity but did not </w:t>
      </w:r>
      <w:r w:rsidR="00623C6A" w:rsidRPr="000D3F6F">
        <w:rPr>
          <w:color w:val="000000" w:themeColor="text1"/>
        </w:rPr>
        <w:t>promote</w:t>
      </w:r>
      <w:r w:rsidRPr="000D3F6F">
        <w:rPr>
          <w:color w:val="000000" w:themeColor="text1"/>
        </w:rPr>
        <w:t xml:space="preserve"> </w:t>
      </w:r>
      <w:proofErr w:type="spellStart"/>
      <w:r w:rsidRPr="000D3F6F">
        <w:rPr>
          <w:color w:val="000000" w:themeColor="text1"/>
        </w:rPr>
        <w:t>CfW’s</w:t>
      </w:r>
      <w:proofErr w:type="spellEnd"/>
      <w:r w:rsidRPr="000D3F6F">
        <w:rPr>
          <w:color w:val="000000" w:themeColor="text1"/>
        </w:rPr>
        <w:t xml:space="preserve"> aspiration for learner</w:t>
      </w:r>
      <w:r w:rsidR="001B1DEA" w:rsidRPr="000D3F6F">
        <w:rPr>
          <w:color w:val="000000" w:themeColor="text1"/>
        </w:rPr>
        <w:t xml:space="preserve">s to </w:t>
      </w:r>
      <w:r w:rsidR="001B1DEA" w:rsidRPr="000D3F6F">
        <w:rPr>
          <w:color w:val="000000" w:themeColor="text1"/>
        </w:rPr>
        <w:t xml:space="preserve">‘take responsibility for their own learning’ (Donaldson, 2015). </w:t>
      </w:r>
      <w:r w:rsidRPr="000D3F6F">
        <w:rPr>
          <w:color w:val="000000" w:themeColor="text1"/>
        </w:rPr>
        <w:t xml:space="preserve"> (Donaldson, 2015). ‘</w:t>
      </w:r>
      <w:r w:rsidRPr="000D3F6F">
        <w:rPr>
          <w:color w:val="000000" w:themeColor="text1"/>
        </w:rPr>
        <w:t>T</w:t>
      </w:r>
      <w:r w:rsidRPr="000D3F6F">
        <w:rPr>
          <w:color w:val="000000" w:themeColor="text1"/>
        </w:rPr>
        <w:t xml:space="preserve">ask-oriented’ leadership, which prioritises defining tasks, coordinating team members, setting standards, and ensuring compliance (Gümüş et al., 2018) can </w:t>
      </w:r>
      <w:r w:rsidR="001B1DEA" w:rsidRPr="000D3F6F">
        <w:rPr>
          <w:color w:val="000000" w:themeColor="text1"/>
        </w:rPr>
        <w:t>‘atomise and fragment’ learning into ‘a linear and non-complex business’ instead of a ‘process which is messy, socially contingent and context dependent’ (Pristley, 2017).</w:t>
      </w:r>
      <w:r w:rsidRPr="000D3F6F">
        <w:rPr>
          <w:color w:val="000000" w:themeColor="text1"/>
        </w:rPr>
        <w:t xml:space="preserve"> Such reduction of learning to ‘bite-sized’ chunks of content can</w:t>
      </w:r>
      <w:r w:rsidRPr="000D3F6F">
        <w:rPr>
          <w:color w:val="000000" w:themeColor="text1"/>
        </w:rPr>
        <w:t xml:space="preserve"> diminish </w:t>
      </w:r>
      <w:r w:rsidRPr="000D3F6F">
        <w:rPr>
          <w:color w:val="000000" w:themeColor="text1"/>
        </w:rPr>
        <w:t xml:space="preserve">the </w:t>
      </w:r>
      <w:r w:rsidRPr="000D3F6F">
        <w:rPr>
          <w:color w:val="000000" w:themeColor="text1"/>
        </w:rPr>
        <w:t>broader aims of education (Kelly, 2004)</w:t>
      </w:r>
      <w:r w:rsidRPr="000D3F6F">
        <w:rPr>
          <w:color w:val="000000" w:themeColor="text1"/>
        </w:rPr>
        <w:t xml:space="preserve"> focusing on </w:t>
      </w:r>
      <w:r w:rsidRPr="000D3F6F">
        <w:rPr>
          <w:color w:val="000000" w:themeColor="text1"/>
        </w:rPr>
        <w:t>‘training and instruction’</w:t>
      </w:r>
      <w:r w:rsidRPr="000D3F6F">
        <w:rPr>
          <w:color w:val="000000" w:themeColor="text1"/>
        </w:rPr>
        <w:t xml:space="preserve"> rather</w:t>
      </w:r>
      <w:r w:rsidRPr="000D3F6F">
        <w:rPr>
          <w:color w:val="000000" w:themeColor="text1"/>
        </w:rPr>
        <w:t xml:space="preserve"> than ‘education’ (Stenhouse, 1975; McKernan, 2008). </w:t>
      </w:r>
    </w:p>
    <w:p w14:paraId="02B2A385" w14:textId="0E579CA5" w:rsidR="0091214E" w:rsidRPr="000D3F6F" w:rsidRDefault="0091214E" w:rsidP="0091214E">
      <w:pPr>
        <w:rPr>
          <w:color w:val="000000" w:themeColor="text1"/>
        </w:rPr>
      </w:pPr>
      <w:r w:rsidRPr="000D3F6F">
        <w:rPr>
          <w:color w:val="000000" w:themeColor="text1"/>
        </w:rPr>
        <w:t xml:space="preserve">Such prescriptive curriculum plans were created to fill the void </w:t>
      </w:r>
      <w:r w:rsidRPr="000D3F6F">
        <w:rPr>
          <w:color w:val="000000" w:themeColor="text1"/>
        </w:rPr>
        <w:t>that was perceived in</w:t>
      </w:r>
      <w:r w:rsidRPr="000D3F6F">
        <w:rPr>
          <w:color w:val="000000" w:themeColor="text1"/>
        </w:rPr>
        <w:t xml:space="preserve"> </w:t>
      </w:r>
      <w:proofErr w:type="spellStart"/>
      <w:r w:rsidRPr="000D3F6F">
        <w:rPr>
          <w:color w:val="000000" w:themeColor="text1"/>
        </w:rPr>
        <w:t>CfW’s</w:t>
      </w:r>
      <w:proofErr w:type="spellEnd"/>
      <w:r w:rsidRPr="000D3F6F">
        <w:rPr>
          <w:color w:val="000000" w:themeColor="text1"/>
        </w:rPr>
        <w:t xml:space="preserve"> lack of specification, a concern Evans (2023) highlights that can occur when ‘teachers transition from passive consumers to proactive producers of curriculum content.’ Morrison-Love et al.’s (2023) </w:t>
      </w:r>
      <w:r w:rsidRPr="000D3F6F">
        <w:rPr>
          <w:color w:val="000000" w:themeColor="text1"/>
        </w:rPr>
        <w:t>research notes teachers’</w:t>
      </w:r>
      <w:r w:rsidRPr="000D3F6F">
        <w:rPr>
          <w:color w:val="000000" w:themeColor="text1"/>
        </w:rPr>
        <w:t xml:space="preserve"> </w:t>
      </w:r>
      <w:r w:rsidRPr="000D3F6F">
        <w:rPr>
          <w:color w:val="000000" w:themeColor="text1"/>
        </w:rPr>
        <w:t xml:space="preserve">anxieties about whether they had </w:t>
      </w:r>
      <w:r w:rsidRPr="000D3F6F">
        <w:rPr>
          <w:color w:val="000000" w:themeColor="text1"/>
        </w:rPr>
        <w:t>‘understood the curriculum in the right way’</w:t>
      </w:r>
      <w:r w:rsidRPr="000D3F6F">
        <w:rPr>
          <w:color w:val="000000" w:themeColor="text1"/>
        </w:rPr>
        <w:t>, and in this department it led to leadership that</w:t>
      </w:r>
      <w:r w:rsidRPr="000D3F6F">
        <w:rPr>
          <w:color w:val="000000" w:themeColor="text1"/>
        </w:rPr>
        <w:t xml:space="preserve"> impose</w:t>
      </w:r>
      <w:r w:rsidRPr="000D3F6F">
        <w:rPr>
          <w:color w:val="000000" w:themeColor="text1"/>
        </w:rPr>
        <w:t>d</w:t>
      </w:r>
      <w:r w:rsidRPr="000D3F6F">
        <w:rPr>
          <w:color w:val="000000" w:themeColor="text1"/>
        </w:rPr>
        <w:t xml:space="preserve"> clarity and inadvertently limit</w:t>
      </w:r>
      <w:r w:rsidRPr="000D3F6F">
        <w:rPr>
          <w:color w:val="000000" w:themeColor="text1"/>
        </w:rPr>
        <w:t>ed</w:t>
      </w:r>
      <w:r w:rsidRPr="000D3F6F">
        <w:rPr>
          <w:color w:val="000000" w:themeColor="text1"/>
        </w:rPr>
        <w:t xml:space="preserve"> professional autonomy.</w:t>
      </w:r>
      <w:r w:rsidRPr="000D3F6F">
        <w:rPr>
          <w:color w:val="000000" w:themeColor="text1"/>
        </w:rPr>
        <w:t xml:space="preserve"> This self-</w:t>
      </w:r>
      <w:r w:rsidRPr="000D3F6F">
        <w:rPr>
          <w:color w:val="000000" w:themeColor="text1"/>
        </w:rPr>
        <w:t>imposed prescription le</w:t>
      </w:r>
      <w:r w:rsidRPr="000D3F6F">
        <w:rPr>
          <w:color w:val="000000" w:themeColor="text1"/>
        </w:rPr>
        <w:t>ft</w:t>
      </w:r>
      <w:r w:rsidRPr="000D3F6F">
        <w:rPr>
          <w:color w:val="000000" w:themeColor="text1"/>
        </w:rPr>
        <w:t xml:space="preserve"> the department, as Evans (2023) warns, frustrated at being unable to ‘benefit fully from the purportedly advantageous position it has been granted.</w:t>
      </w:r>
    </w:p>
    <w:p w14:paraId="76562E11" w14:textId="653520B5" w:rsidR="008A6D93" w:rsidRPr="000D3F6F" w:rsidRDefault="008A6D93" w:rsidP="008A6D93">
      <w:pPr>
        <w:rPr>
          <w:color w:val="000000" w:themeColor="text1"/>
        </w:rPr>
      </w:pPr>
      <w:r w:rsidRPr="000D3F6F">
        <w:rPr>
          <w:color w:val="000000" w:themeColor="text1"/>
        </w:rPr>
        <w:t xml:space="preserve">Alongside </w:t>
      </w:r>
      <w:r w:rsidRPr="000D3F6F">
        <w:rPr>
          <w:color w:val="000000" w:themeColor="text1"/>
        </w:rPr>
        <w:t>the</w:t>
      </w:r>
      <w:r w:rsidRPr="000D3F6F">
        <w:rPr>
          <w:color w:val="000000" w:themeColor="text1"/>
        </w:rPr>
        <w:t xml:space="preserve"> instructional </w:t>
      </w:r>
      <w:r w:rsidRPr="000D3F6F">
        <w:rPr>
          <w:color w:val="000000" w:themeColor="text1"/>
        </w:rPr>
        <w:t>leadership of prescribing texts to study and assessments to complete</w:t>
      </w:r>
      <w:r w:rsidRPr="000D3F6F">
        <w:rPr>
          <w:color w:val="000000" w:themeColor="text1"/>
        </w:rPr>
        <w:t>, the former Head of Department utilised a form of distributed leadership by delegating lesson</w:t>
      </w:r>
      <w:r w:rsidRPr="000D3F6F">
        <w:rPr>
          <w:color w:val="000000" w:themeColor="text1"/>
        </w:rPr>
        <w:t xml:space="preserve"> resource creation</w:t>
      </w:r>
      <w:r w:rsidRPr="000D3F6F">
        <w:rPr>
          <w:color w:val="000000" w:themeColor="text1"/>
        </w:rPr>
        <w:t xml:space="preserve"> across the team</w:t>
      </w:r>
      <w:r w:rsidRPr="000D3F6F">
        <w:rPr>
          <w:color w:val="000000" w:themeColor="text1"/>
        </w:rPr>
        <w:t>.</w:t>
      </w:r>
      <w:r w:rsidRPr="000D3F6F">
        <w:rPr>
          <w:color w:val="000000" w:themeColor="text1"/>
        </w:rPr>
        <w:t xml:space="preserve"> </w:t>
      </w:r>
      <w:r w:rsidRPr="000D3F6F">
        <w:rPr>
          <w:color w:val="000000" w:themeColor="text1"/>
        </w:rPr>
        <w:t>O</w:t>
      </w:r>
      <w:r w:rsidRPr="000D3F6F">
        <w:rPr>
          <w:color w:val="000000" w:themeColor="text1"/>
        </w:rPr>
        <w:t xml:space="preserve">nce the mid-term plan and objectives were set, individual teachers </w:t>
      </w:r>
      <w:r w:rsidRPr="000D3F6F">
        <w:rPr>
          <w:color w:val="000000" w:themeColor="text1"/>
        </w:rPr>
        <w:t xml:space="preserve">were given </w:t>
      </w:r>
      <w:r w:rsidRPr="000D3F6F">
        <w:rPr>
          <w:color w:val="000000" w:themeColor="text1"/>
        </w:rPr>
        <w:t>lessons and resources</w:t>
      </w:r>
      <w:r w:rsidRPr="000D3F6F">
        <w:rPr>
          <w:color w:val="000000" w:themeColor="text1"/>
        </w:rPr>
        <w:t xml:space="preserve"> to develop which would be</w:t>
      </w:r>
      <w:r w:rsidRPr="000D3F6F">
        <w:rPr>
          <w:color w:val="000000" w:themeColor="text1"/>
        </w:rPr>
        <w:t xml:space="preserve"> shared</w:t>
      </w:r>
      <w:r w:rsidRPr="000D3F6F">
        <w:rPr>
          <w:color w:val="000000" w:themeColor="text1"/>
        </w:rPr>
        <w:t xml:space="preserve"> with the</w:t>
      </w:r>
      <w:r w:rsidRPr="000D3F6F">
        <w:rPr>
          <w:color w:val="000000" w:themeColor="text1"/>
        </w:rPr>
        <w:t xml:space="preserve"> department</w:t>
      </w:r>
      <w:r w:rsidRPr="000D3F6F">
        <w:rPr>
          <w:color w:val="000000" w:themeColor="text1"/>
        </w:rPr>
        <w:t xml:space="preserve"> and used in classrooms</w:t>
      </w:r>
      <w:r w:rsidRPr="000D3F6F">
        <w:rPr>
          <w:color w:val="000000" w:themeColor="text1"/>
        </w:rPr>
        <w:t>. Whilst this approach was selected to reduced workload</w:t>
      </w:r>
      <w:r w:rsidRPr="000D3F6F">
        <w:rPr>
          <w:color w:val="000000" w:themeColor="text1"/>
        </w:rPr>
        <w:t xml:space="preserve"> which </w:t>
      </w:r>
      <w:r w:rsidRPr="000D3F6F">
        <w:rPr>
          <w:color w:val="000000" w:themeColor="text1"/>
        </w:rPr>
        <w:t xml:space="preserve">Hartley </w:t>
      </w:r>
      <w:r w:rsidRPr="000D3F6F">
        <w:rPr>
          <w:color w:val="000000" w:themeColor="text1"/>
        </w:rPr>
        <w:t>(</w:t>
      </w:r>
      <w:r w:rsidRPr="000D3F6F">
        <w:rPr>
          <w:color w:val="000000" w:themeColor="text1"/>
        </w:rPr>
        <w:t>2010</w:t>
      </w:r>
      <w:r w:rsidRPr="000D3F6F">
        <w:rPr>
          <w:color w:val="000000" w:themeColor="text1"/>
        </w:rPr>
        <w:t>: 27</w:t>
      </w:r>
      <w:r w:rsidRPr="000D3F6F">
        <w:rPr>
          <w:color w:val="000000" w:themeColor="text1"/>
        </w:rPr>
        <w:t>)</w:t>
      </w:r>
      <w:r w:rsidRPr="000D3F6F">
        <w:rPr>
          <w:color w:val="000000" w:themeColor="text1"/>
        </w:rPr>
        <w:t xml:space="preserve"> argues is the reason why it may be popular</w:t>
      </w:r>
      <w:r w:rsidRPr="000D3F6F">
        <w:rPr>
          <w:color w:val="000000" w:themeColor="text1"/>
        </w:rPr>
        <w:t xml:space="preserve">, it arguably constituted “delegation by another name” (Harris, 2013). Hargreaves and Fink (2009) warn that superficial collaboration can become a covert mechanism for delivering top-down directives, rather than genuinely </w:t>
      </w:r>
      <w:r w:rsidR="002348F2" w:rsidRPr="000D3F6F">
        <w:rPr>
          <w:color w:val="000000" w:themeColor="text1"/>
        </w:rPr>
        <w:lastRenderedPageBreak/>
        <w:t>fostering the leadership potential of others</w:t>
      </w:r>
      <w:r w:rsidRPr="000D3F6F">
        <w:rPr>
          <w:color w:val="000000" w:themeColor="text1"/>
        </w:rPr>
        <w:t xml:space="preserve"> (Harris, 2013). This approach risk</w:t>
      </w:r>
      <w:r w:rsidR="002348F2" w:rsidRPr="000D3F6F">
        <w:rPr>
          <w:color w:val="000000" w:themeColor="text1"/>
        </w:rPr>
        <w:t>s ‘</w:t>
      </w:r>
      <w:r w:rsidRPr="000D3F6F">
        <w:rPr>
          <w:color w:val="000000" w:themeColor="text1"/>
        </w:rPr>
        <w:t>de-professionalising</w:t>
      </w:r>
      <w:r w:rsidR="002348F2" w:rsidRPr="000D3F6F">
        <w:rPr>
          <w:color w:val="000000" w:themeColor="text1"/>
        </w:rPr>
        <w:t>’</w:t>
      </w:r>
      <w:r w:rsidRPr="000D3F6F">
        <w:rPr>
          <w:color w:val="000000" w:themeColor="text1"/>
        </w:rPr>
        <w:t xml:space="preserve"> </w:t>
      </w:r>
      <w:r w:rsidR="002348F2" w:rsidRPr="000D3F6F">
        <w:rPr>
          <w:color w:val="000000" w:themeColor="text1"/>
        </w:rPr>
        <w:t>teachers</w:t>
      </w:r>
      <w:r w:rsidRPr="000D3F6F">
        <w:rPr>
          <w:color w:val="000000" w:themeColor="text1"/>
        </w:rPr>
        <w:t xml:space="preserve"> (Bush, 2003: 46) by assigning them to deliver content created by someone else rather than acting as co-constructors of learning.</w:t>
      </w:r>
    </w:p>
    <w:p w14:paraId="4105C84A" w14:textId="5AA751E7" w:rsidR="000D3F6F" w:rsidRPr="000D3F6F" w:rsidRDefault="000D3F6F" w:rsidP="000D3F6F">
      <w:pPr>
        <w:rPr>
          <w:color w:val="000000" w:themeColor="text1"/>
        </w:rPr>
      </w:pPr>
      <w:r w:rsidRPr="000D3F6F">
        <w:rPr>
          <w:color w:val="000000" w:themeColor="text1"/>
        </w:rPr>
        <w:t xml:space="preserve">Stenhouse (1975) and Kelly (2009) advocate more process-oriented curriculum models, emphasising collaborative reflection and flexibility in designing educational experiences. Such frameworks encourage teachers to tailor learning to student needs and interests, aligning with </w:t>
      </w:r>
      <w:proofErr w:type="spellStart"/>
      <w:r w:rsidRPr="000D3F6F">
        <w:rPr>
          <w:color w:val="000000" w:themeColor="text1"/>
        </w:rPr>
        <w:t>CfW’s</w:t>
      </w:r>
      <w:proofErr w:type="spellEnd"/>
      <w:r w:rsidRPr="000D3F6F">
        <w:rPr>
          <w:color w:val="000000" w:themeColor="text1"/>
        </w:rPr>
        <w:t xml:space="preserve"> vision of empowering learners to </w:t>
      </w:r>
      <w:r w:rsidRPr="000D3F6F">
        <w:rPr>
          <w:color w:val="000000" w:themeColor="text1"/>
        </w:rPr>
        <w:t>‘</w:t>
      </w:r>
      <w:r w:rsidRPr="000D3F6F">
        <w:rPr>
          <w:color w:val="000000" w:themeColor="text1"/>
        </w:rPr>
        <w:t>take responsibility for their own learning</w:t>
      </w:r>
      <w:r w:rsidRPr="000D3F6F">
        <w:rPr>
          <w:color w:val="000000" w:themeColor="text1"/>
        </w:rPr>
        <w:t>’</w:t>
      </w:r>
      <w:r w:rsidRPr="000D3F6F">
        <w:rPr>
          <w:color w:val="000000" w:themeColor="text1"/>
        </w:rPr>
        <w:t xml:space="preserve"> (Donaldson, 2015). In doing so, the department can honour important principles of equity</w:t>
      </w:r>
      <w:r w:rsidRPr="000D3F6F">
        <w:rPr>
          <w:color w:val="000000" w:themeColor="text1"/>
        </w:rPr>
        <w:t xml:space="preserve"> - </w:t>
      </w:r>
      <w:r w:rsidRPr="000D3F6F">
        <w:rPr>
          <w:color w:val="000000" w:themeColor="text1"/>
        </w:rPr>
        <w:t>ensuring access to vital knowledge</w:t>
      </w:r>
      <w:r w:rsidRPr="000D3F6F">
        <w:rPr>
          <w:color w:val="000000" w:themeColor="text1"/>
        </w:rPr>
        <w:t xml:space="preserve"> - </w:t>
      </w:r>
      <w:r w:rsidRPr="000D3F6F">
        <w:rPr>
          <w:color w:val="000000" w:themeColor="text1"/>
        </w:rPr>
        <w:t>without constraining pedagogical creativity or responsiveness.</w:t>
      </w:r>
    </w:p>
    <w:p w14:paraId="2D35ABE2" w14:textId="77777777" w:rsidR="008A6D93" w:rsidRPr="00AB5F7A" w:rsidRDefault="008A6D93" w:rsidP="008A6D93">
      <w:pPr>
        <w:rPr>
          <w:color w:val="FF0000"/>
        </w:rPr>
      </w:pPr>
    </w:p>
    <w:p w14:paraId="3222D4AD" w14:textId="7C0DF023" w:rsidR="00D3734D" w:rsidRPr="0049072A" w:rsidRDefault="0049072A" w:rsidP="00C378DF">
      <w:pPr>
        <w:rPr>
          <w:b/>
          <w:bCs/>
          <w:u w:val="single"/>
        </w:rPr>
      </w:pPr>
      <w:r w:rsidRPr="0049072A">
        <w:rPr>
          <w:b/>
          <w:bCs/>
          <w:u w:val="single"/>
        </w:rPr>
        <w:t xml:space="preserve">Curriculum Innovation – </w:t>
      </w:r>
      <w:r w:rsidR="002B5217">
        <w:rPr>
          <w:b/>
          <w:bCs/>
          <w:u w:val="single"/>
        </w:rPr>
        <w:t>Implementing</w:t>
      </w:r>
      <w:r w:rsidR="00534823">
        <w:rPr>
          <w:b/>
          <w:bCs/>
          <w:u w:val="single"/>
        </w:rPr>
        <w:t xml:space="preserve"> </w:t>
      </w:r>
      <w:r w:rsidR="002B5217">
        <w:rPr>
          <w:b/>
          <w:bCs/>
          <w:u w:val="single"/>
        </w:rPr>
        <w:t>Democratic Curriculum Planning</w:t>
      </w:r>
      <w:r w:rsidRPr="0049072A">
        <w:rPr>
          <w:b/>
          <w:bCs/>
          <w:u w:val="single"/>
        </w:rPr>
        <w:t xml:space="preserve"> </w:t>
      </w:r>
    </w:p>
    <w:p w14:paraId="5F57CCD5" w14:textId="242D7C60" w:rsidR="000F4342" w:rsidRPr="000F4342" w:rsidRDefault="000F4342" w:rsidP="000F4342">
      <w:pPr>
        <w:rPr>
          <w:color w:val="000000" w:themeColor="text1"/>
        </w:rPr>
      </w:pPr>
      <w:r w:rsidRPr="000F4342">
        <w:rPr>
          <w:color w:val="000000" w:themeColor="text1"/>
        </w:rPr>
        <w:t xml:space="preserve">Drawing upon Kelly’s (2009) democratic curriculum planning model, this innovation sought to break with a tradition of top-down prescriptive planning by fostering a distributed leadership approach. The ambition was to empower teachers to act not merely as executors of pre-packaged schemes but as </w:t>
      </w:r>
      <w:r w:rsidRPr="00A2174D">
        <w:rPr>
          <w:color w:val="000000" w:themeColor="text1"/>
        </w:rPr>
        <w:t>‘</w:t>
      </w:r>
      <w:r w:rsidRPr="000F4342">
        <w:rPr>
          <w:color w:val="000000" w:themeColor="text1"/>
        </w:rPr>
        <w:t>agents of change</w:t>
      </w:r>
      <w:r w:rsidRPr="00A2174D">
        <w:rPr>
          <w:color w:val="000000" w:themeColor="text1"/>
        </w:rPr>
        <w:t>’</w:t>
      </w:r>
      <w:r w:rsidRPr="000F4342">
        <w:rPr>
          <w:color w:val="000000" w:themeColor="text1"/>
        </w:rPr>
        <w:t xml:space="preserve"> (Biesta, 2010), systematically reflecting on their practice through Stenhouse’s (1975) conception of the </w:t>
      </w:r>
      <w:r w:rsidRPr="00A2174D">
        <w:rPr>
          <w:color w:val="000000" w:themeColor="text1"/>
        </w:rPr>
        <w:t>‘</w:t>
      </w:r>
      <w:r w:rsidRPr="000F4342">
        <w:rPr>
          <w:color w:val="000000" w:themeColor="text1"/>
        </w:rPr>
        <w:t>teacher as researcher</w:t>
      </w:r>
      <w:r w:rsidRPr="00A2174D">
        <w:rPr>
          <w:color w:val="000000" w:themeColor="text1"/>
        </w:rPr>
        <w:t>’</w:t>
      </w:r>
      <w:r w:rsidRPr="000F4342">
        <w:rPr>
          <w:color w:val="000000" w:themeColor="text1"/>
        </w:rPr>
        <w:t>. In doing so, the initiative aspired to move beyond superficial compliance with the Curriculum for Wales (</w:t>
      </w:r>
      <w:proofErr w:type="spellStart"/>
      <w:r w:rsidRPr="000F4342">
        <w:rPr>
          <w:color w:val="000000" w:themeColor="text1"/>
        </w:rPr>
        <w:t>CfW</w:t>
      </w:r>
      <w:proofErr w:type="spellEnd"/>
      <w:r w:rsidRPr="000F4342">
        <w:rPr>
          <w:color w:val="000000" w:themeColor="text1"/>
        </w:rPr>
        <w:t>) and create authentic, context-responsive learning experiences.</w:t>
      </w:r>
    </w:p>
    <w:p w14:paraId="79B125C7" w14:textId="64F28015" w:rsidR="000F4342" w:rsidRPr="000F4342" w:rsidRDefault="000F4342" w:rsidP="000F4342">
      <w:pPr>
        <w:rPr>
          <w:color w:val="000000" w:themeColor="text1"/>
        </w:rPr>
      </w:pPr>
      <w:r w:rsidRPr="000F4342">
        <w:rPr>
          <w:color w:val="000000" w:themeColor="text1"/>
        </w:rPr>
        <w:t xml:space="preserve">At the conceptual core of this undertaking lies the </w:t>
      </w:r>
      <w:proofErr w:type="spellStart"/>
      <w:r w:rsidRPr="000F4342">
        <w:rPr>
          <w:color w:val="000000" w:themeColor="text1"/>
        </w:rPr>
        <w:t>CfW’s</w:t>
      </w:r>
      <w:proofErr w:type="spellEnd"/>
      <w:r w:rsidRPr="000F4342">
        <w:rPr>
          <w:color w:val="000000" w:themeColor="text1"/>
        </w:rPr>
        <w:t xml:space="preserve"> stipulation that schools </w:t>
      </w:r>
      <w:r w:rsidRPr="00A2174D">
        <w:rPr>
          <w:color w:val="000000" w:themeColor="text1"/>
        </w:rPr>
        <w:t>‘</w:t>
      </w:r>
      <w:r w:rsidRPr="000F4342">
        <w:rPr>
          <w:color w:val="000000" w:themeColor="text1"/>
        </w:rPr>
        <w:t>design curricula relevant to the context and specific needs of learners</w:t>
      </w:r>
      <w:r w:rsidRPr="00A2174D">
        <w:rPr>
          <w:color w:val="000000" w:themeColor="text1"/>
        </w:rPr>
        <w:t>’</w:t>
      </w:r>
      <w:r w:rsidRPr="000F4342">
        <w:rPr>
          <w:color w:val="000000" w:themeColor="text1"/>
        </w:rPr>
        <w:t xml:space="preserve"> (Welsh Government, 2019). Nevertheless, enacting Kelly’s democratic model presented immediate tensions. On one hand, the approach aims to counter the prescriptive rigidity that Stenhouse (1975) and McKernan (2010) argue can stifle professional creativity. On the other, it risks fragmenting curricular coherence if teachers, now empowered to innovate, diverge widely in their thematic emphases. This potential variance underscores Bernstein’s (1970) concerns about the </w:t>
      </w:r>
      <w:r w:rsidRPr="00A2174D">
        <w:rPr>
          <w:color w:val="000000" w:themeColor="text1"/>
        </w:rPr>
        <w:t>‘</w:t>
      </w:r>
      <w:r w:rsidRPr="000F4342">
        <w:rPr>
          <w:color w:val="000000" w:themeColor="text1"/>
        </w:rPr>
        <w:t>gatekeeper</w:t>
      </w:r>
      <w:r w:rsidRPr="00A2174D">
        <w:rPr>
          <w:color w:val="000000" w:themeColor="text1"/>
        </w:rPr>
        <w:t>’</w:t>
      </w:r>
      <w:r w:rsidRPr="000F4342">
        <w:rPr>
          <w:color w:val="000000" w:themeColor="text1"/>
        </w:rPr>
        <w:t xml:space="preserve"> role teachers occupy: while teachers can select culturally and socially relevant material, they may also perpetuate certain biases by omitting other powerful forms of knowledge (Young, 2008).</w:t>
      </w:r>
    </w:p>
    <w:p w14:paraId="0F6180C4" w14:textId="3569FF18" w:rsidR="000F4342" w:rsidRPr="000F4342" w:rsidRDefault="000F4342" w:rsidP="000F4342">
      <w:pPr>
        <w:rPr>
          <w:color w:val="000000" w:themeColor="text1"/>
        </w:rPr>
      </w:pPr>
      <w:r w:rsidRPr="000F4342">
        <w:rPr>
          <w:color w:val="000000" w:themeColor="text1"/>
        </w:rPr>
        <w:t xml:space="preserve">To address this tension, the innovation’s first phase involved a collaborative evaluation of current </w:t>
      </w:r>
      <w:proofErr w:type="spellStart"/>
      <w:r w:rsidRPr="000F4342">
        <w:rPr>
          <w:color w:val="000000" w:themeColor="text1"/>
        </w:rPr>
        <w:t>CfW</w:t>
      </w:r>
      <w:proofErr w:type="spellEnd"/>
      <w:r w:rsidRPr="000F4342">
        <w:rPr>
          <w:color w:val="000000" w:themeColor="text1"/>
        </w:rPr>
        <w:t xml:space="preserve"> implementation and a</w:t>
      </w:r>
      <w:r w:rsidRPr="00A2174D">
        <w:rPr>
          <w:color w:val="000000" w:themeColor="text1"/>
        </w:rPr>
        <w:t>n appraisal of each plan</w:t>
      </w:r>
      <w:r w:rsidRPr="000F4342">
        <w:rPr>
          <w:color w:val="000000" w:themeColor="text1"/>
        </w:rPr>
        <w:t xml:space="preserve"> against the </w:t>
      </w:r>
      <w:r w:rsidRPr="00A2174D">
        <w:rPr>
          <w:color w:val="000000" w:themeColor="text1"/>
        </w:rPr>
        <w:t>‘</w:t>
      </w:r>
      <w:r w:rsidRPr="000F4342">
        <w:rPr>
          <w:color w:val="000000" w:themeColor="text1"/>
        </w:rPr>
        <w:t xml:space="preserve">four </w:t>
      </w:r>
      <w:proofErr w:type="gramStart"/>
      <w:r w:rsidRPr="000F4342">
        <w:rPr>
          <w:color w:val="000000" w:themeColor="text1"/>
        </w:rPr>
        <w:t>purposes</w:t>
      </w:r>
      <w:r w:rsidRPr="00A2174D">
        <w:rPr>
          <w:color w:val="000000" w:themeColor="text1"/>
        </w:rPr>
        <w:t>’</w:t>
      </w:r>
      <w:proofErr w:type="gramEnd"/>
      <w:r w:rsidRPr="00A2174D">
        <w:rPr>
          <w:color w:val="000000" w:themeColor="text1"/>
        </w:rPr>
        <w:t>.</w:t>
      </w:r>
      <w:r w:rsidRPr="000F4342">
        <w:rPr>
          <w:color w:val="000000" w:themeColor="text1"/>
        </w:rPr>
        <w:t xml:space="preserve"> This step echoed Kelly’s (2009) insistence that curriculum decisions emerge from dialogic reflection, rather than merely fulfilling fixed objectives. Although such collaboration aimed to unify practice, the open discussion</w:t>
      </w:r>
      <w:r w:rsidRPr="00A2174D">
        <w:rPr>
          <w:color w:val="000000" w:themeColor="text1"/>
        </w:rPr>
        <w:t xml:space="preserve"> - </w:t>
      </w:r>
      <w:r w:rsidRPr="000F4342">
        <w:rPr>
          <w:color w:val="000000" w:themeColor="text1"/>
        </w:rPr>
        <w:t>where educators identified strengths and shortcomings</w:t>
      </w:r>
      <w:r w:rsidRPr="00A2174D">
        <w:rPr>
          <w:color w:val="000000" w:themeColor="text1"/>
        </w:rPr>
        <w:t xml:space="preserve"> - </w:t>
      </w:r>
      <w:r w:rsidRPr="000F4342">
        <w:rPr>
          <w:color w:val="000000" w:themeColor="text1"/>
        </w:rPr>
        <w:t xml:space="preserve">depended on a trust culture (Timperley, 2008) that is not always guaranteed in traditionally hierarchical schools. </w:t>
      </w:r>
      <w:proofErr w:type="gramStart"/>
      <w:r w:rsidRPr="000F4342">
        <w:rPr>
          <w:color w:val="000000" w:themeColor="text1"/>
        </w:rPr>
        <w:t>In reality, teachers</w:t>
      </w:r>
      <w:proofErr w:type="gramEnd"/>
      <w:r w:rsidRPr="000F4342">
        <w:rPr>
          <w:color w:val="000000" w:themeColor="text1"/>
        </w:rPr>
        <w:t xml:space="preserve"> might feel </w:t>
      </w:r>
      <w:r w:rsidRPr="000F4342">
        <w:rPr>
          <w:color w:val="000000" w:themeColor="text1"/>
        </w:rPr>
        <w:lastRenderedPageBreak/>
        <w:t>anxious discarding plans</w:t>
      </w:r>
      <w:r w:rsidRPr="00A2174D">
        <w:rPr>
          <w:color w:val="000000" w:themeColor="text1"/>
        </w:rPr>
        <w:t xml:space="preserve"> they had become accustomed to</w:t>
      </w:r>
      <w:r w:rsidRPr="000F4342">
        <w:rPr>
          <w:color w:val="000000" w:themeColor="text1"/>
        </w:rPr>
        <w:t>, particularly when faced with accountability pressures or GCSE demands. Thus, while the reflective exercise was valuable for diagnosing gaps, it carried inherent risk: teachers unaccustomed to autonomy could find themselves either reluctant to challenge established norms or overly keen to experiment without clear frameworks.</w:t>
      </w:r>
    </w:p>
    <w:p w14:paraId="58957D8F" w14:textId="063058BC" w:rsidR="000F3D14" w:rsidRPr="00A2174D" w:rsidRDefault="000F4342" w:rsidP="000F3D14">
      <w:pPr>
        <w:rPr>
          <w:color w:val="000000" w:themeColor="text1"/>
        </w:rPr>
      </w:pPr>
      <w:r w:rsidRPr="000F4342">
        <w:rPr>
          <w:color w:val="000000" w:themeColor="text1"/>
        </w:rPr>
        <w:t xml:space="preserve">Building on these reflections, teachers were then encouraged to </w:t>
      </w:r>
      <w:r w:rsidR="000F3D14" w:rsidRPr="00A2174D">
        <w:rPr>
          <w:color w:val="000000" w:themeColor="text1"/>
        </w:rPr>
        <w:t>adopt a</w:t>
      </w:r>
      <w:r w:rsidRPr="000F4342">
        <w:rPr>
          <w:color w:val="000000" w:themeColor="text1"/>
        </w:rPr>
        <w:t xml:space="preserve"> thematic </w:t>
      </w:r>
      <w:r w:rsidR="000F3D14" w:rsidRPr="00A2174D">
        <w:rPr>
          <w:color w:val="000000" w:themeColor="text1"/>
        </w:rPr>
        <w:t>approach to curriculum design, seeking to create plans that</w:t>
      </w:r>
      <w:r w:rsidRPr="000F4342">
        <w:rPr>
          <w:color w:val="000000" w:themeColor="text1"/>
        </w:rPr>
        <w:t xml:space="preserve"> resonate with learners’ interests and local contexts (Kelly, 2007)</w:t>
      </w:r>
      <w:r w:rsidR="000F3D14" w:rsidRPr="00A2174D">
        <w:rPr>
          <w:color w:val="000000" w:themeColor="text1"/>
        </w:rPr>
        <w:t>, a departure from the familiar method of teaching a prescribed text</w:t>
      </w:r>
      <w:r w:rsidRPr="000F4342">
        <w:rPr>
          <w:color w:val="000000" w:themeColor="text1"/>
        </w:rPr>
        <w:t xml:space="preserve">. </w:t>
      </w:r>
      <w:r w:rsidR="000F3D14" w:rsidRPr="00A2174D">
        <w:rPr>
          <w:color w:val="000000" w:themeColor="text1"/>
        </w:rPr>
        <w:t xml:space="preserve">After open discussion of important areas of contextually relevant learning opportunities, </w:t>
      </w:r>
      <w:r w:rsidRPr="000F4342">
        <w:rPr>
          <w:color w:val="000000" w:themeColor="text1"/>
        </w:rPr>
        <w:t>themes</w:t>
      </w:r>
      <w:r w:rsidR="000F3D14" w:rsidRPr="00A2174D">
        <w:rPr>
          <w:color w:val="000000" w:themeColor="text1"/>
        </w:rPr>
        <w:t xml:space="preserve"> were chosen democratically: ‘</w:t>
      </w:r>
      <w:r w:rsidRPr="000F4342">
        <w:rPr>
          <w:color w:val="000000" w:themeColor="text1"/>
        </w:rPr>
        <w:t>Power and Control</w:t>
      </w:r>
      <w:r w:rsidR="000F3D14" w:rsidRPr="00A2174D">
        <w:rPr>
          <w:color w:val="000000" w:themeColor="text1"/>
        </w:rPr>
        <w:t>’</w:t>
      </w:r>
      <w:r w:rsidRPr="000F4342">
        <w:rPr>
          <w:color w:val="000000" w:themeColor="text1"/>
        </w:rPr>
        <w:t xml:space="preserve">, </w:t>
      </w:r>
      <w:r w:rsidR="000F3D14" w:rsidRPr="00A2174D">
        <w:rPr>
          <w:color w:val="000000" w:themeColor="text1"/>
        </w:rPr>
        <w:t>‘</w:t>
      </w:r>
      <w:r w:rsidRPr="000F4342">
        <w:rPr>
          <w:color w:val="000000" w:themeColor="text1"/>
        </w:rPr>
        <w:t>Healthy and Unhealthy Relationships</w:t>
      </w:r>
      <w:r w:rsidR="000F3D14" w:rsidRPr="00A2174D">
        <w:rPr>
          <w:color w:val="000000" w:themeColor="text1"/>
        </w:rPr>
        <w:t>’</w:t>
      </w:r>
      <w:r w:rsidRPr="000F4342">
        <w:rPr>
          <w:color w:val="000000" w:themeColor="text1"/>
        </w:rPr>
        <w:t xml:space="preserve">, and </w:t>
      </w:r>
      <w:r w:rsidR="000F3D14" w:rsidRPr="00A2174D">
        <w:rPr>
          <w:color w:val="000000" w:themeColor="text1"/>
        </w:rPr>
        <w:t>‘</w:t>
      </w:r>
      <w:r w:rsidRPr="000F4342">
        <w:rPr>
          <w:color w:val="000000" w:themeColor="text1"/>
        </w:rPr>
        <w:t>Instagram vs Reality</w:t>
      </w:r>
      <w:r w:rsidR="000F3D14" w:rsidRPr="00A2174D">
        <w:rPr>
          <w:color w:val="000000" w:themeColor="text1"/>
        </w:rPr>
        <w:t>’. Each unit was selected to</w:t>
      </w:r>
      <w:r w:rsidRPr="000F4342">
        <w:rPr>
          <w:color w:val="000000" w:themeColor="text1"/>
        </w:rPr>
        <w:t xml:space="preserve"> ignite engagement</w:t>
      </w:r>
      <w:r w:rsidR="000F3D14" w:rsidRPr="00A2174D">
        <w:rPr>
          <w:color w:val="000000" w:themeColor="text1"/>
        </w:rPr>
        <w:t xml:space="preserve"> but also be driven by clear purpose and with inherent opportunities to follow student led lines of enquiry, and to embrace novel learning experiences</w:t>
      </w:r>
      <w:r w:rsidRPr="000F4342">
        <w:rPr>
          <w:color w:val="000000" w:themeColor="text1"/>
        </w:rPr>
        <w:t xml:space="preserve">. Yet, despite a collective decision-making process, the teaching team assumed curatorial authority over topic selection rather than inviting students to co-design the curriculum. This stance reflects Stenhouse’s (1975, p. 9) argument that </w:t>
      </w:r>
      <w:r w:rsidR="000F3D14" w:rsidRPr="00A2174D">
        <w:rPr>
          <w:color w:val="000000" w:themeColor="text1"/>
        </w:rPr>
        <w:t>‘</w:t>
      </w:r>
      <w:r w:rsidRPr="000F4342">
        <w:rPr>
          <w:color w:val="000000" w:themeColor="text1"/>
        </w:rPr>
        <w:t xml:space="preserve">teachers should choose that which </w:t>
      </w:r>
      <w:r w:rsidR="000F3D14" w:rsidRPr="00A2174D">
        <w:rPr>
          <w:color w:val="000000" w:themeColor="text1"/>
        </w:rPr>
        <w:t>is judged worthwhile and attempt to teach is so well that it evokes interest.’</w:t>
      </w:r>
      <w:r w:rsidR="000F3D14" w:rsidRPr="00A2174D">
        <w:rPr>
          <w:color w:val="000000" w:themeColor="text1"/>
        </w:rPr>
        <w:t xml:space="preserve"> Learner voice was </w:t>
      </w:r>
      <w:r w:rsidR="00B16DE1" w:rsidRPr="00A2174D">
        <w:rPr>
          <w:color w:val="000000" w:themeColor="text1"/>
        </w:rPr>
        <w:t>consulted,</w:t>
      </w:r>
      <w:r w:rsidR="00E77B0D" w:rsidRPr="00A2174D">
        <w:rPr>
          <w:color w:val="000000" w:themeColor="text1"/>
        </w:rPr>
        <w:t xml:space="preserve"> and lines of enquiry were established</w:t>
      </w:r>
      <w:r w:rsidR="000F3D14" w:rsidRPr="00A2174D">
        <w:rPr>
          <w:color w:val="000000" w:themeColor="text1"/>
        </w:rPr>
        <w:t>, but tension occurs in the</w:t>
      </w:r>
      <w:r w:rsidRPr="000F4342">
        <w:rPr>
          <w:color w:val="000000" w:themeColor="text1"/>
        </w:rPr>
        <w:t xml:space="preserve"> extent to which students might </w:t>
      </w:r>
      <w:r w:rsidR="00E77B0D" w:rsidRPr="00A2174D">
        <w:rPr>
          <w:color w:val="000000" w:themeColor="text1"/>
        </w:rPr>
        <w:t>sh</w:t>
      </w:r>
      <w:r w:rsidRPr="000F4342">
        <w:rPr>
          <w:color w:val="000000" w:themeColor="text1"/>
        </w:rPr>
        <w:t>ape the</w:t>
      </w:r>
      <w:r w:rsidR="00E77B0D" w:rsidRPr="00A2174D">
        <w:rPr>
          <w:color w:val="000000" w:themeColor="text1"/>
        </w:rPr>
        <w:t>ir</w:t>
      </w:r>
      <w:r w:rsidRPr="000F4342">
        <w:rPr>
          <w:color w:val="000000" w:themeColor="text1"/>
        </w:rPr>
        <w:t xml:space="preserve"> curriculum (Hartley, 2003).</w:t>
      </w:r>
      <w:r w:rsidR="000F3D14" w:rsidRPr="00A2174D">
        <w:rPr>
          <w:color w:val="000000" w:themeColor="text1"/>
        </w:rPr>
        <w:t xml:space="preserve"> </w:t>
      </w:r>
      <w:r w:rsidR="000F3D14" w:rsidRPr="00A2174D">
        <w:rPr>
          <w:color w:val="000000" w:themeColor="text1"/>
        </w:rPr>
        <w:t>In line with Priestley’s (2017) recommendations, attempts were made to not make thematic units for reasons of ‘expediency’, pupil interest instead of relevance, or to appease the demands of examination systems.</w:t>
      </w:r>
      <w:r w:rsidR="000F3D14" w:rsidRPr="00A2174D">
        <w:rPr>
          <w:color w:val="000000" w:themeColor="text1"/>
        </w:rPr>
        <w:t xml:space="preserve"> </w:t>
      </w:r>
      <w:r w:rsidR="000F3D14" w:rsidRPr="00A2174D">
        <w:rPr>
          <w:color w:val="000000" w:themeColor="text1"/>
        </w:rPr>
        <w:t>This ‘curatorship’</w:t>
      </w:r>
      <w:r w:rsidR="00E77B0D" w:rsidRPr="00A2174D">
        <w:rPr>
          <w:color w:val="000000" w:themeColor="text1"/>
        </w:rPr>
        <w:t xml:space="preserve"> was brought up in discussion, an </w:t>
      </w:r>
      <w:r w:rsidR="000F3D14" w:rsidRPr="00A2174D">
        <w:rPr>
          <w:color w:val="000000" w:themeColor="text1"/>
        </w:rPr>
        <w:t xml:space="preserve">especially </w:t>
      </w:r>
      <w:r w:rsidR="00E77B0D" w:rsidRPr="00A2174D">
        <w:rPr>
          <w:color w:val="000000" w:themeColor="text1"/>
        </w:rPr>
        <w:t xml:space="preserve">pertinent issue considering </w:t>
      </w:r>
      <w:r w:rsidR="000F3D14" w:rsidRPr="00A2174D">
        <w:rPr>
          <w:color w:val="000000" w:themeColor="text1"/>
        </w:rPr>
        <w:t>Bernstein’s (1970) concerns about</w:t>
      </w:r>
      <w:r w:rsidR="00E77B0D" w:rsidRPr="00A2174D">
        <w:rPr>
          <w:color w:val="000000" w:themeColor="text1"/>
        </w:rPr>
        <w:t xml:space="preserve"> the</w:t>
      </w:r>
      <w:r w:rsidR="000F3D14" w:rsidRPr="00A2174D">
        <w:rPr>
          <w:color w:val="000000" w:themeColor="text1"/>
        </w:rPr>
        <w:t xml:space="preserve"> distorting </w:t>
      </w:r>
      <w:r w:rsidR="00E77B0D" w:rsidRPr="00A2174D">
        <w:rPr>
          <w:color w:val="000000" w:themeColor="text1"/>
        </w:rPr>
        <w:t>e</w:t>
      </w:r>
      <w:r w:rsidR="000F3D14" w:rsidRPr="00A2174D">
        <w:rPr>
          <w:color w:val="000000" w:themeColor="text1"/>
        </w:rPr>
        <w:t>ffects gatekeepers of knowledge</w:t>
      </w:r>
      <w:r w:rsidR="00E77B0D" w:rsidRPr="00A2174D">
        <w:rPr>
          <w:color w:val="000000" w:themeColor="text1"/>
        </w:rPr>
        <w:t xml:space="preserve"> can have</w:t>
      </w:r>
      <w:r w:rsidR="000F3D14" w:rsidRPr="00A2174D">
        <w:rPr>
          <w:color w:val="000000" w:themeColor="text1"/>
        </w:rPr>
        <w:t>.</w:t>
      </w:r>
    </w:p>
    <w:p w14:paraId="2A959BBF" w14:textId="79FEBE1F" w:rsidR="000F4342" w:rsidRPr="000F4342" w:rsidRDefault="000F4342" w:rsidP="000F4342">
      <w:pPr>
        <w:rPr>
          <w:color w:val="000000" w:themeColor="text1"/>
        </w:rPr>
      </w:pPr>
    </w:p>
    <w:p w14:paraId="4884BF3C" w14:textId="273F28B6" w:rsidR="000F4342" w:rsidRPr="000F4342" w:rsidRDefault="000F4342" w:rsidP="00B16DE1">
      <w:pPr>
        <w:rPr>
          <w:color w:val="000000" w:themeColor="text1"/>
        </w:rPr>
      </w:pPr>
      <w:r w:rsidRPr="000F4342">
        <w:rPr>
          <w:color w:val="000000" w:themeColor="text1"/>
        </w:rPr>
        <w:t xml:space="preserve">A key departure from previous practice was the absence of pre-agreed summative assessments, signalling a deliberate shift away from </w:t>
      </w:r>
      <w:r w:rsidR="00B16DE1" w:rsidRPr="00A2174D">
        <w:rPr>
          <w:color w:val="000000" w:themeColor="text1"/>
        </w:rPr>
        <w:t>‘</w:t>
      </w:r>
      <w:r w:rsidRPr="000F4342">
        <w:rPr>
          <w:color w:val="000000" w:themeColor="text1"/>
        </w:rPr>
        <w:t>performative</w:t>
      </w:r>
      <w:r w:rsidR="00B16DE1" w:rsidRPr="00A2174D">
        <w:rPr>
          <w:color w:val="000000" w:themeColor="text1"/>
        </w:rPr>
        <w:t>’</w:t>
      </w:r>
      <w:r w:rsidRPr="000F4342">
        <w:rPr>
          <w:color w:val="000000" w:themeColor="text1"/>
        </w:rPr>
        <w:t xml:space="preserve"> pedagogies (Perryman &amp; Calvert, 2020) toward</w:t>
      </w:r>
      <w:r w:rsidR="00B16DE1" w:rsidRPr="00A2174D">
        <w:rPr>
          <w:color w:val="000000" w:themeColor="text1"/>
        </w:rPr>
        <w:t xml:space="preserve"> a</w:t>
      </w:r>
      <w:r w:rsidRPr="000F4342">
        <w:rPr>
          <w:color w:val="000000" w:themeColor="text1"/>
        </w:rPr>
        <w:t xml:space="preserve"> process-based model. </w:t>
      </w:r>
      <w:r w:rsidR="00B16DE1" w:rsidRPr="00A2174D">
        <w:rPr>
          <w:color w:val="000000" w:themeColor="text1"/>
        </w:rPr>
        <w:t>T</w:t>
      </w:r>
      <w:r w:rsidRPr="000F4342">
        <w:rPr>
          <w:color w:val="000000" w:themeColor="text1"/>
        </w:rPr>
        <w:t xml:space="preserve">his </w:t>
      </w:r>
      <w:r w:rsidR="00B16DE1" w:rsidRPr="00A2174D">
        <w:rPr>
          <w:color w:val="000000" w:themeColor="text1"/>
        </w:rPr>
        <w:t>was to encourage</w:t>
      </w:r>
      <w:r w:rsidRPr="000F4342">
        <w:rPr>
          <w:color w:val="000000" w:themeColor="text1"/>
        </w:rPr>
        <w:t xml:space="preserve"> </w:t>
      </w:r>
      <w:r w:rsidR="000F3D14" w:rsidRPr="00A2174D">
        <w:rPr>
          <w:color w:val="000000" w:themeColor="text1"/>
        </w:rPr>
        <w:t>‘</w:t>
      </w:r>
      <w:r w:rsidRPr="000F4342">
        <w:rPr>
          <w:color w:val="000000" w:themeColor="text1"/>
        </w:rPr>
        <w:t>unanticipated outcomes</w:t>
      </w:r>
      <w:r w:rsidR="000F3D14" w:rsidRPr="00A2174D">
        <w:rPr>
          <w:color w:val="000000" w:themeColor="text1"/>
        </w:rPr>
        <w:t>’</w:t>
      </w:r>
      <w:r w:rsidRPr="000F4342">
        <w:rPr>
          <w:color w:val="000000" w:themeColor="text1"/>
        </w:rPr>
        <w:t xml:space="preserve"> (Stenhouse, 1975) and the emergence of knowledge that may exceed predefined criteria (McKernan, 2010).</w:t>
      </w:r>
      <w:r w:rsidR="00B16DE1" w:rsidRPr="00A2174D">
        <w:rPr>
          <w:color w:val="000000" w:themeColor="text1"/>
        </w:rPr>
        <w:t xml:space="preserve"> Such decision making also sought to heed</w:t>
      </w:r>
      <w:r w:rsidRPr="000F4342">
        <w:rPr>
          <w:color w:val="000000" w:themeColor="text1"/>
        </w:rPr>
        <w:t xml:space="preserve"> </w:t>
      </w:r>
      <w:proofErr w:type="spellStart"/>
      <w:r w:rsidRPr="000F4342">
        <w:rPr>
          <w:color w:val="000000" w:themeColor="text1"/>
        </w:rPr>
        <w:t>Kliebard’s</w:t>
      </w:r>
      <w:proofErr w:type="spellEnd"/>
      <w:r w:rsidRPr="000F4342">
        <w:rPr>
          <w:color w:val="000000" w:themeColor="text1"/>
        </w:rPr>
        <w:t xml:space="preserve"> (1968) caution that </w:t>
      </w:r>
      <w:r w:rsidR="00B16DE1" w:rsidRPr="00A2174D">
        <w:rPr>
          <w:color w:val="000000" w:themeColor="text1"/>
        </w:rPr>
        <w:t>pre-specification of objectives can</w:t>
      </w:r>
      <w:r w:rsidRPr="000F4342">
        <w:rPr>
          <w:color w:val="000000" w:themeColor="text1"/>
        </w:rPr>
        <w:t xml:space="preserve"> </w:t>
      </w:r>
      <w:r w:rsidR="00B16DE1" w:rsidRPr="00A2174D">
        <w:rPr>
          <w:color w:val="000000" w:themeColor="text1"/>
        </w:rPr>
        <w:t>‘</w:t>
      </w:r>
      <w:r w:rsidRPr="000F4342">
        <w:rPr>
          <w:color w:val="000000" w:themeColor="text1"/>
        </w:rPr>
        <w:t xml:space="preserve">manipulate students into behaving as the teacher </w:t>
      </w:r>
      <w:proofErr w:type="gramStart"/>
      <w:r w:rsidR="00B16DE1" w:rsidRPr="00A2174D">
        <w:rPr>
          <w:color w:val="000000" w:themeColor="text1"/>
        </w:rPr>
        <w:t>wishes’</w:t>
      </w:r>
      <w:proofErr w:type="gramEnd"/>
      <w:r w:rsidR="00B16DE1" w:rsidRPr="00A2174D">
        <w:rPr>
          <w:color w:val="000000" w:themeColor="text1"/>
        </w:rPr>
        <w:t xml:space="preserve">. This may be problematic as </w:t>
      </w:r>
      <w:r w:rsidRPr="000F4342">
        <w:rPr>
          <w:color w:val="000000" w:themeColor="text1"/>
        </w:rPr>
        <w:t xml:space="preserve">it might foster intellectual </w:t>
      </w:r>
      <w:r w:rsidR="00B16DE1" w:rsidRPr="00A2174D">
        <w:rPr>
          <w:color w:val="000000" w:themeColor="text1"/>
        </w:rPr>
        <w:t>freedom but could</w:t>
      </w:r>
      <w:r w:rsidRPr="000F4342">
        <w:rPr>
          <w:color w:val="000000" w:themeColor="text1"/>
        </w:rPr>
        <w:t xml:space="preserve"> equally</w:t>
      </w:r>
      <w:r w:rsidR="00B16DE1" w:rsidRPr="00A2174D">
        <w:rPr>
          <w:color w:val="000000" w:themeColor="text1"/>
        </w:rPr>
        <w:t xml:space="preserve"> obscure</w:t>
      </w:r>
      <w:r w:rsidRPr="000F4342">
        <w:rPr>
          <w:color w:val="000000" w:themeColor="text1"/>
        </w:rPr>
        <w:t xml:space="preserve"> power dynamics if assessment or progression criteria are not transparently negotiated.</w:t>
      </w:r>
    </w:p>
    <w:p w14:paraId="27A93A43" w14:textId="18F1D720" w:rsidR="000F4342" w:rsidRPr="000F4342" w:rsidRDefault="000F4342" w:rsidP="000F4342">
      <w:pPr>
        <w:rPr>
          <w:color w:val="000000" w:themeColor="text1"/>
        </w:rPr>
      </w:pPr>
      <w:r w:rsidRPr="000F4342">
        <w:rPr>
          <w:color w:val="000000" w:themeColor="text1"/>
        </w:rPr>
        <w:t xml:space="preserve">Despite these challenges, the project’s overarching intent was to cultivate a </w:t>
      </w:r>
      <w:r w:rsidR="00B16DE1" w:rsidRPr="00A2174D">
        <w:rPr>
          <w:color w:val="000000" w:themeColor="text1"/>
        </w:rPr>
        <w:t>‘</w:t>
      </w:r>
      <w:r w:rsidRPr="000F4342">
        <w:rPr>
          <w:color w:val="000000" w:themeColor="text1"/>
        </w:rPr>
        <w:t>collaborative practice</w:t>
      </w:r>
      <w:r w:rsidR="00B16DE1" w:rsidRPr="00A2174D">
        <w:rPr>
          <w:color w:val="000000" w:themeColor="text1"/>
        </w:rPr>
        <w:t>’</w:t>
      </w:r>
      <w:r w:rsidRPr="000F4342">
        <w:rPr>
          <w:color w:val="000000" w:themeColor="text1"/>
        </w:rPr>
        <w:t xml:space="preserve"> that regards teachers as co-creators rather than passive implementers of policy. By situating Stenhouse’s</w:t>
      </w:r>
      <w:r w:rsidR="00B16DE1" w:rsidRPr="00A2174D">
        <w:rPr>
          <w:color w:val="000000" w:themeColor="text1"/>
        </w:rPr>
        <w:t xml:space="preserve"> (1975)</w:t>
      </w:r>
      <w:r w:rsidRPr="000F4342">
        <w:rPr>
          <w:color w:val="000000" w:themeColor="text1"/>
        </w:rPr>
        <w:t xml:space="preserve"> </w:t>
      </w:r>
      <w:r w:rsidR="00B16DE1" w:rsidRPr="00A2174D">
        <w:rPr>
          <w:color w:val="000000" w:themeColor="text1"/>
        </w:rPr>
        <w:t>‘</w:t>
      </w:r>
      <w:r w:rsidRPr="000F4342">
        <w:rPr>
          <w:color w:val="000000" w:themeColor="text1"/>
        </w:rPr>
        <w:t>teacher-as-researcher</w:t>
      </w:r>
      <w:r w:rsidR="00B16DE1" w:rsidRPr="00A2174D">
        <w:rPr>
          <w:color w:val="000000" w:themeColor="text1"/>
        </w:rPr>
        <w:t>’</w:t>
      </w:r>
      <w:r w:rsidRPr="000F4342">
        <w:rPr>
          <w:color w:val="000000" w:themeColor="text1"/>
        </w:rPr>
        <w:t xml:space="preserve"> principle at the heart of planning, the innovation aimed to enhance</w:t>
      </w:r>
      <w:r w:rsidR="00B16DE1" w:rsidRPr="00A2174D">
        <w:rPr>
          <w:color w:val="000000" w:themeColor="text1"/>
        </w:rPr>
        <w:t xml:space="preserve"> the agency of teachers to respond to the needs of their learners and to be liberated from prescriptive </w:t>
      </w:r>
      <w:r w:rsidR="00B16DE1" w:rsidRPr="00A2174D">
        <w:rPr>
          <w:color w:val="000000" w:themeColor="text1"/>
        </w:rPr>
        <w:lastRenderedPageBreak/>
        <w:t xml:space="preserve">plans, but also to encourage </w:t>
      </w:r>
      <w:r w:rsidRPr="000F4342">
        <w:rPr>
          <w:color w:val="000000" w:themeColor="text1"/>
        </w:rPr>
        <w:t>iterative inquiry. While genuine agency can be slow to embed</w:t>
      </w:r>
      <w:r w:rsidR="00B16DE1" w:rsidRPr="00A2174D">
        <w:rPr>
          <w:color w:val="000000" w:themeColor="text1"/>
        </w:rPr>
        <w:t xml:space="preserve"> - </w:t>
      </w:r>
      <w:r w:rsidRPr="000F4342">
        <w:rPr>
          <w:color w:val="000000" w:themeColor="text1"/>
        </w:rPr>
        <w:t>particularly in settings where teachers have grown reliant on scripted schemes</w:t>
      </w:r>
      <w:r w:rsidR="00B16DE1" w:rsidRPr="00A2174D">
        <w:rPr>
          <w:color w:val="000000" w:themeColor="text1"/>
        </w:rPr>
        <w:t xml:space="preserve"> - </w:t>
      </w:r>
      <w:r w:rsidRPr="000F4342">
        <w:rPr>
          <w:color w:val="000000" w:themeColor="text1"/>
        </w:rPr>
        <w:t xml:space="preserve">the initiative demonstrates a meaningful attempt to reconcile </w:t>
      </w:r>
      <w:proofErr w:type="spellStart"/>
      <w:r w:rsidRPr="000F4342">
        <w:rPr>
          <w:color w:val="000000" w:themeColor="text1"/>
        </w:rPr>
        <w:t>CfW’s</w:t>
      </w:r>
      <w:proofErr w:type="spellEnd"/>
      <w:r w:rsidRPr="000F4342">
        <w:rPr>
          <w:color w:val="000000" w:themeColor="text1"/>
        </w:rPr>
        <w:t xml:space="preserve"> learner-centric ethos with the realities of </w:t>
      </w:r>
      <w:r w:rsidR="00B16DE1" w:rsidRPr="00A2174D">
        <w:rPr>
          <w:color w:val="000000" w:themeColor="text1"/>
        </w:rPr>
        <w:t>classroom</w:t>
      </w:r>
      <w:r w:rsidRPr="000F4342">
        <w:rPr>
          <w:color w:val="000000" w:themeColor="text1"/>
        </w:rPr>
        <w:t xml:space="preserve"> practice. Ultimately, the democratic ethos</w:t>
      </w:r>
      <w:r w:rsidR="00B16DE1" w:rsidRPr="00A2174D">
        <w:rPr>
          <w:color w:val="000000" w:themeColor="text1"/>
        </w:rPr>
        <w:t xml:space="preserve"> encouraged</w:t>
      </w:r>
      <w:r w:rsidRPr="000F4342">
        <w:rPr>
          <w:color w:val="000000" w:themeColor="text1"/>
        </w:rPr>
        <w:t xml:space="preserve"> by Kelly (2009) and the emphasis on reflection by Stenhouse (1975) </w:t>
      </w:r>
      <w:r w:rsidR="00B16DE1" w:rsidRPr="00A2174D">
        <w:rPr>
          <w:color w:val="000000" w:themeColor="text1"/>
        </w:rPr>
        <w:t>led to decision making that strived to enact cur</w:t>
      </w:r>
      <w:r w:rsidRPr="000F4342">
        <w:rPr>
          <w:color w:val="000000" w:themeColor="text1"/>
        </w:rPr>
        <w:t xml:space="preserve">riculum innovation that </w:t>
      </w:r>
      <w:r w:rsidR="00B16DE1" w:rsidRPr="00A2174D">
        <w:rPr>
          <w:color w:val="000000" w:themeColor="text1"/>
        </w:rPr>
        <w:t xml:space="preserve">encourages the flexibility of teachers and </w:t>
      </w:r>
      <w:r w:rsidR="00CD3115" w:rsidRPr="00A2174D">
        <w:rPr>
          <w:color w:val="000000" w:themeColor="text1"/>
        </w:rPr>
        <w:t>be driven by purpose.</w:t>
      </w:r>
      <w:r w:rsidR="00B16DE1" w:rsidRPr="00A2174D">
        <w:rPr>
          <w:color w:val="000000" w:themeColor="text1"/>
        </w:rPr>
        <w:t xml:space="preserve"> </w:t>
      </w:r>
      <w:r w:rsidR="00CD3115" w:rsidRPr="00A2174D">
        <w:rPr>
          <w:color w:val="000000" w:themeColor="text1"/>
        </w:rPr>
        <w:t xml:space="preserve">The democratisation of curriculum planning and the employment of distributed leadership were essential in successfully navigating this </w:t>
      </w:r>
      <w:r w:rsidR="00387543" w:rsidRPr="00A2174D">
        <w:rPr>
          <w:color w:val="000000" w:themeColor="text1"/>
        </w:rPr>
        <w:t>shift and</w:t>
      </w:r>
      <w:r w:rsidR="00CD3115" w:rsidRPr="00A2174D">
        <w:rPr>
          <w:color w:val="000000" w:themeColor="text1"/>
        </w:rPr>
        <w:t xml:space="preserve"> have started to show the emergence of ‘ownership’ of the curriculum which has been found in studies to lead to increased student performance (Harris, 2013).</w:t>
      </w:r>
    </w:p>
    <w:p w14:paraId="2D1C5FA2" w14:textId="77777777" w:rsidR="000F4342" w:rsidRDefault="000F4342" w:rsidP="007763CC">
      <w:pPr>
        <w:rPr>
          <w:b/>
          <w:bCs/>
          <w:u w:val="single"/>
        </w:rPr>
      </w:pPr>
    </w:p>
    <w:p w14:paraId="7C0D2D65" w14:textId="5EB1B50C" w:rsidR="00AF563D" w:rsidRPr="002B5217" w:rsidRDefault="003C750A" w:rsidP="007763CC">
      <w:pPr>
        <w:rPr>
          <w:b/>
          <w:bCs/>
          <w:color w:val="000000" w:themeColor="text1"/>
          <w:u w:val="single"/>
        </w:rPr>
      </w:pPr>
      <w:r w:rsidRPr="002B5217">
        <w:rPr>
          <w:b/>
          <w:bCs/>
          <w:color w:val="000000" w:themeColor="text1"/>
          <w:u w:val="single"/>
        </w:rPr>
        <w:t>Challenges and Opportunities</w:t>
      </w:r>
    </w:p>
    <w:p w14:paraId="08158988" w14:textId="296B7CF1" w:rsidR="00FF117F" w:rsidRPr="002B5217" w:rsidRDefault="00FF117F" w:rsidP="00C83FB2">
      <w:pPr>
        <w:rPr>
          <w:color w:val="000000" w:themeColor="text1"/>
        </w:rPr>
      </w:pPr>
      <w:r w:rsidRPr="00FF117F">
        <w:rPr>
          <w:color w:val="000000" w:themeColor="text1"/>
        </w:rPr>
        <w:t xml:space="preserve">Shifting the department’s curriculum development </w:t>
      </w:r>
      <w:r w:rsidRPr="002B5217">
        <w:rPr>
          <w:color w:val="000000" w:themeColor="text1"/>
        </w:rPr>
        <w:t xml:space="preserve">practices </w:t>
      </w:r>
      <w:r w:rsidRPr="00FF117F">
        <w:rPr>
          <w:color w:val="000000" w:themeColor="text1"/>
        </w:rPr>
        <w:t xml:space="preserve">toward a more democratic, teacher-led paradigm was met with both enthusiasm and apprehension, reflecting broader complexities documented in </w:t>
      </w:r>
      <w:r w:rsidRPr="002B5217">
        <w:rPr>
          <w:color w:val="000000" w:themeColor="text1"/>
        </w:rPr>
        <w:t>research focusing on the experiences of teachers enacting curricular reform</w:t>
      </w:r>
      <w:r w:rsidRPr="00FF117F">
        <w:rPr>
          <w:color w:val="000000" w:themeColor="text1"/>
        </w:rPr>
        <w:t xml:space="preserve">. </w:t>
      </w:r>
      <w:r w:rsidRPr="002B5217">
        <w:rPr>
          <w:color w:val="000000" w:themeColor="text1"/>
        </w:rPr>
        <w:t>Initially</w:t>
      </w:r>
      <w:r w:rsidR="00426AC3" w:rsidRPr="002B5217">
        <w:rPr>
          <w:color w:val="000000" w:themeColor="text1"/>
        </w:rPr>
        <w:t xml:space="preserve">, in seeking to liberate teachers and challenging them to utilise their professional agency, some concerns were raised about whether the direction being proposed </w:t>
      </w:r>
      <w:r w:rsidRPr="002B5217">
        <w:rPr>
          <w:color w:val="000000" w:themeColor="text1"/>
        </w:rPr>
        <w:t>had interpreted</w:t>
      </w:r>
      <w:r w:rsidR="00426AC3" w:rsidRPr="002B5217">
        <w:rPr>
          <w:color w:val="000000" w:themeColor="text1"/>
        </w:rPr>
        <w:t xml:space="preserve"> </w:t>
      </w:r>
      <w:proofErr w:type="spellStart"/>
      <w:r w:rsidR="00426AC3" w:rsidRPr="002B5217">
        <w:rPr>
          <w:color w:val="000000" w:themeColor="text1"/>
        </w:rPr>
        <w:t>CfW</w:t>
      </w:r>
      <w:proofErr w:type="spellEnd"/>
      <w:r w:rsidR="00426AC3" w:rsidRPr="002B5217">
        <w:rPr>
          <w:color w:val="000000" w:themeColor="text1"/>
        </w:rPr>
        <w:t xml:space="preserve"> </w:t>
      </w:r>
      <w:r w:rsidRPr="002B5217">
        <w:rPr>
          <w:color w:val="000000" w:themeColor="text1"/>
        </w:rPr>
        <w:t>correctly</w:t>
      </w:r>
      <w:r w:rsidR="00426AC3" w:rsidRPr="002B5217">
        <w:rPr>
          <w:color w:val="000000" w:themeColor="text1"/>
        </w:rPr>
        <w:t>. Morrison-Love et al. (2023) encountered similar anxieties</w:t>
      </w:r>
      <w:r w:rsidR="000C279A" w:rsidRPr="002B5217">
        <w:rPr>
          <w:color w:val="000000" w:themeColor="text1"/>
        </w:rPr>
        <w:t xml:space="preserve"> </w:t>
      </w:r>
      <w:r w:rsidRPr="002B5217">
        <w:rPr>
          <w:color w:val="000000" w:themeColor="text1"/>
        </w:rPr>
        <w:t>as educators grappled with the ‘r</w:t>
      </w:r>
      <w:r w:rsidR="00426AC3" w:rsidRPr="002B5217">
        <w:rPr>
          <w:color w:val="000000" w:themeColor="text1"/>
        </w:rPr>
        <w:t xml:space="preserve">ight way’ to interpret </w:t>
      </w:r>
      <w:proofErr w:type="spellStart"/>
      <w:r w:rsidR="00426AC3" w:rsidRPr="002B5217">
        <w:rPr>
          <w:color w:val="000000" w:themeColor="text1"/>
        </w:rPr>
        <w:t>CfW</w:t>
      </w:r>
      <w:proofErr w:type="spellEnd"/>
      <w:r w:rsidRPr="002B5217">
        <w:rPr>
          <w:color w:val="000000" w:themeColor="text1"/>
        </w:rPr>
        <w:t>, finding tension in the inherent lack of prescription</w:t>
      </w:r>
      <w:r w:rsidR="00426AC3" w:rsidRPr="002B5217">
        <w:rPr>
          <w:color w:val="000000" w:themeColor="text1"/>
        </w:rPr>
        <w:t xml:space="preserve">. </w:t>
      </w:r>
      <w:r w:rsidRPr="00FF117F">
        <w:rPr>
          <w:color w:val="000000" w:themeColor="text1"/>
        </w:rPr>
        <w:t>This uncertainty was especially evident among less-experienced colleagues, who, in line with Harris and Graham’s (2019) findings, expressed reservations about relinquishing familiar top-down structures</w:t>
      </w:r>
      <w:r w:rsidRPr="002B5217">
        <w:rPr>
          <w:color w:val="000000" w:themeColor="text1"/>
        </w:rPr>
        <w:t xml:space="preserve">. </w:t>
      </w:r>
      <w:proofErr w:type="gramStart"/>
      <w:r w:rsidRPr="002B5217">
        <w:rPr>
          <w:color w:val="000000" w:themeColor="text1"/>
        </w:rPr>
        <w:t>Similar to</w:t>
      </w:r>
      <w:proofErr w:type="gramEnd"/>
      <w:r w:rsidRPr="002B5217">
        <w:rPr>
          <w:color w:val="000000" w:themeColor="text1"/>
        </w:rPr>
        <w:t xml:space="preserve"> </w:t>
      </w:r>
      <w:r w:rsidR="00F86671" w:rsidRPr="002B5217">
        <w:rPr>
          <w:color w:val="000000" w:themeColor="text1"/>
        </w:rPr>
        <w:t>Harris and Graham’s (2019)</w:t>
      </w:r>
      <w:r w:rsidRPr="002B5217">
        <w:rPr>
          <w:color w:val="000000" w:themeColor="text1"/>
        </w:rPr>
        <w:t xml:space="preserve"> research, which found </w:t>
      </w:r>
      <w:r w:rsidR="00F86671" w:rsidRPr="002B5217">
        <w:rPr>
          <w:color w:val="000000" w:themeColor="text1"/>
        </w:rPr>
        <w:t xml:space="preserve">less experienced teachers </w:t>
      </w:r>
      <w:r w:rsidR="000C279A" w:rsidRPr="002B5217">
        <w:rPr>
          <w:color w:val="000000" w:themeColor="text1"/>
        </w:rPr>
        <w:t>often exhibit less desire for</w:t>
      </w:r>
      <w:r w:rsidR="00F86671" w:rsidRPr="002B5217">
        <w:rPr>
          <w:color w:val="000000" w:themeColor="text1"/>
        </w:rPr>
        <w:t xml:space="preserve"> autonomy due to the perceived stability and safety o</w:t>
      </w:r>
      <w:r w:rsidR="000C279A" w:rsidRPr="002B5217">
        <w:rPr>
          <w:color w:val="000000" w:themeColor="text1"/>
        </w:rPr>
        <w:t>f</w:t>
      </w:r>
      <w:r w:rsidR="00F86671" w:rsidRPr="002B5217">
        <w:rPr>
          <w:color w:val="000000" w:themeColor="text1"/>
        </w:rPr>
        <w:t xml:space="preserve"> top-down accountability</w:t>
      </w:r>
      <w:r w:rsidRPr="002B5217">
        <w:rPr>
          <w:color w:val="000000" w:themeColor="text1"/>
        </w:rPr>
        <w:t xml:space="preserve">, </w:t>
      </w:r>
      <w:r w:rsidRPr="00FF117F">
        <w:rPr>
          <w:color w:val="000000" w:themeColor="text1"/>
        </w:rPr>
        <w:t xml:space="preserve">although these anxieties diminished once </w:t>
      </w:r>
      <w:r w:rsidRPr="002B5217">
        <w:rPr>
          <w:color w:val="000000" w:themeColor="text1"/>
        </w:rPr>
        <w:t>reassurances and support were offered. Experiencing the innovation discussed in c</w:t>
      </w:r>
      <w:r w:rsidRPr="00FF117F">
        <w:rPr>
          <w:color w:val="000000" w:themeColor="text1"/>
        </w:rPr>
        <w:t>ollaborative discussions helped build confidence in their creative capacities.</w:t>
      </w:r>
    </w:p>
    <w:p w14:paraId="53E55408" w14:textId="14E32F9A" w:rsidR="00FF117F" w:rsidRPr="002B5217" w:rsidRDefault="00C74F76" w:rsidP="00C83FB2">
      <w:pPr>
        <w:rPr>
          <w:color w:val="000000" w:themeColor="text1"/>
        </w:rPr>
      </w:pPr>
      <w:r w:rsidRPr="002B5217">
        <w:rPr>
          <w:color w:val="000000" w:themeColor="text1"/>
        </w:rPr>
        <w:t xml:space="preserve">Conversely, teachers with </w:t>
      </w:r>
      <w:r w:rsidRPr="002B5217">
        <w:rPr>
          <w:color w:val="000000" w:themeColor="text1"/>
        </w:rPr>
        <w:t xml:space="preserve">of longer lengths of service </w:t>
      </w:r>
      <w:r w:rsidRPr="002B5217">
        <w:rPr>
          <w:color w:val="000000" w:themeColor="text1"/>
        </w:rPr>
        <w:t>raised pragmatic concerns regarding resource availability, workload, and the viability of sustaining new practices over time</w:t>
      </w:r>
      <w:r w:rsidRPr="002B5217">
        <w:rPr>
          <w:color w:val="000000" w:themeColor="text1"/>
        </w:rPr>
        <w:t xml:space="preserve"> - </w:t>
      </w:r>
      <w:r w:rsidRPr="002B5217">
        <w:rPr>
          <w:color w:val="000000" w:themeColor="text1"/>
        </w:rPr>
        <w:t xml:space="preserve">concerns that McKernan (2010) characterises as almost inevitable when challenging existing norms or introducing entirely new </w:t>
      </w:r>
      <w:r w:rsidRPr="002B5217">
        <w:rPr>
          <w:color w:val="000000" w:themeColor="text1"/>
        </w:rPr>
        <w:t>curriculum initiatives</w:t>
      </w:r>
      <w:r w:rsidRPr="002B5217">
        <w:rPr>
          <w:color w:val="000000" w:themeColor="text1"/>
        </w:rPr>
        <w:t xml:space="preserve">. Such </w:t>
      </w:r>
      <w:r w:rsidR="007D5CF2" w:rsidRPr="002B5217">
        <w:rPr>
          <w:color w:val="000000" w:themeColor="text1"/>
        </w:rPr>
        <w:t>caution is</w:t>
      </w:r>
      <w:r w:rsidRPr="002B5217">
        <w:rPr>
          <w:color w:val="000000" w:themeColor="text1"/>
        </w:rPr>
        <w:t xml:space="preserve"> also in alignment with the findings of </w:t>
      </w:r>
      <w:r w:rsidRPr="002B5217">
        <w:rPr>
          <w:color w:val="000000" w:themeColor="text1"/>
        </w:rPr>
        <w:t xml:space="preserve">Harris and Graham’s (2019) conclusion that repeated exposure to shifting </w:t>
      </w:r>
      <w:r w:rsidRPr="002B5217">
        <w:rPr>
          <w:color w:val="000000" w:themeColor="text1"/>
        </w:rPr>
        <w:t>curriculum decision making</w:t>
      </w:r>
      <w:r w:rsidRPr="002B5217">
        <w:rPr>
          <w:color w:val="000000" w:themeColor="text1"/>
        </w:rPr>
        <w:t xml:space="preserve"> </w:t>
      </w:r>
      <w:r w:rsidRPr="002B5217">
        <w:rPr>
          <w:color w:val="000000" w:themeColor="text1"/>
        </w:rPr>
        <w:t xml:space="preserve">can lead </w:t>
      </w:r>
      <w:r w:rsidR="007D5CF2" w:rsidRPr="002B5217">
        <w:rPr>
          <w:color w:val="000000" w:themeColor="text1"/>
        </w:rPr>
        <w:t>to scepticism</w:t>
      </w:r>
      <w:r w:rsidRPr="002B5217">
        <w:rPr>
          <w:color w:val="000000" w:themeColor="text1"/>
        </w:rPr>
        <w:t xml:space="preserve"> about whether </w:t>
      </w:r>
      <w:r w:rsidRPr="002B5217">
        <w:rPr>
          <w:color w:val="000000" w:themeColor="text1"/>
        </w:rPr>
        <w:t>their</w:t>
      </w:r>
      <w:r w:rsidRPr="002B5217">
        <w:rPr>
          <w:color w:val="000000" w:themeColor="text1"/>
        </w:rPr>
        <w:t xml:space="preserve"> investment </w:t>
      </w:r>
      <w:r w:rsidRPr="002B5217">
        <w:rPr>
          <w:color w:val="000000" w:themeColor="text1"/>
        </w:rPr>
        <w:t xml:space="preserve">will be </w:t>
      </w:r>
      <w:r w:rsidRPr="002B5217">
        <w:rPr>
          <w:color w:val="000000" w:themeColor="text1"/>
        </w:rPr>
        <w:t>worthwhile</w:t>
      </w:r>
      <w:r w:rsidRPr="002B5217">
        <w:rPr>
          <w:color w:val="000000" w:themeColor="text1"/>
        </w:rPr>
        <w:t>, or whether it will be cast aside as new initiates replace it</w:t>
      </w:r>
      <w:r w:rsidRPr="002B5217">
        <w:rPr>
          <w:color w:val="000000" w:themeColor="text1"/>
        </w:rPr>
        <w:t xml:space="preserve">. In this instance, navigating these doubts required transparent dialogue around </w:t>
      </w:r>
      <w:r w:rsidRPr="002B5217">
        <w:rPr>
          <w:color w:val="000000" w:themeColor="text1"/>
        </w:rPr>
        <w:t>the rationale and discussing the theory behind the decisions, as well as</w:t>
      </w:r>
      <w:r w:rsidRPr="002B5217">
        <w:rPr>
          <w:color w:val="000000" w:themeColor="text1"/>
        </w:rPr>
        <w:t xml:space="preserve"> reassurance about</w:t>
      </w:r>
      <w:r w:rsidRPr="002B5217">
        <w:rPr>
          <w:color w:val="000000" w:themeColor="text1"/>
        </w:rPr>
        <w:t xml:space="preserve"> the</w:t>
      </w:r>
      <w:r w:rsidRPr="002B5217">
        <w:rPr>
          <w:color w:val="000000" w:themeColor="text1"/>
        </w:rPr>
        <w:t xml:space="preserve"> commitment to sustaining change.</w:t>
      </w:r>
      <w:r w:rsidRPr="002B5217">
        <w:rPr>
          <w:color w:val="000000" w:themeColor="text1"/>
        </w:rPr>
        <w:t xml:space="preserve"> </w:t>
      </w:r>
    </w:p>
    <w:p w14:paraId="510E3485" w14:textId="5FD46C11" w:rsidR="006607D3" w:rsidRPr="002B5217" w:rsidRDefault="006607D3" w:rsidP="00C83FB2">
      <w:pPr>
        <w:rPr>
          <w:color w:val="000000" w:themeColor="text1"/>
        </w:rPr>
      </w:pPr>
    </w:p>
    <w:p w14:paraId="48CEA2FC" w14:textId="052B82A4" w:rsidR="00E93FB3" w:rsidRPr="00FF117F" w:rsidRDefault="00E93FB3" w:rsidP="00E93FB3">
      <w:pPr>
        <w:rPr>
          <w:color w:val="000000" w:themeColor="text1"/>
        </w:rPr>
      </w:pPr>
      <w:r w:rsidRPr="00FF117F">
        <w:rPr>
          <w:color w:val="000000" w:themeColor="text1"/>
        </w:rPr>
        <w:t>Another obstacle was the initial resistance to critically revisiting the department’s former curriculum plans. This hesitation could be attributed, in part, to distrust in the move from an instructional leadership model to one premised on distributed leadership</w:t>
      </w:r>
      <w:r w:rsidRPr="002B5217">
        <w:rPr>
          <w:color w:val="000000" w:themeColor="text1"/>
        </w:rPr>
        <w:t xml:space="preserve"> - </w:t>
      </w:r>
      <w:r w:rsidRPr="00FF117F">
        <w:rPr>
          <w:color w:val="000000" w:themeColor="text1"/>
        </w:rPr>
        <w:t xml:space="preserve">especially given prior top-down accountability structures. However, when some team members candidly shared their critiques, the </w:t>
      </w:r>
      <w:r w:rsidRPr="002B5217">
        <w:rPr>
          <w:color w:val="000000" w:themeColor="text1"/>
        </w:rPr>
        <w:t xml:space="preserve">team </w:t>
      </w:r>
      <w:r w:rsidRPr="00FF117F">
        <w:rPr>
          <w:color w:val="000000" w:themeColor="text1"/>
        </w:rPr>
        <w:t>began to recognise the value of constructive evaluation, enabling a more open and collaborative spirit to flourish.</w:t>
      </w:r>
    </w:p>
    <w:p w14:paraId="307BD412" w14:textId="74923DB9" w:rsidR="00E93FB3" w:rsidRPr="002B5217" w:rsidRDefault="00E93FB3" w:rsidP="00E93FB3">
      <w:pPr>
        <w:rPr>
          <w:color w:val="000000" w:themeColor="text1"/>
        </w:rPr>
      </w:pPr>
      <w:r w:rsidRPr="002B5217">
        <w:rPr>
          <w:color w:val="000000" w:themeColor="text1"/>
        </w:rPr>
        <w:t xml:space="preserve">Transitioning away from a strictly </w:t>
      </w:r>
      <w:r w:rsidRPr="002B5217">
        <w:rPr>
          <w:color w:val="000000" w:themeColor="text1"/>
        </w:rPr>
        <w:t>‘</w:t>
      </w:r>
      <w:r w:rsidRPr="002B5217">
        <w:rPr>
          <w:color w:val="000000" w:themeColor="text1"/>
        </w:rPr>
        <w:t>knowledge-rich</w:t>
      </w:r>
      <w:r w:rsidRPr="002B5217">
        <w:rPr>
          <w:color w:val="000000" w:themeColor="text1"/>
        </w:rPr>
        <w:t>’</w:t>
      </w:r>
      <w:r w:rsidRPr="002B5217">
        <w:rPr>
          <w:color w:val="000000" w:themeColor="text1"/>
        </w:rPr>
        <w:t xml:space="preserve"> curriculum</w:t>
      </w:r>
      <w:r w:rsidRPr="002B5217">
        <w:rPr>
          <w:color w:val="000000" w:themeColor="text1"/>
        </w:rPr>
        <w:t xml:space="preserve"> </w:t>
      </w:r>
      <w:proofErr w:type="gramStart"/>
      <w:r w:rsidRPr="002B5217">
        <w:rPr>
          <w:color w:val="000000" w:themeColor="text1"/>
        </w:rPr>
        <w:t>similar to</w:t>
      </w:r>
      <w:proofErr w:type="gramEnd"/>
      <w:r w:rsidRPr="002B5217">
        <w:rPr>
          <w:color w:val="000000" w:themeColor="text1"/>
        </w:rPr>
        <w:t xml:space="preserve"> Tyler’s</w:t>
      </w:r>
      <w:r w:rsidRPr="002B5217">
        <w:rPr>
          <w:color w:val="000000" w:themeColor="text1"/>
        </w:rPr>
        <w:t xml:space="preserve"> toward a </w:t>
      </w:r>
      <w:r w:rsidRPr="002B5217">
        <w:rPr>
          <w:color w:val="000000" w:themeColor="text1"/>
        </w:rPr>
        <w:t>‘</w:t>
      </w:r>
      <w:r w:rsidRPr="002B5217">
        <w:rPr>
          <w:color w:val="000000" w:themeColor="text1"/>
        </w:rPr>
        <w:t>process model</w:t>
      </w:r>
      <w:r w:rsidRPr="002B5217">
        <w:rPr>
          <w:color w:val="000000" w:themeColor="text1"/>
        </w:rPr>
        <w:t xml:space="preserve">’ inspired by Stenhouse (1975) and Kelly (2004), </w:t>
      </w:r>
      <w:r w:rsidRPr="002B5217">
        <w:rPr>
          <w:color w:val="000000" w:themeColor="text1"/>
        </w:rPr>
        <w:t>tensions regarding equity, coherence, and pupil entitlement</w:t>
      </w:r>
      <w:r w:rsidRPr="002B5217">
        <w:rPr>
          <w:color w:val="000000" w:themeColor="text1"/>
        </w:rPr>
        <w:t xml:space="preserve"> were raised - </w:t>
      </w:r>
      <w:r w:rsidRPr="002B5217">
        <w:rPr>
          <w:color w:val="000000" w:themeColor="text1"/>
        </w:rPr>
        <w:t>concerns echoed by Bernstein (1968), Young and Muller (2013), and Power, Newton, and Taylor (2020). Sinnema (2017) describes the delicate balance between excessive teacher autonomy, which risks undermining consistent standards, and excessive prescription, which can stifle innovation. In the early stages, teachers questioned whether diverse pedagogical approaches might disadvantage certain learner groups</w:t>
      </w:r>
      <w:r w:rsidRPr="002B5217">
        <w:rPr>
          <w:color w:val="000000" w:themeColor="text1"/>
        </w:rPr>
        <w:t>. H</w:t>
      </w:r>
      <w:r w:rsidRPr="002B5217">
        <w:rPr>
          <w:color w:val="000000" w:themeColor="text1"/>
        </w:rPr>
        <w:t>owever, once they witnessed curriculum planning grounded in genuine learner needs, anxieties subsided, and the department’s confidence in a bottom-up approach grew.</w:t>
      </w:r>
    </w:p>
    <w:p w14:paraId="1983879D" w14:textId="7C32737E" w:rsidR="00E93FB3" w:rsidRPr="002B5217" w:rsidRDefault="00E93FB3" w:rsidP="00E93FB3">
      <w:pPr>
        <w:rPr>
          <w:color w:val="000000" w:themeColor="text1"/>
        </w:rPr>
      </w:pPr>
      <w:r w:rsidRPr="002B5217">
        <w:rPr>
          <w:color w:val="000000" w:themeColor="text1"/>
        </w:rPr>
        <w:t xml:space="preserve">The most persistent challenge revolved around assessment and accountability pressures in Year 9, seen as pivotal for GCSE preparation. </w:t>
      </w:r>
      <w:r w:rsidRPr="002B5217">
        <w:rPr>
          <w:color w:val="000000" w:themeColor="text1"/>
        </w:rPr>
        <w:t>All t</w:t>
      </w:r>
      <w:r w:rsidRPr="002B5217">
        <w:rPr>
          <w:color w:val="000000" w:themeColor="text1"/>
        </w:rPr>
        <w:t>eachers</w:t>
      </w:r>
      <w:r w:rsidRPr="002B5217">
        <w:rPr>
          <w:color w:val="000000" w:themeColor="text1"/>
        </w:rPr>
        <w:t xml:space="preserve"> expressed</w:t>
      </w:r>
      <w:r w:rsidRPr="002B5217">
        <w:rPr>
          <w:color w:val="000000" w:themeColor="text1"/>
        </w:rPr>
        <w:t xml:space="preserve"> fear</w:t>
      </w:r>
      <w:r w:rsidRPr="002B5217">
        <w:rPr>
          <w:color w:val="000000" w:themeColor="text1"/>
        </w:rPr>
        <w:t>s</w:t>
      </w:r>
      <w:r w:rsidRPr="002B5217">
        <w:rPr>
          <w:color w:val="000000" w:themeColor="text1"/>
        </w:rPr>
        <w:t xml:space="preserve"> that a process-driven curriculum would leave students underprepared for external examinations</w:t>
      </w:r>
      <w:r w:rsidR="00057AE6" w:rsidRPr="002B5217">
        <w:rPr>
          <w:color w:val="000000" w:themeColor="text1"/>
        </w:rPr>
        <w:t>, and that Year 9 needed to focus on training for success in terminal examinations</w:t>
      </w:r>
      <w:r w:rsidRPr="002B5217">
        <w:rPr>
          <w:color w:val="000000" w:themeColor="text1"/>
        </w:rPr>
        <w:t xml:space="preserve">. Such trepidations align with research </w:t>
      </w:r>
      <w:r w:rsidR="00057AE6" w:rsidRPr="002B5217">
        <w:rPr>
          <w:color w:val="000000" w:themeColor="text1"/>
        </w:rPr>
        <w:t>that finds concerns about</w:t>
      </w:r>
      <w:r w:rsidRPr="002B5217">
        <w:rPr>
          <w:color w:val="000000" w:themeColor="text1"/>
        </w:rPr>
        <w:t xml:space="preserve"> </w:t>
      </w:r>
      <w:r w:rsidR="00057AE6" w:rsidRPr="002B5217">
        <w:rPr>
          <w:color w:val="000000" w:themeColor="text1"/>
        </w:rPr>
        <w:t>assessment performance</w:t>
      </w:r>
      <w:r w:rsidRPr="002B5217">
        <w:rPr>
          <w:color w:val="000000" w:themeColor="text1"/>
        </w:rPr>
        <w:t xml:space="preserve"> often narrows curricula (Au, 2007; Biesta, 2009) </w:t>
      </w:r>
      <w:r w:rsidR="00057AE6" w:rsidRPr="002B5217">
        <w:rPr>
          <w:color w:val="000000" w:themeColor="text1"/>
        </w:rPr>
        <w:t>p</w:t>
      </w:r>
      <w:r w:rsidRPr="002B5217">
        <w:rPr>
          <w:color w:val="000000" w:themeColor="text1"/>
        </w:rPr>
        <w:t>rompt</w:t>
      </w:r>
      <w:r w:rsidR="00057AE6" w:rsidRPr="002B5217">
        <w:rPr>
          <w:color w:val="000000" w:themeColor="text1"/>
        </w:rPr>
        <w:t>ing</w:t>
      </w:r>
      <w:r w:rsidRPr="002B5217">
        <w:rPr>
          <w:color w:val="000000" w:themeColor="text1"/>
        </w:rPr>
        <w:t xml:space="preserve"> educators to </w:t>
      </w:r>
      <w:r w:rsidR="00057AE6" w:rsidRPr="002B5217">
        <w:rPr>
          <w:color w:val="000000" w:themeColor="text1"/>
        </w:rPr>
        <w:t xml:space="preserve">approach mechanised pedagogies that ‘teach to the test’, a clear threat to the desired shift away from such thinking and to accept a view of curriculum as process. </w:t>
      </w:r>
      <w:r w:rsidRPr="002B5217">
        <w:rPr>
          <w:color w:val="000000" w:themeColor="text1"/>
        </w:rPr>
        <w:t>Many staff members felt inclined to delay any radical restructuring until final GCSE specifications were published</w:t>
      </w:r>
      <w:r w:rsidR="00057AE6" w:rsidRPr="002B5217">
        <w:rPr>
          <w:color w:val="000000" w:themeColor="text1"/>
        </w:rPr>
        <w:t xml:space="preserve"> - </w:t>
      </w:r>
      <w:r w:rsidRPr="002B5217">
        <w:rPr>
          <w:color w:val="000000" w:themeColor="text1"/>
        </w:rPr>
        <w:t>a phenomenon Priestly and Minty (2013)</w:t>
      </w:r>
      <w:r w:rsidR="00057AE6" w:rsidRPr="002B5217">
        <w:rPr>
          <w:color w:val="000000" w:themeColor="text1"/>
        </w:rPr>
        <w:t xml:space="preserve"> describe as a tendency to ‘wait and see’, </w:t>
      </w:r>
      <w:r w:rsidRPr="002B5217">
        <w:rPr>
          <w:color w:val="000000" w:themeColor="text1"/>
        </w:rPr>
        <w:t>not</w:t>
      </w:r>
      <w:r w:rsidR="00057AE6" w:rsidRPr="002B5217">
        <w:rPr>
          <w:color w:val="000000" w:themeColor="text1"/>
        </w:rPr>
        <w:t>ing similar</w:t>
      </w:r>
      <w:r w:rsidRPr="002B5217">
        <w:rPr>
          <w:color w:val="000000" w:themeColor="text1"/>
        </w:rPr>
        <w:t xml:space="preserve"> </w:t>
      </w:r>
      <w:r w:rsidR="00057AE6" w:rsidRPr="002B5217">
        <w:rPr>
          <w:color w:val="000000" w:themeColor="text1"/>
        </w:rPr>
        <w:t>p</w:t>
      </w:r>
      <w:r w:rsidRPr="002B5217">
        <w:rPr>
          <w:color w:val="000000" w:themeColor="text1"/>
        </w:rPr>
        <w:t>revalen</w:t>
      </w:r>
      <w:r w:rsidR="00057AE6" w:rsidRPr="002B5217">
        <w:rPr>
          <w:color w:val="000000" w:themeColor="text1"/>
        </w:rPr>
        <w:t>ce</w:t>
      </w:r>
      <w:r w:rsidRPr="002B5217">
        <w:rPr>
          <w:color w:val="000000" w:themeColor="text1"/>
        </w:rPr>
        <w:t xml:space="preserve"> during Scotland’s </w:t>
      </w:r>
      <w:proofErr w:type="spellStart"/>
      <w:r w:rsidRPr="002B5217">
        <w:rPr>
          <w:color w:val="000000" w:themeColor="text1"/>
        </w:rPr>
        <w:t>CfE</w:t>
      </w:r>
      <w:proofErr w:type="spellEnd"/>
      <w:r w:rsidRPr="002B5217">
        <w:rPr>
          <w:color w:val="000000" w:themeColor="text1"/>
        </w:rPr>
        <w:t xml:space="preserve"> reforms</w:t>
      </w:r>
      <w:r w:rsidR="00057AE6" w:rsidRPr="002B5217">
        <w:rPr>
          <w:color w:val="000000" w:themeColor="text1"/>
        </w:rPr>
        <w:t xml:space="preserve">. Such ‘washback’ effects have been observed by </w:t>
      </w:r>
      <w:r w:rsidRPr="002B5217">
        <w:rPr>
          <w:color w:val="000000" w:themeColor="text1"/>
        </w:rPr>
        <w:t>Morrison-Love et al. (2023) term “washback”</w:t>
      </w:r>
      <w:r w:rsidR="00057AE6" w:rsidRPr="002B5217">
        <w:rPr>
          <w:color w:val="000000" w:themeColor="text1"/>
        </w:rPr>
        <w:t xml:space="preserve"> in their research into teachers’ lived experiences of implementing </w:t>
      </w:r>
      <w:proofErr w:type="spellStart"/>
      <w:r w:rsidR="00057AE6" w:rsidRPr="002B5217">
        <w:rPr>
          <w:color w:val="000000" w:themeColor="text1"/>
        </w:rPr>
        <w:t>CfW</w:t>
      </w:r>
      <w:proofErr w:type="spellEnd"/>
      <w:r w:rsidR="00057AE6" w:rsidRPr="002B5217">
        <w:rPr>
          <w:color w:val="000000" w:themeColor="text1"/>
        </w:rPr>
        <w:t>.</w:t>
      </w:r>
      <w:r w:rsidRPr="002B5217">
        <w:rPr>
          <w:color w:val="000000" w:themeColor="text1"/>
        </w:rPr>
        <w:t xml:space="preserve"> Although </w:t>
      </w:r>
      <w:r w:rsidR="00057AE6" w:rsidRPr="002B5217">
        <w:rPr>
          <w:color w:val="000000" w:themeColor="text1"/>
        </w:rPr>
        <w:t>those waiting for examination specifications tend to do so</w:t>
      </w:r>
      <w:r w:rsidRPr="002B5217">
        <w:rPr>
          <w:color w:val="000000" w:themeColor="text1"/>
        </w:rPr>
        <w:t xml:space="preserve"> mitigate anxiet</w:t>
      </w:r>
      <w:r w:rsidR="00057AE6" w:rsidRPr="002B5217">
        <w:rPr>
          <w:color w:val="000000" w:themeColor="text1"/>
        </w:rPr>
        <w:t>ies</w:t>
      </w:r>
      <w:r w:rsidRPr="002B5217">
        <w:rPr>
          <w:color w:val="000000" w:themeColor="text1"/>
        </w:rPr>
        <w:t xml:space="preserve"> (Chan, 2020), it </w:t>
      </w:r>
      <w:r w:rsidR="00057AE6" w:rsidRPr="002B5217">
        <w:rPr>
          <w:color w:val="000000" w:themeColor="text1"/>
        </w:rPr>
        <w:t>is found to p</w:t>
      </w:r>
      <w:r w:rsidRPr="002B5217">
        <w:rPr>
          <w:color w:val="000000" w:themeColor="text1"/>
        </w:rPr>
        <w:t>aradoxically prolo</w:t>
      </w:r>
      <w:r w:rsidR="00057AE6" w:rsidRPr="002B5217">
        <w:rPr>
          <w:color w:val="000000" w:themeColor="text1"/>
        </w:rPr>
        <w:t>ng</w:t>
      </w:r>
      <w:r w:rsidRPr="002B5217">
        <w:rPr>
          <w:color w:val="000000" w:themeColor="text1"/>
        </w:rPr>
        <w:t xml:space="preserve"> it by perpetuating uncertainty. In response, departmental discussions challenged the notion that examinations should supersede the underlying educational aims, reminding teachers that performativity must not eclipse </w:t>
      </w:r>
      <w:proofErr w:type="spellStart"/>
      <w:r w:rsidRPr="002B5217">
        <w:rPr>
          <w:color w:val="000000" w:themeColor="text1"/>
        </w:rPr>
        <w:t>CfW’s</w:t>
      </w:r>
      <w:proofErr w:type="spellEnd"/>
      <w:r w:rsidRPr="002B5217">
        <w:rPr>
          <w:color w:val="000000" w:themeColor="text1"/>
        </w:rPr>
        <w:t xml:space="preserve"> broader philosophical commitments.</w:t>
      </w:r>
    </w:p>
    <w:p w14:paraId="4C731621" w14:textId="00E76FD1" w:rsidR="00FF117F" w:rsidRPr="002B5217" w:rsidRDefault="00E93FB3" w:rsidP="00C83FB2">
      <w:pPr>
        <w:rPr>
          <w:color w:val="000000" w:themeColor="text1"/>
        </w:rPr>
      </w:pPr>
      <w:r w:rsidRPr="002B5217">
        <w:rPr>
          <w:color w:val="000000" w:themeColor="text1"/>
        </w:rPr>
        <w:t xml:space="preserve">Despite these hurdles, a perceptible shift from wariness to excitement emerged as the innovation progressed. Early discomfort over the absence of pre-specified assessment tasks gradually gave way to a recognition that teacher-led, learner-responsive planning could stimulate curiosity and engagement. Stenhouse’s (1983) critique of </w:t>
      </w:r>
      <w:r w:rsidR="00057AE6" w:rsidRPr="002B5217">
        <w:rPr>
          <w:color w:val="000000" w:themeColor="text1"/>
        </w:rPr>
        <w:t>‘</w:t>
      </w:r>
      <w:r w:rsidRPr="002B5217">
        <w:rPr>
          <w:color w:val="000000" w:themeColor="text1"/>
        </w:rPr>
        <w:t xml:space="preserve">rhetoric of </w:t>
      </w:r>
      <w:r w:rsidRPr="002B5217">
        <w:rPr>
          <w:color w:val="000000" w:themeColor="text1"/>
        </w:rPr>
        <w:lastRenderedPageBreak/>
        <w:t>conclusions</w:t>
      </w:r>
      <w:r w:rsidR="00057AE6" w:rsidRPr="002B5217">
        <w:rPr>
          <w:color w:val="000000" w:themeColor="text1"/>
        </w:rPr>
        <w:t>’</w:t>
      </w:r>
      <w:r w:rsidRPr="002B5217">
        <w:rPr>
          <w:color w:val="000000" w:themeColor="text1"/>
        </w:rPr>
        <w:t xml:space="preserve"> proved </w:t>
      </w:r>
      <w:r w:rsidR="00057AE6" w:rsidRPr="002B5217">
        <w:rPr>
          <w:color w:val="000000" w:themeColor="text1"/>
        </w:rPr>
        <w:t>apt</w:t>
      </w:r>
      <w:r w:rsidRPr="002B5217">
        <w:rPr>
          <w:color w:val="000000" w:themeColor="text1"/>
        </w:rPr>
        <w:t>: once teachers relinquished rigid end-goals, they discovered richer, more organic learning pathways. This transition fostered a growing appreciation for spontaneity, reflective inquiry, and the intrinsic value of knowledge exploration, pointing toward a deeper cultural change where teaching is guided by professional judgment rather than prescriptive formulae.</w:t>
      </w:r>
    </w:p>
    <w:p w14:paraId="59E35930" w14:textId="1461D1D1" w:rsidR="00100F36" w:rsidRPr="002B5217" w:rsidRDefault="003C750A" w:rsidP="00C83FB2">
      <w:pPr>
        <w:rPr>
          <w:b/>
          <w:bCs/>
          <w:color w:val="000000" w:themeColor="text1"/>
          <w:u w:val="single"/>
        </w:rPr>
      </w:pPr>
      <w:r w:rsidRPr="002B5217">
        <w:rPr>
          <w:b/>
          <w:bCs/>
          <w:color w:val="000000" w:themeColor="text1"/>
          <w:u w:val="single"/>
        </w:rPr>
        <w:t>Conclusion and Reflections</w:t>
      </w:r>
    </w:p>
    <w:p w14:paraId="61DB4790" w14:textId="66FACFF4" w:rsidR="00100F36" w:rsidRDefault="008F27D1" w:rsidP="00C83FB2">
      <w:r w:rsidRPr="002B5217">
        <w:rPr>
          <w:color w:val="000000" w:themeColor="text1"/>
        </w:rPr>
        <w:t xml:space="preserve">This report has critically examined curriculum leadership and innovation within the English department, highlighting the tensions between instructional leadership’s structured, outcomes-driven approach (Hallinger &amp; Murphy, 1985) and distributed leadership’s empowerment of teachers as curriculum co-constructors (Harris, 2013; Spillane, 2006). The transition from a prescriptive, objectives-based model (Tyler, 1949) to a more democratic, process-oriented curriculum design (Stenhouse, 1975; Kelly, 2009) has demonstrated the potential for increased teacher agency (Biesta, Priestley &amp; Robinson, 2015), professional creativity (McKernan, 2010), and curriculum relevance to learner needs (Donaldson, 2015). However, challenges such as initial resistance to change (Fullan, 2007), concerns about consistency (Bernstein, 1971; Young &amp; Muller, 2013), and anxieties over assessment (Popham, 1968; Biesta, 2009) underscore the complexities of enacting meaningful curriculum reform. To enhance curriculum leadership and innovation further, future efforts should embed </w:t>
      </w:r>
      <w:r w:rsidRPr="008F27D1">
        <w:t xml:space="preserve">sustained professional learning communities (Stoll et al., 2006; Timperley, 2011) that encourage iterative reflection and inquiry, ensuring teachers feel supported in exercising professional judgment (Evans, 2021). Additionally, leadership structures should balance autonomy with coherence by fostering ‘adaptive expertise’ (Timperley &amp; Parr, 2009), equipping teachers to navigate curriculum complexity without reverting to rigid prescription (Priestley &amp; Biesta, 2013). Finally, engagement with research-informed curriculum design principles (Priestley, Biesta &amp; Robinson, 2015) must remain central, ensuring that innovations align with </w:t>
      </w:r>
      <w:proofErr w:type="spellStart"/>
      <w:r w:rsidRPr="008F27D1">
        <w:t>CfW’s</w:t>
      </w:r>
      <w:proofErr w:type="spellEnd"/>
      <w:r w:rsidRPr="008F27D1">
        <w:t xml:space="preserve"> aspirations for a dynamic, inclusive, and context-responsive curriculum (Welsh Government, 2019). By embedding these strategies, curriculum leadership can move beyond top-down compliance (Hargreaves &amp; Fullan, 2012) or superficial delegation (Harris, 2013), instead cultivating a culture of genuine collaboration, innovation, and sustained professional agency (Sinnema, </w:t>
      </w:r>
      <w:proofErr w:type="spellStart"/>
      <w:r w:rsidRPr="008F27D1">
        <w:t>Nieveen</w:t>
      </w:r>
      <w:proofErr w:type="spellEnd"/>
      <w:r w:rsidRPr="008F27D1">
        <w:t xml:space="preserve"> &amp; Priestley, 2020).</w:t>
      </w:r>
    </w:p>
    <w:p w14:paraId="6693C4C4" w14:textId="77777777" w:rsidR="001209AC" w:rsidRDefault="001209AC"/>
    <w:p w14:paraId="06A37EFE" w14:textId="77777777" w:rsidR="002B5217" w:rsidRDefault="002B5217"/>
    <w:p w14:paraId="72D37234" w14:textId="77777777" w:rsidR="002B5217" w:rsidRDefault="002B5217"/>
    <w:p w14:paraId="5611AC5E" w14:textId="77777777" w:rsidR="002B5217" w:rsidRDefault="002B5217"/>
    <w:p w14:paraId="6982215C" w14:textId="77777777" w:rsidR="002B5217" w:rsidRDefault="002B5217"/>
    <w:p w14:paraId="7FA69A64" w14:textId="77777777" w:rsidR="005B5538" w:rsidRPr="004C3614" w:rsidRDefault="005B5538" w:rsidP="005B5538">
      <w:pPr>
        <w:rPr>
          <w:b/>
          <w:bCs/>
          <w:u w:val="single"/>
        </w:rPr>
      </w:pPr>
      <w:r w:rsidRPr="004C3614">
        <w:rPr>
          <w:b/>
          <w:bCs/>
          <w:u w:val="single"/>
        </w:rPr>
        <w:lastRenderedPageBreak/>
        <w:t>Reference List</w:t>
      </w:r>
    </w:p>
    <w:p w14:paraId="357DE936" w14:textId="77777777" w:rsidR="005B5538" w:rsidRDefault="005B5538" w:rsidP="005B5538">
      <w:r w:rsidRPr="002B5218">
        <w:t xml:space="preserve">Au, W. (2007) High-stakes testing and curricular control: A qualitative </w:t>
      </w:r>
      <w:proofErr w:type="spellStart"/>
      <w:r w:rsidRPr="002B5218">
        <w:t>metasynthesis</w:t>
      </w:r>
      <w:proofErr w:type="spellEnd"/>
      <w:r w:rsidRPr="002B5218">
        <w:t xml:space="preserve">. </w:t>
      </w:r>
      <w:r w:rsidRPr="002B5218">
        <w:rPr>
          <w:i/>
          <w:iCs/>
        </w:rPr>
        <w:t xml:space="preserve">Educational </w:t>
      </w:r>
      <w:r>
        <w:rPr>
          <w:i/>
          <w:iCs/>
        </w:rPr>
        <w:t>R</w:t>
      </w:r>
      <w:r w:rsidRPr="002B5218">
        <w:rPr>
          <w:i/>
          <w:iCs/>
        </w:rPr>
        <w:t>esearcher</w:t>
      </w:r>
      <w:r w:rsidRPr="002B5218">
        <w:t>, 36(5), pp. 258-267.</w:t>
      </w:r>
    </w:p>
    <w:p w14:paraId="3A689DCD" w14:textId="77777777" w:rsidR="005B5538" w:rsidRDefault="005B5538" w:rsidP="005B5538">
      <w:r>
        <w:t xml:space="preserve">Bennet, N., Wise, C., Woods, P. and Harvey, J. (2003) </w:t>
      </w:r>
      <w:r w:rsidRPr="00E13779">
        <w:rPr>
          <w:i/>
          <w:iCs/>
        </w:rPr>
        <w:t>Distributed Leadership: A Review of Literature</w:t>
      </w:r>
      <w:r>
        <w:t>. Nottingham: National College for School Leadership.</w:t>
      </w:r>
    </w:p>
    <w:p w14:paraId="5A7A8B80" w14:textId="77777777" w:rsidR="005B5538" w:rsidRDefault="005B5538" w:rsidP="005B5538">
      <w:r>
        <w:t xml:space="preserve">Bernstein, B. (1971) ‘On the classification and framing of educational knowledge’, In: </w:t>
      </w:r>
      <w:r w:rsidRPr="005C38CF">
        <w:rPr>
          <w:i/>
          <w:iCs/>
        </w:rPr>
        <w:t>Class, Codes and Control Volume 3: Towards a Theory of Educational Transmissions</w:t>
      </w:r>
      <w:r>
        <w:t>. London: Routledge, pp. 85-115.</w:t>
      </w:r>
    </w:p>
    <w:p w14:paraId="2A469906" w14:textId="77777777" w:rsidR="005B5538" w:rsidRDefault="005B5538" w:rsidP="005B5538">
      <w:r>
        <w:t>Bernstein, B. (1990) The Structuring of Pedagogic Discourse: Volume 4 of Class, Codes and Control, London: Routledge.</w:t>
      </w:r>
      <w:r w:rsidRPr="003053CE">
        <w:t xml:space="preserve"> </w:t>
      </w:r>
    </w:p>
    <w:p w14:paraId="716947C1" w14:textId="77777777" w:rsidR="005B5538" w:rsidRDefault="005B5538" w:rsidP="005B5538">
      <w:r w:rsidRPr="00A0143A">
        <w:t xml:space="preserve">Bernstein, B. (2000) </w:t>
      </w:r>
      <w:r w:rsidRPr="00A0143A">
        <w:rPr>
          <w:i/>
          <w:iCs/>
        </w:rPr>
        <w:t>Pedagogy, symbolic control, and identity: Theory, research, critique (Vol. 5)</w:t>
      </w:r>
      <w:r w:rsidRPr="00A0143A">
        <w:t>. Rowman &amp; Littlefield.</w:t>
      </w:r>
    </w:p>
    <w:p w14:paraId="6EF2A960" w14:textId="77777777" w:rsidR="005B5538" w:rsidRDefault="005B5538" w:rsidP="005B5538">
      <w:proofErr w:type="spellStart"/>
      <w:r>
        <w:t>Bhuttah</w:t>
      </w:r>
      <w:proofErr w:type="spellEnd"/>
      <w:r>
        <w:t xml:space="preserve">, T., </w:t>
      </w:r>
      <w:proofErr w:type="spellStart"/>
      <w:r>
        <w:t>Xiaoduan</w:t>
      </w:r>
      <w:proofErr w:type="spellEnd"/>
      <w:r>
        <w:t xml:space="preserve">, C., Ullah, H. and Javed, S. (2019) ‘Analysis of curriculum development stages from the perspective of Tyler, Taba and Wheeler’, </w:t>
      </w:r>
      <w:r w:rsidRPr="009F3A8D">
        <w:rPr>
          <w:i/>
          <w:iCs/>
        </w:rPr>
        <w:t>European Journal of Social Science</w:t>
      </w:r>
      <w:r>
        <w:t>s, 58 (1), pp. 14-22.</w:t>
      </w:r>
    </w:p>
    <w:p w14:paraId="6E58C83A" w14:textId="77777777" w:rsidR="005B5538" w:rsidRDefault="005B5538" w:rsidP="005B5538">
      <w:r w:rsidRPr="00D376CE">
        <w:t xml:space="preserve">Biesta, G. (2009) Good education in an age of measurement: On the need to reconnect with the question of purpose in education. </w:t>
      </w:r>
      <w:r w:rsidRPr="00D376CE">
        <w:rPr>
          <w:i/>
          <w:iCs/>
        </w:rPr>
        <w:t>Educational Assessment, Evaluation and Accountability</w:t>
      </w:r>
      <w:r w:rsidRPr="00D376CE">
        <w:t>, 21(1), pp. 33-46.</w:t>
      </w:r>
    </w:p>
    <w:p w14:paraId="5F0638C1" w14:textId="77777777" w:rsidR="005B5538" w:rsidRDefault="005B5538" w:rsidP="005B5538">
      <w:r>
        <w:t xml:space="preserve">Bolden, R. (2004) </w:t>
      </w:r>
      <w:r w:rsidRPr="005267F5">
        <w:rPr>
          <w:i/>
          <w:iCs/>
        </w:rPr>
        <w:t>What is Leadership?</w:t>
      </w:r>
      <w:r>
        <w:t xml:space="preserve"> Exeter: Centre for Leadership Studies.</w:t>
      </w:r>
    </w:p>
    <w:p w14:paraId="0CBC1C4F" w14:textId="77777777" w:rsidR="005B5538" w:rsidRDefault="005B5538" w:rsidP="005B5538">
      <w:r>
        <w:t xml:space="preserve">Brummelen, H. (1994) </w:t>
      </w:r>
      <w:r w:rsidRPr="005A7B82">
        <w:rPr>
          <w:i/>
          <w:iCs/>
        </w:rPr>
        <w:t>Steppingstones to Curriculum</w:t>
      </w:r>
      <w:r>
        <w:t>. Washington: Alta Vista College Press.</w:t>
      </w:r>
    </w:p>
    <w:p w14:paraId="2796AE29" w14:textId="77777777" w:rsidR="005B5538" w:rsidRDefault="005B5538" w:rsidP="005B5538">
      <w:r>
        <w:t xml:space="preserve">Bruner, J. (1966) </w:t>
      </w:r>
      <w:r w:rsidRPr="00E43486">
        <w:rPr>
          <w:i/>
          <w:iCs/>
        </w:rPr>
        <w:t>Toward a Theory of Instruction</w:t>
      </w:r>
      <w:r>
        <w:t xml:space="preserve"> (Cambridge: Harvard University Press).</w:t>
      </w:r>
    </w:p>
    <w:p w14:paraId="5AA41BDB" w14:textId="77777777" w:rsidR="005B5538" w:rsidRPr="00B940D9" w:rsidRDefault="005B5538" w:rsidP="005B5538">
      <w:r>
        <w:t xml:space="preserve">Bush, T. and Glover, D. (2003) ‘School leadership: Concepts and evidence’, </w:t>
      </w:r>
      <w:r w:rsidRPr="00B940D9">
        <w:rPr>
          <w:i/>
          <w:iCs/>
        </w:rPr>
        <w:t>National College for School Leadership</w:t>
      </w:r>
      <w:r>
        <w:rPr>
          <w:i/>
          <w:iCs/>
        </w:rPr>
        <w:t xml:space="preserve">. </w:t>
      </w:r>
      <w:r>
        <w:t xml:space="preserve">Available at: </w:t>
      </w:r>
      <w:r w:rsidRPr="00B940D9">
        <w:t>https://dera.ioe.ac.uk/id/eprint/5119/14/dok217-eng</w:t>
      </w:r>
      <w:r>
        <w:t xml:space="preserve">- </w:t>
      </w:r>
      <w:r w:rsidRPr="00B940D9">
        <w:t>School_Leadership_Concepts_and_Evidence_Redacted.pdf</w:t>
      </w:r>
    </w:p>
    <w:p w14:paraId="64CD8CE7" w14:textId="77777777" w:rsidR="005B5538" w:rsidRDefault="005B5538" w:rsidP="005B5538">
      <w:r>
        <w:t xml:space="preserve">Bush, T. (2007) ‘Educational leadership and management: theory, policy and practice.’ </w:t>
      </w:r>
      <w:r w:rsidRPr="00A03D1B">
        <w:rPr>
          <w:i/>
          <w:iCs/>
        </w:rPr>
        <w:t>South African Journal of Education</w:t>
      </w:r>
      <w:r>
        <w:t>, 27 (3), pp. 391-406.</w:t>
      </w:r>
    </w:p>
    <w:p w14:paraId="3CA36CC9" w14:textId="77777777" w:rsidR="005B5538" w:rsidRDefault="005B5538" w:rsidP="005B5538">
      <w:r>
        <w:t xml:space="preserve">Bush, T. (2008) </w:t>
      </w:r>
      <w:r w:rsidRPr="002B6C76">
        <w:rPr>
          <w:i/>
          <w:iCs/>
        </w:rPr>
        <w:t>Leadership and Management Development in Education</w:t>
      </w:r>
      <w:r>
        <w:t>. London: SAGE Publications.</w:t>
      </w:r>
    </w:p>
    <w:p w14:paraId="64911FF4" w14:textId="77777777" w:rsidR="005B5538" w:rsidRDefault="005B5538" w:rsidP="005B5538">
      <w:r w:rsidRPr="00B106EB">
        <w:t>Ch</w:t>
      </w:r>
      <w:r>
        <w:t>a</w:t>
      </w:r>
      <w:r w:rsidRPr="00B106EB">
        <w:t>n</w:t>
      </w:r>
      <w:r>
        <w:t>, K.</w:t>
      </w:r>
      <w:r w:rsidRPr="00B106EB">
        <w:t xml:space="preserve"> (2020)</w:t>
      </w:r>
      <w:r>
        <w:t xml:space="preserve"> ‘Washback in education: A critical review and its implications for language teachers’. </w:t>
      </w:r>
      <w:r w:rsidRPr="002B0E8A">
        <w:rPr>
          <w:i/>
          <w:iCs/>
        </w:rPr>
        <w:t>Journal of Foreign Language Education and Technology</w:t>
      </w:r>
      <w:r>
        <w:t>, 5 (1), pp. 108-124.</w:t>
      </w:r>
    </w:p>
    <w:p w14:paraId="2E83B1AD" w14:textId="77777777" w:rsidR="005B5538" w:rsidRDefault="005B5538" w:rsidP="005B5538">
      <w:r>
        <w:lastRenderedPageBreak/>
        <w:t xml:space="preserve">Cuban, L. (1988) </w:t>
      </w:r>
      <w:r w:rsidRPr="00DA72A6">
        <w:rPr>
          <w:i/>
          <w:iCs/>
        </w:rPr>
        <w:t>The Managerial Imperative and the Practice of Leadership in Schools</w:t>
      </w:r>
      <w:r>
        <w:t>. Albany: SUNY Press.</w:t>
      </w:r>
    </w:p>
    <w:p w14:paraId="0D44121E" w14:textId="77777777" w:rsidR="005B5538" w:rsidRDefault="005B5538" w:rsidP="005B5538">
      <w:r>
        <w:t xml:space="preserve">Connolly, M., Milton, E., Davies, A. J. and </w:t>
      </w:r>
      <w:proofErr w:type="spellStart"/>
      <w:r>
        <w:t>Barrance</w:t>
      </w:r>
      <w:proofErr w:type="spellEnd"/>
      <w:r>
        <w:t xml:space="preserve">, R. (2018) ‘Turning heads: The impact of political reform on the professional role, identity and recruitment of head teachers in Wales’. </w:t>
      </w:r>
      <w:r w:rsidRPr="001E2CA3">
        <w:rPr>
          <w:i/>
          <w:iCs/>
        </w:rPr>
        <w:t>British Educational Research Journal</w:t>
      </w:r>
      <w:r>
        <w:t>, 44(4), pp. 608-625.</w:t>
      </w:r>
    </w:p>
    <w:p w14:paraId="0777BB54" w14:textId="77777777" w:rsidR="005B5538" w:rsidRDefault="005B5538" w:rsidP="005B5538">
      <w:r w:rsidRPr="00E25526">
        <w:t xml:space="preserve">Davies, A. J., Milton, E., Connolly, M. and </w:t>
      </w:r>
      <w:proofErr w:type="spellStart"/>
      <w:r w:rsidRPr="00E25526">
        <w:t>Barrance</w:t>
      </w:r>
      <w:proofErr w:type="spellEnd"/>
      <w:r w:rsidRPr="00E25526">
        <w:t xml:space="preserve">, R. (2018) Headteacher recruitment, retention and professional development in </w:t>
      </w:r>
      <w:proofErr w:type="spellStart"/>
      <w:r w:rsidRPr="00E25526">
        <w:t>wales</w:t>
      </w:r>
      <w:proofErr w:type="spellEnd"/>
      <w:r w:rsidRPr="00E25526">
        <w:t xml:space="preserve">: Challenges and opportunities. </w:t>
      </w:r>
      <w:proofErr w:type="spellStart"/>
      <w:r w:rsidRPr="00E25526">
        <w:t>Cylchgrawn</w:t>
      </w:r>
      <w:proofErr w:type="spellEnd"/>
      <w:r w:rsidRPr="00E25526">
        <w:t xml:space="preserve"> </w:t>
      </w:r>
      <w:proofErr w:type="spellStart"/>
      <w:r w:rsidRPr="00E25526">
        <w:t>Addysg</w:t>
      </w:r>
      <w:proofErr w:type="spellEnd"/>
      <w:r w:rsidRPr="00E25526">
        <w:t xml:space="preserve"> Cymru/Wales Journal of Education, 20(2), pp. 204-224.</w:t>
      </w:r>
    </w:p>
    <w:p w14:paraId="175A425C" w14:textId="77777777" w:rsidR="005B5538" w:rsidRDefault="005B5538" w:rsidP="005B5538">
      <w:r>
        <w:t xml:space="preserve">Donaldson, G. (2015) Successful Futures: Independent Review of Curriculum and Assessment Arrangements in Wales. Available at: </w:t>
      </w:r>
      <w:r w:rsidRPr="009B65B2">
        <w:t>https://www.gov.wales/sites/default/files/publications/2018-03/successful-futures.pdf</w:t>
      </w:r>
    </w:p>
    <w:p w14:paraId="7CB089C7" w14:textId="77777777" w:rsidR="005B5538" w:rsidRDefault="005B5538" w:rsidP="005B5538">
      <w:proofErr w:type="spellStart"/>
      <w:r w:rsidRPr="0016136C">
        <w:t>Duyar</w:t>
      </w:r>
      <w:proofErr w:type="spellEnd"/>
      <w:r>
        <w:t>,</w:t>
      </w:r>
      <w:r w:rsidRPr="0016136C">
        <w:t xml:space="preserve"> I</w:t>
      </w:r>
      <w:r>
        <w:t>.</w:t>
      </w:r>
      <w:r w:rsidRPr="0016136C">
        <w:t xml:space="preserve">, </w:t>
      </w:r>
      <w:r w:rsidRPr="0087686C">
        <w:t>Gümüş</w:t>
      </w:r>
      <w:r>
        <w:t>,</w:t>
      </w:r>
      <w:r w:rsidRPr="0016136C">
        <w:t xml:space="preserve"> S</w:t>
      </w:r>
      <w:r>
        <w:t>. and</w:t>
      </w:r>
      <w:r w:rsidRPr="0016136C">
        <w:t xml:space="preserve"> </w:t>
      </w:r>
      <w:proofErr w:type="spellStart"/>
      <w:r w:rsidRPr="0016136C">
        <w:t>Bellibas</w:t>
      </w:r>
      <w:proofErr w:type="spellEnd"/>
      <w:r>
        <w:t>,</w:t>
      </w:r>
      <w:r w:rsidRPr="0016136C">
        <w:t xml:space="preserve"> M</w:t>
      </w:r>
      <w:r>
        <w:t>.</w:t>
      </w:r>
      <w:r w:rsidRPr="0016136C">
        <w:t xml:space="preserve"> (2013) </w:t>
      </w:r>
      <w:r>
        <w:t>‘</w:t>
      </w:r>
      <w:r w:rsidRPr="0016136C">
        <w:t>Multilevel analysis of teacher work attitudes: The influence of principal leadership and teacher collaboration</w:t>
      </w:r>
      <w:r>
        <w:t>’</w:t>
      </w:r>
      <w:r w:rsidRPr="0016136C">
        <w:t xml:space="preserve">. </w:t>
      </w:r>
      <w:r w:rsidRPr="0016136C">
        <w:rPr>
          <w:i/>
          <w:iCs/>
        </w:rPr>
        <w:t>International Journal of Educational Management</w:t>
      </w:r>
      <w:r w:rsidRPr="0016136C">
        <w:t xml:space="preserve"> 27(7)</w:t>
      </w:r>
      <w:r>
        <w:t>, pp.</w:t>
      </w:r>
      <w:r w:rsidRPr="0016136C">
        <w:t xml:space="preserve"> 700–719.</w:t>
      </w:r>
    </w:p>
    <w:p w14:paraId="1BA286A4" w14:textId="77777777" w:rsidR="005B5538" w:rsidRDefault="005B5538" w:rsidP="005B5538">
      <w:r>
        <w:t xml:space="preserve">Erichsen, K. and Reynolds, J. (2020) ‘Public school accountability, workplace culture, and teacher’, Social Science Research, 85. Available at: </w:t>
      </w:r>
      <w:hyperlink r:id="rId6" w:history="1">
        <w:r w:rsidRPr="0097650A">
          <w:t>https://doi.org/10.1016/j.ssresearch.2019.102347</w:t>
        </w:r>
      </w:hyperlink>
    </w:p>
    <w:p w14:paraId="4513F20F" w14:textId="77777777" w:rsidR="005B5538" w:rsidRDefault="005B5538" w:rsidP="005B5538">
      <w:r>
        <w:t xml:space="preserve">Evans, G. (2021) ‘Back to the future? Reflections on three phases of education policy reform in Wales and their implications for teachers’. </w:t>
      </w:r>
      <w:r w:rsidRPr="00561CFE">
        <w:rPr>
          <w:i/>
          <w:iCs/>
        </w:rPr>
        <w:t>Journal of Educational Change</w:t>
      </w:r>
      <w:r>
        <w:t>, 23(3), pp. 371-396.</w:t>
      </w:r>
    </w:p>
    <w:p w14:paraId="2939F0EF" w14:textId="77777777" w:rsidR="005B5538" w:rsidRDefault="005B5538" w:rsidP="005B5538">
      <w:r w:rsidRPr="00C43AD0">
        <w:t xml:space="preserve">Evans, G. (2023) ‘A new dawn or false hope? Exploring the early implementation of curriculum for Wales’, </w:t>
      </w:r>
      <w:r w:rsidRPr="00C43AD0">
        <w:rPr>
          <w:i/>
          <w:iCs/>
        </w:rPr>
        <w:t>Education Inquiry</w:t>
      </w:r>
      <w:r w:rsidRPr="00C43AD0">
        <w:t>, pp. 1</w:t>
      </w:r>
      <w:r>
        <w:t>-</w:t>
      </w:r>
      <w:r w:rsidRPr="00C43AD0">
        <w:t>15. Available at: https://doi.org/10.1080/20004508.2023.2297506</w:t>
      </w:r>
    </w:p>
    <w:p w14:paraId="2EDCBF3E" w14:textId="77777777" w:rsidR="005B5538" w:rsidRDefault="005B5538" w:rsidP="005B5538">
      <w:r>
        <w:t xml:space="preserve">Fitzgerald, T. and Gunter, H. (2006) ‘Teacher leadership? A new form of managerialism’, </w:t>
      </w:r>
      <w:r w:rsidRPr="0022437A">
        <w:rPr>
          <w:i/>
          <w:iCs/>
        </w:rPr>
        <w:t>New Zealand Journal of Educational Leadership</w:t>
      </w:r>
      <w:r>
        <w:t>, 21 (2), pp. 44-57.</w:t>
      </w:r>
    </w:p>
    <w:p w14:paraId="65A16CC3" w14:textId="77777777" w:rsidR="005B5538" w:rsidRDefault="005B5538" w:rsidP="005B5538">
      <w:r w:rsidRPr="0034398A">
        <w:t>Ganon-</w:t>
      </w:r>
      <w:proofErr w:type="spellStart"/>
      <w:r w:rsidRPr="0034398A">
        <w:t>Shilon</w:t>
      </w:r>
      <w:proofErr w:type="spellEnd"/>
      <w:r>
        <w:t>, S.</w:t>
      </w:r>
      <w:r w:rsidRPr="0034398A">
        <w:t xml:space="preserve"> and Schechter</w:t>
      </w:r>
      <w:r>
        <w:t>, C.</w:t>
      </w:r>
      <w:r w:rsidRPr="0034398A">
        <w:t xml:space="preserve"> (2017)</w:t>
      </w:r>
      <w:r>
        <w:t xml:space="preserve"> ‘Making sense of school leaders’ sense-making’, </w:t>
      </w:r>
      <w:r w:rsidRPr="002205DC">
        <w:rPr>
          <w:i/>
          <w:iCs/>
        </w:rPr>
        <w:t>Educational Management Administration and Leadership</w:t>
      </w:r>
      <w:r>
        <w:t>, 45 (4), pp. 682-698.</w:t>
      </w:r>
    </w:p>
    <w:p w14:paraId="7CD65A5D" w14:textId="77777777" w:rsidR="005B5538" w:rsidRDefault="005B5538" w:rsidP="005B5538">
      <w:proofErr w:type="spellStart"/>
      <w:r w:rsidRPr="008A7676">
        <w:t>Glatthorn</w:t>
      </w:r>
      <w:proofErr w:type="spellEnd"/>
      <w:r w:rsidRPr="008A7676">
        <w:t>,</w:t>
      </w:r>
      <w:r>
        <w:t xml:space="preserve"> A.,</w:t>
      </w:r>
      <w:r w:rsidRPr="008A7676">
        <w:t xml:space="preserve"> Boschee,</w:t>
      </w:r>
      <w:r>
        <w:t xml:space="preserve"> F.,</w:t>
      </w:r>
      <w:r w:rsidRPr="008A7676">
        <w:t xml:space="preserve"> Whitehead,</w:t>
      </w:r>
      <w:r>
        <w:t xml:space="preserve"> B.</w:t>
      </w:r>
      <w:r w:rsidRPr="008A7676">
        <w:t xml:space="preserve"> </w:t>
      </w:r>
      <w:r>
        <w:t>and</w:t>
      </w:r>
      <w:r w:rsidRPr="008A7676">
        <w:t xml:space="preserve"> Boschee,</w:t>
      </w:r>
      <w:r>
        <w:t xml:space="preserve"> B.</w:t>
      </w:r>
      <w:r w:rsidRPr="008A7676">
        <w:t xml:space="preserve"> </w:t>
      </w:r>
      <w:r>
        <w:t>(</w:t>
      </w:r>
      <w:r w:rsidRPr="008A7676">
        <w:t>2018</w:t>
      </w:r>
      <w:r>
        <w:t xml:space="preserve">) </w:t>
      </w:r>
      <w:r w:rsidRPr="008A7676">
        <w:rPr>
          <w:i/>
          <w:iCs/>
        </w:rPr>
        <w:t>Curriculum Leadership: Strategies for Development and Implementation</w:t>
      </w:r>
      <w:r>
        <w:t xml:space="preserve"> (5</w:t>
      </w:r>
      <w:r w:rsidRPr="008A7676">
        <w:rPr>
          <w:vertAlign w:val="superscript"/>
        </w:rPr>
        <w:t>th</w:t>
      </w:r>
      <w:r>
        <w:t xml:space="preserve"> eds.) London: SAGE Publishing.</w:t>
      </w:r>
    </w:p>
    <w:p w14:paraId="4655A6B5" w14:textId="77777777" w:rsidR="005B5538" w:rsidRDefault="005B5538" w:rsidP="005B5538">
      <w:r>
        <w:t xml:space="preserve">Goddard, J. (2003) ‘Leadership in the (post)modern era’. In: Bennet, N. and Anderson, L. (eds) </w:t>
      </w:r>
      <w:r w:rsidRPr="001858D4">
        <w:rPr>
          <w:i/>
          <w:iCs/>
        </w:rPr>
        <w:t>Rethinking Educational Leadership</w:t>
      </w:r>
      <w:r>
        <w:t>. California: SAGE Publications, pp. 11-26.</w:t>
      </w:r>
    </w:p>
    <w:p w14:paraId="5EE95095" w14:textId="77777777" w:rsidR="005B5538" w:rsidRDefault="005B5538" w:rsidP="005B5538">
      <w:r w:rsidRPr="007B6F2A">
        <w:t>Goddard</w:t>
      </w:r>
      <w:r>
        <w:t>,</w:t>
      </w:r>
      <w:r w:rsidRPr="007B6F2A">
        <w:t xml:space="preserve"> R</w:t>
      </w:r>
      <w:r>
        <w:t>.</w:t>
      </w:r>
      <w:r w:rsidRPr="007B6F2A">
        <w:t>, Goddard</w:t>
      </w:r>
      <w:r>
        <w:t>,</w:t>
      </w:r>
      <w:r w:rsidRPr="007B6F2A">
        <w:t xml:space="preserve"> Y</w:t>
      </w:r>
      <w:r>
        <w:t>.</w:t>
      </w:r>
      <w:r w:rsidRPr="007B6F2A">
        <w:t>, Sook Kim</w:t>
      </w:r>
      <w:r>
        <w:t>,</w:t>
      </w:r>
      <w:r w:rsidRPr="007B6F2A">
        <w:t xml:space="preserve"> E</w:t>
      </w:r>
      <w:r>
        <w:t>. and</w:t>
      </w:r>
      <w:r w:rsidRPr="007B6F2A">
        <w:t xml:space="preserve"> Miller</w:t>
      </w:r>
      <w:r>
        <w:t>,</w:t>
      </w:r>
      <w:r w:rsidRPr="007B6F2A">
        <w:t xml:space="preserve"> R</w:t>
      </w:r>
      <w:r>
        <w:t>.</w:t>
      </w:r>
      <w:r w:rsidRPr="007B6F2A">
        <w:t xml:space="preserve"> (2015) </w:t>
      </w:r>
      <w:r>
        <w:t>‘</w:t>
      </w:r>
      <w:r w:rsidRPr="007B6F2A">
        <w:t xml:space="preserve">A theoretical and empirical analysis of the roles of instructional leadership, teacher collaboration, and collective </w:t>
      </w:r>
      <w:r w:rsidRPr="007B6F2A">
        <w:lastRenderedPageBreak/>
        <w:t>efficacy beliefs in support of student learning</w:t>
      </w:r>
      <w:r>
        <w:t>’</w:t>
      </w:r>
      <w:r w:rsidRPr="007B6F2A">
        <w:t xml:space="preserve">. </w:t>
      </w:r>
      <w:r w:rsidRPr="007B6F2A">
        <w:rPr>
          <w:i/>
          <w:iCs/>
        </w:rPr>
        <w:t>American Journal of Education</w:t>
      </w:r>
      <w:r>
        <w:t>,</w:t>
      </w:r>
      <w:r w:rsidRPr="007B6F2A">
        <w:t xml:space="preserve"> 121</w:t>
      </w:r>
      <w:r>
        <w:t xml:space="preserve"> </w:t>
      </w:r>
      <w:r w:rsidRPr="007B6F2A">
        <w:t>(4)</w:t>
      </w:r>
      <w:r>
        <w:t>,</w:t>
      </w:r>
      <w:r w:rsidRPr="007B6F2A">
        <w:t xml:space="preserve"> </w:t>
      </w:r>
      <w:r>
        <w:t xml:space="preserve">pp. </w:t>
      </w:r>
      <w:r w:rsidRPr="007B6F2A">
        <w:t>501</w:t>
      </w:r>
      <w:r>
        <w:t>-</w:t>
      </w:r>
      <w:r w:rsidRPr="007B6F2A">
        <w:t>530.</w:t>
      </w:r>
    </w:p>
    <w:p w14:paraId="37C5545F" w14:textId="77777777" w:rsidR="005B5538" w:rsidRDefault="005B5538" w:rsidP="005B5538">
      <w:r w:rsidRPr="00C43AD0">
        <w:t xml:space="preserve">Goodson, I. (2003) </w:t>
      </w:r>
      <w:r w:rsidRPr="00C43AD0">
        <w:rPr>
          <w:i/>
          <w:iCs/>
        </w:rPr>
        <w:t>Professional knowledge, professional lives</w:t>
      </w:r>
      <w:r w:rsidRPr="00C43AD0">
        <w:t>. Maidenhead: Open University Press.</w:t>
      </w:r>
    </w:p>
    <w:p w14:paraId="28429E19" w14:textId="77777777" w:rsidR="005B5538" w:rsidRDefault="005B5538" w:rsidP="005B5538">
      <w:proofErr w:type="spellStart"/>
      <w:r>
        <w:t>Gronn</w:t>
      </w:r>
      <w:proofErr w:type="spellEnd"/>
      <w:r>
        <w:t xml:space="preserve">, P. (2002) ‘Distributed leadership as a unit of analysis’, </w:t>
      </w:r>
      <w:r w:rsidRPr="00B23155">
        <w:rPr>
          <w:i/>
          <w:iCs/>
        </w:rPr>
        <w:t>The Leadership Quarterly</w:t>
      </w:r>
      <w:r>
        <w:t xml:space="preserve">, 13 (4), pp. 423-451. </w:t>
      </w:r>
    </w:p>
    <w:p w14:paraId="1EB7F9E7" w14:textId="77777777" w:rsidR="005B5538" w:rsidRDefault="005B5538" w:rsidP="005B5538">
      <w:proofErr w:type="spellStart"/>
      <w:r>
        <w:t>Gronn</w:t>
      </w:r>
      <w:proofErr w:type="spellEnd"/>
      <w:r>
        <w:t xml:space="preserve">, P. (2009) ‘Hybrid leadership’ In: </w:t>
      </w:r>
      <w:proofErr w:type="spellStart"/>
      <w:r>
        <w:t>Leithwood</w:t>
      </w:r>
      <w:proofErr w:type="spellEnd"/>
      <w:r>
        <w:t xml:space="preserve">, K., Mascall, B. and Strauss, T. (eds) Distributed Leadership According to the Evidence. London: Routledge, pp. 17-40. </w:t>
      </w:r>
    </w:p>
    <w:p w14:paraId="12FADE13" w14:textId="77777777" w:rsidR="005B5538" w:rsidRDefault="005B5538" w:rsidP="005B5538">
      <w:r w:rsidRPr="00632037">
        <w:t>Gümüş</w:t>
      </w:r>
      <w:r>
        <w:t>,</w:t>
      </w:r>
      <w:r w:rsidRPr="00632037">
        <w:t xml:space="preserve"> S</w:t>
      </w:r>
      <w:r>
        <w:t>.,</w:t>
      </w:r>
      <w:r w:rsidRPr="00632037">
        <w:t xml:space="preserve"> Bulut</w:t>
      </w:r>
      <w:r>
        <w:t>,</w:t>
      </w:r>
      <w:r w:rsidRPr="00632037">
        <w:t xml:space="preserve"> O</w:t>
      </w:r>
      <w:r>
        <w:t>. and</w:t>
      </w:r>
      <w:r w:rsidRPr="00632037">
        <w:t xml:space="preserve"> </w:t>
      </w:r>
      <w:proofErr w:type="spellStart"/>
      <w:r w:rsidRPr="00632037">
        <w:t>Bellibaş</w:t>
      </w:r>
      <w:proofErr w:type="spellEnd"/>
      <w:r>
        <w:t>,</w:t>
      </w:r>
      <w:r w:rsidRPr="00632037">
        <w:t xml:space="preserve"> M</w:t>
      </w:r>
      <w:r>
        <w:t>.</w:t>
      </w:r>
      <w:r w:rsidRPr="00632037">
        <w:t xml:space="preserve"> (2013) </w:t>
      </w:r>
      <w:r>
        <w:t>‘</w:t>
      </w:r>
      <w:r w:rsidRPr="00632037">
        <w:t>The relationship between principal leadership and teacher collaboration in Turkish primary schools: A multilevel analysis</w:t>
      </w:r>
      <w:r>
        <w:t>’</w:t>
      </w:r>
      <w:r w:rsidRPr="00632037">
        <w:t xml:space="preserve">. </w:t>
      </w:r>
      <w:r w:rsidRPr="00632037">
        <w:rPr>
          <w:i/>
          <w:iCs/>
        </w:rPr>
        <w:t>Education Research and Perspectives</w:t>
      </w:r>
      <w:r>
        <w:rPr>
          <w:i/>
          <w:iCs/>
        </w:rPr>
        <w:t>,</w:t>
      </w:r>
      <w:r w:rsidRPr="00632037">
        <w:t xml:space="preserve"> 40</w:t>
      </w:r>
      <w:r>
        <w:t xml:space="preserve"> </w:t>
      </w:r>
      <w:r w:rsidRPr="00632037">
        <w:t>(1)</w:t>
      </w:r>
      <w:r>
        <w:t>, pp.</w:t>
      </w:r>
      <w:r w:rsidRPr="00632037">
        <w:t xml:space="preserve"> 1–29. </w:t>
      </w:r>
    </w:p>
    <w:p w14:paraId="3D26397F" w14:textId="77777777" w:rsidR="005B5538" w:rsidRDefault="005B5538" w:rsidP="005B5538">
      <w:r w:rsidRPr="00632037">
        <w:t>Gümüş</w:t>
      </w:r>
      <w:r>
        <w:t>,</w:t>
      </w:r>
      <w:r w:rsidRPr="00632037">
        <w:t xml:space="preserve"> S</w:t>
      </w:r>
      <w:r>
        <w:t>.,</w:t>
      </w:r>
      <w:r w:rsidRPr="00632037">
        <w:t xml:space="preserve"> </w:t>
      </w:r>
      <w:proofErr w:type="spellStart"/>
      <w:r w:rsidRPr="00632037">
        <w:t>Bellibaş</w:t>
      </w:r>
      <w:proofErr w:type="spellEnd"/>
      <w:r>
        <w:t xml:space="preserve">, M. and </w:t>
      </w:r>
      <w:r w:rsidRPr="00632037">
        <w:t>Gümüş</w:t>
      </w:r>
      <w:r>
        <w:t>,</w:t>
      </w:r>
      <w:r w:rsidRPr="00632037">
        <w:t xml:space="preserve"> </w:t>
      </w:r>
      <w:r>
        <w:t xml:space="preserve">E. (2018) ‘A systematic review of studies on leadership models in educational research from 1980 to 2014’, Educational Management Administration &amp; Leadership, 46 (1), pp.25-48. Available at: </w:t>
      </w:r>
      <w:hyperlink r:id="rId7" w:history="1">
        <w:r w:rsidRPr="0087686C">
          <w:rPr>
            <w:rStyle w:val="Hyperlink"/>
          </w:rPr>
          <w:t>https://doi.org/10.1177/1741143216659296</w:t>
        </w:r>
      </w:hyperlink>
    </w:p>
    <w:p w14:paraId="7E78989F" w14:textId="77777777" w:rsidR="005B5538" w:rsidRDefault="005B5538" w:rsidP="005B5538">
      <w:r>
        <w:t xml:space="preserve">Gunter, H. (2004) ‘Labels and Labelling in the field of educational leadership’, Discourse – Studies in the Cultural Politics of Education, 25 (1), pp.21-41. Available at: </w:t>
      </w:r>
      <w:r w:rsidRPr="00C37AF4">
        <w:t>https://doi.org/10.1080/0159630042000178464</w:t>
      </w:r>
    </w:p>
    <w:p w14:paraId="738403A5" w14:textId="77777777" w:rsidR="005B5538" w:rsidRDefault="005B5538" w:rsidP="005B5538">
      <w:r>
        <w:t xml:space="preserve">Hallinger, P. and Murphy, J. (1985) Assessing the instructional management behaviour or principals.’ </w:t>
      </w:r>
      <w:r w:rsidRPr="008844DE">
        <w:rPr>
          <w:i/>
          <w:iCs/>
        </w:rPr>
        <w:t>The Elementary School Journal</w:t>
      </w:r>
      <w:r>
        <w:t>, 86 (2), pp. 217-247.</w:t>
      </w:r>
    </w:p>
    <w:p w14:paraId="2A8CC2C2" w14:textId="77777777" w:rsidR="005B5538" w:rsidRDefault="005B5538" w:rsidP="005B5538">
      <w:r>
        <w:t>Hallinger, P. (2003) Leading educational change: Reflections on the practice of instructional and transformational leadership. Cambridge Journal of Education, 33 (3), pp. 329-352.</w:t>
      </w:r>
    </w:p>
    <w:p w14:paraId="75186304" w14:textId="77777777" w:rsidR="005B5538" w:rsidRDefault="005B5538" w:rsidP="005B5538">
      <w:r>
        <w:t>Hargreaves, A. and Fink, D. (2009) ‘Distributed leadership: democracy or delivery?’ In: Harris, A. Distributed leadership: different perspectives. Netherlands: Springer Press.</w:t>
      </w:r>
    </w:p>
    <w:p w14:paraId="439B88CA" w14:textId="77777777" w:rsidR="005B5538" w:rsidRDefault="005B5538" w:rsidP="005B5538">
      <w:r w:rsidRPr="00BE6317">
        <w:t>Harris</w:t>
      </w:r>
      <w:r>
        <w:t>,</w:t>
      </w:r>
      <w:r w:rsidRPr="00BE6317">
        <w:t xml:space="preserve"> A</w:t>
      </w:r>
      <w:r>
        <w:t>.</w:t>
      </w:r>
      <w:r w:rsidRPr="00BE6317">
        <w:t xml:space="preserve">, </w:t>
      </w:r>
      <w:proofErr w:type="spellStart"/>
      <w:r w:rsidRPr="00BE6317">
        <w:t>Leithwood</w:t>
      </w:r>
      <w:proofErr w:type="spellEnd"/>
      <w:r>
        <w:t>,</w:t>
      </w:r>
      <w:r w:rsidRPr="00BE6317">
        <w:t xml:space="preserve"> K</w:t>
      </w:r>
      <w:r>
        <w:t>.</w:t>
      </w:r>
      <w:r w:rsidRPr="00BE6317">
        <w:t>, Day</w:t>
      </w:r>
      <w:r>
        <w:t>,</w:t>
      </w:r>
      <w:r w:rsidRPr="00BE6317">
        <w:t xml:space="preserve"> C</w:t>
      </w:r>
      <w:r>
        <w:t>.</w:t>
      </w:r>
      <w:r w:rsidRPr="00BE6317">
        <w:t>, Sammons</w:t>
      </w:r>
      <w:r>
        <w:t>,</w:t>
      </w:r>
      <w:r w:rsidRPr="00BE6317">
        <w:t xml:space="preserve"> P</w:t>
      </w:r>
      <w:r>
        <w:t>. and</w:t>
      </w:r>
      <w:r w:rsidRPr="00BE6317">
        <w:t xml:space="preserve"> Hopkins</w:t>
      </w:r>
      <w:r>
        <w:t>,</w:t>
      </w:r>
      <w:r w:rsidRPr="00BE6317">
        <w:t xml:space="preserve"> D</w:t>
      </w:r>
      <w:r>
        <w:t>.</w:t>
      </w:r>
      <w:r w:rsidRPr="00BE6317">
        <w:t xml:space="preserve"> (2007) </w:t>
      </w:r>
      <w:r>
        <w:t>‘</w:t>
      </w:r>
      <w:r w:rsidRPr="00BE6317">
        <w:t>Distributed leadership and organizational change: Reviewing the evidence</w:t>
      </w:r>
      <w:r>
        <w:t>’</w:t>
      </w:r>
      <w:r w:rsidRPr="00BE6317">
        <w:t xml:space="preserve">. </w:t>
      </w:r>
      <w:r w:rsidRPr="00BE6317">
        <w:rPr>
          <w:i/>
          <w:iCs/>
        </w:rPr>
        <w:t>Journal of Educational Chang</w:t>
      </w:r>
      <w:r>
        <w:t>e</w:t>
      </w:r>
      <w:r w:rsidRPr="00BE6317">
        <w:t xml:space="preserve"> 8</w:t>
      </w:r>
      <w:r>
        <w:t xml:space="preserve"> </w:t>
      </w:r>
      <w:r w:rsidRPr="00BE6317">
        <w:t>(4)</w:t>
      </w:r>
      <w:r>
        <w:t>, pp.</w:t>
      </w:r>
      <w:r w:rsidRPr="00BE6317">
        <w:t xml:space="preserve"> 337–347.</w:t>
      </w:r>
    </w:p>
    <w:p w14:paraId="40DB7C6F" w14:textId="77777777" w:rsidR="005B5538" w:rsidRDefault="005B5538" w:rsidP="005B5538">
      <w:r w:rsidRPr="007B6F2A">
        <w:t>Harris</w:t>
      </w:r>
      <w:r>
        <w:t>,</w:t>
      </w:r>
      <w:r w:rsidRPr="007B6F2A">
        <w:t xml:space="preserve"> A</w:t>
      </w:r>
      <w:r>
        <w:t>. and</w:t>
      </w:r>
      <w:r w:rsidRPr="007B6F2A">
        <w:t xml:space="preserve"> Jones</w:t>
      </w:r>
      <w:r>
        <w:t>,</w:t>
      </w:r>
      <w:r w:rsidRPr="007B6F2A">
        <w:t xml:space="preserve"> M</w:t>
      </w:r>
      <w:r>
        <w:t>.</w:t>
      </w:r>
      <w:r w:rsidRPr="007B6F2A">
        <w:t xml:space="preserve"> (2010) </w:t>
      </w:r>
      <w:r>
        <w:t>‘</w:t>
      </w:r>
      <w:r w:rsidRPr="007B6F2A">
        <w:t>Professional learning communities and system improvement</w:t>
      </w:r>
      <w:r>
        <w:t>’</w:t>
      </w:r>
      <w:r w:rsidRPr="007B6F2A">
        <w:t xml:space="preserve">. </w:t>
      </w:r>
      <w:r w:rsidRPr="007B6F2A">
        <w:rPr>
          <w:i/>
          <w:iCs/>
        </w:rPr>
        <w:t>Improving Schools</w:t>
      </w:r>
      <w:r>
        <w:t>,</w:t>
      </w:r>
      <w:r w:rsidRPr="007B6F2A">
        <w:t xml:space="preserve"> 13</w:t>
      </w:r>
      <w:r>
        <w:t xml:space="preserve"> </w:t>
      </w:r>
      <w:r w:rsidRPr="007B6F2A">
        <w:t>(2)</w:t>
      </w:r>
      <w:r>
        <w:t>, pp.</w:t>
      </w:r>
      <w:r w:rsidRPr="007B6F2A">
        <w:t xml:space="preserve"> 172–181. </w:t>
      </w:r>
    </w:p>
    <w:p w14:paraId="3F417A01" w14:textId="77777777" w:rsidR="005B5538" w:rsidRDefault="005B5538" w:rsidP="005B5538">
      <w:r>
        <w:t xml:space="preserve">Harris, A. (2013) </w:t>
      </w:r>
      <w:r w:rsidRPr="0010752F">
        <w:rPr>
          <w:i/>
          <w:iCs/>
        </w:rPr>
        <w:t>Distributed Leadership Matters; Potential, Practicalities and Possibilities</w:t>
      </w:r>
      <w:r>
        <w:t>. Thousand Oaks: Corwin Press.</w:t>
      </w:r>
    </w:p>
    <w:p w14:paraId="4DF23D5F" w14:textId="77777777" w:rsidR="005B5538" w:rsidRDefault="005B5538" w:rsidP="005B5538">
      <w:r>
        <w:t xml:space="preserve">Harris, A. and Hargreaves, A. (2013) </w:t>
      </w:r>
      <w:r w:rsidRPr="0061202B">
        <w:rPr>
          <w:i/>
          <w:iCs/>
        </w:rPr>
        <w:t>Schools Performing Beyond Expectations</w:t>
      </w:r>
      <w:r>
        <w:t>. London: Routledge.</w:t>
      </w:r>
    </w:p>
    <w:p w14:paraId="61294A83" w14:textId="77777777" w:rsidR="005B5538" w:rsidRDefault="005B5538" w:rsidP="005B5538">
      <w:r w:rsidRPr="00340B54">
        <w:lastRenderedPageBreak/>
        <w:t>Harris</w:t>
      </w:r>
      <w:r>
        <w:t>, R.</w:t>
      </w:r>
      <w:r w:rsidRPr="00340B54">
        <w:t xml:space="preserve"> and Graham</w:t>
      </w:r>
      <w:r>
        <w:t>, S</w:t>
      </w:r>
      <w:r w:rsidRPr="00340B54">
        <w:t xml:space="preserve"> (2019)</w:t>
      </w:r>
      <w:r>
        <w:t xml:space="preserve"> ‘Engaging with curriculum reform: Insights from English history teachers’ willingness to support curriculum change.’ </w:t>
      </w:r>
      <w:r w:rsidRPr="004102F8">
        <w:rPr>
          <w:i/>
          <w:iCs/>
        </w:rPr>
        <w:t>Journal of Curriculum Studies</w:t>
      </w:r>
      <w:r>
        <w:t>, 51 (1), pp. 43-61.</w:t>
      </w:r>
    </w:p>
    <w:p w14:paraId="081C7E1A" w14:textId="77777777" w:rsidR="005B5538" w:rsidRDefault="005B5538" w:rsidP="005B5538">
      <w:r>
        <w:t>Hartley, D. (2010) ‘Paradigms: how far does research in distributed leadership ‘stretch’?’, Educational Management, Administration and Leadership, 38 (3), pp.271-285.</w:t>
      </w:r>
    </w:p>
    <w:p w14:paraId="481E5E3F" w14:textId="77777777" w:rsidR="005B5538" w:rsidRDefault="005B5538" w:rsidP="005B5538">
      <w:r w:rsidRPr="005D7176">
        <w:t>Heck, R., Larsen,</w:t>
      </w:r>
      <w:r>
        <w:t xml:space="preserve"> </w:t>
      </w:r>
      <w:r w:rsidRPr="005D7176">
        <w:t>T</w:t>
      </w:r>
      <w:r>
        <w:t>.</w:t>
      </w:r>
      <w:r w:rsidRPr="005D7176">
        <w:t xml:space="preserve"> </w:t>
      </w:r>
      <w:r>
        <w:t>and</w:t>
      </w:r>
      <w:r w:rsidRPr="005D7176">
        <w:t xml:space="preserve"> </w:t>
      </w:r>
      <w:proofErr w:type="spellStart"/>
      <w:r w:rsidRPr="005D7176">
        <w:t>Marcoulides</w:t>
      </w:r>
      <w:proofErr w:type="spellEnd"/>
      <w:r w:rsidRPr="005D7176">
        <w:t xml:space="preserve">, G. (1990) </w:t>
      </w:r>
      <w:r>
        <w:t>‘</w:t>
      </w:r>
      <w:r w:rsidRPr="005D7176">
        <w:t>Instructional Leadership and School Achievement:</w:t>
      </w:r>
      <w:r>
        <w:t xml:space="preserve"> </w:t>
      </w:r>
      <w:r w:rsidRPr="005D7176">
        <w:t>Validation of a Causal Model</w:t>
      </w:r>
      <w:r>
        <w:t>’</w:t>
      </w:r>
      <w:r w:rsidRPr="005D7176">
        <w:t>. </w:t>
      </w:r>
      <w:r w:rsidRPr="005D7176">
        <w:rPr>
          <w:i/>
          <w:iCs/>
        </w:rPr>
        <w:t>Educational Administration Quarterly</w:t>
      </w:r>
      <w:r w:rsidRPr="005D7176">
        <w:t>, </w:t>
      </w:r>
      <w:r w:rsidRPr="005D7176">
        <w:rPr>
          <w:i/>
          <w:iCs/>
        </w:rPr>
        <w:t>26</w:t>
      </w:r>
      <w:r w:rsidRPr="005D7176">
        <w:t>(2),</w:t>
      </w:r>
      <w:r>
        <w:t xml:space="preserve"> pp.</w:t>
      </w:r>
      <w:r w:rsidRPr="005D7176">
        <w:t xml:space="preserve"> 94-125.</w:t>
      </w:r>
      <w:r>
        <w:t xml:space="preserve"> Available at:</w:t>
      </w:r>
      <w:r w:rsidRPr="005D7176">
        <w:t> </w:t>
      </w:r>
      <w:hyperlink r:id="rId8" w:history="1">
        <w:r w:rsidRPr="005D7176">
          <w:rPr>
            <w:rStyle w:val="Hyperlink"/>
          </w:rPr>
          <w:t>https://doi.org/10.1177/0013161X90026002002</w:t>
        </w:r>
      </w:hyperlink>
    </w:p>
    <w:p w14:paraId="50127692" w14:textId="77777777" w:rsidR="005B5538" w:rsidRDefault="005B5538" w:rsidP="005B5538">
      <w:r>
        <w:t xml:space="preserve">Hogben, </w:t>
      </w:r>
      <w:r w:rsidRPr="00E43486">
        <w:t xml:space="preserve">D. (1972) </w:t>
      </w:r>
      <w:r>
        <w:t>‘</w:t>
      </w:r>
      <w:r w:rsidRPr="00E43486">
        <w:t xml:space="preserve">The behavioural objectives approach: some problems and some </w:t>
      </w:r>
      <w:proofErr w:type="gramStart"/>
      <w:r w:rsidRPr="00E43486">
        <w:t>dangers</w:t>
      </w:r>
      <w:r>
        <w:t>’</w:t>
      </w:r>
      <w:proofErr w:type="gramEnd"/>
      <w:r w:rsidRPr="00E43486">
        <w:t xml:space="preserve">. </w:t>
      </w:r>
      <w:r w:rsidRPr="00E43486">
        <w:rPr>
          <w:i/>
          <w:iCs/>
        </w:rPr>
        <w:t>Journal of Curriculum Studies</w:t>
      </w:r>
      <w:r w:rsidRPr="00E43486">
        <w:t>, 4</w:t>
      </w:r>
      <w:r>
        <w:t xml:space="preserve"> (</w:t>
      </w:r>
      <w:r w:rsidRPr="00E43486">
        <w:t>1</w:t>
      </w:r>
      <w:r>
        <w:t>)</w:t>
      </w:r>
      <w:r w:rsidRPr="00E43486">
        <w:t xml:space="preserve">, </w:t>
      </w:r>
      <w:r>
        <w:t xml:space="preserve">pp. </w:t>
      </w:r>
      <w:r w:rsidRPr="00E43486">
        <w:t>42-50.</w:t>
      </w:r>
    </w:p>
    <w:p w14:paraId="6F5B9727" w14:textId="77777777" w:rsidR="005B5538" w:rsidRDefault="005B5538" w:rsidP="005B5538">
      <w:r>
        <w:t xml:space="preserve">Huizinga, T., </w:t>
      </w:r>
      <w:proofErr w:type="spellStart"/>
      <w:r>
        <w:t>Handelzalts</w:t>
      </w:r>
      <w:proofErr w:type="spellEnd"/>
      <w:r>
        <w:t xml:space="preserve">, A., </w:t>
      </w:r>
      <w:proofErr w:type="spellStart"/>
      <w:r>
        <w:t>Nieveen</w:t>
      </w:r>
      <w:proofErr w:type="spellEnd"/>
      <w:r>
        <w:t xml:space="preserve">, N. and Voogt, J. M. (2014) Teacher involvement in curriculum design: Need for </w:t>
      </w:r>
      <w:proofErr w:type="gramStart"/>
      <w:r>
        <w:t>support to support</w:t>
      </w:r>
      <w:proofErr w:type="gramEnd"/>
      <w:r>
        <w:t xml:space="preserve"> teachers’ design expertise. Journal of Curriculum Studies, 46 (1), pp. 33-57.</w:t>
      </w:r>
    </w:p>
    <w:p w14:paraId="27C2A463" w14:textId="77777777" w:rsidR="005B5538" w:rsidRDefault="005B5538" w:rsidP="005B5538">
      <w:r>
        <w:t>Jackson, P.</w:t>
      </w:r>
      <w:r w:rsidRPr="0090574B">
        <w:t xml:space="preserve"> (1966) </w:t>
      </w:r>
      <w:r>
        <w:t>‘</w:t>
      </w:r>
      <w:r w:rsidRPr="0090574B">
        <w:t xml:space="preserve">The way teaching </w:t>
      </w:r>
      <w:proofErr w:type="gramStart"/>
      <w:r w:rsidRPr="0090574B">
        <w:t>is</w:t>
      </w:r>
      <w:r>
        <w:t>’</w:t>
      </w:r>
      <w:proofErr w:type="gramEnd"/>
      <w:r w:rsidRPr="0090574B">
        <w:t xml:space="preserve">. </w:t>
      </w:r>
      <w:r>
        <w:t xml:space="preserve">US Department of health, education &amp; welfare, pp. </w:t>
      </w:r>
      <w:r w:rsidRPr="0090574B">
        <w:t>7-27</w:t>
      </w:r>
      <w:r>
        <w:t xml:space="preserve">. Available at: </w:t>
      </w:r>
      <w:hyperlink r:id="rId9" w:history="1">
        <w:r w:rsidRPr="00E0591F">
          <w:rPr>
            <w:rStyle w:val="Hyperlink"/>
          </w:rPr>
          <w:t>https://files.eric.ed.gov/fulltext/ED028110.pdf</w:t>
        </w:r>
      </w:hyperlink>
    </w:p>
    <w:p w14:paraId="71292F1F" w14:textId="77777777" w:rsidR="005B5538" w:rsidRDefault="005B5538" w:rsidP="005B5538">
      <w:r>
        <w:t xml:space="preserve">Jackson, P. (1968) </w:t>
      </w:r>
      <w:r w:rsidRPr="000A0FB7">
        <w:rPr>
          <w:i/>
          <w:iCs/>
        </w:rPr>
        <w:t>Life in Classrooms</w:t>
      </w:r>
      <w:r>
        <w:t>. New York: Holt, Rinehart &amp; Winston.</w:t>
      </w:r>
    </w:p>
    <w:p w14:paraId="5401AB33" w14:textId="77777777" w:rsidR="005B5538" w:rsidRDefault="005B5538" w:rsidP="005B5538">
      <w:r>
        <w:t xml:space="preserve">Kelly, A. (2004) </w:t>
      </w:r>
      <w:r w:rsidRPr="008F0A39">
        <w:rPr>
          <w:i/>
          <w:iCs/>
        </w:rPr>
        <w:t>The curriculum: Theory and practice</w:t>
      </w:r>
      <w:r>
        <w:t xml:space="preserve"> (5 ed.) London: Sage.</w:t>
      </w:r>
    </w:p>
    <w:p w14:paraId="5F11B5F1" w14:textId="77777777" w:rsidR="005B5538" w:rsidRDefault="005B5538" w:rsidP="005B5538">
      <w:proofErr w:type="spellStart"/>
      <w:r>
        <w:t>Kliebard</w:t>
      </w:r>
      <w:proofErr w:type="spellEnd"/>
      <w:r>
        <w:t xml:space="preserve">, </w:t>
      </w:r>
      <w:r w:rsidRPr="006D13E0">
        <w:t xml:space="preserve">H. (1968) </w:t>
      </w:r>
      <w:r>
        <w:t>‘</w:t>
      </w:r>
      <w:r w:rsidRPr="006D13E0">
        <w:t>Curricular objectives and evaluation: a reassessment</w:t>
      </w:r>
      <w:r>
        <w:t>’</w:t>
      </w:r>
      <w:r w:rsidRPr="006D13E0">
        <w:t xml:space="preserve">. </w:t>
      </w:r>
      <w:r w:rsidRPr="006D13E0">
        <w:rPr>
          <w:i/>
          <w:iCs/>
        </w:rPr>
        <w:t>The High School Journal</w:t>
      </w:r>
      <w:r w:rsidRPr="006D13E0">
        <w:t xml:space="preserve">, </w:t>
      </w:r>
      <w:r>
        <w:t xml:space="preserve">pp. </w:t>
      </w:r>
      <w:r w:rsidRPr="006D13E0">
        <w:t>241-247.</w:t>
      </w:r>
    </w:p>
    <w:p w14:paraId="457DC667" w14:textId="77777777" w:rsidR="005B5538" w:rsidRDefault="005B5538" w:rsidP="005B5538">
      <w:r w:rsidRPr="001941F2">
        <w:t xml:space="preserve">Kotter, J. P. (1996) </w:t>
      </w:r>
      <w:r w:rsidRPr="001941F2">
        <w:rPr>
          <w:i/>
          <w:iCs/>
        </w:rPr>
        <w:t>Leading change</w:t>
      </w:r>
      <w:r w:rsidRPr="001941F2">
        <w:t>. Brighton: Harvard Business Press.</w:t>
      </w:r>
    </w:p>
    <w:p w14:paraId="05312DD2" w14:textId="77777777" w:rsidR="005B5538" w:rsidRDefault="005B5538" w:rsidP="005B5538">
      <w:r>
        <w:t xml:space="preserve">Lambert, L. (1998) </w:t>
      </w:r>
      <w:r w:rsidRPr="00570724">
        <w:rPr>
          <w:i/>
          <w:iCs/>
        </w:rPr>
        <w:t>Building Leadership Capacity in Schools</w:t>
      </w:r>
      <w:r>
        <w:t>. Alexandria: Association for Supervision and Curriculum Development.</w:t>
      </w:r>
    </w:p>
    <w:p w14:paraId="4AB780F1" w14:textId="77777777" w:rsidR="005B5538" w:rsidRDefault="005B5538" w:rsidP="005B5538">
      <w:r>
        <w:t>Lambert, L. (2002) ‘A Framework for shared leadership’, Educational Leadership, 59 (8), pp. 37-40.</w:t>
      </w:r>
    </w:p>
    <w:p w14:paraId="7CDA8B78" w14:textId="77777777" w:rsidR="005B5538" w:rsidRPr="00CF303D" w:rsidRDefault="005B5538" w:rsidP="005B5538">
      <w:r w:rsidRPr="00CF303D">
        <w:t>Lashway</w:t>
      </w:r>
      <w:r>
        <w:t>,</w:t>
      </w:r>
      <w:r w:rsidRPr="00CF303D">
        <w:t xml:space="preserve"> L</w:t>
      </w:r>
      <w:r>
        <w:t>.</w:t>
      </w:r>
      <w:r w:rsidRPr="00CF303D">
        <w:t xml:space="preserve"> (2006) </w:t>
      </w:r>
      <w:r>
        <w:t>‘</w:t>
      </w:r>
      <w:r w:rsidRPr="00CF303D">
        <w:t>Distributed leadership</w:t>
      </w:r>
      <w:r>
        <w:t>’</w:t>
      </w:r>
      <w:r w:rsidRPr="00CF303D">
        <w:t>. In: Smith</w:t>
      </w:r>
      <w:r>
        <w:t>,</w:t>
      </w:r>
      <w:r w:rsidRPr="00CF303D">
        <w:t xml:space="preserve"> S</w:t>
      </w:r>
      <w:r>
        <w:t>. and</w:t>
      </w:r>
      <w:r w:rsidRPr="00CF303D">
        <w:t xml:space="preserve"> </w:t>
      </w:r>
      <w:proofErr w:type="spellStart"/>
      <w:r w:rsidRPr="00CF303D">
        <w:t>Piele</w:t>
      </w:r>
      <w:proofErr w:type="spellEnd"/>
      <w:r>
        <w:t>,</w:t>
      </w:r>
      <w:r w:rsidRPr="00CF303D">
        <w:t xml:space="preserve"> P (eds) </w:t>
      </w:r>
      <w:r w:rsidRPr="00CF303D">
        <w:rPr>
          <w:i/>
          <w:iCs/>
        </w:rPr>
        <w:t>School Leadership: Handbook for Excellence in Student Learning</w:t>
      </w:r>
      <w:r w:rsidRPr="00CF303D">
        <w:t>. Thousand Oaks: Corwin</w:t>
      </w:r>
      <w:r>
        <w:t>,</w:t>
      </w:r>
      <w:r w:rsidRPr="00CF303D">
        <w:t xml:space="preserve"> pp. 245–265.</w:t>
      </w:r>
    </w:p>
    <w:p w14:paraId="67256657" w14:textId="77777777" w:rsidR="005B5538" w:rsidRDefault="005B5538" w:rsidP="005B5538">
      <w:proofErr w:type="spellStart"/>
      <w:r>
        <w:t>Leithwood</w:t>
      </w:r>
      <w:proofErr w:type="spellEnd"/>
      <w:r>
        <w:t>, K., Day, C., Sammons, P., Harris, A. and Hopkins, D. (2006) Seven Strong Claims about Successful School Leadership. London: DfES.</w:t>
      </w:r>
    </w:p>
    <w:p w14:paraId="20D3F93D" w14:textId="77777777" w:rsidR="005B5538" w:rsidRDefault="005B5538" w:rsidP="005B5538">
      <w:proofErr w:type="spellStart"/>
      <w:r>
        <w:t>Leithwood</w:t>
      </w:r>
      <w:proofErr w:type="spellEnd"/>
      <w:r>
        <w:t>, K. and Riehl, C. (2005) ‘What do we know about educational leadership?’ In: Riehl, W. and Riehl, C. (eds) A New Agenda for Research in Educational Leadership. New York: Teachers College Press, pp. 12-27.</w:t>
      </w:r>
    </w:p>
    <w:p w14:paraId="7F0D66A2" w14:textId="77777777" w:rsidR="005B5538" w:rsidRDefault="005B5538" w:rsidP="005B5538">
      <w:proofErr w:type="spellStart"/>
      <w:r>
        <w:lastRenderedPageBreak/>
        <w:t>Leithwood</w:t>
      </w:r>
      <w:proofErr w:type="spellEnd"/>
      <w:r>
        <w:t xml:space="preserve">, K., Harris, A. and Hopkins, D. (2020) ‘Seven strong claims about successful school leadership revisited’, </w:t>
      </w:r>
      <w:r w:rsidRPr="00612AC8">
        <w:rPr>
          <w:i/>
          <w:iCs/>
        </w:rPr>
        <w:t>School Leadership &amp; Management</w:t>
      </w:r>
      <w:r>
        <w:t>, 40 (1), pp. 5-22.</w:t>
      </w:r>
    </w:p>
    <w:p w14:paraId="40274E03" w14:textId="77777777" w:rsidR="005B5538" w:rsidRDefault="005B5538" w:rsidP="005B5538">
      <w:r w:rsidRPr="00644B40">
        <w:t xml:space="preserve">Lumby, J. (2013). </w:t>
      </w:r>
      <w:r>
        <w:t>‘</w:t>
      </w:r>
      <w:r w:rsidRPr="00644B40">
        <w:t>Distributed Leadership: The Uses and Abuses of Power</w:t>
      </w:r>
      <w:r>
        <w:t>’,</w:t>
      </w:r>
      <w:r w:rsidRPr="00644B40">
        <w:t> </w:t>
      </w:r>
      <w:r w:rsidRPr="00644B40">
        <w:rPr>
          <w:i/>
          <w:iCs/>
        </w:rPr>
        <w:t>Educational Management Administration &amp; Leadership</w:t>
      </w:r>
      <w:r w:rsidRPr="00644B40">
        <w:t>, </w:t>
      </w:r>
      <w:r w:rsidRPr="00644B40">
        <w:rPr>
          <w:i/>
          <w:iCs/>
        </w:rPr>
        <w:t>41</w:t>
      </w:r>
      <w:r w:rsidRPr="00644B40">
        <w:t>(5),</w:t>
      </w:r>
      <w:r>
        <w:t xml:space="preserve"> pp</w:t>
      </w:r>
      <w:r w:rsidRPr="00644B40">
        <w:t xml:space="preserve"> 581</w:t>
      </w:r>
      <w:r>
        <w:t>-</w:t>
      </w:r>
      <w:r w:rsidRPr="00644B40">
        <w:t>597. </w:t>
      </w:r>
      <w:hyperlink r:id="rId10" w:history="1">
        <w:r w:rsidRPr="00644B40">
          <w:rPr>
            <w:rStyle w:val="Hyperlink"/>
          </w:rPr>
          <w:t>https://doi.org/10.1177/1741143213489288</w:t>
        </w:r>
      </w:hyperlink>
    </w:p>
    <w:p w14:paraId="3EE897FD" w14:textId="77777777" w:rsidR="005B5538" w:rsidRDefault="005B5538" w:rsidP="005B5538">
      <w:r w:rsidRPr="00674189">
        <w:t xml:space="preserve">Lunenburg, F. (2011) ‘Curriculum development methods: inductive models’, Schooling, 2(1), pp. 1-8. Available at: </w:t>
      </w:r>
      <w:hyperlink r:id="rId11" w:history="1">
        <w:r w:rsidRPr="00E0591F">
          <w:rPr>
            <w:rStyle w:val="Hyperlink"/>
          </w:rPr>
          <w:t>https://www.nationalforum.com/Electronic%20Journal%20Volumes/Lunenburg,%20Fred%20C.%20Curriculum%20Development-Inductive%20Models-Schooling%20V2%20N1%202011.pdf</w:t>
        </w:r>
      </w:hyperlink>
    </w:p>
    <w:p w14:paraId="7C1BA903" w14:textId="77777777" w:rsidR="005B5538" w:rsidRDefault="005B5538" w:rsidP="005B5538">
      <w:r w:rsidRPr="001941F2">
        <w:t xml:space="preserve">McKernan, J. (2008) </w:t>
      </w:r>
      <w:r w:rsidRPr="001941F2">
        <w:rPr>
          <w:i/>
          <w:iCs/>
        </w:rPr>
        <w:t xml:space="preserve">Curriculum and imagination: process theory, pedagogy and action research. </w:t>
      </w:r>
      <w:r w:rsidRPr="001941F2">
        <w:t>London: Routledge.</w:t>
      </w:r>
    </w:p>
    <w:p w14:paraId="4C2FCBB4" w14:textId="77777777" w:rsidR="005B5538" w:rsidRDefault="005B5538" w:rsidP="005B5538">
      <w:r w:rsidRPr="001941F2">
        <w:t xml:space="preserve">McKernan, J. (2010) ‘A Critique of Instructional Objectives’, </w:t>
      </w:r>
      <w:r w:rsidRPr="001941F2">
        <w:rPr>
          <w:i/>
          <w:iCs/>
        </w:rPr>
        <w:t>Education Inquiry</w:t>
      </w:r>
      <w:r w:rsidRPr="001941F2">
        <w:t>, 1(1), pp. 57-67.</w:t>
      </w:r>
    </w:p>
    <w:p w14:paraId="60A69CB8" w14:textId="77777777" w:rsidR="005B5538" w:rsidRDefault="005B5538" w:rsidP="005B5538">
      <w:r>
        <w:t>Milton, E. and Morgan, A. (2023) ‘Enquiry as a way of being: a practical framework to support learners in both embracing the complexity of and creating the conditions for meaningful professional learning.’ Professional development in Education, 49 (6), pp. 1072-1088.</w:t>
      </w:r>
    </w:p>
    <w:p w14:paraId="72D720FF" w14:textId="77777777" w:rsidR="005B5538" w:rsidRDefault="005B5538" w:rsidP="005B5538">
      <w:r w:rsidRPr="001941F2">
        <w:t xml:space="preserve">Morrison-Love, D., Singh, S., Makara-Fuller, K., Evans, G., Farrar, J., Patrick, F., Ryder, N., Borquez-Sanchez, E., </w:t>
      </w:r>
      <w:proofErr w:type="spellStart"/>
      <w:r w:rsidRPr="001941F2">
        <w:t>Sharpling</w:t>
      </w:r>
      <w:proofErr w:type="spellEnd"/>
      <w:r w:rsidRPr="001941F2">
        <w:t>, E., Valdera-Gil, F. and Wiseman-Orr, L. (2023) ‘</w:t>
      </w:r>
      <w:proofErr w:type="spellStart"/>
      <w:r w:rsidRPr="001941F2">
        <w:t>Camau</w:t>
      </w:r>
      <w:proofErr w:type="spellEnd"/>
      <w:r w:rsidRPr="001941F2">
        <w:t xml:space="preserve"> </w:t>
      </w:r>
      <w:proofErr w:type="spellStart"/>
      <w:r w:rsidRPr="001941F2">
        <w:t>i'r</w:t>
      </w:r>
      <w:proofErr w:type="spellEnd"/>
      <w:r w:rsidRPr="001941F2">
        <w:t xml:space="preserve"> </w:t>
      </w:r>
      <w:proofErr w:type="spellStart"/>
      <w:r w:rsidRPr="001941F2">
        <w:t>Dyfodol</w:t>
      </w:r>
      <w:proofErr w:type="spellEnd"/>
      <w:r w:rsidRPr="001941F2">
        <w:t>: Curriculum for Wales: evolving understandings of progression in learning Phase 1 report: February 2023’. Available at: https://eprints.gla.ac.uk/298263/</w:t>
      </w:r>
    </w:p>
    <w:p w14:paraId="4219D4E4" w14:textId="77777777" w:rsidR="005B5538" w:rsidRDefault="005B5538" w:rsidP="005B5538">
      <w:proofErr w:type="spellStart"/>
      <w:r w:rsidRPr="001941F2">
        <w:t>Nieveen</w:t>
      </w:r>
      <w:proofErr w:type="spellEnd"/>
      <w:r w:rsidRPr="001941F2">
        <w:t xml:space="preserve">, N. (2011) ‘Teachers’ professional development in curriculum design in the Netherlands’, </w:t>
      </w:r>
      <w:r w:rsidRPr="001941F2">
        <w:rPr>
          <w:i/>
          <w:iCs/>
        </w:rPr>
        <w:t>European Conference for Educational Research</w:t>
      </w:r>
      <w:r w:rsidRPr="001941F2">
        <w:t>. Berlin, 14 September 2011. Available at: https://eera-ecer.de/ecer-programmes/conference/5/contribution/20294/</w:t>
      </w:r>
    </w:p>
    <w:p w14:paraId="74090B36" w14:textId="77777777" w:rsidR="005B5538" w:rsidRDefault="005B5538" w:rsidP="005B5538">
      <w:proofErr w:type="spellStart"/>
      <w:r w:rsidRPr="001941F2">
        <w:t>Nieveen</w:t>
      </w:r>
      <w:proofErr w:type="spellEnd"/>
      <w:r w:rsidRPr="001941F2">
        <w:t xml:space="preserve">, N. and Kuiper, W. (2012) ‘Balancing Curriculum Freedom and Regulation in the Netherlands’, </w:t>
      </w:r>
      <w:r w:rsidRPr="001941F2">
        <w:rPr>
          <w:i/>
          <w:iCs/>
        </w:rPr>
        <w:t>European Educational Research Journal</w:t>
      </w:r>
      <w:r w:rsidRPr="001941F2">
        <w:t xml:space="preserve">, 11(3), pp. 357-368. Available at: </w:t>
      </w:r>
      <w:hyperlink r:id="rId12" w:history="1">
        <w:r w:rsidRPr="001941F2">
          <w:t>https://doi.org/10.2304/eerj.2012.11.3.357</w:t>
        </w:r>
      </w:hyperlink>
    </w:p>
    <w:p w14:paraId="1A001566" w14:textId="77777777" w:rsidR="005B5538" w:rsidRDefault="005B5538" w:rsidP="005B5538">
      <w:r w:rsidRPr="00AA6BD9">
        <w:t xml:space="preserve">Philippou, S., </w:t>
      </w:r>
      <w:proofErr w:type="spellStart"/>
      <w:r w:rsidRPr="00AA6BD9">
        <w:t>Kontovourki</w:t>
      </w:r>
      <w:proofErr w:type="spellEnd"/>
      <w:r w:rsidRPr="00AA6BD9">
        <w:t>, S.</w:t>
      </w:r>
      <w:r>
        <w:t xml:space="preserve"> and</w:t>
      </w:r>
      <w:r w:rsidRPr="00AA6BD9">
        <w:t xml:space="preserve"> Theodorou, E. (2013) </w:t>
      </w:r>
      <w:r>
        <w:t>‘</w:t>
      </w:r>
      <w:r w:rsidRPr="00AA6BD9">
        <w:t>Can autonomy be imposed? Examining teacher (re)positioning during the ongoing curriculum change in Cyprus</w:t>
      </w:r>
      <w:r>
        <w:t>’</w:t>
      </w:r>
      <w:r w:rsidRPr="00AA6BD9">
        <w:t>. </w:t>
      </w:r>
      <w:r w:rsidRPr="00AA6BD9">
        <w:rPr>
          <w:i/>
          <w:iCs/>
        </w:rPr>
        <w:t>Journal of Curriculum Studies</w:t>
      </w:r>
      <w:r w:rsidRPr="00AA6BD9">
        <w:t>, 46 (5),</w:t>
      </w:r>
      <w:r>
        <w:t xml:space="preserve"> pp.</w:t>
      </w:r>
      <w:r w:rsidRPr="00AA6BD9">
        <w:t xml:space="preserve"> 611–633.</w:t>
      </w:r>
      <w:r>
        <w:t xml:space="preserve"> Available at:</w:t>
      </w:r>
      <w:r w:rsidRPr="00AA6BD9">
        <w:t xml:space="preserve"> </w:t>
      </w:r>
      <w:hyperlink r:id="rId13" w:history="1">
        <w:r w:rsidRPr="00E0591F">
          <w:rPr>
            <w:rStyle w:val="Hyperlink"/>
          </w:rPr>
          <w:t>https://doi.org/10.1080/00220272.2013.856033</w:t>
        </w:r>
      </w:hyperlink>
    </w:p>
    <w:p w14:paraId="1041AA6C" w14:textId="77777777" w:rsidR="005B5538" w:rsidRDefault="005B5538" w:rsidP="005B5538">
      <w:r w:rsidRPr="00182538">
        <w:t>Pinar, W. (2012). </w:t>
      </w:r>
      <w:r w:rsidRPr="00182538">
        <w:rPr>
          <w:i/>
          <w:iCs/>
        </w:rPr>
        <w:t>What is curriculum theory?</w:t>
      </w:r>
      <w:r w:rsidRPr="00182538">
        <w:t> (2nd ed.). New York &amp; London: Routledge.</w:t>
      </w:r>
    </w:p>
    <w:p w14:paraId="4233A5D6" w14:textId="77777777" w:rsidR="005B5538" w:rsidRDefault="005B5538" w:rsidP="005B5538">
      <w:r>
        <w:lastRenderedPageBreak/>
        <w:t xml:space="preserve">Popham, J. (1968) Probing the validity of arguments against behavioural goals. In: R. Kibler, L. Barker and D. Miles (eds) </w:t>
      </w:r>
      <w:r w:rsidRPr="00025857">
        <w:rPr>
          <w:i/>
          <w:iCs/>
        </w:rPr>
        <w:t>Behavioural Objectives and Instruction</w:t>
      </w:r>
      <w:r>
        <w:t xml:space="preserve"> (Boston: Allyn &amp; Bacon), pp. 115-124.</w:t>
      </w:r>
    </w:p>
    <w:p w14:paraId="526DC9D9" w14:textId="77777777" w:rsidR="005B5538" w:rsidRDefault="005B5538" w:rsidP="005B5538">
      <w:r w:rsidRPr="004865D1">
        <w:t xml:space="preserve">Power, S. (2016) </w:t>
      </w:r>
      <w:r>
        <w:t>‘</w:t>
      </w:r>
      <w:r w:rsidRPr="004865D1">
        <w:t>The politics of education and the misrecognition of Wales</w:t>
      </w:r>
      <w:r>
        <w:t>’</w:t>
      </w:r>
      <w:r w:rsidRPr="004865D1">
        <w:t xml:space="preserve">. </w:t>
      </w:r>
      <w:r w:rsidRPr="004865D1">
        <w:rPr>
          <w:i/>
          <w:iCs/>
        </w:rPr>
        <w:t>Oxford Review of Education</w:t>
      </w:r>
      <w:r w:rsidRPr="004865D1">
        <w:t>, 42(3), pp. 285-298.</w:t>
      </w:r>
    </w:p>
    <w:p w14:paraId="58E57222" w14:textId="77777777" w:rsidR="005B5538" w:rsidRDefault="005B5538" w:rsidP="005B5538">
      <w:r>
        <w:t xml:space="preserve">Power, S., Newton, N. and Taylor, C. (2020) ‘Successful futures for all in Wales? The challenges of curriculum reform for addressing educational inequalities.’ </w:t>
      </w:r>
      <w:r w:rsidRPr="00F266BE">
        <w:rPr>
          <w:i/>
          <w:iCs/>
        </w:rPr>
        <w:t>The Curriculum Journal</w:t>
      </w:r>
      <w:r>
        <w:t>, 31 (2), pp. 317-333.</w:t>
      </w:r>
    </w:p>
    <w:p w14:paraId="75585632" w14:textId="77777777" w:rsidR="005B5538" w:rsidRDefault="005B5538" w:rsidP="005B5538">
      <w:r>
        <w:t xml:space="preserve">Priestly, M. (2017) </w:t>
      </w:r>
      <w:r w:rsidRPr="00C52BD4">
        <w:rPr>
          <w:i/>
          <w:iCs/>
        </w:rPr>
        <w:t>Approaches to specifying curriculum areas of learning</w:t>
      </w:r>
      <w:r>
        <w:t>. Stirling: The Stirling Network for Curriculum Studies.</w:t>
      </w:r>
    </w:p>
    <w:p w14:paraId="58EF9FD1" w14:textId="77777777" w:rsidR="005B5538" w:rsidRDefault="005B5538" w:rsidP="005B5538">
      <w:r>
        <w:t xml:space="preserve">Priestly, M. and Minty, S. (2013) Curriculum for Excellence: ‘A brilliant idea, but…’. </w:t>
      </w:r>
      <w:r w:rsidRPr="00F4610E">
        <w:rPr>
          <w:i/>
          <w:iCs/>
        </w:rPr>
        <w:t>Scottish Educational Review</w:t>
      </w:r>
      <w:r>
        <w:t>, 45 (1), pp. 39-52.</w:t>
      </w:r>
    </w:p>
    <w:p w14:paraId="7BD3053D" w14:textId="77777777" w:rsidR="005B5538" w:rsidRPr="00304928" w:rsidRDefault="005B5538" w:rsidP="005B5538">
      <w:pPr>
        <w:rPr>
          <w:i/>
          <w:iCs/>
        </w:rPr>
      </w:pPr>
      <w:r>
        <w:t>Priestley and Drew (2017) ‘</w:t>
      </w:r>
      <w:r w:rsidRPr="00304928">
        <w:t>Professional enquiry</w:t>
      </w:r>
      <w:r>
        <w:t>:</w:t>
      </w:r>
      <w:r w:rsidRPr="00C60AC5">
        <w:t xml:space="preserve"> </w:t>
      </w:r>
      <w:r w:rsidRPr="00304928">
        <w:t>An ecological approach to developing teacher agency</w:t>
      </w:r>
      <w:r>
        <w:t xml:space="preserve">’, In: Godfrey, D. and Brown, C. (eds) </w:t>
      </w:r>
      <w:r w:rsidRPr="00304928">
        <w:rPr>
          <w:i/>
          <w:iCs/>
        </w:rPr>
        <w:t>An Ecosystem for Research-Engaged Schools</w:t>
      </w:r>
      <w:r>
        <w:rPr>
          <w:i/>
          <w:iCs/>
        </w:rPr>
        <w:t>, Axon: Routledge, pp.154-169.</w:t>
      </w:r>
    </w:p>
    <w:p w14:paraId="697D0013" w14:textId="77777777" w:rsidR="005B5538" w:rsidRDefault="005B5538" w:rsidP="005B5538">
      <w:r w:rsidRPr="00E8776D">
        <w:t>Priestley, M., Biesta, G. and Robinson, S. (2013) ‘Teachers as agents of change: teacher agency and emerging models of curriculum’, in Priestley. M, and Biesta, G. (eds) Reinventing the curriculum: new trends in curriculum policy and practice. London: Bloomsbury Academic, pp. 187-206.</w:t>
      </w:r>
    </w:p>
    <w:p w14:paraId="7B78D01C" w14:textId="77777777" w:rsidR="005B5538" w:rsidRDefault="005B5538" w:rsidP="005B5538">
      <w:r>
        <w:t>Reynolds, D. (2008) ‘New Labour, education and Wales: the devolution decade’, Oxford Review of Education, 34 (6), pp.753-765.</w:t>
      </w:r>
    </w:p>
    <w:p w14:paraId="64D4C1FF" w14:textId="77777777" w:rsidR="005B5538" w:rsidRDefault="005B5538" w:rsidP="005B5538">
      <w:proofErr w:type="spellStart"/>
      <w:r>
        <w:t>Sadovik</w:t>
      </w:r>
      <w:proofErr w:type="spellEnd"/>
      <w:r>
        <w:t xml:space="preserve">, A. (1991) ‘Basil Bernstein’s Theory of Pedagogic Practice: A Structuralist Approach’, </w:t>
      </w:r>
      <w:r w:rsidRPr="00D507CE">
        <w:rPr>
          <w:i/>
          <w:iCs/>
        </w:rPr>
        <w:t>Sociology of Education</w:t>
      </w:r>
      <w:r>
        <w:t xml:space="preserve">, 64 (4), pp.48-63. Available at: </w:t>
      </w:r>
      <w:hyperlink r:id="rId14" w:history="1">
        <w:r w:rsidRPr="00E0591F">
          <w:rPr>
            <w:rStyle w:val="Hyperlink"/>
          </w:rPr>
          <w:t>https://www.jstor.org/stable/2112891</w:t>
        </w:r>
      </w:hyperlink>
    </w:p>
    <w:p w14:paraId="51234F58" w14:textId="77777777" w:rsidR="005B5538" w:rsidRDefault="005B5538" w:rsidP="005B5538">
      <w:r>
        <w:t>Schwab, J. (1964) ‘Structure of the disciplines: meanings and significances.’ In: G. Ford and L. Pugno (eds) The Structure of Knowledge and the Curriculum (Chicago: Rand McNally), pp. 1-30.</w:t>
      </w:r>
    </w:p>
    <w:p w14:paraId="52A7B889" w14:textId="77777777" w:rsidR="005B5538" w:rsidRDefault="005B5538" w:rsidP="005B5538">
      <w:r w:rsidRPr="000A566E">
        <w:t xml:space="preserve">Sinnema, C. (2017) </w:t>
      </w:r>
      <w:r w:rsidRPr="000A566E">
        <w:rPr>
          <w:i/>
          <w:iCs/>
        </w:rPr>
        <w:t>Designing a national curriculum with enactment in mind – the new curriculum for Wales: A discussion paper.</w:t>
      </w:r>
      <w:r w:rsidRPr="000A566E">
        <w:t xml:space="preserve"> Auckland: University of Auckland.</w:t>
      </w:r>
    </w:p>
    <w:p w14:paraId="075F4A3F" w14:textId="77777777" w:rsidR="005B5538" w:rsidRDefault="005B5538" w:rsidP="005B5538">
      <w:r>
        <w:t xml:space="preserve">Sinnema, C., </w:t>
      </w:r>
      <w:proofErr w:type="spellStart"/>
      <w:r>
        <w:t>Nieveen</w:t>
      </w:r>
      <w:proofErr w:type="spellEnd"/>
      <w:r>
        <w:t xml:space="preserve">, N. and Priestley, M. (2020) ‘Successful futures, successful curriculum: </w:t>
      </w:r>
      <w:r w:rsidRPr="00D819AD">
        <w:t>What can Wales learn from international curriculum reforms?</w:t>
      </w:r>
      <w:proofErr w:type="gramStart"/>
      <w:r>
        <w:t>’,  The</w:t>
      </w:r>
      <w:proofErr w:type="gramEnd"/>
      <w:r>
        <w:t xml:space="preserve"> Curriculum Journal, 31 (2), pp. 181-201. Available at: </w:t>
      </w:r>
      <w:r w:rsidRPr="00D819AD">
        <w:t>https://doi.org/10.1002/curj.17</w:t>
      </w:r>
    </w:p>
    <w:p w14:paraId="6DB00AA2" w14:textId="77777777" w:rsidR="005B5538" w:rsidRDefault="005B5538" w:rsidP="005B5538">
      <w:r w:rsidRPr="00A92B66">
        <w:t xml:space="preserve">Smith, K. (2024) </w:t>
      </w:r>
      <w:r>
        <w:t>‘</w:t>
      </w:r>
      <w:r w:rsidRPr="00A92B66">
        <w:t>Reconceptualising Curriculum in a new era of Welsh Education</w:t>
      </w:r>
      <w:r>
        <w:t>’</w:t>
      </w:r>
      <w:r w:rsidRPr="00A92B66">
        <w:t xml:space="preserve">, </w:t>
      </w:r>
      <w:r w:rsidRPr="00A92B66">
        <w:rPr>
          <w:i/>
          <w:iCs/>
        </w:rPr>
        <w:t>Wales Journal of Education</w:t>
      </w:r>
      <w:r>
        <w:rPr>
          <w:i/>
          <w:iCs/>
        </w:rPr>
        <w:t>,</w:t>
      </w:r>
      <w:r w:rsidRPr="00A92B66">
        <w:rPr>
          <w:i/>
          <w:iCs/>
        </w:rPr>
        <w:t xml:space="preserve"> </w:t>
      </w:r>
      <w:r w:rsidRPr="00A92B66">
        <w:t>26</w:t>
      </w:r>
      <w:r>
        <w:t xml:space="preserve"> </w:t>
      </w:r>
      <w:r w:rsidRPr="00A92B66">
        <w:t>(2),</w:t>
      </w:r>
      <w:r>
        <w:t xml:space="preserve"> pp.</w:t>
      </w:r>
      <w:r w:rsidRPr="00A92B66">
        <w:t xml:space="preserve"> 54–71.</w:t>
      </w:r>
      <w:r>
        <w:t xml:space="preserve"> Available at: </w:t>
      </w:r>
      <w:hyperlink r:id="rId15" w:history="1">
        <w:r w:rsidRPr="00E0591F">
          <w:rPr>
            <w:rStyle w:val="Hyperlink"/>
          </w:rPr>
          <w:t>https://doi.org/10.16922/wje.26.2.5</w:t>
        </w:r>
      </w:hyperlink>
    </w:p>
    <w:p w14:paraId="1594C817" w14:textId="77777777" w:rsidR="005B5538" w:rsidRDefault="005B5538" w:rsidP="005B5538">
      <w:r>
        <w:t xml:space="preserve">Spillane, J. (2006) </w:t>
      </w:r>
      <w:r w:rsidRPr="00294448">
        <w:rPr>
          <w:i/>
          <w:iCs/>
        </w:rPr>
        <w:t>Distributed Leadership</w:t>
      </w:r>
      <w:r>
        <w:t>. San Francisco: Jossey-Bass.</w:t>
      </w:r>
    </w:p>
    <w:p w14:paraId="07CCC8BD" w14:textId="77777777" w:rsidR="005B5538" w:rsidRDefault="005B5538" w:rsidP="005B5538">
      <w:r w:rsidRPr="00C8667A">
        <w:lastRenderedPageBreak/>
        <w:t xml:space="preserve">Stake, </w:t>
      </w:r>
      <w:r>
        <w:t>R</w:t>
      </w:r>
      <w:r w:rsidRPr="00C8667A">
        <w:t xml:space="preserve">. (1971) </w:t>
      </w:r>
      <w:r>
        <w:t>‘</w:t>
      </w:r>
      <w:r w:rsidRPr="00C8667A">
        <w:t>Testing hazards in performance contracting</w:t>
      </w:r>
      <w:r>
        <w:t>’.</w:t>
      </w:r>
      <w:r w:rsidRPr="00C8667A">
        <w:t xml:space="preserve"> </w:t>
      </w:r>
      <w:r w:rsidRPr="00C8667A">
        <w:rPr>
          <w:i/>
          <w:iCs/>
        </w:rPr>
        <w:t xml:space="preserve">Phi Delta </w:t>
      </w:r>
      <w:proofErr w:type="spellStart"/>
      <w:r w:rsidRPr="00C8667A">
        <w:rPr>
          <w:i/>
          <w:iCs/>
        </w:rPr>
        <w:t>Kappan</w:t>
      </w:r>
      <w:proofErr w:type="spellEnd"/>
      <w:r w:rsidRPr="00C8667A">
        <w:t>,</w:t>
      </w:r>
      <w:r>
        <w:t xml:space="preserve"> pp.</w:t>
      </w:r>
      <w:r w:rsidRPr="00C8667A">
        <w:t xml:space="preserve"> 583-589.</w:t>
      </w:r>
    </w:p>
    <w:p w14:paraId="563DBED8" w14:textId="77777777" w:rsidR="005B5538" w:rsidRDefault="005B5538" w:rsidP="005B5538">
      <w:r>
        <w:t xml:space="preserve">Stenhouse, L. (1975) </w:t>
      </w:r>
      <w:r w:rsidRPr="00BA1878">
        <w:rPr>
          <w:i/>
          <w:iCs/>
        </w:rPr>
        <w:t>An Introduction to Curriculum Research and Development</w:t>
      </w:r>
      <w:r>
        <w:t xml:space="preserve"> (London: Heinemann). Available at: </w:t>
      </w:r>
      <w:hyperlink r:id="rId16" w:history="1">
        <w:r w:rsidRPr="00E0591F">
          <w:rPr>
            <w:rStyle w:val="Hyperlink"/>
          </w:rPr>
          <w:t>https://archive.org/details/stenhouseanintroductiontocurriculumresearchanddevelopment/page/n235/mode/2up</w:t>
        </w:r>
      </w:hyperlink>
    </w:p>
    <w:p w14:paraId="19CF498D" w14:textId="77777777" w:rsidR="005B5538" w:rsidRDefault="005B5538" w:rsidP="005B5538">
      <w:r>
        <w:t xml:space="preserve">Stenhouse, L. (1983) ‘Research as a basis for teaching’, </w:t>
      </w:r>
      <w:r w:rsidRPr="004468A5">
        <w:rPr>
          <w:i/>
          <w:iCs/>
        </w:rPr>
        <w:t>Authority, Education and Emancipation</w:t>
      </w:r>
      <w:r>
        <w:t>. London: Heinemann.</w:t>
      </w:r>
    </w:p>
    <w:p w14:paraId="40455AF9" w14:textId="77777777" w:rsidR="005B5538" w:rsidRDefault="005B5538" w:rsidP="005B5538">
      <w:r>
        <w:t xml:space="preserve">Taba, H. (1962) </w:t>
      </w:r>
      <w:r w:rsidRPr="00EE1ED8">
        <w:rPr>
          <w:i/>
          <w:iCs/>
        </w:rPr>
        <w:t>Curriculum Development: Theory and Practice</w:t>
      </w:r>
      <w:r>
        <w:t xml:space="preserve"> (New York: Harcourt Brace &amp; World).</w:t>
      </w:r>
    </w:p>
    <w:p w14:paraId="3FBFD780" w14:textId="77777777" w:rsidR="005B5538" w:rsidRDefault="005B5538" w:rsidP="005B5538">
      <w:r w:rsidRPr="004B4BAD">
        <w:t xml:space="preserve">Timperley, H. (2008). </w:t>
      </w:r>
      <w:r>
        <w:t>‘</w:t>
      </w:r>
      <w:r w:rsidRPr="004B4BAD">
        <w:t xml:space="preserve">A distributed perspective on leadership and enhancing valued outcomes for </w:t>
      </w:r>
      <w:proofErr w:type="gramStart"/>
      <w:r w:rsidRPr="004B4BAD">
        <w:t>students</w:t>
      </w:r>
      <w:r>
        <w:t>’</w:t>
      </w:r>
      <w:proofErr w:type="gramEnd"/>
      <w:r w:rsidRPr="004B4BAD">
        <w:t xml:space="preserve">. </w:t>
      </w:r>
      <w:r w:rsidRPr="004B4BAD">
        <w:rPr>
          <w:i/>
          <w:iCs/>
        </w:rPr>
        <w:t>Journal of Curriculum Studies</w:t>
      </w:r>
      <w:r w:rsidRPr="004B4BAD">
        <w:t>, 40</w:t>
      </w:r>
      <w:r>
        <w:t xml:space="preserve"> </w:t>
      </w:r>
      <w:r w:rsidRPr="004B4BAD">
        <w:t>(6),</w:t>
      </w:r>
      <w:r>
        <w:t xml:space="preserve"> pp.</w:t>
      </w:r>
      <w:r w:rsidRPr="004B4BAD">
        <w:t xml:space="preserve"> 821–833.</w:t>
      </w:r>
      <w:r>
        <w:t xml:space="preserve"> Available at:</w:t>
      </w:r>
      <w:r w:rsidRPr="004B4BAD">
        <w:t xml:space="preserve"> https://doi.org/10.1080/00220270802172208</w:t>
      </w:r>
    </w:p>
    <w:p w14:paraId="3DBB298F" w14:textId="77777777" w:rsidR="005B5538" w:rsidRDefault="005B5538" w:rsidP="005B5538">
      <w:r>
        <w:t xml:space="preserve">Titley, E., Davies, A. J. and Atherton, S. (2020) ‘[It] isn’t designed to be assessed how we assess’: rethinking assessment for qualification in the context of the implementation of the Curriculum for Wales’. </w:t>
      </w:r>
      <w:r w:rsidRPr="00B93DB9">
        <w:rPr>
          <w:i/>
          <w:iCs/>
        </w:rPr>
        <w:t>The Curriculum Journal</w:t>
      </w:r>
      <w:r>
        <w:t>, 31(2), pp. 303-316.</w:t>
      </w:r>
    </w:p>
    <w:p w14:paraId="5036278B" w14:textId="77777777" w:rsidR="005B5538" w:rsidRDefault="005B5538" w:rsidP="005B5538">
      <w:r>
        <w:t xml:space="preserve">Tyler, R. (1949) </w:t>
      </w:r>
      <w:r w:rsidRPr="00BC0872">
        <w:rPr>
          <w:i/>
          <w:iCs/>
        </w:rPr>
        <w:t>Basic Principles of Curriculum and Instruction</w:t>
      </w:r>
      <w:r>
        <w:t>. Chicago: University of Chicago Press.</w:t>
      </w:r>
    </w:p>
    <w:p w14:paraId="4897DC1B" w14:textId="77777777" w:rsidR="005B5538" w:rsidRDefault="005B5538" w:rsidP="005B5538">
      <w:r>
        <w:t xml:space="preserve">Woods, P. and </w:t>
      </w:r>
      <w:proofErr w:type="spellStart"/>
      <w:r>
        <w:t>Gronn</w:t>
      </w:r>
      <w:proofErr w:type="spellEnd"/>
      <w:r>
        <w:t>, P. (2009) ‘</w:t>
      </w:r>
      <w:r w:rsidRPr="00C407E4">
        <w:t>Nurturing Democracy</w:t>
      </w:r>
      <w:r>
        <w:t xml:space="preserve">: </w:t>
      </w:r>
      <w:r w:rsidRPr="00C407E4">
        <w:t>The Contribution of Distributed Leadership to a Democratic</w:t>
      </w:r>
      <w:r>
        <w:t xml:space="preserve"> </w:t>
      </w:r>
      <w:r w:rsidRPr="00C407E4">
        <w:t>Organizational Landscape</w:t>
      </w:r>
      <w:r>
        <w:t xml:space="preserve">’, </w:t>
      </w:r>
      <w:r w:rsidRPr="00C407E4">
        <w:rPr>
          <w:i/>
          <w:iCs/>
        </w:rPr>
        <w:t>Educational Management Administration &amp; Leadership</w:t>
      </w:r>
      <w:r>
        <w:rPr>
          <w:i/>
          <w:iCs/>
        </w:rPr>
        <w:t xml:space="preserve">, </w:t>
      </w:r>
      <w:r w:rsidRPr="00C407E4">
        <w:rPr>
          <w:i/>
          <w:iCs/>
        </w:rPr>
        <w:t>37</w:t>
      </w:r>
      <w:r>
        <w:rPr>
          <w:i/>
          <w:iCs/>
        </w:rPr>
        <w:t xml:space="preserve"> </w:t>
      </w:r>
      <w:r w:rsidRPr="00C407E4">
        <w:rPr>
          <w:i/>
          <w:iCs/>
        </w:rPr>
        <w:t>(4)</w:t>
      </w:r>
      <w:r>
        <w:rPr>
          <w:i/>
          <w:iCs/>
        </w:rPr>
        <w:t>,</w:t>
      </w:r>
      <w:r w:rsidRPr="00C407E4">
        <w:rPr>
          <w:i/>
          <w:iCs/>
        </w:rPr>
        <w:t xml:space="preserve"> </w:t>
      </w:r>
      <w:r w:rsidRPr="00C407E4">
        <w:t>pp. 430–451.</w:t>
      </w:r>
      <w:r>
        <w:t xml:space="preserve"> Available at: </w:t>
      </w:r>
      <w:hyperlink r:id="rId17" w:history="1">
        <w:r w:rsidRPr="00E0591F">
          <w:rPr>
            <w:rStyle w:val="Hyperlink"/>
          </w:rPr>
          <w:t>https://journals.sagepub.com/doi/epdf/10.1177/1741143209334597</w:t>
        </w:r>
      </w:hyperlink>
    </w:p>
    <w:p w14:paraId="04E3E522" w14:textId="77777777" w:rsidR="005B5538" w:rsidRDefault="005B5538" w:rsidP="005B5538">
      <w:r>
        <w:t xml:space="preserve">Young, M. (1971) </w:t>
      </w:r>
      <w:r w:rsidRPr="00C8667A">
        <w:rPr>
          <w:i/>
          <w:iCs/>
        </w:rPr>
        <w:t>Knowledge and Control: New Directions for the Sociology of Education</w:t>
      </w:r>
      <w:r>
        <w:t xml:space="preserve"> (London: Collier-Macmillan).</w:t>
      </w:r>
    </w:p>
    <w:p w14:paraId="35D9FD5A" w14:textId="77777777" w:rsidR="005B5538" w:rsidRDefault="005B5538" w:rsidP="005B5538">
      <w:r>
        <w:t xml:space="preserve">Young, M. and Muller, J. (2013) ‘On the powers of powerful knowledge’, </w:t>
      </w:r>
      <w:r w:rsidRPr="004F431F">
        <w:rPr>
          <w:i/>
          <w:iCs/>
        </w:rPr>
        <w:t>Review of Education</w:t>
      </w:r>
      <w:r>
        <w:t>, 1 (3), 229-250.</w:t>
      </w:r>
    </w:p>
    <w:p w14:paraId="06D941C9" w14:textId="77777777" w:rsidR="005B5538" w:rsidRPr="00C407E4" w:rsidRDefault="005B5538" w:rsidP="005B5538">
      <w:r>
        <w:t xml:space="preserve">Yukl, G. (2002) </w:t>
      </w:r>
      <w:r w:rsidRPr="00B16717">
        <w:rPr>
          <w:i/>
          <w:iCs/>
        </w:rPr>
        <w:t>Leadership in Organizations</w:t>
      </w:r>
      <w:r>
        <w:t xml:space="preserve"> (5</w:t>
      </w:r>
      <w:r w:rsidRPr="00E86530">
        <w:rPr>
          <w:vertAlign w:val="superscript"/>
        </w:rPr>
        <w:t>th</w:t>
      </w:r>
      <w:r>
        <w:t xml:space="preserve"> ed.) New Jersey: Prentice Hall. </w:t>
      </w:r>
    </w:p>
    <w:p w14:paraId="1E5FEC1D" w14:textId="77777777" w:rsidR="00100F36" w:rsidRPr="001209AC" w:rsidRDefault="00100F36" w:rsidP="001209AC">
      <w:pPr>
        <w:rPr>
          <w:color w:val="7030A0"/>
        </w:rPr>
      </w:pPr>
    </w:p>
    <w:sectPr w:rsidR="00100F36" w:rsidRPr="001209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124CA"/>
    <w:multiLevelType w:val="hybridMultilevel"/>
    <w:tmpl w:val="3FA638FA"/>
    <w:lvl w:ilvl="0" w:tplc="3AC2A598">
      <w:start w:val="1"/>
      <w:numFmt w:val="bullet"/>
      <w:lvlText w:val="•"/>
      <w:lvlJc w:val="left"/>
      <w:pPr>
        <w:tabs>
          <w:tab w:val="num" w:pos="720"/>
        </w:tabs>
        <w:ind w:left="720" w:hanging="360"/>
      </w:pPr>
      <w:rPr>
        <w:rFonts w:ascii="Arial" w:hAnsi="Arial" w:hint="default"/>
      </w:rPr>
    </w:lvl>
    <w:lvl w:ilvl="1" w:tplc="254A13D8">
      <w:start w:val="1"/>
      <w:numFmt w:val="bullet"/>
      <w:lvlText w:val="•"/>
      <w:lvlJc w:val="left"/>
      <w:pPr>
        <w:tabs>
          <w:tab w:val="num" w:pos="1440"/>
        </w:tabs>
        <w:ind w:left="1440" w:hanging="360"/>
      </w:pPr>
      <w:rPr>
        <w:rFonts w:ascii="Arial" w:hAnsi="Arial" w:hint="default"/>
      </w:rPr>
    </w:lvl>
    <w:lvl w:ilvl="2" w:tplc="C4B49F42" w:tentative="1">
      <w:start w:val="1"/>
      <w:numFmt w:val="bullet"/>
      <w:lvlText w:val="•"/>
      <w:lvlJc w:val="left"/>
      <w:pPr>
        <w:tabs>
          <w:tab w:val="num" w:pos="2160"/>
        </w:tabs>
        <w:ind w:left="2160" w:hanging="360"/>
      </w:pPr>
      <w:rPr>
        <w:rFonts w:ascii="Arial" w:hAnsi="Arial" w:hint="default"/>
      </w:rPr>
    </w:lvl>
    <w:lvl w:ilvl="3" w:tplc="44BC498E" w:tentative="1">
      <w:start w:val="1"/>
      <w:numFmt w:val="bullet"/>
      <w:lvlText w:val="•"/>
      <w:lvlJc w:val="left"/>
      <w:pPr>
        <w:tabs>
          <w:tab w:val="num" w:pos="2880"/>
        </w:tabs>
        <w:ind w:left="2880" w:hanging="360"/>
      </w:pPr>
      <w:rPr>
        <w:rFonts w:ascii="Arial" w:hAnsi="Arial" w:hint="default"/>
      </w:rPr>
    </w:lvl>
    <w:lvl w:ilvl="4" w:tplc="4274ADF0" w:tentative="1">
      <w:start w:val="1"/>
      <w:numFmt w:val="bullet"/>
      <w:lvlText w:val="•"/>
      <w:lvlJc w:val="left"/>
      <w:pPr>
        <w:tabs>
          <w:tab w:val="num" w:pos="3600"/>
        </w:tabs>
        <w:ind w:left="3600" w:hanging="360"/>
      </w:pPr>
      <w:rPr>
        <w:rFonts w:ascii="Arial" w:hAnsi="Arial" w:hint="default"/>
      </w:rPr>
    </w:lvl>
    <w:lvl w:ilvl="5" w:tplc="56266BF0" w:tentative="1">
      <w:start w:val="1"/>
      <w:numFmt w:val="bullet"/>
      <w:lvlText w:val="•"/>
      <w:lvlJc w:val="left"/>
      <w:pPr>
        <w:tabs>
          <w:tab w:val="num" w:pos="4320"/>
        </w:tabs>
        <w:ind w:left="4320" w:hanging="360"/>
      </w:pPr>
      <w:rPr>
        <w:rFonts w:ascii="Arial" w:hAnsi="Arial" w:hint="default"/>
      </w:rPr>
    </w:lvl>
    <w:lvl w:ilvl="6" w:tplc="6F1E59E6" w:tentative="1">
      <w:start w:val="1"/>
      <w:numFmt w:val="bullet"/>
      <w:lvlText w:val="•"/>
      <w:lvlJc w:val="left"/>
      <w:pPr>
        <w:tabs>
          <w:tab w:val="num" w:pos="5040"/>
        </w:tabs>
        <w:ind w:left="5040" w:hanging="360"/>
      </w:pPr>
      <w:rPr>
        <w:rFonts w:ascii="Arial" w:hAnsi="Arial" w:hint="default"/>
      </w:rPr>
    </w:lvl>
    <w:lvl w:ilvl="7" w:tplc="53925F6A" w:tentative="1">
      <w:start w:val="1"/>
      <w:numFmt w:val="bullet"/>
      <w:lvlText w:val="•"/>
      <w:lvlJc w:val="left"/>
      <w:pPr>
        <w:tabs>
          <w:tab w:val="num" w:pos="5760"/>
        </w:tabs>
        <w:ind w:left="5760" w:hanging="360"/>
      </w:pPr>
      <w:rPr>
        <w:rFonts w:ascii="Arial" w:hAnsi="Arial" w:hint="default"/>
      </w:rPr>
    </w:lvl>
    <w:lvl w:ilvl="8" w:tplc="CA140E8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03D2D38"/>
    <w:multiLevelType w:val="hybridMultilevel"/>
    <w:tmpl w:val="1BFCE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807CB"/>
    <w:multiLevelType w:val="hybridMultilevel"/>
    <w:tmpl w:val="31AC02C6"/>
    <w:lvl w:ilvl="0" w:tplc="DBEA3728">
      <w:start w:val="1"/>
      <w:numFmt w:val="bullet"/>
      <w:lvlText w:val="•"/>
      <w:lvlJc w:val="left"/>
      <w:pPr>
        <w:tabs>
          <w:tab w:val="num" w:pos="720"/>
        </w:tabs>
        <w:ind w:left="720" w:hanging="360"/>
      </w:pPr>
      <w:rPr>
        <w:rFonts w:ascii="Arial" w:hAnsi="Arial" w:hint="default"/>
      </w:rPr>
    </w:lvl>
    <w:lvl w:ilvl="1" w:tplc="53623FB6">
      <w:start w:val="1"/>
      <w:numFmt w:val="bullet"/>
      <w:lvlText w:val="•"/>
      <w:lvlJc w:val="left"/>
      <w:pPr>
        <w:tabs>
          <w:tab w:val="num" w:pos="1440"/>
        </w:tabs>
        <w:ind w:left="1440" w:hanging="360"/>
      </w:pPr>
      <w:rPr>
        <w:rFonts w:ascii="Arial" w:hAnsi="Arial" w:hint="default"/>
      </w:rPr>
    </w:lvl>
    <w:lvl w:ilvl="2" w:tplc="77100AEE" w:tentative="1">
      <w:start w:val="1"/>
      <w:numFmt w:val="bullet"/>
      <w:lvlText w:val="•"/>
      <w:lvlJc w:val="left"/>
      <w:pPr>
        <w:tabs>
          <w:tab w:val="num" w:pos="2160"/>
        </w:tabs>
        <w:ind w:left="2160" w:hanging="360"/>
      </w:pPr>
      <w:rPr>
        <w:rFonts w:ascii="Arial" w:hAnsi="Arial" w:hint="default"/>
      </w:rPr>
    </w:lvl>
    <w:lvl w:ilvl="3" w:tplc="A5764B08" w:tentative="1">
      <w:start w:val="1"/>
      <w:numFmt w:val="bullet"/>
      <w:lvlText w:val="•"/>
      <w:lvlJc w:val="left"/>
      <w:pPr>
        <w:tabs>
          <w:tab w:val="num" w:pos="2880"/>
        </w:tabs>
        <w:ind w:left="2880" w:hanging="360"/>
      </w:pPr>
      <w:rPr>
        <w:rFonts w:ascii="Arial" w:hAnsi="Arial" w:hint="default"/>
      </w:rPr>
    </w:lvl>
    <w:lvl w:ilvl="4" w:tplc="CB2ABDA4" w:tentative="1">
      <w:start w:val="1"/>
      <w:numFmt w:val="bullet"/>
      <w:lvlText w:val="•"/>
      <w:lvlJc w:val="left"/>
      <w:pPr>
        <w:tabs>
          <w:tab w:val="num" w:pos="3600"/>
        </w:tabs>
        <w:ind w:left="3600" w:hanging="360"/>
      </w:pPr>
      <w:rPr>
        <w:rFonts w:ascii="Arial" w:hAnsi="Arial" w:hint="default"/>
      </w:rPr>
    </w:lvl>
    <w:lvl w:ilvl="5" w:tplc="C46C132A" w:tentative="1">
      <w:start w:val="1"/>
      <w:numFmt w:val="bullet"/>
      <w:lvlText w:val="•"/>
      <w:lvlJc w:val="left"/>
      <w:pPr>
        <w:tabs>
          <w:tab w:val="num" w:pos="4320"/>
        </w:tabs>
        <w:ind w:left="4320" w:hanging="360"/>
      </w:pPr>
      <w:rPr>
        <w:rFonts w:ascii="Arial" w:hAnsi="Arial" w:hint="default"/>
      </w:rPr>
    </w:lvl>
    <w:lvl w:ilvl="6" w:tplc="A4721662" w:tentative="1">
      <w:start w:val="1"/>
      <w:numFmt w:val="bullet"/>
      <w:lvlText w:val="•"/>
      <w:lvlJc w:val="left"/>
      <w:pPr>
        <w:tabs>
          <w:tab w:val="num" w:pos="5040"/>
        </w:tabs>
        <w:ind w:left="5040" w:hanging="360"/>
      </w:pPr>
      <w:rPr>
        <w:rFonts w:ascii="Arial" w:hAnsi="Arial" w:hint="default"/>
      </w:rPr>
    </w:lvl>
    <w:lvl w:ilvl="7" w:tplc="09F42F34" w:tentative="1">
      <w:start w:val="1"/>
      <w:numFmt w:val="bullet"/>
      <w:lvlText w:val="•"/>
      <w:lvlJc w:val="left"/>
      <w:pPr>
        <w:tabs>
          <w:tab w:val="num" w:pos="5760"/>
        </w:tabs>
        <w:ind w:left="5760" w:hanging="360"/>
      </w:pPr>
      <w:rPr>
        <w:rFonts w:ascii="Arial" w:hAnsi="Arial" w:hint="default"/>
      </w:rPr>
    </w:lvl>
    <w:lvl w:ilvl="8" w:tplc="549680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7BE35D4"/>
    <w:multiLevelType w:val="hybridMultilevel"/>
    <w:tmpl w:val="35682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D1114A"/>
    <w:multiLevelType w:val="hybridMultilevel"/>
    <w:tmpl w:val="7D44F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7B55D8"/>
    <w:multiLevelType w:val="hybridMultilevel"/>
    <w:tmpl w:val="082E4610"/>
    <w:lvl w:ilvl="0" w:tplc="2B1EA092">
      <w:start w:val="1"/>
      <w:numFmt w:val="bullet"/>
      <w:lvlText w:val="•"/>
      <w:lvlJc w:val="left"/>
      <w:pPr>
        <w:tabs>
          <w:tab w:val="num" w:pos="720"/>
        </w:tabs>
        <w:ind w:left="720" w:hanging="360"/>
      </w:pPr>
      <w:rPr>
        <w:rFonts w:ascii="Arial" w:hAnsi="Arial" w:hint="default"/>
      </w:rPr>
    </w:lvl>
    <w:lvl w:ilvl="1" w:tplc="ACEAFB5C">
      <w:start w:val="1"/>
      <w:numFmt w:val="bullet"/>
      <w:lvlText w:val="•"/>
      <w:lvlJc w:val="left"/>
      <w:pPr>
        <w:tabs>
          <w:tab w:val="num" w:pos="1440"/>
        </w:tabs>
        <w:ind w:left="1440" w:hanging="360"/>
      </w:pPr>
      <w:rPr>
        <w:rFonts w:ascii="Arial" w:hAnsi="Arial" w:hint="default"/>
      </w:rPr>
    </w:lvl>
    <w:lvl w:ilvl="2" w:tplc="BBE84A82" w:tentative="1">
      <w:start w:val="1"/>
      <w:numFmt w:val="bullet"/>
      <w:lvlText w:val="•"/>
      <w:lvlJc w:val="left"/>
      <w:pPr>
        <w:tabs>
          <w:tab w:val="num" w:pos="2160"/>
        </w:tabs>
        <w:ind w:left="2160" w:hanging="360"/>
      </w:pPr>
      <w:rPr>
        <w:rFonts w:ascii="Arial" w:hAnsi="Arial" w:hint="default"/>
      </w:rPr>
    </w:lvl>
    <w:lvl w:ilvl="3" w:tplc="CA46797E" w:tentative="1">
      <w:start w:val="1"/>
      <w:numFmt w:val="bullet"/>
      <w:lvlText w:val="•"/>
      <w:lvlJc w:val="left"/>
      <w:pPr>
        <w:tabs>
          <w:tab w:val="num" w:pos="2880"/>
        </w:tabs>
        <w:ind w:left="2880" w:hanging="360"/>
      </w:pPr>
      <w:rPr>
        <w:rFonts w:ascii="Arial" w:hAnsi="Arial" w:hint="default"/>
      </w:rPr>
    </w:lvl>
    <w:lvl w:ilvl="4" w:tplc="38267BB0" w:tentative="1">
      <w:start w:val="1"/>
      <w:numFmt w:val="bullet"/>
      <w:lvlText w:val="•"/>
      <w:lvlJc w:val="left"/>
      <w:pPr>
        <w:tabs>
          <w:tab w:val="num" w:pos="3600"/>
        </w:tabs>
        <w:ind w:left="3600" w:hanging="360"/>
      </w:pPr>
      <w:rPr>
        <w:rFonts w:ascii="Arial" w:hAnsi="Arial" w:hint="default"/>
      </w:rPr>
    </w:lvl>
    <w:lvl w:ilvl="5" w:tplc="86A01D3A" w:tentative="1">
      <w:start w:val="1"/>
      <w:numFmt w:val="bullet"/>
      <w:lvlText w:val="•"/>
      <w:lvlJc w:val="left"/>
      <w:pPr>
        <w:tabs>
          <w:tab w:val="num" w:pos="4320"/>
        </w:tabs>
        <w:ind w:left="4320" w:hanging="360"/>
      </w:pPr>
      <w:rPr>
        <w:rFonts w:ascii="Arial" w:hAnsi="Arial" w:hint="default"/>
      </w:rPr>
    </w:lvl>
    <w:lvl w:ilvl="6" w:tplc="C3C856C0" w:tentative="1">
      <w:start w:val="1"/>
      <w:numFmt w:val="bullet"/>
      <w:lvlText w:val="•"/>
      <w:lvlJc w:val="left"/>
      <w:pPr>
        <w:tabs>
          <w:tab w:val="num" w:pos="5040"/>
        </w:tabs>
        <w:ind w:left="5040" w:hanging="360"/>
      </w:pPr>
      <w:rPr>
        <w:rFonts w:ascii="Arial" w:hAnsi="Arial" w:hint="default"/>
      </w:rPr>
    </w:lvl>
    <w:lvl w:ilvl="7" w:tplc="651E9F3C" w:tentative="1">
      <w:start w:val="1"/>
      <w:numFmt w:val="bullet"/>
      <w:lvlText w:val="•"/>
      <w:lvlJc w:val="left"/>
      <w:pPr>
        <w:tabs>
          <w:tab w:val="num" w:pos="5760"/>
        </w:tabs>
        <w:ind w:left="5760" w:hanging="360"/>
      </w:pPr>
      <w:rPr>
        <w:rFonts w:ascii="Arial" w:hAnsi="Arial" w:hint="default"/>
      </w:rPr>
    </w:lvl>
    <w:lvl w:ilvl="8" w:tplc="3B0A598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6136A65"/>
    <w:multiLevelType w:val="hybridMultilevel"/>
    <w:tmpl w:val="F14A5848"/>
    <w:lvl w:ilvl="0" w:tplc="5DBECF90">
      <w:start w:val="1"/>
      <w:numFmt w:val="bullet"/>
      <w:lvlText w:val="•"/>
      <w:lvlJc w:val="left"/>
      <w:pPr>
        <w:tabs>
          <w:tab w:val="num" w:pos="720"/>
        </w:tabs>
        <w:ind w:left="720" w:hanging="360"/>
      </w:pPr>
      <w:rPr>
        <w:rFonts w:ascii="Arial" w:hAnsi="Arial" w:hint="default"/>
      </w:rPr>
    </w:lvl>
    <w:lvl w:ilvl="1" w:tplc="811C79E0">
      <w:start w:val="1"/>
      <w:numFmt w:val="bullet"/>
      <w:lvlText w:val="•"/>
      <w:lvlJc w:val="left"/>
      <w:pPr>
        <w:tabs>
          <w:tab w:val="num" w:pos="1440"/>
        </w:tabs>
        <w:ind w:left="1440" w:hanging="360"/>
      </w:pPr>
      <w:rPr>
        <w:rFonts w:ascii="Arial" w:hAnsi="Arial" w:hint="default"/>
      </w:rPr>
    </w:lvl>
    <w:lvl w:ilvl="2" w:tplc="FBE05166" w:tentative="1">
      <w:start w:val="1"/>
      <w:numFmt w:val="bullet"/>
      <w:lvlText w:val="•"/>
      <w:lvlJc w:val="left"/>
      <w:pPr>
        <w:tabs>
          <w:tab w:val="num" w:pos="2160"/>
        </w:tabs>
        <w:ind w:left="2160" w:hanging="360"/>
      </w:pPr>
      <w:rPr>
        <w:rFonts w:ascii="Arial" w:hAnsi="Arial" w:hint="default"/>
      </w:rPr>
    </w:lvl>
    <w:lvl w:ilvl="3" w:tplc="0832D3C4" w:tentative="1">
      <w:start w:val="1"/>
      <w:numFmt w:val="bullet"/>
      <w:lvlText w:val="•"/>
      <w:lvlJc w:val="left"/>
      <w:pPr>
        <w:tabs>
          <w:tab w:val="num" w:pos="2880"/>
        </w:tabs>
        <w:ind w:left="2880" w:hanging="360"/>
      </w:pPr>
      <w:rPr>
        <w:rFonts w:ascii="Arial" w:hAnsi="Arial" w:hint="default"/>
      </w:rPr>
    </w:lvl>
    <w:lvl w:ilvl="4" w:tplc="C3DC88CC" w:tentative="1">
      <w:start w:val="1"/>
      <w:numFmt w:val="bullet"/>
      <w:lvlText w:val="•"/>
      <w:lvlJc w:val="left"/>
      <w:pPr>
        <w:tabs>
          <w:tab w:val="num" w:pos="3600"/>
        </w:tabs>
        <w:ind w:left="3600" w:hanging="360"/>
      </w:pPr>
      <w:rPr>
        <w:rFonts w:ascii="Arial" w:hAnsi="Arial" w:hint="default"/>
      </w:rPr>
    </w:lvl>
    <w:lvl w:ilvl="5" w:tplc="625E0C58" w:tentative="1">
      <w:start w:val="1"/>
      <w:numFmt w:val="bullet"/>
      <w:lvlText w:val="•"/>
      <w:lvlJc w:val="left"/>
      <w:pPr>
        <w:tabs>
          <w:tab w:val="num" w:pos="4320"/>
        </w:tabs>
        <w:ind w:left="4320" w:hanging="360"/>
      </w:pPr>
      <w:rPr>
        <w:rFonts w:ascii="Arial" w:hAnsi="Arial" w:hint="default"/>
      </w:rPr>
    </w:lvl>
    <w:lvl w:ilvl="6" w:tplc="DE2499A4" w:tentative="1">
      <w:start w:val="1"/>
      <w:numFmt w:val="bullet"/>
      <w:lvlText w:val="•"/>
      <w:lvlJc w:val="left"/>
      <w:pPr>
        <w:tabs>
          <w:tab w:val="num" w:pos="5040"/>
        </w:tabs>
        <w:ind w:left="5040" w:hanging="360"/>
      </w:pPr>
      <w:rPr>
        <w:rFonts w:ascii="Arial" w:hAnsi="Arial" w:hint="default"/>
      </w:rPr>
    </w:lvl>
    <w:lvl w:ilvl="7" w:tplc="C7E67938" w:tentative="1">
      <w:start w:val="1"/>
      <w:numFmt w:val="bullet"/>
      <w:lvlText w:val="•"/>
      <w:lvlJc w:val="left"/>
      <w:pPr>
        <w:tabs>
          <w:tab w:val="num" w:pos="5760"/>
        </w:tabs>
        <w:ind w:left="5760" w:hanging="360"/>
      </w:pPr>
      <w:rPr>
        <w:rFonts w:ascii="Arial" w:hAnsi="Arial" w:hint="default"/>
      </w:rPr>
    </w:lvl>
    <w:lvl w:ilvl="8" w:tplc="DD5E08C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F1D25C6"/>
    <w:multiLevelType w:val="hybridMultilevel"/>
    <w:tmpl w:val="869A37BA"/>
    <w:lvl w:ilvl="0" w:tplc="404E493A">
      <w:start w:val="1"/>
      <w:numFmt w:val="bullet"/>
      <w:lvlText w:val="•"/>
      <w:lvlJc w:val="left"/>
      <w:pPr>
        <w:tabs>
          <w:tab w:val="num" w:pos="720"/>
        </w:tabs>
        <w:ind w:left="720" w:hanging="360"/>
      </w:pPr>
      <w:rPr>
        <w:rFonts w:ascii="Arial" w:hAnsi="Arial" w:hint="default"/>
      </w:rPr>
    </w:lvl>
    <w:lvl w:ilvl="1" w:tplc="9744914C">
      <w:start w:val="1"/>
      <w:numFmt w:val="bullet"/>
      <w:lvlText w:val="•"/>
      <w:lvlJc w:val="left"/>
      <w:pPr>
        <w:tabs>
          <w:tab w:val="num" w:pos="1440"/>
        </w:tabs>
        <w:ind w:left="1440" w:hanging="360"/>
      </w:pPr>
      <w:rPr>
        <w:rFonts w:ascii="Arial" w:hAnsi="Arial" w:hint="default"/>
      </w:rPr>
    </w:lvl>
    <w:lvl w:ilvl="2" w:tplc="9BD232C6" w:tentative="1">
      <w:start w:val="1"/>
      <w:numFmt w:val="bullet"/>
      <w:lvlText w:val="•"/>
      <w:lvlJc w:val="left"/>
      <w:pPr>
        <w:tabs>
          <w:tab w:val="num" w:pos="2160"/>
        </w:tabs>
        <w:ind w:left="2160" w:hanging="360"/>
      </w:pPr>
      <w:rPr>
        <w:rFonts w:ascii="Arial" w:hAnsi="Arial" w:hint="default"/>
      </w:rPr>
    </w:lvl>
    <w:lvl w:ilvl="3" w:tplc="5C1E6112" w:tentative="1">
      <w:start w:val="1"/>
      <w:numFmt w:val="bullet"/>
      <w:lvlText w:val="•"/>
      <w:lvlJc w:val="left"/>
      <w:pPr>
        <w:tabs>
          <w:tab w:val="num" w:pos="2880"/>
        </w:tabs>
        <w:ind w:left="2880" w:hanging="360"/>
      </w:pPr>
      <w:rPr>
        <w:rFonts w:ascii="Arial" w:hAnsi="Arial" w:hint="default"/>
      </w:rPr>
    </w:lvl>
    <w:lvl w:ilvl="4" w:tplc="8EA0087A" w:tentative="1">
      <w:start w:val="1"/>
      <w:numFmt w:val="bullet"/>
      <w:lvlText w:val="•"/>
      <w:lvlJc w:val="left"/>
      <w:pPr>
        <w:tabs>
          <w:tab w:val="num" w:pos="3600"/>
        </w:tabs>
        <w:ind w:left="3600" w:hanging="360"/>
      </w:pPr>
      <w:rPr>
        <w:rFonts w:ascii="Arial" w:hAnsi="Arial" w:hint="default"/>
      </w:rPr>
    </w:lvl>
    <w:lvl w:ilvl="5" w:tplc="7F289A12" w:tentative="1">
      <w:start w:val="1"/>
      <w:numFmt w:val="bullet"/>
      <w:lvlText w:val="•"/>
      <w:lvlJc w:val="left"/>
      <w:pPr>
        <w:tabs>
          <w:tab w:val="num" w:pos="4320"/>
        </w:tabs>
        <w:ind w:left="4320" w:hanging="360"/>
      </w:pPr>
      <w:rPr>
        <w:rFonts w:ascii="Arial" w:hAnsi="Arial" w:hint="default"/>
      </w:rPr>
    </w:lvl>
    <w:lvl w:ilvl="6" w:tplc="4D1A6E98" w:tentative="1">
      <w:start w:val="1"/>
      <w:numFmt w:val="bullet"/>
      <w:lvlText w:val="•"/>
      <w:lvlJc w:val="left"/>
      <w:pPr>
        <w:tabs>
          <w:tab w:val="num" w:pos="5040"/>
        </w:tabs>
        <w:ind w:left="5040" w:hanging="360"/>
      </w:pPr>
      <w:rPr>
        <w:rFonts w:ascii="Arial" w:hAnsi="Arial" w:hint="default"/>
      </w:rPr>
    </w:lvl>
    <w:lvl w:ilvl="7" w:tplc="258E0E34" w:tentative="1">
      <w:start w:val="1"/>
      <w:numFmt w:val="bullet"/>
      <w:lvlText w:val="•"/>
      <w:lvlJc w:val="left"/>
      <w:pPr>
        <w:tabs>
          <w:tab w:val="num" w:pos="5760"/>
        </w:tabs>
        <w:ind w:left="5760" w:hanging="360"/>
      </w:pPr>
      <w:rPr>
        <w:rFonts w:ascii="Arial" w:hAnsi="Arial" w:hint="default"/>
      </w:rPr>
    </w:lvl>
    <w:lvl w:ilvl="8" w:tplc="20E4123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1820ACE"/>
    <w:multiLevelType w:val="hybridMultilevel"/>
    <w:tmpl w:val="0444F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946DFF"/>
    <w:multiLevelType w:val="hybridMultilevel"/>
    <w:tmpl w:val="574EB178"/>
    <w:lvl w:ilvl="0" w:tplc="E87EEB00">
      <w:start w:val="5"/>
      <w:numFmt w:val="decimal"/>
      <w:lvlText w:val="%1."/>
      <w:lvlJc w:val="left"/>
      <w:pPr>
        <w:tabs>
          <w:tab w:val="num" w:pos="720"/>
        </w:tabs>
        <w:ind w:left="720" w:hanging="360"/>
      </w:pPr>
    </w:lvl>
    <w:lvl w:ilvl="1" w:tplc="15F26322" w:tentative="1">
      <w:start w:val="1"/>
      <w:numFmt w:val="decimal"/>
      <w:lvlText w:val="%2."/>
      <w:lvlJc w:val="left"/>
      <w:pPr>
        <w:tabs>
          <w:tab w:val="num" w:pos="1440"/>
        </w:tabs>
        <w:ind w:left="1440" w:hanging="360"/>
      </w:pPr>
    </w:lvl>
    <w:lvl w:ilvl="2" w:tplc="9BD6D0E6" w:tentative="1">
      <w:start w:val="1"/>
      <w:numFmt w:val="decimal"/>
      <w:lvlText w:val="%3."/>
      <w:lvlJc w:val="left"/>
      <w:pPr>
        <w:tabs>
          <w:tab w:val="num" w:pos="2160"/>
        </w:tabs>
        <w:ind w:left="2160" w:hanging="360"/>
      </w:pPr>
    </w:lvl>
    <w:lvl w:ilvl="3" w:tplc="A5589CD0" w:tentative="1">
      <w:start w:val="1"/>
      <w:numFmt w:val="decimal"/>
      <w:lvlText w:val="%4."/>
      <w:lvlJc w:val="left"/>
      <w:pPr>
        <w:tabs>
          <w:tab w:val="num" w:pos="2880"/>
        </w:tabs>
        <w:ind w:left="2880" w:hanging="360"/>
      </w:pPr>
    </w:lvl>
    <w:lvl w:ilvl="4" w:tplc="47E6A61E" w:tentative="1">
      <w:start w:val="1"/>
      <w:numFmt w:val="decimal"/>
      <w:lvlText w:val="%5."/>
      <w:lvlJc w:val="left"/>
      <w:pPr>
        <w:tabs>
          <w:tab w:val="num" w:pos="3600"/>
        </w:tabs>
        <w:ind w:left="3600" w:hanging="360"/>
      </w:pPr>
    </w:lvl>
    <w:lvl w:ilvl="5" w:tplc="47BEA074" w:tentative="1">
      <w:start w:val="1"/>
      <w:numFmt w:val="decimal"/>
      <w:lvlText w:val="%6."/>
      <w:lvlJc w:val="left"/>
      <w:pPr>
        <w:tabs>
          <w:tab w:val="num" w:pos="4320"/>
        </w:tabs>
        <w:ind w:left="4320" w:hanging="360"/>
      </w:pPr>
    </w:lvl>
    <w:lvl w:ilvl="6" w:tplc="1F42750C" w:tentative="1">
      <w:start w:val="1"/>
      <w:numFmt w:val="decimal"/>
      <w:lvlText w:val="%7."/>
      <w:lvlJc w:val="left"/>
      <w:pPr>
        <w:tabs>
          <w:tab w:val="num" w:pos="5040"/>
        </w:tabs>
        <w:ind w:left="5040" w:hanging="360"/>
      </w:pPr>
    </w:lvl>
    <w:lvl w:ilvl="7" w:tplc="A7DAD472" w:tentative="1">
      <w:start w:val="1"/>
      <w:numFmt w:val="decimal"/>
      <w:lvlText w:val="%8."/>
      <w:lvlJc w:val="left"/>
      <w:pPr>
        <w:tabs>
          <w:tab w:val="num" w:pos="5760"/>
        </w:tabs>
        <w:ind w:left="5760" w:hanging="360"/>
      </w:pPr>
    </w:lvl>
    <w:lvl w:ilvl="8" w:tplc="BD1C5100" w:tentative="1">
      <w:start w:val="1"/>
      <w:numFmt w:val="decimal"/>
      <w:lvlText w:val="%9."/>
      <w:lvlJc w:val="left"/>
      <w:pPr>
        <w:tabs>
          <w:tab w:val="num" w:pos="6480"/>
        </w:tabs>
        <w:ind w:left="6480" w:hanging="360"/>
      </w:pPr>
    </w:lvl>
  </w:abstractNum>
  <w:abstractNum w:abstractNumId="10" w15:restartNumberingAfterBreak="0">
    <w:nsid w:val="7C1C7F51"/>
    <w:multiLevelType w:val="hybridMultilevel"/>
    <w:tmpl w:val="42FAE032"/>
    <w:lvl w:ilvl="0" w:tplc="6F847A5C">
      <w:start w:val="1"/>
      <w:numFmt w:val="bullet"/>
      <w:lvlText w:val="•"/>
      <w:lvlJc w:val="left"/>
      <w:pPr>
        <w:tabs>
          <w:tab w:val="num" w:pos="720"/>
        </w:tabs>
        <w:ind w:left="720" w:hanging="360"/>
      </w:pPr>
      <w:rPr>
        <w:rFonts w:ascii="Arial" w:hAnsi="Arial" w:hint="default"/>
      </w:rPr>
    </w:lvl>
    <w:lvl w:ilvl="1" w:tplc="9920C9BA">
      <w:start w:val="1"/>
      <w:numFmt w:val="bullet"/>
      <w:lvlText w:val="•"/>
      <w:lvlJc w:val="left"/>
      <w:pPr>
        <w:tabs>
          <w:tab w:val="num" w:pos="1440"/>
        </w:tabs>
        <w:ind w:left="1440" w:hanging="360"/>
      </w:pPr>
      <w:rPr>
        <w:rFonts w:ascii="Arial" w:hAnsi="Arial" w:hint="default"/>
      </w:rPr>
    </w:lvl>
    <w:lvl w:ilvl="2" w:tplc="81BC78B2" w:tentative="1">
      <w:start w:val="1"/>
      <w:numFmt w:val="bullet"/>
      <w:lvlText w:val="•"/>
      <w:lvlJc w:val="left"/>
      <w:pPr>
        <w:tabs>
          <w:tab w:val="num" w:pos="2160"/>
        </w:tabs>
        <w:ind w:left="2160" w:hanging="360"/>
      </w:pPr>
      <w:rPr>
        <w:rFonts w:ascii="Arial" w:hAnsi="Arial" w:hint="default"/>
      </w:rPr>
    </w:lvl>
    <w:lvl w:ilvl="3" w:tplc="E3C22368" w:tentative="1">
      <w:start w:val="1"/>
      <w:numFmt w:val="bullet"/>
      <w:lvlText w:val="•"/>
      <w:lvlJc w:val="left"/>
      <w:pPr>
        <w:tabs>
          <w:tab w:val="num" w:pos="2880"/>
        </w:tabs>
        <w:ind w:left="2880" w:hanging="360"/>
      </w:pPr>
      <w:rPr>
        <w:rFonts w:ascii="Arial" w:hAnsi="Arial" w:hint="default"/>
      </w:rPr>
    </w:lvl>
    <w:lvl w:ilvl="4" w:tplc="C366D43E" w:tentative="1">
      <w:start w:val="1"/>
      <w:numFmt w:val="bullet"/>
      <w:lvlText w:val="•"/>
      <w:lvlJc w:val="left"/>
      <w:pPr>
        <w:tabs>
          <w:tab w:val="num" w:pos="3600"/>
        </w:tabs>
        <w:ind w:left="3600" w:hanging="360"/>
      </w:pPr>
      <w:rPr>
        <w:rFonts w:ascii="Arial" w:hAnsi="Arial" w:hint="default"/>
      </w:rPr>
    </w:lvl>
    <w:lvl w:ilvl="5" w:tplc="E5101818" w:tentative="1">
      <w:start w:val="1"/>
      <w:numFmt w:val="bullet"/>
      <w:lvlText w:val="•"/>
      <w:lvlJc w:val="left"/>
      <w:pPr>
        <w:tabs>
          <w:tab w:val="num" w:pos="4320"/>
        </w:tabs>
        <w:ind w:left="4320" w:hanging="360"/>
      </w:pPr>
      <w:rPr>
        <w:rFonts w:ascii="Arial" w:hAnsi="Arial" w:hint="default"/>
      </w:rPr>
    </w:lvl>
    <w:lvl w:ilvl="6" w:tplc="BF3CF436" w:tentative="1">
      <w:start w:val="1"/>
      <w:numFmt w:val="bullet"/>
      <w:lvlText w:val="•"/>
      <w:lvlJc w:val="left"/>
      <w:pPr>
        <w:tabs>
          <w:tab w:val="num" w:pos="5040"/>
        </w:tabs>
        <w:ind w:left="5040" w:hanging="360"/>
      </w:pPr>
      <w:rPr>
        <w:rFonts w:ascii="Arial" w:hAnsi="Arial" w:hint="default"/>
      </w:rPr>
    </w:lvl>
    <w:lvl w:ilvl="7" w:tplc="463858E8" w:tentative="1">
      <w:start w:val="1"/>
      <w:numFmt w:val="bullet"/>
      <w:lvlText w:val="•"/>
      <w:lvlJc w:val="left"/>
      <w:pPr>
        <w:tabs>
          <w:tab w:val="num" w:pos="5760"/>
        </w:tabs>
        <w:ind w:left="5760" w:hanging="360"/>
      </w:pPr>
      <w:rPr>
        <w:rFonts w:ascii="Arial" w:hAnsi="Arial" w:hint="default"/>
      </w:rPr>
    </w:lvl>
    <w:lvl w:ilvl="8" w:tplc="4D809A0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EE74528"/>
    <w:multiLevelType w:val="hybridMultilevel"/>
    <w:tmpl w:val="34503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7812251">
    <w:abstractNumId w:val="9"/>
  </w:num>
  <w:num w:numId="2" w16cid:durableId="168447463">
    <w:abstractNumId w:val="0"/>
  </w:num>
  <w:num w:numId="3" w16cid:durableId="193080753">
    <w:abstractNumId w:val="1"/>
  </w:num>
  <w:num w:numId="4" w16cid:durableId="632755868">
    <w:abstractNumId w:val="6"/>
  </w:num>
  <w:num w:numId="5" w16cid:durableId="1228497944">
    <w:abstractNumId w:val="2"/>
  </w:num>
  <w:num w:numId="6" w16cid:durableId="1800219618">
    <w:abstractNumId w:val="3"/>
  </w:num>
  <w:num w:numId="7" w16cid:durableId="588805890">
    <w:abstractNumId w:val="5"/>
  </w:num>
  <w:num w:numId="8" w16cid:durableId="571617785">
    <w:abstractNumId w:val="8"/>
  </w:num>
  <w:num w:numId="9" w16cid:durableId="880702302">
    <w:abstractNumId w:val="10"/>
  </w:num>
  <w:num w:numId="10" w16cid:durableId="2016758363">
    <w:abstractNumId w:val="4"/>
  </w:num>
  <w:num w:numId="11" w16cid:durableId="852719596">
    <w:abstractNumId w:val="7"/>
  </w:num>
  <w:num w:numId="12" w16cid:durableId="124217475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687"/>
    <w:rsid w:val="000002A8"/>
    <w:rsid w:val="0000174D"/>
    <w:rsid w:val="000044EF"/>
    <w:rsid w:val="00007A9F"/>
    <w:rsid w:val="000179CE"/>
    <w:rsid w:val="00025857"/>
    <w:rsid w:val="00033CA0"/>
    <w:rsid w:val="00057AE6"/>
    <w:rsid w:val="00061625"/>
    <w:rsid w:val="00061D0A"/>
    <w:rsid w:val="00062291"/>
    <w:rsid w:val="00062C7A"/>
    <w:rsid w:val="000670A5"/>
    <w:rsid w:val="0007270E"/>
    <w:rsid w:val="000A0FB7"/>
    <w:rsid w:val="000B55E9"/>
    <w:rsid w:val="000C279A"/>
    <w:rsid w:val="000D3F6F"/>
    <w:rsid w:val="000E261E"/>
    <w:rsid w:val="000F3D14"/>
    <w:rsid w:val="000F4342"/>
    <w:rsid w:val="00100F36"/>
    <w:rsid w:val="0010752F"/>
    <w:rsid w:val="00111B65"/>
    <w:rsid w:val="001209AC"/>
    <w:rsid w:val="001213C4"/>
    <w:rsid w:val="00133AD7"/>
    <w:rsid w:val="0013480E"/>
    <w:rsid w:val="001516F8"/>
    <w:rsid w:val="00156AF5"/>
    <w:rsid w:val="00160842"/>
    <w:rsid w:val="0016136C"/>
    <w:rsid w:val="001658C4"/>
    <w:rsid w:val="00175DC7"/>
    <w:rsid w:val="00182538"/>
    <w:rsid w:val="001858D4"/>
    <w:rsid w:val="001A022B"/>
    <w:rsid w:val="001B128F"/>
    <w:rsid w:val="001B1DEA"/>
    <w:rsid w:val="001C37B0"/>
    <w:rsid w:val="001C7167"/>
    <w:rsid w:val="001E2CA3"/>
    <w:rsid w:val="001F3F05"/>
    <w:rsid w:val="0021335C"/>
    <w:rsid w:val="00213DE9"/>
    <w:rsid w:val="002205DC"/>
    <w:rsid w:val="0022437A"/>
    <w:rsid w:val="00227757"/>
    <w:rsid w:val="002348F2"/>
    <w:rsid w:val="00242CBC"/>
    <w:rsid w:val="00261A29"/>
    <w:rsid w:val="00267E5C"/>
    <w:rsid w:val="0027557E"/>
    <w:rsid w:val="0029130D"/>
    <w:rsid w:val="00293868"/>
    <w:rsid w:val="00294448"/>
    <w:rsid w:val="002A2061"/>
    <w:rsid w:val="002A3336"/>
    <w:rsid w:val="002A4020"/>
    <w:rsid w:val="002A49DB"/>
    <w:rsid w:val="002B01CD"/>
    <w:rsid w:val="002B0A63"/>
    <w:rsid w:val="002B0E8A"/>
    <w:rsid w:val="002B5217"/>
    <w:rsid w:val="002B6C76"/>
    <w:rsid w:val="002C2F2B"/>
    <w:rsid w:val="002D79D3"/>
    <w:rsid w:val="002E4E0D"/>
    <w:rsid w:val="002E6411"/>
    <w:rsid w:val="002E6A24"/>
    <w:rsid w:val="002F3070"/>
    <w:rsid w:val="002F6F2B"/>
    <w:rsid w:val="00304928"/>
    <w:rsid w:val="003053CE"/>
    <w:rsid w:val="00312F5C"/>
    <w:rsid w:val="003173EC"/>
    <w:rsid w:val="003212FE"/>
    <w:rsid w:val="00322F0E"/>
    <w:rsid w:val="003230A7"/>
    <w:rsid w:val="00335DB5"/>
    <w:rsid w:val="00341F36"/>
    <w:rsid w:val="0034398A"/>
    <w:rsid w:val="00344A8C"/>
    <w:rsid w:val="00355844"/>
    <w:rsid w:val="003641C5"/>
    <w:rsid w:val="003676EC"/>
    <w:rsid w:val="00373404"/>
    <w:rsid w:val="00375832"/>
    <w:rsid w:val="00377C80"/>
    <w:rsid w:val="003834C3"/>
    <w:rsid w:val="00387543"/>
    <w:rsid w:val="0039220D"/>
    <w:rsid w:val="00393DE4"/>
    <w:rsid w:val="003B07D2"/>
    <w:rsid w:val="003C6EE3"/>
    <w:rsid w:val="003C750A"/>
    <w:rsid w:val="003D0CC0"/>
    <w:rsid w:val="003E2347"/>
    <w:rsid w:val="003E318C"/>
    <w:rsid w:val="003F1EE0"/>
    <w:rsid w:val="003F3EFD"/>
    <w:rsid w:val="0040207A"/>
    <w:rsid w:val="004102F8"/>
    <w:rsid w:val="00410755"/>
    <w:rsid w:val="0041295E"/>
    <w:rsid w:val="00426AC3"/>
    <w:rsid w:val="00444885"/>
    <w:rsid w:val="004468A5"/>
    <w:rsid w:val="00474E3C"/>
    <w:rsid w:val="004865D1"/>
    <w:rsid w:val="0049072A"/>
    <w:rsid w:val="004A378B"/>
    <w:rsid w:val="004A7B62"/>
    <w:rsid w:val="004B4BAD"/>
    <w:rsid w:val="004C3614"/>
    <w:rsid w:val="004D314D"/>
    <w:rsid w:val="004F3AEF"/>
    <w:rsid w:val="004F431F"/>
    <w:rsid w:val="004F56F9"/>
    <w:rsid w:val="00501913"/>
    <w:rsid w:val="005267F5"/>
    <w:rsid w:val="00534823"/>
    <w:rsid w:val="00550D13"/>
    <w:rsid w:val="005526A4"/>
    <w:rsid w:val="00561CFE"/>
    <w:rsid w:val="00570724"/>
    <w:rsid w:val="005A7B82"/>
    <w:rsid w:val="005B5538"/>
    <w:rsid w:val="005C38CF"/>
    <w:rsid w:val="005C47DE"/>
    <w:rsid w:val="005D7176"/>
    <w:rsid w:val="005D7B6D"/>
    <w:rsid w:val="006061CA"/>
    <w:rsid w:val="00611B33"/>
    <w:rsid w:val="0061202B"/>
    <w:rsid w:val="00612AC8"/>
    <w:rsid w:val="00621DDB"/>
    <w:rsid w:val="00623C6A"/>
    <w:rsid w:val="00632037"/>
    <w:rsid w:val="00644B40"/>
    <w:rsid w:val="00645316"/>
    <w:rsid w:val="0064570D"/>
    <w:rsid w:val="00655293"/>
    <w:rsid w:val="006607D3"/>
    <w:rsid w:val="00674189"/>
    <w:rsid w:val="00685936"/>
    <w:rsid w:val="0069485C"/>
    <w:rsid w:val="006A1D9C"/>
    <w:rsid w:val="006C0E85"/>
    <w:rsid w:val="006D13E0"/>
    <w:rsid w:val="006D3560"/>
    <w:rsid w:val="006F30D1"/>
    <w:rsid w:val="006F6AB8"/>
    <w:rsid w:val="00703D03"/>
    <w:rsid w:val="0071675A"/>
    <w:rsid w:val="00724807"/>
    <w:rsid w:val="00725CD9"/>
    <w:rsid w:val="0074717C"/>
    <w:rsid w:val="0077177E"/>
    <w:rsid w:val="00775A1D"/>
    <w:rsid w:val="007763CC"/>
    <w:rsid w:val="00777A41"/>
    <w:rsid w:val="007809AE"/>
    <w:rsid w:val="007A1F86"/>
    <w:rsid w:val="007A1FE9"/>
    <w:rsid w:val="007A3AAD"/>
    <w:rsid w:val="007B1FE5"/>
    <w:rsid w:val="007B6F2A"/>
    <w:rsid w:val="007C4536"/>
    <w:rsid w:val="007C4F16"/>
    <w:rsid w:val="007D28B1"/>
    <w:rsid w:val="007D5CF2"/>
    <w:rsid w:val="007E5A96"/>
    <w:rsid w:val="007E718D"/>
    <w:rsid w:val="007F0687"/>
    <w:rsid w:val="007F1C34"/>
    <w:rsid w:val="00800737"/>
    <w:rsid w:val="008146E1"/>
    <w:rsid w:val="00825C08"/>
    <w:rsid w:val="00832E5F"/>
    <w:rsid w:val="00845326"/>
    <w:rsid w:val="00845363"/>
    <w:rsid w:val="00845641"/>
    <w:rsid w:val="0085042C"/>
    <w:rsid w:val="00854883"/>
    <w:rsid w:val="00867A8E"/>
    <w:rsid w:val="0087170A"/>
    <w:rsid w:val="0087686C"/>
    <w:rsid w:val="00882165"/>
    <w:rsid w:val="008844DE"/>
    <w:rsid w:val="00886586"/>
    <w:rsid w:val="008A37C0"/>
    <w:rsid w:val="008A42D2"/>
    <w:rsid w:val="008A5843"/>
    <w:rsid w:val="008A6121"/>
    <w:rsid w:val="008A6D93"/>
    <w:rsid w:val="008A7676"/>
    <w:rsid w:val="008D13D0"/>
    <w:rsid w:val="008D20B1"/>
    <w:rsid w:val="008F0A39"/>
    <w:rsid w:val="008F27D1"/>
    <w:rsid w:val="008F522A"/>
    <w:rsid w:val="008F5D53"/>
    <w:rsid w:val="0090574B"/>
    <w:rsid w:val="0091214E"/>
    <w:rsid w:val="00912D32"/>
    <w:rsid w:val="0092463F"/>
    <w:rsid w:val="00927A73"/>
    <w:rsid w:val="00977702"/>
    <w:rsid w:val="009778FF"/>
    <w:rsid w:val="00977FBB"/>
    <w:rsid w:val="009908B2"/>
    <w:rsid w:val="009A7022"/>
    <w:rsid w:val="009B65B2"/>
    <w:rsid w:val="009C475A"/>
    <w:rsid w:val="009F3A8D"/>
    <w:rsid w:val="009F494C"/>
    <w:rsid w:val="00A0143A"/>
    <w:rsid w:val="00A02A05"/>
    <w:rsid w:val="00A03D1B"/>
    <w:rsid w:val="00A05F49"/>
    <w:rsid w:val="00A2174D"/>
    <w:rsid w:val="00A25F26"/>
    <w:rsid w:val="00A27D7F"/>
    <w:rsid w:val="00A77249"/>
    <w:rsid w:val="00A77981"/>
    <w:rsid w:val="00A807A0"/>
    <w:rsid w:val="00A80ACA"/>
    <w:rsid w:val="00A8447B"/>
    <w:rsid w:val="00A92B66"/>
    <w:rsid w:val="00A9344D"/>
    <w:rsid w:val="00AA30F7"/>
    <w:rsid w:val="00AA6BD9"/>
    <w:rsid w:val="00AA7035"/>
    <w:rsid w:val="00AB58E5"/>
    <w:rsid w:val="00AB5E03"/>
    <w:rsid w:val="00AB5F7A"/>
    <w:rsid w:val="00AC1CC9"/>
    <w:rsid w:val="00AD0581"/>
    <w:rsid w:val="00AE206D"/>
    <w:rsid w:val="00AF563D"/>
    <w:rsid w:val="00B00FD0"/>
    <w:rsid w:val="00B03742"/>
    <w:rsid w:val="00B061DE"/>
    <w:rsid w:val="00B16717"/>
    <w:rsid w:val="00B16DE1"/>
    <w:rsid w:val="00B20FDA"/>
    <w:rsid w:val="00B23155"/>
    <w:rsid w:val="00B3458C"/>
    <w:rsid w:val="00B73E79"/>
    <w:rsid w:val="00B7454D"/>
    <w:rsid w:val="00B93DB9"/>
    <w:rsid w:val="00B940D9"/>
    <w:rsid w:val="00BA1878"/>
    <w:rsid w:val="00BA257C"/>
    <w:rsid w:val="00BA5875"/>
    <w:rsid w:val="00BB560F"/>
    <w:rsid w:val="00BC0872"/>
    <w:rsid w:val="00BC436D"/>
    <w:rsid w:val="00BD366C"/>
    <w:rsid w:val="00BD5987"/>
    <w:rsid w:val="00BE6317"/>
    <w:rsid w:val="00BF4DCB"/>
    <w:rsid w:val="00BF70C5"/>
    <w:rsid w:val="00C378DF"/>
    <w:rsid w:val="00C37AF4"/>
    <w:rsid w:val="00C407E4"/>
    <w:rsid w:val="00C52BD4"/>
    <w:rsid w:val="00C56986"/>
    <w:rsid w:val="00C60AC5"/>
    <w:rsid w:val="00C73C8A"/>
    <w:rsid w:val="00C74F76"/>
    <w:rsid w:val="00C77666"/>
    <w:rsid w:val="00C83FB2"/>
    <w:rsid w:val="00C8667A"/>
    <w:rsid w:val="00C86C76"/>
    <w:rsid w:val="00CA177A"/>
    <w:rsid w:val="00CA4A60"/>
    <w:rsid w:val="00CA7086"/>
    <w:rsid w:val="00CA7634"/>
    <w:rsid w:val="00CB028C"/>
    <w:rsid w:val="00CB3370"/>
    <w:rsid w:val="00CB3ABA"/>
    <w:rsid w:val="00CC6998"/>
    <w:rsid w:val="00CC7357"/>
    <w:rsid w:val="00CD3115"/>
    <w:rsid w:val="00CD7B28"/>
    <w:rsid w:val="00CE0C69"/>
    <w:rsid w:val="00CE6582"/>
    <w:rsid w:val="00CF0ED6"/>
    <w:rsid w:val="00CF303D"/>
    <w:rsid w:val="00D00B9A"/>
    <w:rsid w:val="00D02974"/>
    <w:rsid w:val="00D17684"/>
    <w:rsid w:val="00D20C04"/>
    <w:rsid w:val="00D27527"/>
    <w:rsid w:val="00D31474"/>
    <w:rsid w:val="00D3596F"/>
    <w:rsid w:val="00D3734D"/>
    <w:rsid w:val="00D4654C"/>
    <w:rsid w:val="00D507CE"/>
    <w:rsid w:val="00D50DAC"/>
    <w:rsid w:val="00D819AD"/>
    <w:rsid w:val="00D83116"/>
    <w:rsid w:val="00D839FC"/>
    <w:rsid w:val="00D8559A"/>
    <w:rsid w:val="00DA72A6"/>
    <w:rsid w:val="00DB0685"/>
    <w:rsid w:val="00DB23EC"/>
    <w:rsid w:val="00DC369B"/>
    <w:rsid w:val="00DC4563"/>
    <w:rsid w:val="00DE19D8"/>
    <w:rsid w:val="00E05D90"/>
    <w:rsid w:val="00E13779"/>
    <w:rsid w:val="00E16DD1"/>
    <w:rsid w:val="00E24145"/>
    <w:rsid w:val="00E25526"/>
    <w:rsid w:val="00E27574"/>
    <w:rsid w:val="00E34F03"/>
    <w:rsid w:val="00E41A99"/>
    <w:rsid w:val="00E43486"/>
    <w:rsid w:val="00E46E80"/>
    <w:rsid w:val="00E57A73"/>
    <w:rsid w:val="00E70C6F"/>
    <w:rsid w:val="00E73F6D"/>
    <w:rsid w:val="00E77B0D"/>
    <w:rsid w:val="00E86530"/>
    <w:rsid w:val="00E8776D"/>
    <w:rsid w:val="00E87879"/>
    <w:rsid w:val="00E93FB3"/>
    <w:rsid w:val="00E96F2B"/>
    <w:rsid w:val="00EA044F"/>
    <w:rsid w:val="00EA2CBB"/>
    <w:rsid w:val="00EB4745"/>
    <w:rsid w:val="00EB768E"/>
    <w:rsid w:val="00ED0D59"/>
    <w:rsid w:val="00EE1ED8"/>
    <w:rsid w:val="00EE2575"/>
    <w:rsid w:val="00EE6672"/>
    <w:rsid w:val="00F2425B"/>
    <w:rsid w:val="00F30A97"/>
    <w:rsid w:val="00F33EA0"/>
    <w:rsid w:val="00F42FA2"/>
    <w:rsid w:val="00F469D8"/>
    <w:rsid w:val="00F6045B"/>
    <w:rsid w:val="00F629F5"/>
    <w:rsid w:val="00F724B8"/>
    <w:rsid w:val="00F77CAD"/>
    <w:rsid w:val="00F812E8"/>
    <w:rsid w:val="00F8251C"/>
    <w:rsid w:val="00F86671"/>
    <w:rsid w:val="00F979ED"/>
    <w:rsid w:val="00FA254B"/>
    <w:rsid w:val="00FA2FF3"/>
    <w:rsid w:val="00FB3719"/>
    <w:rsid w:val="00FB5B0F"/>
    <w:rsid w:val="00FD30C4"/>
    <w:rsid w:val="00FF117F"/>
    <w:rsid w:val="00FF45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9160F"/>
  <w15:chartTrackingRefBased/>
  <w15:docId w15:val="{44140623-8994-4915-8A8E-772A2DB0C2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7B28"/>
  </w:style>
  <w:style w:type="paragraph" w:styleId="Heading1">
    <w:name w:val="heading 1"/>
    <w:basedOn w:val="Normal"/>
    <w:next w:val="Normal"/>
    <w:link w:val="Heading1Char"/>
    <w:uiPriority w:val="9"/>
    <w:qFormat/>
    <w:rsid w:val="007F06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06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06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06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06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06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06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06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06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06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06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06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06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06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06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06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06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0687"/>
    <w:rPr>
      <w:rFonts w:eastAsiaTheme="majorEastAsia" w:cstheme="majorBidi"/>
      <w:color w:val="272727" w:themeColor="text1" w:themeTint="D8"/>
    </w:rPr>
  </w:style>
  <w:style w:type="paragraph" w:styleId="Title">
    <w:name w:val="Title"/>
    <w:basedOn w:val="Normal"/>
    <w:next w:val="Normal"/>
    <w:link w:val="TitleChar"/>
    <w:uiPriority w:val="10"/>
    <w:qFormat/>
    <w:rsid w:val="007F06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06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06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06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0687"/>
    <w:pPr>
      <w:spacing w:before="160"/>
      <w:jc w:val="center"/>
    </w:pPr>
    <w:rPr>
      <w:i/>
      <w:iCs/>
      <w:color w:val="404040" w:themeColor="text1" w:themeTint="BF"/>
    </w:rPr>
  </w:style>
  <w:style w:type="character" w:customStyle="1" w:styleId="QuoteChar">
    <w:name w:val="Quote Char"/>
    <w:basedOn w:val="DefaultParagraphFont"/>
    <w:link w:val="Quote"/>
    <w:uiPriority w:val="29"/>
    <w:rsid w:val="007F0687"/>
    <w:rPr>
      <w:i/>
      <w:iCs/>
      <w:color w:val="404040" w:themeColor="text1" w:themeTint="BF"/>
    </w:rPr>
  </w:style>
  <w:style w:type="paragraph" w:styleId="ListParagraph">
    <w:name w:val="List Paragraph"/>
    <w:basedOn w:val="Normal"/>
    <w:uiPriority w:val="34"/>
    <w:qFormat/>
    <w:rsid w:val="007F0687"/>
    <w:pPr>
      <w:ind w:left="720"/>
      <w:contextualSpacing/>
    </w:pPr>
  </w:style>
  <w:style w:type="character" w:styleId="IntenseEmphasis">
    <w:name w:val="Intense Emphasis"/>
    <w:basedOn w:val="DefaultParagraphFont"/>
    <w:uiPriority w:val="21"/>
    <w:qFormat/>
    <w:rsid w:val="007F0687"/>
    <w:rPr>
      <w:i/>
      <w:iCs/>
      <w:color w:val="0F4761" w:themeColor="accent1" w:themeShade="BF"/>
    </w:rPr>
  </w:style>
  <w:style w:type="paragraph" w:styleId="IntenseQuote">
    <w:name w:val="Intense Quote"/>
    <w:basedOn w:val="Normal"/>
    <w:next w:val="Normal"/>
    <w:link w:val="IntenseQuoteChar"/>
    <w:uiPriority w:val="30"/>
    <w:qFormat/>
    <w:rsid w:val="007F06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0687"/>
    <w:rPr>
      <w:i/>
      <w:iCs/>
      <w:color w:val="0F4761" w:themeColor="accent1" w:themeShade="BF"/>
    </w:rPr>
  </w:style>
  <w:style w:type="character" w:styleId="IntenseReference">
    <w:name w:val="Intense Reference"/>
    <w:basedOn w:val="DefaultParagraphFont"/>
    <w:uiPriority w:val="32"/>
    <w:qFormat/>
    <w:rsid w:val="007F0687"/>
    <w:rPr>
      <w:b/>
      <w:bCs/>
      <w:smallCaps/>
      <w:color w:val="0F4761" w:themeColor="accent1" w:themeShade="BF"/>
      <w:spacing w:val="5"/>
    </w:rPr>
  </w:style>
  <w:style w:type="character" w:styleId="Hyperlink">
    <w:name w:val="Hyperlink"/>
    <w:basedOn w:val="DefaultParagraphFont"/>
    <w:uiPriority w:val="99"/>
    <w:unhideWhenUsed/>
    <w:rsid w:val="0087170A"/>
    <w:rPr>
      <w:color w:val="467886" w:themeColor="hyperlink"/>
      <w:u w:val="single"/>
    </w:rPr>
  </w:style>
  <w:style w:type="character" w:styleId="UnresolvedMention">
    <w:name w:val="Unresolved Mention"/>
    <w:basedOn w:val="DefaultParagraphFont"/>
    <w:uiPriority w:val="99"/>
    <w:semiHidden/>
    <w:unhideWhenUsed/>
    <w:rsid w:val="008717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4776441">
      <w:bodyDiv w:val="1"/>
      <w:marLeft w:val="0"/>
      <w:marRight w:val="0"/>
      <w:marTop w:val="0"/>
      <w:marBottom w:val="0"/>
      <w:divBdr>
        <w:top w:val="none" w:sz="0" w:space="0" w:color="auto"/>
        <w:left w:val="none" w:sz="0" w:space="0" w:color="auto"/>
        <w:bottom w:val="none" w:sz="0" w:space="0" w:color="auto"/>
        <w:right w:val="none" w:sz="0" w:space="0" w:color="auto"/>
      </w:divBdr>
    </w:div>
    <w:div w:id="326129557">
      <w:bodyDiv w:val="1"/>
      <w:marLeft w:val="0"/>
      <w:marRight w:val="0"/>
      <w:marTop w:val="0"/>
      <w:marBottom w:val="0"/>
      <w:divBdr>
        <w:top w:val="none" w:sz="0" w:space="0" w:color="auto"/>
        <w:left w:val="none" w:sz="0" w:space="0" w:color="auto"/>
        <w:bottom w:val="none" w:sz="0" w:space="0" w:color="auto"/>
        <w:right w:val="none" w:sz="0" w:space="0" w:color="auto"/>
      </w:divBdr>
      <w:divsChild>
        <w:div w:id="825783959">
          <w:marLeft w:val="720"/>
          <w:marRight w:val="0"/>
          <w:marTop w:val="0"/>
          <w:marBottom w:val="0"/>
          <w:divBdr>
            <w:top w:val="none" w:sz="0" w:space="0" w:color="auto"/>
            <w:left w:val="none" w:sz="0" w:space="0" w:color="auto"/>
            <w:bottom w:val="none" w:sz="0" w:space="0" w:color="auto"/>
            <w:right w:val="none" w:sz="0" w:space="0" w:color="auto"/>
          </w:divBdr>
        </w:div>
        <w:div w:id="376779140">
          <w:marLeft w:val="720"/>
          <w:marRight w:val="0"/>
          <w:marTop w:val="0"/>
          <w:marBottom w:val="0"/>
          <w:divBdr>
            <w:top w:val="none" w:sz="0" w:space="0" w:color="auto"/>
            <w:left w:val="none" w:sz="0" w:space="0" w:color="auto"/>
            <w:bottom w:val="none" w:sz="0" w:space="0" w:color="auto"/>
            <w:right w:val="none" w:sz="0" w:space="0" w:color="auto"/>
          </w:divBdr>
        </w:div>
        <w:div w:id="1047340018">
          <w:marLeft w:val="720"/>
          <w:marRight w:val="0"/>
          <w:marTop w:val="0"/>
          <w:marBottom w:val="0"/>
          <w:divBdr>
            <w:top w:val="none" w:sz="0" w:space="0" w:color="auto"/>
            <w:left w:val="none" w:sz="0" w:space="0" w:color="auto"/>
            <w:bottom w:val="none" w:sz="0" w:space="0" w:color="auto"/>
            <w:right w:val="none" w:sz="0" w:space="0" w:color="auto"/>
          </w:divBdr>
        </w:div>
      </w:divsChild>
    </w:div>
    <w:div w:id="378825956">
      <w:bodyDiv w:val="1"/>
      <w:marLeft w:val="0"/>
      <w:marRight w:val="0"/>
      <w:marTop w:val="0"/>
      <w:marBottom w:val="0"/>
      <w:divBdr>
        <w:top w:val="none" w:sz="0" w:space="0" w:color="auto"/>
        <w:left w:val="none" w:sz="0" w:space="0" w:color="auto"/>
        <w:bottom w:val="none" w:sz="0" w:space="0" w:color="auto"/>
        <w:right w:val="none" w:sz="0" w:space="0" w:color="auto"/>
      </w:divBdr>
      <w:divsChild>
        <w:div w:id="1320422346">
          <w:marLeft w:val="720"/>
          <w:marRight w:val="0"/>
          <w:marTop w:val="0"/>
          <w:marBottom w:val="0"/>
          <w:divBdr>
            <w:top w:val="none" w:sz="0" w:space="0" w:color="auto"/>
            <w:left w:val="none" w:sz="0" w:space="0" w:color="auto"/>
            <w:bottom w:val="none" w:sz="0" w:space="0" w:color="auto"/>
            <w:right w:val="none" w:sz="0" w:space="0" w:color="auto"/>
          </w:divBdr>
        </w:div>
        <w:div w:id="990327201">
          <w:marLeft w:val="720"/>
          <w:marRight w:val="0"/>
          <w:marTop w:val="0"/>
          <w:marBottom w:val="0"/>
          <w:divBdr>
            <w:top w:val="none" w:sz="0" w:space="0" w:color="auto"/>
            <w:left w:val="none" w:sz="0" w:space="0" w:color="auto"/>
            <w:bottom w:val="none" w:sz="0" w:space="0" w:color="auto"/>
            <w:right w:val="none" w:sz="0" w:space="0" w:color="auto"/>
          </w:divBdr>
        </w:div>
      </w:divsChild>
    </w:div>
    <w:div w:id="547186693">
      <w:bodyDiv w:val="1"/>
      <w:marLeft w:val="0"/>
      <w:marRight w:val="0"/>
      <w:marTop w:val="0"/>
      <w:marBottom w:val="0"/>
      <w:divBdr>
        <w:top w:val="none" w:sz="0" w:space="0" w:color="auto"/>
        <w:left w:val="none" w:sz="0" w:space="0" w:color="auto"/>
        <w:bottom w:val="none" w:sz="0" w:space="0" w:color="auto"/>
        <w:right w:val="none" w:sz="0" w:space="0" w:color="auto"/>
      </w:divBdr>
      <w:divsChild>
        <w:div w:id="1102342575">
          <w:marLeft w:val="720"/>
          <w:marRight w:val="0"/>
          <w:marTop w:val="0"/>
          <w:marBottom w:val="0"/>
          <w:divBdr>
            <w:top w:val="none" w:sz="0" w:space="0" w:color="auto"/>
            <w:left w:val="none" w:sz="0" w:space="0" w:color="auto"/>
            <w:bottom w:val="none" w:sz="0" w:space="0" w:color="auto"/>
            <w:right w:val="none" w:sz="0" w:space="0" w:color="auto"/>
          </w:divBdr>
        </w:div>
        <w:div w:id="1407144613">
          <w:marLeft w:val="720"/>
          <w:marRight w:val="0"/>
          <w:marTop w:val="0"/>
          <w:marBottom w:val="0"/>
          <w:divBdr>
            <w:top w:val="none" w:sz="0" w:space="0" w:color="auto"/>
            <w:left w:val="none" w:sz="0" w:space="0" w:color="auto"/>
            <w:bottom w:val="none" w:sz="0" w:space="0" w:color="auto"/>
            <w:right w:val="none" w:sz="0" w:space="0" w:color="auto"/>
          </w:divBdr>
        </w:div>
      </w:divsChild>
    </w:div>
    <w:div w:id="647169058">
      <w:bodyDiv w:val="1"/>
      <w:marLeft w:val="0"/>
      <w:marRight w:val="0"/>
      <w:marTop w:val="0"/>
      <w:marBottom w:val="0"/>
      <w:divBdr>
        <w:top w:val="none" w:sz="0" w:space="0" w:color="auto"/>
        <w:left w:val="none" w:sz="0" w:space="0" w:color="auto"/>
        <w:bottom w:val="none" w:sz="0" w:space="0" w:color="auto"/>
        <w:right w:val="none" w:sz="0" w:space="0" w:color="auto"/>
      </w:divBdr>
      <w:divsChild>
        <w:div w:id="1974210618">
          <w:marLeft w:val="0"/>
          <w:marRight w:val="0"/>
          <w:marTop w:val="0"/>
          <w:marBottom w:val="0"/>
          <w:divBdr>
            <w:top w:val="none" w:sz="0" w:space="0" w:color="auto"/>
            <w:left w:val="none" w:sz="0" w:space="0" w:color="auto"/>
            <w:bottom w:val="none" w:sz="0" w:space="0" w:color="auto"/>
            <w:right w:val="none" w:sz="0" w:space="0" w:color="auto"/>
          </w:divBdr>
        </w:div>
        <w:div w:id="209263832">
          <w:marLeft w:val="0"/>
          <w:marRight w:val="0"/>
          <w:marTop w:val="0"/>
          <w:marBottom w:val="0"/>
          <w:divBdr>
            <w:top w:val="none" w:sz="0" w:space="0" w:color="auto"/>
            <w:left w:val="none" w:sz="0" w:space="0" w:color="auto"/>
            <w:bottom w:val="none" w:sz="0" w:space="0" w:color="auto"/>
            <w:right w:val="none" w:sz="0" w:space="0" w:color="auto"/>
          </w:divBdr>
        </w:div>
      </w:divsChild>
    </w:div>
    <w:div w:id="798450353">
      <w:bodyDiv w:val="1"/>
      <w:marLeft w:val="0"/>
      <w:marRight w:val="0"/>
      <w:marTop w:val="0"/>
      <w:marBottom w:val="0"/>
      <w:divBdr>
        <w:top w:val="none" w:sz="0" w:space="0" w:color="auto"/>
        <w:left w:val="none" w:sz="0" w:space="0" w:color="auto"/>
        <w:bottom w:val="none" w:sz="0" w:space="0" w:color="auto"/>
        <w:right w:val="none" w:sz="0" w:space="0" w:color="auto"/>
      </w:divBdr>
    </w:div>
    <w:div w:id="886068443">
      <w:bodyDiv w:val="1"/>
      <w:marLeft w:val="0"/>
      <w:marRight w:val="0"/>
      <w:marTop w:val="0"/>
      <w:marBottom w:val="0"/>
      <w:divBdr>
        <w:top w:val="none" w:sz="0" w:space="0" w:color="auto"/>
        <w:left w:val="none" w:sz="0" w:space="0" w:color="auto"/>
        <w:bottom w:val="none" w:sz="0" w:space="0" w:color="auto"/>
        <w:right w:val="none" w:sz="0" w:space="0" w:color="auto"/>
      </w:divBdr>
      <w:divsChild>
        <w:div w:id="1038090591">
          <w:marLeft w:val="0"/>
          <w:marRight w:val="0"/>
          <w:marTop w:val="0"/>
          <w:marBottom w:val="0"/>
          <w:divBdr>
            <w:top w:val="none" w:sz="0" w:space="0" w:color="auto"/>
            <w:left w:val="none" w:sz="0" w:space="0" w:color="auto"/>
            <w:bottom w:val="none" w:sz="0" w:space="0" w:color="auto"/>
            <w:right w:val="none" w:sz="0" w:space="0" w:color="auto"/>
          </w:divBdr>
        </w:div>
        <w:div w:id="598832901">
          <w:marLeft w:val="0"/>
          <w:marRight w:val="0"/>
          <w:marTop w:val="0"/>
          <w:marBottom w:val="0"/>
          <w:divBdr>
            <w:top w:val="none" w:sz="0" w:space="0" w:color="auto"/>
            <w:left w:val="none" w:sz="0" w:space="0" w:color="auto"/>
            <w:bottom w:val="none" w:sz="0" w:space="0" w:color="auto"/>
            <w:right w:val="none" w:sz="0" w:space="0" w:color="auto"/>
          </w:divBdr>
        </w:div>
      </w:divsChild>
    </w:div>
    <w:div w:id="923029819">
      <w:bodyDiv w:val="1"/>
      <w:marLeft w:val="0"/>
      <w:marRight w:val="0"/>
      <w:marTop w:val="0"/>
      <w:marBottom w:val="0"/>
      <w:divBdr>
        <w:top w:val="none" w:sz="0" w:space="0" w:color="auto"/>
        <w:left w:val="none" w:sz="0" w:space="0" w:color="auto"/>
        <w:bottom w:val="none" w:sz="0" w:space="0" w:color="auto"/>
        <w:right w:val="none" w:sz="0" w:space="0" w:color="auto"/>
      </w:divBdr>
      <w:divsChild>
        <w:div w:id="1193492291">
          <w:marLeft w:val="720"/>
          <w:marRight w:val="0"/>
          <w:marTop w:val="0"/>
          <w:marBottom w:val="0"/>
          <w:divBdr>
            <w:top w:val="none" w:sz="0" w:space="0" w:color="auto"/>
            <w:left w:val="none" w:sz="0" w:space="0" w:color="auto"/>
            <w:bottom w:val="none" w:sz="0" w:space="0" w:color="auto"/>
            <w:right w:val="none" w:sz="0" w:space="0" w:color="auto"/>
          </w:divBdr>
        </w:div>
        <w:div w:id="96951654">
          <w:marLeft w:val="720"/>
          <w:marRight w:val="0"/>
          <w:marTop w:val="0"/>
          <w:marBottom w:val="0"/>
          <w:divBdr>
            <w:top w:val="none" w:sz="0" w:space="0" w:color="auto"/>
            <w:left w:val="none" w:sz="0" w:space="0" w:color="auto"/>
            <w:bottom w:val="none" w:sz="0" w:space="0" w:color="auto"/>
            <w:right w:val="none" w:sz="0" w:space="0" w:color="auto"/>
          </w:divBdr>
        </w:div>
      </w:divsChild>
    </w:div>
    <w:div w:id="945965167">
      <w:bodyDiv w:val="1"/>
      <w:marLeft w:val="0"/>
      <w:marRight w:val="0"/>
      <w:marTop w:val="0"/>
      <w:marBottom w:val="0"/>
      <w:divBdr>
        <w:top w:val="none" w:sz="0" w:space="0" w:color="auto"/>
        <w:left w:val="none" w:sz="0" w:space="0" w:color="auto"/>
        <w:bottom w:val="none" w:sz="0" w:space="0" w:color="auto"/>
        <w:right w:val="none" w:sz="0" w:space="0" w:color="auto"/>
      </w:divBdr>
    </w:div>
    <w:div w:id="1010066574">
      <w:bodyDiv w:val="1"/>
      <w:marLeft w:val="0"/>
      <w:marRight w:val="0"/>
      <w:marTop w:val="0"/>
      <w:marBottom w:val="0"/>
      <w:divBdr>
        <w:top w:val="none" w:sz="0" w:space="0" w:color="auto"/>
        <w:left w:val="none" w:sz="0" w:space="0" w:color="auto"/>
        <w:bottom w:val="none" w:sz="0" w:space="0" w:color="auto"/>
        <w:right w:val="none" w:sz="0" w:space="0" w:color="auto"/>
      </w:divBdr>
    </w:div>
    <w:div w:id="1106847196">
      <w:bodyDiv w:val="1"/>
      <w:marLeft w:val="0"/>
      <w:marRight w:val="0"/>
      <w:marTop w:val="0"/>
      <w:marBottom w:val="0"/>
      <w:divBdr>
        <w:top w:val="none" w:sz="0" w:space="0" w:color="auto"/>
        <w:left w:val="none" w:sz="0" w:space="0" w:color="auto"/>
        <w:bottom w:val="none" w:sz="0" w:space="0" w:color="auto"/>
        <w:right w:val="none" w:sz="0" w:space="0" w:color="auto"/>
      </w:divBdr>
    </w:div>
    <w:div w:id="1512258950">
      <w:bodyDiv w:val="1"/>
      <w:marLeft w:val="0"/>
      <w:marRight w:val="0"/>
      <w:marTop w:val="0"/>
      <w:marBottom w:val="0"/>
      <w:divBdr>
        <w:top w:val="none" w:sz="0" w:space="0" w:color="auto"/>
        <w:left w:val="none" w:sz="0" w:space="0" w:color="auto"/>
        <w:bottom w:val="none" w:sz="0" w:space="0" w:color="auto"/>
        <w:right w:val="none" w:sz="0" w:space="0" w:color="auto"/>
      </w:divBdr>
      <w:divsChild>
        <w:div w:id="2035492574">
          <w:marLeft w:val="720"/>
          <w:marRight w:val="0"/>
          <w:marTop w:val="0"/>
          <w:marBottom w:val="0"/>
          <w:divBdr>
            <w:top w:val="none" w:sz="0" w:space="0" w:color="auto"/>
            <w:left w:val="none" w:sz="0" w:space="0" w:color="auto"/>
            <w:bottom w:val="none" w:sz="0" w:space="0" w:color="auto"/>
            <w:right w:val="none" w:sz="0" w:space="0" w:color="auto"/>
          </w:divBdr>
        </w:div>
        <w:div w:id="967585414">
          <w:marLeft w:val="720"/>
          <w:marRight w:val="0"/>
          <w:marTop w:val="0"/>
          <w:marBottom w:val="0"/>
          <w:divBdr>
            <w:top w:val="none" w:sz="0" w:space="0" w:color="auto"/>
            <w:left w:val="none" w:sz="0" w:space="0" w:color="auto"/>
            <w:bottom w:val="none" w:sz="0" w:space="0" w:color="auto"/>
            <w:right w:val="none" w:sz="0" w:space="0" w:color="auto"/>
          </w:divBdr>
        </w:div>
      </w:divsChild>
    </w:div>
    <w:div w:id="1755467680">
      <w:bodyDiv w:val="1"/>
      <w:marLeft w:val="0"/>
      <w:marRight w:val="0"/>
      <w:marTop w:val="0"/>
      <w:marBottom w:val="0"/>
      <w:divBdr>
        <w:top w:val="none" w:sz="0" w:space="0" w:color="auto"/>
        <w:left w:val="none" w:sz="0" w:space="0" w:color="auto"/>
        <w:bottom w:val="none" w:sz="0" w:space="0" w:color="auto"/>
        <w:right w:val="none" w:sz="0" w:space="0" w:color="auto"/>
      </w:divBdr>
    </w:div>
    <w:div w:id="1834904674">
      <w:bodyDiv w:val="1"/>
      <w:marLeft w:val="0"/>
      <w:marRight w:val="0"/>
      <w:marTop w:val="0"/>
      <w:marBottom w:val="0"/>
      <w:divBdr>
        <w:top w:val="none" w:sz="0" w:space="0" w:color="auto"/>
        <w:left w:val="none" w:sz="0" w:space="0" w:color="auto"/>
        <w:bottom w:val="none" w:sz="0" w:space="0" w:color="auto"/>
        <w:right w:val="none" w:sz="0" w:space="0" w:color="auto"/>
      </w:divBdr>
      <w:divsChild>
        <w:div w:id="234635568">
          <w:marLeft w:val="720"/>
          <w:marRight w:val="0"/>
          <w:marTop w:val="0"/>
          <w:marBottom w:val="0"/>
          <w:divBdr>
            <w:top w:val="none" w:sz="0" w:space="0" w:color="auto"/>
            <w:left w:val="none" w:sz="0" w:space="0" w:color="auto"/>
            <w:bottom w:val="none" w:sz="0" w:space="0" w:color="auto"/>
            <w:right w:val="none" w:sz="0" w:space="0" w:color="auto"/>
          </w:divBdr>
        </w:div>
      </w:divsChild>
    </w:div>
    <w:div w:id="1928074362">
      <w:bodyDiv w:val="1"/>
      <w:marLeft w:val="0"/>
      <w:marRight w:val="0"/>
      <w:marTop w:val="0"/>
      <w:marBottom w:val="0"/>
      <w:divBdr>
        <w:top w:val="none" w:sz="0" w:space="0" w:color="auto"/>
        <w:left w:val="none" w:sz="0" w:space="0" w:color="auto"/>
        <w:bottom w:val="none" w:sz="0" w:space="0" w:color="auto"/>
        <w:right w:val="none" w:sz="0" w:space="0" w:color="auto"/>
      </w:divBdr>
    </w:div>
    <w:div w:id="1940327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013161X90026002002" TargetMode="External"/><Relationship Id="rId13" Type="http://schemas.openxmlformats.org/officeDocument/2006/relationships/hyperlink" Target="https://doi.org/10.1080/00220272.2013.856033"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doi.org/10.1177/1741143216659296" TargetMode="External"/><Relationship Id="rId12" Type="http://schemas.openxmlformats.org/officeDocument/2006/relationships/hyperlink" Target="https://doi.org/10.2304/eerj.2012.11.3.357" TargetMode="External"/><Relationship Id="rId17" Type="http://schemas.openxmlformats.org/officeDocument/2006/relationships/hyperlink" Target="https://journals.sagepub.com/doi/epdf/10.1177/1741143209334597" TargetMode="External"/><Relationship Id="rId2" Type="http://schemas.openxmlformats.org/officeDocument/2006/relationships/numbering" Target="numbering.xml"/><Relationship Id="rId16" Type="http://schemas.openxmlformats.org/officeDocument/2006/relationships/hyperlink" Target="https://archive.org/details/stenhouseanintroductiontocurriculumresearchanddevelopment/page/n235/mode/2up" TargetMode="External"/><Relationship Id="rId1" Type="http://schemas.openxmlformats.org/officeDocument/2006/relationships/customXml" Target="../customXml/item1.xml"/><Relationship Id="rId6" Type="http://schemas.openxmlformats.org/officeDocument/2006/relationships/hyperlink" Target="https://doi.org/10.1016/j.ssresearch.2019.102347" TargetMode="External"/><Relationship Id="rId11" Type="http://schemas.openxmlformats.org/officeDocument/2006/relationships/hyperlink" Target="https://www.nationalforum.com/Electronic%20Journal%20Volumes/Lunenburg,%20Fred%20C.%20Curriculum%20Development-Inductive%20Models-Schooling%20V2%20N1%202011.pdf" TargetMode="External"/><Relationship Id="rId5" Type="http://schemas.openxmlformats.org/officeDocument/2006/relationships/webSettings" Target="webSettings.xml"/><Relationship Id="rId15" Type="http://schemas.openxmlformats.org/officeDocument/2006/relationships/hyperlink" Target="https://doi.org/10.16922/wje.26.2.5" TargetMode="External"/><Relationship Id="rId10" Type="http://schemas.openxmlformats.org/officeDocument/2006/relationships/hyperlink" Target="https://doi.org/10.1177/1741143213489288"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files.eric.ed.gov/fulltext/ED028110.pdf" TargetMode="External"/><Relationship Id="rId14" Type="http://schemas.openxmlformats.org/officeDocument/2006/relationships/hyperlink" Target="https://www.jstor.org/stable/21128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2D3171-E33C-4345-973E-6A49B997DA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TotalTime>
  <Pages>19</Pages>
  <Words>7665</Words>
  <Characters>43693</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Davies</dc:creator>
  <cp:keywords/>
  <dc:description/>
  <cp:lastModifiedBy>Ben Davies</cp:lastModifiedBy>
  <cp:revision>27</cp:revision>
  <cp:lastPrinted>2025-01-17T14:15:00Z</cp:lastPrinted>
  <dcterms:created xsi:type="dcterms:W3CDTF">2025-01-29T20:36:00Z</dcterms:created>
  <dcterms:modified xsi:type="dcterms:W3CDTF">2025-01-29T23:47:00Z</dcterms:modified>
</cp:coreProperties>
</file>