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A3B723C" w14:textId="29538717" w:rsidR="00A5443D" w:rsidRPr="0082730A" w:rsidRDefault="00A5443D" w:rsidP="00A5443D">
      <w:pPr>
        <w:rPr>
          <w:b/>
          <w:bCs w:val="0"/>
        </w:rPr>
      </w:pPr>
      <w:r w:rsidRPr="0082730A">
        <w:rPr>
          <w:b/>
          <w:bCs w:val="0"/>
        </w:rPr>
        <w:t>Title: A Comparative Analysis of Gandhi’s Salt March and the Black Lives Matter Protests: Methods, Impact, and Cultural Contexts of Civil Disobedience</w:t>
      </w:r>
    </w:p>
    <w:p w14:paraId="2F126729" w14:textId="77777777" w:rsidR="00A5443D" w:rsidRPr="0082730A" w:rsidRDefault="00A5443D" w:rsidP="00A5443D">
      <w:pPr>
        <w:rPr>
          <w:rtl/>
        </w:rPr>
      </w:pPr>
      <w:r w:rsidRPr="0082730A">
        <w:br w:type="page"/>
      </w:r>
    </w:p>
    <w:sdt>
      <w:sdtPr>
        <w:rPr>
          <w:rFonts w:ascii="Times New Roman" w:eastAsiaTheme="minorHAnsi" w:hAnsi="Times New Roman" w:cstheme="minorBidi"/>
          <w:bCs/>
          <w:color w:val="auto"/>
          <w:sz w:val="22"/>
          <w:szCs w:val="22"/>
          <w:lang w:val="en-GB"/>
        </w:rPr>
        <w:id w:val="1026761964"/>
        <w:docPartObj>
          <w:docPartGallery w:val="Table of Contents"/>
          <w:docPartUnique/>
        </w:docPartObj>
      </w:sdtPr>
      <w:sdtEndPr>
        <w:rPr>
          <w:b/>
        </w:rPr>
      </w:sdtEndPr>
      <w:sdtContent>
        <w:p w14:paraId="48770C89" w14:textId="10D0F249" w:rsidR="008B0E5B" w:rsidRPr="0082730A" w:rsidRDefault="008B0E5B">
          <w:pPr>
            <w:pStyle w:val="TOCHeading"/>
            <w:rPr>
              <w:lang w:val="en-GB"/>
            </w:rPr>
          </w:pPr>
          <w:r w:rsidRPr="0082730A">
            <w:rPr>
              <w:lang w:val="en-GB"/>
            </w:rPr>
            <w:t>Contents</w:t>
          </w:r>
        </w:p>
        <w:p w14:paraId="5EE35DD1" w14:textId="3F57121D" w:rsidR="008B0E5B" w:rsidRPr="0082730A" w:rsidRDefault="008B0E5B">
          <w:pPr>
            <w:pStyle w:val="TOC1"/>
            <w:tabs>
              <w:tab w:val="right" w:leader="dot" w:pos="9350"/>
            </w:tabs>
            <w:rPr>
              <w:rFonts w:asciiTheme="minorHAnsi" w:eastAsiaTheme="minorEastAsia" w:hAnsiTheme="minorHAnsi"/>
              <w:bCs w:val="0"/>
              <w:kern w:val="2"/>
              <w:sz w:val="24"/>
              <w:szCs w:val="24"/>
              <w14:ligatures w14:val="standardContextual"/>
            </w:rPr>
          </w:pPr>
          <w:r w:rsidRPr="0082730A">
            <w:fldChar w:fldCharType="begin"/>
          </w:r>
          <w:r w:rsidRPr="0082730A">
            <w:instrText xml:space="preserve"> TOC \o "1-3" \h \z \u </w:instrText>
          </w:r>
          <w:r w:rsidRPr="0082730A">
            <w:fldChar w:fldCharType="separate"/>
          </w:r>
          <w:hyperlink w:anchor="_Toc215674126" w:history="1">
            <w:r w:rsidRPr="0082730A">
              <w:rPr>
                <w:rStyle w:val="Hyperlink"/>
              </w:rPr>
              <w:t>Introduction</w:t>
            </w:r>
            <w:r w:rsidRPr="0082730A">
              <w:rPr>
                <w:webHidden/>
              </w:rPr>
              <w:tab/>
            </w:r>
            <w:r w:rsidRPr="0082730A">
              <w:rPr>
                <w:webHidden/>
              </w:rPr>
              <w:fldChar w:fldCharType="begin"/>
            </w:r>
            <w:r w:rsidRPr="0082730A">
              <w:rPr>
                <w:webHidden/>
              </w:rPr>
              <w:instrText xml:space="preserve"> PAGEREF _Toc215674126 \h </w:instrText>
            </w:r>
            <w:r w:rsidRPr="0082730A">
              <w:rPr>
                <w:webHidden/>
              </w:rPr>
            </w:r>
            <w:r w:rsidRPr="0082730A">
              <w:rPr>
                <w:webHidden/>
              </w:rPr>
              <w:fldChar w:fldCharType="separate"/>
            </w:r>
            <w:r w:rsidRPr="0082730A">
              <w:rPr>
                <w:webHidden/>
              </w:rPr>
              <w:t>3</w:t>
            </w:r>
            <w:r w:rsidRPr="0082730A">
              <w:rPr>
                <w:webHidden/>
              </w:rPr>
              <w:fldChar w:fldCharType="end"/>
            </w:r>
          </w:hyperlink>
        </w:p>
        <w:p w14:paraId="53930912" w14:textId="6D459960" w:rsidR="008B0E5B" w:rsidRPr="0082730A" w:rsidRDefault="008B0E5B">
          <w:pPr>
            <w:pStyle w:val="TOC1"/>
            <w:tabs>
              <w:tab w:val="right" w:leader="dot" w:pos="9350"/>
            </w:tabs>
            <w:rPr>
              <w:rFonts w:asciiTheme="minorHAnsi" w:eastAsiaTheme="minorEastAsia" w:hAnsiTheme="minorHAnsi"/>
              <w:bCs w:val="0"/>
              <w:kern w:val="2"/>
              <w:sz w:val="24"/>
              <w:szCs w:val="24"/>
              <w14:ligatures w14:val="standardContextual"/>
            </w:rPr>
          </w:pPr>
          <w:hyperlink w:anchor="_Toc215674127" w:history="1">
            <w:r w:rsidRPr="0082730A">
              <w:rPr>
                <w:rStyle w:val="Hyperlink"/>
              </w:rPr>
              <w:t>Section 1: Gandhi’s Salt March</w:t>
            </w:r>
            <w:r w:rsidRPr="0082730A">
              <w:rPr>
                <w:webHidden/>
              </w:rPr>
              <w:tab/>
            </w:r>
            <w:r w:rsidRPr="0082730A">
              <w:rPr>
                <w:webHidden/>
              </w:rPr>
              <w:fldChar w:fldCharType="begin"/>
            </w:r>
            <w:r w:rsidRPr="0082730A">
              <w:rPr>
                <w:webHidden/>
              </w:rPr>
              <w:instrText xml:space="preserve"> PAGEREF _Toc215674127 \h </w:instrText>
            </w:r>
            <w:r w:rsidRPr="0082730A">
              <w:rPr>
                <w:webHidden/>
              </w:rPr>
            </w:r>
            <w:r w:rsidRPr="0082730A">
              <w:rPr>
                <w:webHidden/>
              </w:rPr>
              <w:fldChar w:fldCharType="separate"/>
            </w:r>
            <w:r w:rsidRPr="0082730A">
              <w:rPr>
                <w:webHidden/>
              </w:rPr>
              <w:t>4</w:t>
            </w:r>
            <w:r w:rsidRPr="0082730A">
              <w:rPr>
                <w:webHidden/>
              </w:rPr>
              <w:fldChar w:fldCharType="end"/>
            </w:r>
          </w:hyperlink>
        </w:p>
        <w:p w14:paraId="4ACFD1D4" w14:textId="5715C29E" w:rsidR="008B0E5B" w:rsidRPr="0082730A" w:rsidRDefault="008B0E5B">
          <w:pPr>
            <w:pStyle w:val="TOC2"/>
            <w:tabs>
              <w:tab w:val="right" w:leader="dot" w:pos="9350"/>
            </w:tabs>
            <w:rPr>
              <w:rFonts w:asciiTheme="minorHAnsi" w:eastAsiaTheme="minorEastAsia" w:hAnsiTheme="minorHAnsi"/>
              <w:bCs w:val="0"/>
              <w:kern w:val="2"/>
              <w:sz w:val="24"/>
              <w:szCs w:val="24"/>
              <w14:ligatures w14:val="standardContextual"/>
            </w:rPr>
          </w:pPr>
          <w:hyperlink w:anchor="_Toc215674128" w:history="1">
            <w:r w:rsidRPr="0082730A">
              <w:rPr>
                <w:rStyle w:val="Hyperlink"/>
              </w:rPr>
              <w:t>1.1 Historical Context and Background of the Salt March</w:t>
            </w:r>
            <w:r w:rsidRPr="0082730A">
              <w:rPr>
                <w:webHidden/>
              </w:rPr>
              <w:tab/>
            </w:r>
            <w:r w:rsidRPr="0082730A">
              <w:rPr>
                <w:webHidden/>
              </w:rPr>
              <w:fldChar w:fldCharType="begin"/>
            </w:r>
            <w:r w:rsidRPr="0082730A">
              <w:rPr>
                <w:webHidden/>
              </w:rPr>
              <w:instrText xml:space="preserve"> PAGEREF _Toc215674128 \h </w:instrText>
            </w:r>
            <w:r w:rsidRPr="0082730A">
              <w:rPr>
                <w:webHidden/>
              </w:rPr>
            </w:r>
            <w:r w:rsidRPr="0082730A">
              <w:rPr>
                <w:webHidden/>
              </w:rPr>
              <w:fldChar w:fldCharType="separate"/>
            </w:r>
            <w:r w:rsidRPr="0082730A">
              <w:rPr>
                <w:webHidden/>
              </w:rPr>
              <w:t>4</w:t>
            </w:r>
            <w:r w:rsidRPr="0082730A">
              <w:rPr>
                <w:webHidden/>
              </w:rPr>
              <w:fldChar w:fldCharType="end"/>
            </w:r>
          </w:hyperlink>
        </w:p>
        <w:p w14:paraId="21B18723" w14:textId="143B15BD" w:rsidR="008B0E5B" w:rsidRPr="0082730A" w:rsidRDefault="008B0E5B">
          <w:pPr>
            <w:pStyle w:val="TOC2"/>
            <w:tabs>
              <w:tab w:val="right" w:leader="dot" w:pos="9350"/>
            </w:tabs>
            <w:rPr>
              <w:rFonts w:asciiTheme="minorHAnsi" w:eastAsiaTheme="minorEastAsia" w:hAnsiTheme="minorHAnsi"/>
              <w:bCs w:val="0"/>
              <w:kern w:val="2"/>
              <w:sz w:val="24"/>
              <w:szCs w:val="24"/>
              <w14:ligatures w14:val="standardContextual"/>
            </w:rPr>
          </w:pPr>
          <w:hyperlink w:anchor="_Toc215674129" w:history="1">
            <w:r w:rsidRPr="0082730A">
              <w:rPr>
                <w:rStyle w:val="Hyperlink"/>
              </w:rPr>
              <w:t>1.2 Methodology of Gandhi’s Nonviolent Resistance</w:t>
            </w:r>
            <w:r w:rsidRPr="0082730A">
              <w:rPr>
                <w:webHidden/>
              </w:rPr>
              <w:tab/>
            </w:r>
            <w:r w:rsidRPr="0082730A">
              <w:rPr>
                <w:webHidden/>
              </w:rPr>
              <w:fldChar w:fldCharType="begin"/>
            </w:r>
            <w:r w:rsidRPr="0082730A">
              <w:rPr>
                <w:webHidden/>
              </w:rPr>
              <w:instrText xml:space="preserve"> PAGEREF _Toc215674129 \h </w:instrText>
            </w:r>
            <w:r w:rsidRPr="0082730A">
              <w:rPr>
                <w:webHidden/>
              </w:rPr>
            </w:r>
            <w:r w:rsidRPr="0082730A">
              <w:rPr>
                <w:webHidden/>
              </w:rPr>
              <w:fldChar w:fldCharType="separate"/>
            </w:r>
            <w:r w:rsidRPr="0082730A">
              <w:rPr>
                <w:webHidden/>
              </w:rPr>
              <w:t>5</w:t>
            </w:r>
            <w:r w:rsidRPr="0082730A">
              <w:rPr>
                <w:webHidden/>
              </w:rPr>
              <w:fldChar w:fldCharType="end"/>
            </w:r>
          </w:hyperlink>
        </w:p>
        <w:p w14:paraId="329A0A61" w14:textId="3AB94749" w:rsidR="008B0E5B" w:rsidRPr="0082730A" w:rsidRDefault="008B0E5B">
          <w:pPr>
            <w:pStyle w:val="TOC2"/>
            <w:tabs>
              <w:tab w:val="right" w:leader="dot" w:pos="9350"/>
            </w:tabs>
            <w:rPr>
              <w:rFonts w:asciiTheme="minorHAnsi" w:eastAsiaTheme="minorEastAsia" w:hAnsiTheme="minorHAnsi"/>
              <w:bCs w:val="0"/>
              <w:kern w:val="2"/>
              <w:sz w:val="24"/>
              <w:szCs w:val="24"/>
              <w14:ligatures w14:val="standardContextual"/>
            </w:rPr>
          </w:pPr>
          <w:hyperlink w:anchor="_Toc215674130" w:history="1">
            <w:r w:rsidRPr="0082730A">
              <w:rPr>
                <w:rStyle w:val="Hyperlink"/>
              </w:rPr>
              <w:t>1.3 Impact of the Salt March</w:t>
            </w:r>
            <w:r w:rsidRPr="0082730A">
              <w:rPr>
                <w:webHidden/>
              </w:rPr>
              <w:tab/>
            </w:r>
            <w:r w:rsidRPr="0082730A">
              <w:rPr>
                <w:webHidden/>
              </w:rPr>
              <w:fldChar w:fldCharType="begin"/>
            </w:r>
            <w:r w:rsidRPr="0082730A">
              <w:rPr>
                <w:webHidden/>
              </w:rPr>
              <w:instrText xml:space="preserve"> PAGEREF _Toc215674130 \h </w:instrText>
            </w:r>
            <w:r w:rsidRPr="0082730A">
              <w:rPr>
                <w:webHidden/>
              </w:rPr>
            </w:r>
            <w:r w:rsidRPr="0082730A">
              <w:rPr>
                <w:webHidden/>
              </w:rPr>
              <w:fldChar w:fldCharType="separate"/>
            </w:r>
            <w:r w:rsidRPr="0082730A">
              <w:rPr>
                <w:webHidden/>
              </w:rPr>
              <w:t>5</w:t>
            </w:r>
            <w:r w:rsidRPr="0082730A">
              <w:rPr>
                <w:webHidden/>
              </w:rPr>
              <w:fldChar w:fldCharType="end"/>
            </w:r>
          </w:hyperlink>
        </w:p>
        <w:p w14:paraId="5A8CFBB6" w14:textId="57E104A1" w:rsidR="008B0E5B" w:rsidRPr="0082730A" w:rsidRDefault="008B0E5B">
          <w:pPr>
            <w:pStyle w:val="TOC1"/>
            <w:tabs>
              <w:tab w:val="right" w:leader="dot" w:pos="9350"/>
            </w:tabs>
            <w:rPr>
              <w:rFonts w:asciiTheme="minorHAnsi" w:eastAsiaTheme="minorEastAsia" w:hAnsiTheme="minorHAnsi"/>
              <w:bCs w:val="0"/>
              <w:kern w:val="2"/>
              <w:sz w:val="24"/>
              <w:szCs w:val="24"/>
              <w14:ligatures w14:val="standardContextual"/>
            </w:rPr>
          </w:pPr>
          <w:hyperlink w:anchor="_Toc215674131" w:history="1">
            <w:r w:rsidRPr="0082730A">
              <w:rPr>
                <w:rStyle w:val="Hyperlink"/>
              </w:rPr>
              <w:t>Section 2: Black Lives Matter Protests</w:t>
            </w:r>
            <w:r w:rsidRPr="0082730A">
              <w:rPr>
                <w:webHidden/>
              </w:rPr>
              <w:tab/>
            </w:r>
            <w:r w:rsidRPr="0082730A">
              <w:rPr>
                <w:webHidden/>
              </w:rPr>
              <w:fldChar w:fldCharType="begin"/>
            </w:r>
            <w:r w:rsidRPr="0082730A">
              <w:rPr>
                <w:webHidden/>
              </w:rPr>
              <w:instrText xml:space="preserve"> PAGEREF _Toc215674131 \h </w:instrText>
            </w:r>
            <w:r w:rsidRPr="0082730A">
              <w:rPr>
                <w:webHidden/>
              </w:rPr>
            </w:r>
            <w:r w:rsidRPr="0082730A">
              <w:rPr>
                <w:webHidden/>
              </w:rPr>
              <w:fldChar w:fldCharType="separate"/>
            </w:r>
            <w:r w:rsidRPr="0082730A">
              <w:rPr>
                <w:webHidden/>
              </w:rPr>
              <w:t>6</w:t>
            </w:r>
            <w:r w:rsidRPr="0082730A">
              <w:rPr>
                <w:webHidden/>
              </w:rPr>
              <w:fldChar w:fldCharType="end"/>
            </w:r>
          </w:hyperlink>
        </w:p>
        <w:p w14:paraId="6DA1521A" w14:textId="10B75905" w:rsidR="008B0E5B" w:rsidRPr="0082730A" w:rsidRDefault="008B0E5B">
          <w:pPr>
            <w:pStyle w:val="TOC2"/>
            <w:tabs>
              <w:tab w:val="right" w:leader="dot" w:pos="9350"/>
            </w:tabs>
            <w:rPr>
              <w:rFonts w:asciiTheme="minorHAnsi" w:eastAsiaTheme="minorEastAsia" w:hAnsiTheme="minorHAnsi"/>
              <w:bCs w:val="0"/>
              <w:kern w:val="2"/>
              <w:sz w:val="24"/>
              <w:szCs w:val="24"/>
              <w14:ligatures w14:val="standardContextual"/>
            </w:rPr>
          </w:pPr>
          <w:hyperlink w:anchor="_Toc215674132" w:history="1">
            <w:r w:rsidRPr="0082730A">
              <w:rPr>
                <w:rStyle w:val="Hyperlink"/>
              </w:rPr>
              <w:t>2.1 Emergence of the Black Lives Matter Movement</w:t>
            </w:r>
            <w:r w:rsidRPr="0082730A">
              <w:rPr>
                <w:webHidden/>
              </w:rPr>
              <w:tab/>
            </w:r>
            <w:r w:rsidRPr="0082730A">
              <w:rPr>
                <w:webHidden/>
              </w:rPr>
              <w:fldChar w:fldCharType="begin"/>
            </w:r>
            <w:r w:rsidRPr="0082730A">
              <w:rPr>
                <w:webHidden/>
              </w:rPr>
              <w:instrText xml:space="preserve"> PAGEREF _Toc215674132 \h </w:instrText>
            </w:r>
            <w:r w:rsidRPr="0082730A">
              <w:rPr>
                <w:webHidden/>
              </w:rPr>
            </w:r>
            <w:r w:rsidRPr="0082730A">
              <w:rPr>
                <w:webHidden/>
              </w:rPr>
              <w:fldChar w:fldCharType="separate"/>
            </w:r>
            <w:r w:rsidRPr="0082730A">
              <w:rPr>
                <w:webHidden/>
              </w:rPr>
              <w:t>6</w:t>
            </w:r>
            <w:r w:rsidRPr="0082730A">
              <w:rPr>
                <w:webHidden/>
              </w:rPr>
              <w:fldChar w:fldCharType="end"/>
            </w:r>
          </w:hyperlink>
        </w:p>
        <w:p w14:paraId="60D7993E" w14:textId="4FF64B18" w:rsidR="008B0E5B" w:rsidRPr="0082730A" w:rsidRDefault="008B0E5B">
          <w:pPr>
            <w:pStyle w:val="TOC2"/>
            <w:tabs>
              <w:tab w:val="right" w:leader="dot" w:pos="9350"/>
            </w:tabs>
            <w:rPr>
              <w:rFonts w:asciiTheme="minorHAnsi" w:eastAsiaTheme="minorEastAsia" w:hAnsiTheme="minorHAnsi"/>
              <w:bCs w:val="0"/>
              <w:kern w:val="2"/>
              <w:sz w:val="24"/>
              <w:szCs w:val="24"/>
              <w14:ligatures w14:val="standardContextual"/>
            </w:rPr>
          </w:pPr>
          <w:hyperlink w:anchor="_Toc215674133" w:history="1">
            <w:r w:rsidRPr="0082730A">
              <w:rPr>
                <w:rStyle w:val="Hyperlink"/>
              </w:rPr>
              <w:t>2.2 Methods of Protest in the BLM Movement</w:t>
            </w:r>
            <w:r w:rsidRPr="0082730A">
              <w:rPr>
                <w:webHidden/>
              </w:rPr>
              <w:tab/>
            </w:r>
            <w:r w:rsidRPr="0082730A">
              <w:rPr>
                <w:webHidden/>
              </w:rPr>
              <w:fldChar w:fldCharType="begin"/>
            </w:r>
            <w:r w:rsidRPr="0082730A">
              <w:rPr>
                <w:webHidden/>
              </w:rPr>
              <w:instrText xml:space="preserve"> PAGEREF _Toc215674133 \h </w:instrText>
            </w:r>
            <w:r w:rsidRPr="0082730A">
              <w:rPr>
                <w:webHidden/>
              </w:rPr>
            </w:r>
            <w:r w:rsidRPr="0082730A">
              <w:rPr>
                <w:webHidden/>
              </w:rPr>
              <w:fldChar w:fldCharType="separate"/>
            </w:r>
            <w:r w:rsidRPr="0082730A">
              <w:rPr>
                <w:webHidden/>
              </w:rPr>
              <w:t>8</w:t>
            </w:r>
            <w:r w:rsidRPr="0082730A">
              <w:rPr>
                <w:webHidden/>
              </w:rPr>
              <w:fldChar w:fldCharType="end"/>
            </w:r>
          </w:hyperlink>
        </w:p>
        <w:p w14:paraId="4A1ECBA5" w14:textId="7251DD6E" w:rsidR="008B0E5B" w:rsidRPr="0082730A" w:rsidRDefault="008B0E5B">
          <w:pPr>
            <w:pStyle w:val="TOC2"/>
            <w:tabs>
              <w:tab w:val="right" w:leader="dot" w:pos="9350"/>
            </w:tabs>
            <w:rPr>
              <w:rFonts w:asciiTheme="minorHAnsi" w:eastAsiaTheme="minorEastAsia" w:hAnsiTheme="minorHAnsi"/>
              <w:bCs w:val="0"/>
              <w:kern w:val="2"/>
              <w:sz w:val="24"/>
              <w:szCs w:val="24"/>
              <w14:ligatures w14:val="standardContextual"/>
            </w:rPr>
          </w:pPr>
          <w:hyperlink w:anchor="_Toc215674134" w:history="1">
            <w:r w:rsidRPr="0082730A">
              <w:rPr>
                <w:rStyle w:val="Hyperlink"/>
              </w:rPr>
              <w:t>2.3 Impact of the BLM Movement</w:t>
            </w:r>
            <w:r w:rsidRPr="0082730A">
              <w:rPr>
                <w:webHidden/>
              </w:rPr>
              <w:tab/>
            </w:r>
            <w:r w:rsidRPr="0082730A">
              <w:rPr>
                <w:webHidden/>
              </w:rPr>
              <w:fldChar w:fldCharType="begin"/>
            </w:r>
            <w:r w:rsidRPr="0082730A">
              <w:rPr>
                <w:webHidden/>
              </w:rPr>
              <w:instrText xml:space="preserve"> PAGEREF _Toc215674134 \h </w:instrText>
            </w:r>
            <w:r w:rsidRPr="0082730A">
              <w:rPr>
                <w:webHidden/>
              </w:rPr>
            </w:r>
            <w:r w:rsidRPr="0082730A">
              <w:rPr>
                <w:webHidden/>
              </w:rPr>
              <w:fldChar w:fldCharType="separate"/>
            </w:r>
            <w:r w:rsidRPr="0082730A">
              <w:rPr>
                <w:webHidden/>
              </w:rPr>
              <w:t>9</w:t>
            </w:r>
            <w:r w:rsidRPr="0082730A">
              <w:rPr>
                <w:webHidden/>
              </w:rPr>
              <w:fldChar w:fldCharType="end"/>
            </w:r>
          </w:hyperlink>
        </w:p>
        <w:p w14:paraId="1A7756E7" w14:textId="6A5BB11B" w:rsidR="008B0E5B" w:rsidRPr="0082730A" w:rsidRDefault="008B0E5B">
          <w:pPr>
            <w:pStyle w:val="TOC1"/>
            <w:tabs>
              <w:tab w:val="right" w:leader="dot" w:pos="9350"/>
            </w:tabs>
            <w:rPr>
              <w:rFonts w:asciiTheme="minorHAnsi" w:eastAsiaTheme="minorEastAsia" w:hAnsiTheme="minorHAnsi"/>
              <w:bCs w:val="0"/>
              <w:kern w:val="2"/>
              <w:sz w:val="24"/>
              <w:szCs w:val="24"/>
              <w14:ligatures w14:val="standardContextual"/>
            </w:rPr>
          </w:pPr>
          <w:hyperlink w:anchor="_Toc215674135" w:history="1">
            <w:r w:rsidRPr="0082730A">
              <w:rPr>
                <w:rStyle w:val="Hyperlink"/>
              </w:rPr>
              <w:t>Section 3: Comparison and Analysis</w:t>
            </w:r>
            <w:r w:rsidRPr="0082730A">
              <w:rPr>
                <w:webHidden/>
              </w:rPr>
              <w:tab/>
            </w:r>
            <w:r w:rsidRPr="0082730A">
              <w:rPr>
                <w:webHidden/>
              </w:rPr>
              <w:fldChar w:fldCharType="begin"/>
            </w:r>
            <w:r w:rsidRPr="0082730A">
              <w:rPr>
                <w:webHidden/>
              </w:rPr>
              <w:instrText xml:space="preserve"> PAGEREF _Toc215674135 \h </w:instrText>
            </w:r>
            <w:r w:rsidRPr="0082730A">
              <w:rPr>
                <w:webHidden/>
              </w:rPr>
            </w:r>
            <w:r w:rsidRPr="0082730A">
              <w:rPr>
                <w:webHidden/>
              </w:rPr>
              <w:fldChar w:fldCharType="separate"/>
            </w:r>
            <w:r w:rsidRPr="0082730A">
              <w:rPr>
                <w:webHidden/>
              </w:rPr>
              <w:t>11</w:t>
            </w:r>
            <w:r w:rsidRPr="0082730A">
              <w:rPr>
                <w:webHidden/>
              </w:rPr>
              <w:fldChar w:fldCharType="end"/>
            </w:r>
          </w:hyperlink>
        </w:p>
        <w:p w14:paraId="6F4DAD36" w14:textId="393ECA72" w:rsidR="008B0E5B" w:rsidRPr="0082730A" w:rsidRDefault="008B0E5B">
          <w:pPr>
            <w:pStyle w:val="TOC2"/>
            <w:tabs>
              <w:tab w:val="right" w:leader="dot" w:pos="9350"/>
            </w:tabs>
            <w:rPr>
              <w:rFonts w:asciiTheme="minorHAnsi" w:eastAsiaTheme="minorEastAsia" w:hAnsiTheme="minorHAnsi"/>
              <w:bCs w:val="0"/>
              <w:kern w:val="2"/>
              <w:sz w:val="24"/>
              <w:szCs w:val="24"/>
              <w14:ligatures w14:val="standardContextual"/>
            </w:rPr>
          </w:pPr>
          <w:hyperlink w:anchor="_Toc215674136" w:history="1">
            <w:r w:rsidRPr="0082730A">
              <w:rPr>
                <w:rStyle w:val="Hyperlink"/>
              </w:rPr>
              <w:t>3.1 Commonalities Between the Movements</w:t>
            </w:r>
            <w:r w:rsidRPr="0082730A">
              <w:rPr>
                <w:webHidden/>
              </w:rPr>
              <w:tab/>
            </w:r>
            <w:r w:rsidRPr="0082730A">
              <w:rPr>
                <w:webHidden/>
              </w:rPr>
              <w:fldChar w:fldCharType="begin"/>
            </w:r>
            <w:r w:rsidRPr="0082730A">
              <w:rPr>
                <w:webHidden/>
              </w:rPr>
              <w:instrText xml:space="preserve"> PAGEREF _Toc215674136 \h </w:instrText>
            </w:r>
            <w:r w:rsidRPr="0082730A">
              <w:rPr>
                <w:webHidden/>
              </w:rPr>
            </w:r>
            <w:r w:rsidRPr="0082730A">
              <w:rPr>
                <w:webHidden/>
              </w:rPr>
              <w:fldChar w:fldCharType="separate"/>
            </w:r>
            <w:r w:rsidRPr="0082730A">
              <w:rPr>
                <w:webHidden/>
              </w:rPr>
              <w:t>11</w:t>
            </w:r>
            <w:r w:rsidRPr="0082730A">
              <w:rPr>
                <w:webHidden/>
              </w:rPr>
              <w:fldChar w:fldCharType="end"/>
            </w:r>
          </w:hyperlink>
        </w:p>
        <w:p w14:paraId="11FAF3E5" w14:textId="68FBE680" w:rsidR="008B0E5B" w:rsidRPr="0082730A" w:rsidRDefault="008B0E5B">
          <w:pPr>
            <w:pStyle w:val="TOC2"/>
            <w:tabs>
              <w:tab w:val="right" w:leader="dot" w:pos="9350"/>
            </w:tabs>
            <w:rPr>
              <w:rFonts w:asciiTheme="minorHAnsi" w:eastAsiaTheme="minorEastAsia" w:hAnsiTheme="minorHAnsi"/>
              <w:bCs w:val="0"/>
              <w:kern w:val="2"/>
              <w:sz w:val="24"/>
              <w:szCs w:val="24"/>
              <w14:ligatures w14:val="standardContextual"/>
            </w:rPr>
          </w:pPr>
          <w:hyperlink w:anchor="_Toc215674137" w:history="1">
            <w:r w:rsidRPr="0082730A">
              <w:rPr>
                <w:rStyle w:val="Hyperlink"/>
              </w:rPr>
              <w:t>3.2 Differences in Tactics and Scope</w:t>
            </w:r>
            <w:r w:rsidRPr="0082730A">
              <w:rPr>
                <w:webHidden/>
              </w:rPr>
              <w:tab/>
            </w:r>
            <w:r w:rsidRPr="0082730A">
              <w:rPr>
                <w:webHidden/>
              </w:rPr>
              <w:fldChar w:fldCharType="begin"/>
            </w:r>
            <w:r w:rsidRPr="0082730A">
              <w:rPr>
                <w:webHidden/>
              </w:rPr>
              <w:instrText xml:space="preserve"> PAGEREF _Toc215674137 \h </w:instrText>
            </w:r>
            <w:r w:rsidRPr="0082730A">
              <w:rPr>
                <w:webHidden/>
              </w:rPr>
            </w:r>
            <w:r w:rsidRPr="0082730A">
              <w:rPr>
                <w:webHidden/>
              </w:rPr>
              <w:fldChar w:fldCharType="separate"/>
            </w:r>
            <w:r w:rsidRPr="0082730A">
              <w:rPr>
                <w:webHidden/>
              </w:rPr>
              <w:t>11</w:t>
            </w:r>
            <w:r w:rsidRPr="0082730A">
              <w:rPr>
                <w:webHidden/>
              </w:rPr>
              <w:fldChar w:fldCharType="end"/>
            </w:r>
          </w:hyperlink>
        </w:p>
        <w:p w14:paraId="636B54A8" w14:textId="3A3CD9DA" w:rsidR="008B0E5B" w:rsidRPr="0082730A" w:rsidRDefault="008B0E5B">
          <w:pPr>
            <w:pStyle w:val="TOC2"/>
            <w:tabs>
              <w:tab w:val="right" w:leader="dot" w:pos="9350"/>
            </w:tabs>
            <w:rPr>
              <w:rFonts w:asciiTheme="minorHAnsi" w:eastAsiaTheme="minorEastAsia" w:hAnsiTheme="minorHAnsi"/>
              <w:bCs w:val="0"/>
              <w:kern w:val="2"/>
              <w:sz w:val="24"/>
              <w:szCs w:val="24"/>
              <w14:ligatures w14:val="standardContextual"/>
            </w:rPr>
          </w:pPr>
          <w:hyperlink w:anchor="_Toc215674138" w:history="1">
            <w:r w:rsidRPr="0082730A">
              <w:rPr>
                <w:rStyle w:val="Hyperlink"/>
              </w:rPr>
              <w:t>3.3 Cultural and Political Contexts</w:t>
            </w:r>
            <w:r w:rsidRPr="0082730A">
              <w:rPr>
                <w:webHidden/>
              </w:rPr>
              <w:tab/>
            </w:r>
            <w:r w:rsidRPr="0082730A">
              <w:rPr>
                <w:webHidden/>
              </w:rPr>
              <w:fldChar w:fldCharType="begin"/>
            </w:r>
            <w:r w:rsidRPr="0082730A">
              <w:rPr>
                <w:webHidden/>
              </w:rPr>
              <w:instrText xml:space="preserve"> PAGEREF _Toc215674138 \h </w:instrText>
            </w:r>
            <w:r w:rsidRPr="0082730A">
              <w:rPr>
                <w:webHidden/>
              </w:rPr>
            </w:r>
            <w:r w:rsidRPr="0082730A">
              <w:rPr>
                <w:webHidden/>
              </w:rPr>
              <w:fldChar w:fldCharType="separate"/>
            </w:r>
            <w:r w:rsidRPr="0082730A">
              <w:rPr>
                <w:webHidden/>
              </w:rPr>
              <w:t>12</w:t>
            </w:r>
            <w:r w:rsidRPr="0082730A">
              <w:rPr>
                <w:webHidden/>
              </w:rPr>
              <w:fldChar w:fldCharType="end"/>
            </w:r>
          </w:hyperlink>
        </w:p>
        <w:p w14:paraId="279BA147" w14:textId="48A74492" w:rsidR="008B0E5B" w:rsidRPr="0082730A" w:rsidRDefault="008B0E5B">
          <w:pPr>
            <w:pStyle w:val="TOC1"/>
            <w:tabs>
              <w:tab w:val="right" w:leader="dot" w:pos="9350"/>
            </w:tabs>
            <w:rPr>
              <w:rFonts w:asciiTheme="minorHAnsi" w:eastAsiaTheme="minorEastAsia" w:hAnsiTheme="minorHAnsi"/>
              <w:bCs w:val="0"/>
              <w:kern w:val="2"/>
              <w:sz w:val="24"/>
              <w:szCs w:val="24"/>
              <w14:ligatures w14:val="standardContextual"/>
            </w:rPr>
          </w:pPr>
          <w:hyperlink w:anchor="_Toc215674139" w:history="1">
            <w:r w:rsidRPr="0082730A">
              <w:rPr>
                <w:rStyle w:val="Hyperlink"/>
              </w:rPr>
              <w:t>Conclusion</w:t>
            </w:r>
            <w:r w:rsidRPr="0082730A">
              <w:rPr>
                <w:webHidden/>
              </w:rPr>
              <w:tab/>
            </w:r>
            <w:r w:rsidRPr="0082730A">
              <w:rPr>
                <w:webHidden/>
              </w:rPr>
              <w:fldChar w:fldCharType="begin"/>
            </w:r>
            <w:r w:rsidRPr="0082730A">
              <w:rPr>
                <w:webHidden/>
              </w:rPr>
              <w:instrText xml:space="preserve"> PAGEREF _Toc215674139 \h </w:instrText>
            </w:r>
            <w:r w:rsidRPr="0082730A">
              <w:rPr>
                <w:webHidden/>
              </w:rPr>
            </w:r>
            <w:r w:rsidRPr="0082730A">
              <w:rPr>
                <w:webHidden/>
              </w:rPr>
              <w:fldChar w:fldCharType="separate"/>
            </w:r>
            <w:r w:rsidRPr="0082730A">
              <w:rPr>
                <w:webHidden/>
              </w:rPr>
              <w:t>12</w:t>
            </w:r>
            <w:r w:rsidRPr="0082730A">
              <w:rPr>
                <w:webHidden/>
              </w:rPr>
              <w:fldChar w:fldCharType="end"/>
            </w:r>
          </w:hyperlink>
        </w:p>
        <w:p w14:paraId="1886D805" w14:textId="64D089D0" w:rsidR="008B0E5B" w:rsidRPr="0082730A" w:rsidRDefault="008B0E5B">
          <w:pPr>
            <w:pStyle w:val="TOC1"/>
            <w:tabs>
              <w:tab w:val="right" w:leader="dot" w:pos="9350"/>
            </w:tabs>
            <w:rPr>
              <w:rFonts w:asciiTheme="minorHAnsi" w:eastAsiaTheme="minorEastAsia" w:hAnsiTheme="minorHAnsi"/>
              <w:bCs w:val="0"/>
              <w:kern w:val="2"/>
              <w:sz w:val="24"/>
              <w:szCs w:val="24"/>
              <w14:ligatures w14:val="standardContextual"/>
            </w:rPr>
          </w:pPr>
          <w:hyperlink w:anchor="_Toc215674140" w:history="1">
            <w:r w:rsidRPr="0082730A">
              <w:rPr>
                <w:rStyle w:val="Hyperlink"/>
              </w:rPr>
              <w:t>References</w:t>
            </w:r>
            <w:r w:rsidRPr="0082730A">
              <w:rPr>
                <w:webHidden/>
              </w:rPr>
              <w:tab/>
            </w:r>
            <w:r w:rsidRPr="0082730A">
              <w:rPr>
                <w:webHidden/>
              </w:rPr>
              <w:fldChar w:fldCharType="begin"/>
            </w:r>
            <w:r w:rsidRPr="0082730A">
              <w:rPr>
                <w:webHidden/>
              </w:rPr>
              <w:instrText xml:space="preserve"> PAGEREF _Toc215674140 \h </w:instrText>
            </w:r>
            <w:r w:rsidRPr="0082730A">
              <w:rPr>
                <w:webHidden/>
              </w:rPr>
            </w:r>
            <w:r w:rsidRPr="0082730A">
              <w:rPr>
                <w:webHidden/>
              </w:rPr>
              <w:fldChar w:fldCharType="separate"/>
            </w:r>
            <w:r w:rsidRPr="0082730A">
              <w:rPr>
                <w:webHidden/>
              </w:rPr>
              <w:t>13</w:t>
            </w:r>
            <w:r w:rsidRPr="0082730A">
              <w:rPr>
                <w:webHidden/>
              </w:rPr>
              <w:fldChar w:fldCharType="end"/>
            </w:r>
          </w:hyperlink>
        </w:p>
        <w:p w14:paraId="1A28CDF2" w14:textId="0819E647" w:rsidR="008B0E5B" w:rsidRPr="0082730A" w:rsidRDefault="008B0E5B">
          <w:r w:rsidRPr="0082730A">
            <w:rPr>
              <w:b/>
            </w:rPr>
            <w:fldChar w:fldCharType="end"/>
          </w:r>
        </w:p>
      </w:sdtContent>
    </w:sdt>
    <w:p w14:paraId="73033E7D" w14:textId="77777777" w:rsidR="008B0E5B" w:rsidRPr="0082730A" w:rsidRDefault="008B0E5B">
      <w:pPr>
        <w:spacing w:after="160" w:line="259" w:lineRule="auto"/>
        <w:jc w:val="left"/>
        <w:rPr>
          <w:rFonts w:eastAsiaTheme="majorEastAsia" w:cs="Times New Roman"/>
          <w:b/>
          <w:bCs w:val="0"/>
          <w:spacing w:val="-10"/>
          <w:kern w:val="28"/>
          <w:sz w:val="24"/>
          <w:szCs w:val="24"/>
          <w14:ligatures w14:val="standardContextual"/>
        </w:rPr>
      </w:pPr>
      <w:r w:rsidRPr="0082730A">
        <w:br w:type="page"/>
      </w:r>
    </w:p>
    <w:p w14:paraId="659A430F" w14:textId="6A69AC48" w:rsidR="00A5443D" w:rsidRPr="0082730A" w:rsidRDefault="00A5443D" w:rsidP="00A5443D">
      <w:pPr>
        <w:pStyle w:val="Heading1"/>
        <w:rPr>
          <w:lang w:val="en-GB"/>
        </w:rPr>
      </w:pPr>
      <w:bookmarkStart w:id="0" w:name="_Toc215674126"/>
      <w:r w:rsidRPr="0082730A">
        <w:rPr>
          <w:lang w:val="en-GB"/>
        </w:rPr>
        <w:lastRenderedPageBreak/>
        <w:t>Introduction</w:t>
      </w:r>
      <w:bookmarkEnd w:id="0"/>
      <w:r w:rsidRPr="0082730A">
        <w:rPr>
          <w:lang w:val="en-GB"/>
        </w:rPr>
        <w:t xml:space="preserve"> </w:t>
      </w:r>
    </w:p>
    <w:p w14:paraId="1CAB16B8" w14:textId="77777777" w:rsidR="00235BF9" w:rsidRPr="0082730A" w:rsidRDefault="00235BF9" w:rsidP="00235BF9">
      <w:r w:rsidRPr="0082730A">
        <w:t>Civil disobedience is one of the main pillars of resistance struggles all over the world, and is used by the oppressed groups as a weapon to defy the oppressive political orders. This comparison of the two historic examples of civil disobedience involves the Salt March of 1930 by Gandhi and the Black Lives Matter (BLM) uprising in 2013. Although these movements were separated by a period of time, geography, and the particular issues each seeks to resolve, both movements use the concept of nonviolent resistance to face the systemic injustice and inequality.</w:t>
      </w:r>
    </w:p>
    <w:p w14:paraId="6A934FB5" w14:textId="77777777" w:rsidR="00235BF9" w:rsidRPr="0082730A" w:rsidRDefault="00235BF9" w:rsidP="00235BF9">
      <w:r w:rsidRPr="0082730A">
        <w:t>The Salt March led by Gandhi Mahatma was the turning point in the Indian independence against the British colonialists. His nonviolent challenge against the monopoly of salt production in Britain by the British was a symbolic protest against the more pronounced struggle against colonialist oppression and gave an Indian people a chance to come together in the struggle to liberate themselves. On the contrary, the BLM movement was an outcome of frustration about the nature of systemic racism and police brutality against black people in the United States. The fact that it emerged after George Zimmerman was acquitted of murdering Trayvon Martin, and then gained international prominence, is an indication of the demand of racial justice and the abolition of police brutality.</w:t>
      </w:r>
    </w:p>
    <w:p w14:paraId="3065BBCE" w14:textId="77777777" w:rsidR="00235BF9" w:rsidRPr="0082730A" w:rsidRDefault="00235BF9" w:rsidP="00235BF9">
      <w:r w:rsidRPr="0082730A">
        <w:t>Both movements feature a critique of the status quo established except in different socio-political contexts. The Salt March was an actual fight with colonialists within a relatively homogenous society, and the BLM movement functions within a complex and fragmented post-slavery society, where racial inequality in the US has solid grounds. This essay shall compare these movements based on the mode of resistance, the reaction they caused and the legacy that they left behind on the society.</w:t>
      </w:r>
    </w:p>
    <w:p w14:paraId="14BF6422" w14:textId="49E29AA3" w:rsidR="00A5443D" w:rsidRPr="0082730A" w:rsidRDefault="00235BF9" w:rsidP="00235BF9">
      <w:r w:rsidRPr="0082730A">
        <w:t>This analysis will aim to discuss how these movements, despite the fact that they were carried out in various historical and cultural contexts, use the concept of civil disobedience to achieve change. This essay will illustrate the strength and the weaknesses of nonviolent protest in fighting systemic injustice by comparing and contrasting their approaches and the consequences to society.</w:t>
      </w:r>
    </w:p>
    <w:p w14:paraId="0D71242D" w14:textId="2C5418B1" w:rsidR="00A5443D" w:rsidRPr="0082730A" w:rsidRDefault="00A5443D" w:rsidP="00A5443D">
      <w:pPr>
        <w:pStyle w:val="Heading1"/>
        <w:rPr>
          <w:lang w:val="en-GB"/>
        </w:rPr>
      </w:pPr>
      <w:bookmarkStart w:id="1" w:name="_Toc215674127"/>
      <w:r w:rsidRPr="0082730A">
        <w:rPr>
          <w:lang w:val="en-GB"/>
        </w:rPr>
        <w:lastRenderedPageBreak/>
        <w:t>Section 1: Gandhi’s Salt March</w:t>
      </w:r>
      <w:bookmarkEnd w:id="1"/>
      <w:r w:rsidRPr="0082730A">
        <w:rPr>
          <w:lang w:val="en-GB"/>
        </w:rPr>
        <w:t xml:space="preserve"> </w:t>
      </w:r>
    </w:p>
    <w:p w14:paraId="600B5F18" w14:textId="77777777" w:rsidR="00A5443D" w:rsidRPr="0082730A" w:rsidRDefault="00A5443D" w:rsidP="00A5443D">
      <w:pPr>
        <w:pStyle w:val="Heading2"/>
        <w:rPr>
          <w:lang w:val="en-GB"/>
        </w:rPr>
      </w:pPr>
      <w:bookmarkStart w:id="2" w:name="_Toc215674128"/>
      <w:r w:rsidRPr="0082730A">
        <w:rPr>
          <w:lang w:val="en-GB"/>
        </w:rPr>
        <w:t>1.1 Historical Context and Background of the Salt March</w:t>
      </w:r>
      <w:bookmarkEnd w:id="2"/>
    </w:p>
    <w:p w14:paraId="17A98C6C" w14:textId="77777777" w:rsidR="00E92AA5" w:rsidRPr="0082730A" w:rsidRDefault="00E92AA5" w:rsidP="00E92AA5">
      <w:r w:rsidRPr="0082730A">
        <w:t>The Dandi March, or the Salt March, was a movement started by Mahatma Gandhi on 12 March 1930 in protest because of the British colonial monopoly on salt extraction within India. The British colonial government in India had placed serious limitations on the manufacture and sale of salt, which made the Indians purchase the salt at extravagant prices through the British system. One of the most conspicuous kinds of British exploitation was the salt tax. Salt was a fundamental requirement and a necessity to life especially in the hot climate in India so that it was critical in keeping a healthy body and keeping the body alive. The British realised more wealth through the production and sale of salt hence controlling the production and sale of salt, which strengthened their colonisation over the natural resources of India.</w:t>
      </w:r>
    </w:p>
    <w:p w14:paraId="5E7CB92A" w14:textId="77777777" w:rsidR="00E92AA5" w:rsidRPr="0082730A" w:rsidRDefault="00E92AA5" w:rsidP="00E92AA5">
      <w:r w:rsidRPr="0082730A">
        <w:t>The Indians were not legally allowed to prepare their own salt, which was to be bought at the British government. This monopolistic domination in a staple good impacted the poor of the population such as the peasants and farmers who could hardly make ends meet under the colonial rule. The tax on salt was retrogressive, and the poor were the most affected by it because they devoted a higher percentage of the income to this necessity item. The Indian masses were outraged at this exploitation and Gandhi took advantage of it by using it to mobilise the masses to fight.</w:t>
      </w:r>
    </w:p>
    <w:p w14:paraId="71D8675B" w14:textId="77777777" w:rsidR="00E92AA5" w:rsidRPr="0082730A" w:rsidRDefault="00E92AA5" w:rsidP="00E92AA5">
      <w:r w:rsidRPr="0082730A">
        <w:t>Gandhi was tactical in his choice of salt against the British since salt was a simple and yet momentous act of defiance that could involve all members of the Indian society irrespective of their social, economic and educational status. The defiance of the salt law was a form of group defiance which cut across class and religious lines and provided the ordinary Indians with a chance to rise against the colonial rule, in a manner that was easily accessible and effective. The Salt March served as the representation of greater Indian independence struggle since it was not only about salt, it was a protest over British rule that existed in all spheres of life in India. The philosophy of the nonviolence (ahimsa) and truth (satyagraha) made Gandhi approach a nonviolent way of protest that was quite appealing to both the citizens of India and foreign sympathisers.</w:t>
      </w:r>
    </w:p>
    <w:p w14:paraId="352528E4" w14:textId="77777777" w:rsidR="00A5443D" w:rsidRPr="0082730A" w:rsidRDefault="00A5443D" w:rsidP="00A5443D">
      <w:pPr>
        <w:pStyle w:val="Heading2"/>
        <w:rPr>
          <w:lang w:val="en-GB"/>
        </w:rPr>
      </w:pPr>
      <w:bookmarkStart w:id="3" w:name="_Toc215674129"/>
      <w:r w:rsidRPr="0082730A">
        <w:rPr>
          <w:lang w:val="en-GB"/>
        </w:rPr>
        <w:lastRenderedPageBreak/>
        <w:t>1.2 Methodology of Gandhi’s Nonviolent Resistance</w:t>
      </w:r>
      <w:bookmarkEnd w:id="3"/>
    </w:p>
    <w:p w14:paraId="7875A570" w14:textId="75AF1597" w:rsidR="00E92AA5" w:rsidRPr="0082730A" w:rsidRDefault="00E92AA5" w:rsidP="00E92AA5">
      <w:r w:rsidRPr="0082730A">
        <w:t xml:space="preserve">The philosophy of nonviolent resistance or ahimsa which was developed by Gandhi was the fundamental principle of leadership of Indian independence movement. This was the power of passive resistance based on this philosophy through which political change could be attained without violence. Gandhi considered that real power existed inside and nonviolence was based on a moral resolve to treat all living beings with dignity and achieve justice peacefully. He once said, </w:t>
      </w:r>
      <w:r w:rsidR="0082730A" w:rsidRPr="0082730A">
        <w:t>an</w:t>
      </w:r>
      <w:r w:rsidRPr="0082730A">
        <w:t xml:space="preserve"> eye and an eye </w:t>
      </w:r>
      <w:r w:rsidR="00DC59A1" w:rsidRPr="0082730A">
        <w:t>make</w:t>
      </w:r>
      <w:r w:rsidRPr="0082730A">
        <w:t xml:space="preserve"> the whole world blind, and the concept of violence being a continuation of violence and the strongest weapon against oppression is further strengthened (Gandhi, 1930).</w:t>
      </w:r>
    </w:p>
    <w:p w14:paraId="5458B7F1" w14:textId="77777777" w:rsidR="00E92AA5" w:rsidRPr="0082730A" w:rsidRDefault="00E92AA5" w:rsidP="00E92AA5">
      <w:r w:rsidRPr="0082730A">
        <w:t>The Salt March was a symbolic protest, but it was not an individual movement; it was the part of the larger movement called satyagraha, or truth-force, which aimed at creating a change that would occur by following truth and nonviolence. Gandhi was convinced that, by means of nonviolent direct action, people could expose the unfairness of the systems of oppression where the oppressor would be obliged to question his acts and eventually, reform. To Gandhi the practise of satyagraha was not merely an act of resistance but to elevate the emotion of the individuals involved in the movement. It represented a moral power which touched the consciences of the oppressed and the oppressor and changed the very essence of the conflict.</w:t>
      </w:r>
    </w:p>
    <w:p w14:paraId="12B87879" w14:textId="05399FE4" w:rsidR="00A5443D" w:rsidRPr="0082730A" w:rsidRDefault="00E92AA5" w:rsidP="00E92AA5">
      <w:r w:rsidRPr="0082730A">
        <w:t>Even the Salt March itself was carefully planned out. His march was a 240-mile (or 240-km) walk that Gandhi was to make in his ashram in Sabarmati to the coastal village of Dandi, which was planned to be a simple defiance to the British laws on salt. Gandhi and his supporters would make salt of the sea which was a direct defiance to the British law. This was a well thought out move since it was a direct attack at the British monopoly in the production of salt. More to the point, it was allegorical of the larger struggle of liberty. Through this act of disobedience, Gandhi hoped to create a wave that would not only have an appeal to the India population, but also draw the attention of the world to the suffering of the Indian people in the hands of colonial powers.</w:t>
      </w:r>
    </w:p>
    <w:p w14:paraId="49F27CA5" w14:textId="77777777" w:rsidR="00A5443D" w:rsidRPr="0082730A" w:rsidRDefault="00A5443D" w:rsidP="00E92AA5">
      <w:pPr>
        <w:pStyle w:val="Heading2"/>
        <w:rPr>
          <w:lang w:val="en-GB"/>
        </w:rPr>
      </w:pPr>
      <w:bookmarkStart w:id="4" w:name="_Toc215674130"/>
      <w:r w:rsidRPr="0082730A">
        <w:rPr>
          <w:lang w:val="en-GB"/>
        </w:rPr>
        <w:t>1.3 Impact of the Salt March</w:t>
      </w:r>
      <w:bookmarkEnd w:id="4"/>
    </w:p>
    <w:p w14:paraId="6953CFF9" w14:textId="77777777" w:rsidR="00E92AA5" w:rsidRPr="0082730A" w:rsidRDefault="00E92AA5" w:rsidP="00E92AA5">
      <w:r w:rsidRPr="0082730A">
        <w:lastRenderedPageBreak/>
        <w:t>The Salt March has left a great and far-reaching impression. At home, it was the dawning of a new era of the Indian independence movement. The fact that Gandhi was able to rally the masses of all classes: farmers, workers, students, and even women proved the power of his leadership and the success of nonviolent struggle. The Salt March acted as a symbol of struggle against the British colonial rule and played a role in bringing together the various social classes under one umbrella. It cut across the region, religion, and castes and united a divided nation around the flag of independence.</w:t>
      </w:r>
    </w:p>
    <w:p w14:paraId="4F5E67C9" w14:textId="77777777" w:rsidR="00E92AA5" w:rsidRPr="0082730A" w:rsidRDefault="00E92AA5" w:rsidP="00E92AA5">
      <w:r w:rsidRPr="0082730A">
        <w:t>The Salt March was also of great international consequences. The British Empire which had boasted of being the light of democracy and justice were subjected to great international questioning as it treated the Indian people. The Salt March that was widely publicised by the international media raised awareness of the exploitation of Indians by the colonial rule. International support of the Indian cause increased, and the Salt March was used as a role model in a nonviolent struggle all over the world. It was a strong counter-narrative to British colonial propaganda, which was attempting to sell the concept of colonial rule as a righteous and good thing.</w:t>
      </w:r>
    </w:p>
    <w:p w14:paraId="3168AFEE" w14:textId="3802D23D" w:rsidR="00A5443D" w:rsidRPr="0082730A" w:rsidRDefault="00E92AA5" w:rsidP="00E92AA5">
      <w:r w:rsidRPr="0082730A">
        <w:t>The short-term political effectiveness of the Salt March was small, though it was symbolically successful. The reaction of the British was very violent and most of the demonstrators including Gandhi himself were detained. The British government tried to calm the movement down through force including brutality to the demonstrators. Nonviolence, however, was morally justified by Gandhi, and such a course of action could not be easily defended by the British in the world arena. Thus, the Salt March was a paradox since it did not directly stop the British rule but weakened the right of colonialism and prepared a bigger campaign of civil disobedience that would ultimately result in the gain of independence in India in 1947.</w:t>
      </w:r>
    </w:p>
    <w:p w14:paraId="519FF616" w14:textId="4E0A78E3" w:rsidR="00A5443D" w:rsidRPr="0082730A" w:rsidRDefault="00A5443D" w:rsidP="00A5443D">
      <w:pPr>
        <w:pStyle w:val="Heading1"/>
        <w:rPr>
          <w:lang w:val="en-GB"/>
        </w:rPr>
      </w:pPr>
      <w:bookmarkStart w:id="5" w:name="_Toc215674131"/>
      <w:r w:rsidRPr="0082730A">
        <w:rPr>
          <w:lang w:val="en-GB"/>
        </w:rPr>
        <w:t>Section 2: Black Lives Matter Protests</w:t>
      </w:r>
      <w:bookmarkEnd w:id="5"/>
      <w:r w:rsidRPr="0082730A">
        <w:rPr>
          <w:lang w:val="en-GB"/>
        </w:rPr>
        <w:t xml:space="preserve"> </w:t>
      </w:r>
    </w:p>
    <w:p w14:paraId="2CB3B511" w14:textId="35B97178" w:rsidR="00A5443D" w:rsidRPr="0082730A" w:rsidRDefault="00A5443D" w:rsidP="00A5443D">
      <w:pPr>
        <w:pStyle w:val="Heading2"/>
        <w:rPr>
          <w:lang w:val="en-GB"/>
        </w:rPr>
      </w:pPr>
      <w:bookmarkStart w:id="6" w:name="_Toc215674132"/>
      <w:r w:rsidRPr="0082730A">
        <w:rPr>
          <w:lang w:val="en-GB"/>
        </w:rPr>
        <w:t>2.1 Emergence of the Black Lives Matter Movement</w:t>
      </w:r>
      <w:bookmarkEnd w:id="6"/>
    </w:p>
    <w:p w14:paraId="32AF9957" w14:textId="77777777" w:rsidR="00DC59A1" w:rsidRPr="0082730A" w:rsidRDefault="00DC59A1" w:rsidP="00DC59A1">
      <w:r w:rsidRPr="0082730A">
        <w:t xml:space="preserve">Black Lives Matter (BLM) was a movement that began in 2013 as the result of the acquittal of George Zimmerman, the murderer, who had killed an unarmed 17-year-old Black teenager Trayvon Martin, in </w:t>
      </w:r>
      <w:r w:rsidRPr="0082730A">
        <w:lastRenderedPageBreak/>
        <w:t>Florida. This scandalous case triggered national protests, and the hash tag BlackLivesMatter was quickly spread to all social media. This is not the first event in police brutality against black Americans, but the level of the media response was a turning point in the racial justice struggle. The acquittal emphasised the systemic problems of racial profiling and inequality and unaccountability of the criminal justice system (Taylor, 2020).</w:t>
      </w:r>
    </w:p>
    <w:p w14:paraId="159A7381" w14:textId="77777777" w:rsidR="00DC59A1" w:rsidRPr="0082730A" w:rsidRDefault="00DC59A1" w:rsidP="00DC59A1">
      <w:r w:rsidRPr="0082730A">
        <w:t>Nevertheless, the origin of the movement is deeper than the death of Trayvon Martin. It is a reaction to the centuries of racial oppression and violence against the Black Americans, and it specifically relates to the aspect of dealing with the police brutality. The BLM movement was also created as the reaction to the devastating deaths of several black people, such as Michael Brown, Eric Garner, and, most recently, George Floyd, whose death in the hands of Minneapolis police officers in 2020 sparked the renewal of worldwide protests. These events outlined the severe racial inequalities under the law enforcement as Black people are unequally exposed to violence, racial profiling, and discriminative policing (Taylor, 2020).</w:t>
      </w:r>
    </w:p>
    <w:p w14:paraId="614DC79F" w14:textId="77777777" w:rsidR="00DC59A1" w:rsidRPr="0082730A" w:rsidRDefault="00DC59A1" w:rsidP="00DC59A1">
      <w:r w:rsidRPr="0082730A">
        <w:t>The BLM movement is characterised by a decentralised one, unlike the traditional ones, where a single charismatic leader governs the movement. In 2013, Patrisse Cullors, Alicia Garza and Opal Tometi established the movement to be called into action after Martin was killed. Since its inception, BLM was an inclusive, grassroots organisation, and there was no command hierarchy, or hierarchy of leadership. Its decentralised character enabled the movement to spread exponentially because local chapters and grassroots organisations enlisted communities and promoted racial justice (Pow, 2022). This flexibility also helped BLM to react fast to racial violence which was often via social media where one might find videos of police brutality which unleashed a lot of attention to the topic of systemic racism.</w:t>
      </w:r>
    </w:p>
    <w:p w14:paraId="2BAEFB91" w14:textId="32218AA1" w:rsidR="00DC59A1" w:rsidRPr="0082730A" w:rsidRDefault="00DC59A1" w:rsidP="00DC59A1">
      <w:r w:rsidRPr="0082730A">
        <w:t xml:space="preserve">The rise of the BLM movement was also linked to the wider trends of social media since such services as Twitter, Instagram, and Facebook appeared to be used as central platforms when organising protests and gaining awareness. The social media enabled the BLM to connect with more people, organise in a short period, and spread their message virally. Hashtags such as the SayHerName which put an emphasis on the </w:t>
      </w:r>
      <w:r w:rsidRPr="0082730A">
        <w:lastRenderedPageBreak/>
        <w:t>deaths of black women such as Sandra Bland were used to give a voice where voices had mostly gone unheard by mainstream media discourse. It is this technological feature that made BLM special, giving it an exceptionally wide reach into the minds of the population, outside of the conventional media mediums (Clayton, 2018).</w:t>
      </w:r>
    </w:p>
    <w:p w14:paraId="05AF6438" w14:textId="77777777" w:rsidR="00A5443D" w:rsidRPr="0082730A" w:rsidRDefault="00A5443D" w:rsidP="00A5443D">
      <w:pPr>
        <w:pStyle w:val="Heading2"/>
        <w:rPr>
          <w:lang w:val="en-GB"/>
        </w:rPr>
      </w:pPr>
      <w:bookmarkStart w:id="7" w:name="_Toc215674133"/>
      <w:r w:rsidRPr="0082730A">
        <w:rPr>
          <w:lang w:val="en-GB"/>
        </w:rPr>
        <w:t>2.2 Methods of Protest in the BLM Movement</w:t>
      </w:r>
      <w:bookmarkEnd w:id="7"/>
    </w:p>
    <w:p w14:paraId="09E153EF" w14:textId="77777777" w:rsidR="00DC59A1" w:rsidRPr="0082730A" w:rsidRDefault="00DC59A1" w:rsidP="00DC59A1">
      <w:r w:rsidRPr="0082730A">
        <w:t>The protests used by the Black Lives Matter movement are varied due to the decentralised structure of the movement, as well as the urgency of the problems observed in the movement. The range of approaches promoted by BLM is quite wide and can encompass peaceful marches and sit-ins, as well as online activism and, in some instances, direct fights with police. The adaptability of the strategies used by BLM enables it to fit the political and social environment of various regions such that the message the organisation sends reaches a wide and diverse audience.</w:t>
      </w:r>
    </w:p>
    <w:p w14:paraId="245DA29C" w14:textId="77777777" w:rsidR="00DC59A1" w:rsidRPr="0082730A" w:rsidRDefault="00DC59A1" w:rsidP="00DC59A1">
      <w:r w:rsidRPr="0082730A">
        <w:t>Mass mobilisation based on peaceful demonstrations is among the major ways of protest used by BLM. Such marches have been held in both the cities of the United States and in other countries. Hundreds of thousands of people became a part of the efforts to stop the racial inequality and bring it to the public discussion due to the mass protests after the deaths of Michael Brown, Eric Garner, and George Floyd. These non-violent demonstrations usually involve chants, signs, and symbolic demonstrations like die-ins, in which the activists lie on the floor to symbolise the victims of the police violence (Taylor, 2020). These protests attract people to the need to have justice and police accountability as well as promote wider social reforms.</w:t>
      </w:r>
    </w:p>
    <w:p w14:paraId="373409A6" w14:textId="77777777" w:rsidR="00DC59A1" w:rsidRPr="0082730A" w:rsidRDefault="00DC59A1" w:rsidP="00DC59A1">
      <w:r w:rsidRPr="0082730A">
        <w:t xml:space="preserve">The use of social media is also very vital in the protest practises of BLM. The movement has become linked to the hashtag, which is BlackLivesMatter, and has been employed to organise protests, include videos of police brutality, and spread the awareness of the current fight against racial equality. Edible websites enable them to join in the movement irrespective of their geographical location and are a means of marginalised </w:t>
      </w:r>
      <w:r w:rsidRPr="0082730A">
        <w:lastRenderedPageBreak/>
        <w:t>voices being heard. The movement has been so strong through its viral nature to fight systemic racism such that acts of police violence are not forgotten but instead remain in the minds of the people (Clayton, 2018).</w:t>
      </w:r>
    </w:p>
    <w:p w14:paraId="6262EA03" w14:textId="77777777" w:rsidR="00DC59A1" w:rsidRPr="0082730A" w:rsidRDefault="00DC59A1" w:rsidP="00DC59A1">
      <w:r w:rsidRPr="0082730A">
        <w:t>Besides the classical ways of protest, BLM has used disruptive methods to get change. Disruption of normal operations and bringing attention to racial injustice issues have been achieved through sit-ins, blockades and occupations of the public spaces. Such acts have the tendency of eroding the status quo and pressurising political leaders to work on issues such as police brutality, racial disparity and economic injustice. Although these protests are normally peaceful, there are times when tensions have risen especially when the police forces have been aggressive to them. Sometimes, demonstrations have resulted in violent clashes, but such incidences are also usually exaggerated by the media, which can override the fact that the movement believes in nonviolence (Chenoweth, 2023).</w:t>
      </w:r>
    </w:p>
    <w:p w14:paraId="2F7CCAEB" w14:textId="47F78CC2" w:rsidR="00A5443D" w:rsidRPr="0082730A" w:rsidRDefault="00DC59A1" w:rsidP="00DC59A1">
      <w:r w:rsidRPr="0082730A">
        <w:t>Among the most striking strategies that the BLM movement utilises, one should mention direct action that comes in the shapes of disruption or shutdowns. Indicatively, in 2014, the activists of the BLM movement managed to close off the major highways and transit systems in such cities as Oakland and New York. Such civil disobedience actions unveil normal life and push the society to the reality of systemic racism. By so doing, the BLM activists defy the police but also the whole political and social structures that have reinforced inequality. Criticism of these direct actions is that they have been disruptive, yet they have also served to get the necessary conversations about racial justice going (Clayton, 2018).</w:t>
      </w:r>
    </w:p>
    <w:p w14:paraId="618175C2" w14:textId="77777777" w:rsidR="00A5443D" w:rsidRPr="0082730A" w:rsidRDefault="00A5443D" w:rsidP="00F96A75">
      <w:pPr>
        <w:pStyle w:val="Heading2"/>
        <w:rPr>
          <w:lang w:val="en-GB"/>
        </w:rPr>
      </w:pPr>
      <w:bookmarkStart w:id="8" w:name="_Toc215674134"/>
      <w:r w:rsidRPr="0082730A">
        <w:rPr>
          <w:lang w:val="en-GB"/>
        </w:rPr>
        <w:t>2.3 Impact of the BLM Movement</w:t>
      </w:r>
      <w:bookmarkEnd w:id="8"/>
    </w:p>
    <w:p w14:paraId="12CF204D" w14:textId="77777777" w:rsidR="00E36FFD" w:rsidRPr="0082730A" w:rsidRDefault="00E36FFD" w:rsidP="00E36FFD">
      <w:r w:rsidRPr="0082730A">
        <w:t xml:space="preserve">The influence of the Black Lives Matter movement has been both extensive and sea-changing not only in the United States, but also in other countries. BLM has done this by creating awareness on the issue of police brutality and systemic racism, which has never been achieved by any other movement in the past. This has been popularised in the whole world with strikes and solidarity movements being held in as distant countries such as the United Kingdom, Canada, and Brazil. BLM has highlighted the realities of the bad </w:t>
      </w:r>
      <w:r w:rsidRPr="0082730A">
        <w:lastRenderedPageBreak/>
        <w:t>aspects that the Black communities have to deal with, and it has called upon the law enforcement and criminal justice system to be answerable (Taylor, 2020).</w:t>
      </w:r>
    </w:p>
    <w:p w14:paraId="2F16E624" w14:textId="77777777" w:rsidR="00E36FFD" w:rsidRPr="0082730A" w:rsidRDefault="00E36FFD" w:rsidP="00E36FFD">
      <w:r w:rsidRPr="0082730A">
        <w:t>The BLM movement has resulted in changes in the opinion and policy of the people domestically. The 2020 protests, specifically, after the murder of George Floyd, created an outcry to reform the police and make them more accountable. The calls to defund the police, to invest in community-based services, and to reconsider the notions of public safety were prevalent in numerous cities of the U.S. Other cities also adopted policing policies, including the prohibition of chokeholds and the use of body cameras by the police (Chovatia, 2025).</w:t>
      </w:r>
    </w:p>
    <w:p w14:paraId="1C87C773" w14:textId="77777777" w:rsidR="00E36FFD" w:rsidRPr="0082730A" w:rsidRDefault="00E36FFD" w:rsidP="00E36FFD">
      <w:r w:rsidRPr="0082730A">
        <w:t>The BLM movement was also influential to place the problem of racial injustice into the political arena. It has been involved in the 2020 presidential election discussions, as the candidates had to respond to the issues of racial inequality and police violence. The effects of BLM on the mass discourse were observed in the increased popularity of the notion of the reparations of Black Americans, as well as the necessity to implement larger structural changes to overcome racial inequalities in the field of housing, education, and healthcare. This turn in popular discourses was the testimony to the strength of grassroots movements and the capacity of movements such as BLM to transform political agendas (Dunivin et al., 2022).</w:t>
      </w:r>
    </w:p>
    <w:p w14:paraId="1FFB4E7C" w14:textId="77777777" w:rsidR="00E36FFD" w:rsidRPr="0082730A" w:rsidRDefault="00E36FFD" w:rsidP="00E36FFD">
      <w:r w:rsidRPr="0082730A">
        <w:t>Through these achievements, BLM movement has recorded serious opposition. The movement has been demonised by right wing organisations and political leaders who have painted it in a negative light as a radical or a violent group. Media has given much attention to the acts of violence in protests and this has been used to dampen the fact that the movement has been mostly peaceful. Law enforcement has also acted against the Black Lives Matter movement, resorting to aggression and surveillance of the activists in most cases. Nevertheless, the movement has been very resilient and has continued to drive the change that would be sustained (Reyers et al., 2022).</w:t>
      </w:r>
    </w:p>
    <w:p w14:paraId="551828D1" w14:textId="06FEBE5F" w:rsidR="00A5443D" w:rsidRPr="0082730A" w:rsidRDefault="00E36FFD" w:rsidP="00E36FFD">
      <w:r w:rsidRPr="0082730A">
        <w:t xml:space="preserve">The other notable influence of BLM is that it has altered the culture. The movement has reformed how many individuals perceive such matters as race, policing, and justice. It has created challenging discussions </w:t>
      </w:r>
      <w:r w:rsidRPr="0082730A">
        <w:lastRenderedPageBreak/>
        <w:t>of the historical context of slavery and segregation and how it still affects the Black communities. The effects of BLM can be traced in the different fields of culture, such as art and entertainment and even in sports where athletes such as Colin Kaepernick have knelt during the national anthem as a protest against police brutality. The cultural scope of the movement has assisted in making the discussion of the topic of race more normalised than was previously avoided or disregarded (Harrison and Brown, 2025).</w:t>
      </w:r>
    </w:p>
    <w:p w14:paraId="00B08928" w14:textId="10BF9278" w:rsidR="00A5443D" w:rsidRPr="0082730A" w:rsidRDefault="00A5443D" w:rsidP="00A5443D">
      <w:pPr>
        <w:pStyle w:val="Heading1"/>
        <w:rPr>
          <w:lang w:val="en-GB"/>
        </w:rPr>
      </w:pPr>
      <w:bookmarkStart w:id="9" w:name="_Toc215674135"/>
      <w:r w:rsidRPr="0082730A">
        <w:rPr>
          <w:lang w:val="en-GB"/>
        </w:rPr>
        <w:t>Section 3: Comparison and Analysis</w:t>
      </w:r>
      <w:bookmarkEnd w:id="9"/>
      <w:r w:rsidRPr="0082730A">
        <w:rPr>
          <w:lang w:val="en-GB"/>
        </w:rPr>
        <w:t xml:space="preserve"> </w:t>
      </w:r>
    </w:p>
    <w:p w14:paraId="0F8A6ADF" w14:textId="77777777" w:rsidR="00A5443D" w:rsidRPr="0082730A" w:rsidRDefault="00A5443D" w:rsidP="00A5443D">
      <w:pPr>
        <w:pStyle w:val="Heading2"/>
        <w:rPr>
          <w:lang w:val="en-GB"/>
        </w:rPr>
      </w:pPr>
      <w:bookmarkStart w:id="10" w:name="_Toc215674136"/>
      <w:r w:rsidRPr="0082730A">
        <w:rPr>
          <w:lang w:val="en-GB"/>
        </w:rPr>
        <w:t>3.1 Commonalities Between the Movements</w:t>
      </w:r>
      <w:bookmarkEnd w:id="10"/>
    </w:p>
    <w:p w14:paraId="6F25F7AD" w14:textId="77777777" w:rsidR="00934D07" w:rsidRPr="0082730A" w:rsidRDefault="00934D07" w:rsidP="00934D07">
      <w:r w:rsidRPr="0082730A">
        <w:t>Although the Salt March and the Black Lives Matter protestors are carried out under different cultural circumstances and have different aims, they still have certain similarities. Both movements arose due to a profound discontent with the existence of systemic oppression which was the case with colonialism in the Salt March and systemic racism in the case of BLM. The two movements have employed nonviolent resistance as a major approach, where they sought to upset the status quo without using violence.</w:t>
      </w:r>
    </w:p>
    <w:p w14:paraId="06B75797" w14:textId="78B7DF31" w:rsidR="00934D07" w:rsidRPr="0082730A" w:rsidRDefault="00934D07" w:rsidP="00F0353C">
      <w:r w:rsidRPr="0082730A">
        <w:t>The goals of both movements were also to empower the marginalised communities, be it through the active involvement of the common Indians in the Salt March, or the mobilisation of the Black American and their allies in the Black Lives Matter movement. In these two situations, the movements aimed at raising awareness about the injustices of these communities and mobilise people in efforts to bring change.</w:t>
      </w:r>
    </w:p>
    <w:p w14:paraId="6AEF99FA" w14:textId="77777777" w:rsidR="00A5443D" w:rsidRPr="0082730A" w:rsidRDefault="00A5443D" w:rsidP="00A5443D">
      <w:pPr>
        <w:pStyle w:val="Heading2"/>
        <w:rPr>
          <w:lang w:val="en-GB"/>
        </w:rPr>
      </w:pPr>
      <w:bookmarkStart w:id="11" w:name="_Toc215674137"/>
      <w:r w:rsidRPr="0082730A">
        <w:rPr>
          <w:lang w:val="en-GB"/>
        </w:rPr>
        <w:t>3.2 Differences in Tactics and Scope</w:t>
      </w:r>
      <w:bookmarkEnd w:id="11"/>
    </w:p>
    <w:p w14:paraId="63686F9D" w14:textId="77777777" w:rsidR="00F66CB4" w:rsidRPr="0082730A" w:rsidRDefault="00F66CB4" w:rsidP="00F66CB4">
      <w:r w:rsidRPr="0082730A">
        <w:t>The strategies by the two movements are also quite different. The Salt March was a single, symbolic act of resistance against the British colonialism by Gandhi. Its emphasis on one, simple issue, the salt tax, enabled everyone to participate and the low-key message that captured the attention of people in India. Instead, the BLM movement has been more varied in its approach, employing all sorts of actions, such as street demonstrations, to interrupt the status quo. Having a wider focus on systemic racism problems and police violence, it has implied that it has a more extensive and diverse scope of activities and requirements (Braveman et al., 2022).</w:t>
      </w:r>
    </w:p>
    <w:p w14:paraId="75FC8F28" w14:textId="58494B02" w:rsidR="00A5443D" w:rsidRPr="0082730A" w:rsidRDefault="00F66CB4" w:rsidP="00F66CB4">
      <w:r w:rsidRPr="0082730A">
        <w:lastRenderedPageBreak/>
        <w:t>The way the movements developed was also affected by the cultural and political environments they were founded in. The marches of Gandhi occurred in the period of the strongest rule of the British Empire on India, and the BLM movement functions in a complicated society with modern democracies that has not yet erased the severe racial disparities. It is this context difference that has caused the differences in approach to systemic injustice (Aslam, 2023).</w:t>
      </w:r>
    </w:p>
    <w:p w14:paraId="750CD987" w14:textId="77777777" w:rsidR="00A5443D" w:rsidRPr="0082730A" w:rsidRDefault="00A5443D" w:rsidP="00A5443D">
      <w:pPr>
        <w:pStyle w:val="Heading2"/>
        <w:rPr>
          <w:lang w:val="en-GB"/>
        </w:rPr>
      </w:pPr>
      <w:bookmarkStart w:id="12" w:name="_Toc215674138"/>
      <w:r w:rsidRPr="0082730A">
        <w:rPr>
          <w:lang w:val="en-GB"/>
        </w:rPr>
        <w:t>3.3 Cultural and Political Contexts</w:t>
      </w:r>
      <w:bookmarkEnd w:id="12"/>
    </w:p>
    <w:p w14:paraId="2FE28AE0" w14:textId="36D91607" w:rsidR="00A5443D" w:rsidRPr="0082730A" w:rsidRDefault="00F66CB4" w:rsidP="00F66CB4">
      <w:r w:rsidRPr="0082730A">
        <w:t>The Salt March took place during the British colonialism whereby the end objective was to achieve national independence. It was also a movement that was a part of the greater Indian self-rule movement, which later became successful in granting India its independence in 1947. The intention of the BLM protests, however, is to discuss the racial inequality in the society that is after slavery, yet highly segregated. The history of slavery, segregation and systemic racism that are still present in the United States determine the cultural context of BLM (Alfred, 2021).</w:t>
      </w:r>
    </w:p>
    <w:p w14:paraId="20F682A7" w14:textId="36C8BD14" w:rsidR="00A5443D" w:rsidRPr="0082730A" w:rsidRDefault="00A5443D" w:rsidP="00A5443D">
      <w:pPr>
        <w:pStyle w:val="Heading1"/>
        <w:rPr>
          <w:lang w:val="en-GB"/>
        </w:rPr>
      </w:pPr>
      <w:bookmarkStart w:id="13" w:name="_Toc215674139"/>
      <w:r w:rsidRPr="0082730A">
        <w:rPr>
          <w:lang w:val="en-GB"/>
        </w:rPr>
        <w:t>Conclusion</w:t>
      </w:r>
      <w:bookmarkEnd w:id="13"/>
    </w:p>
    <w:p w14:paraId="402A3EBA" w14:textId="2D785B98" w:rsidR="00934D07" w:rsidRPr="0082730A" w:rsidRDefault="00934D07" w:rsidP="00934D07">
      <w:r w:rsidRPr="0082730A">
        <w:t>In conclusion, the Salt March and the Black Lives Matter protests are the two strong illustrations of the civil disobedience regardless of their historical and cultural backgrounds. The Salt March conducted by Gandhi showed how one simple symbolic protest can be used to electrify an entire nation, and the BLM movement has demonstrated how grassroots organising and digital activism can be used to overcome racial injustice in a modernised society.</w:t>
      </w:r>
    </w:p>
    <w:p w14:paraId="7B1D58EE" w14:textId="6B842B9C" w:rsidR="006F5A44" w:rsidRPr="0082730A" w:rsidRDefault="00934D07" w:rsidP="00934D07">
      <w:r w:rsidRPr="0082730A">
        <w:t>These movements emphasise the dynamic characteristics of civil disobedience, which is determined by the social and political environment of their emergence. The nonviolent resistance of Gandhi had a solid foundation in moral and spiritual philosophy, but the organisation of the BLM movement is rather fragmented and activist-based. However, the two movements highlight the long-lasting effectiveness of civil disobedience against institutionalised forms of power and social change.</w:t>
      </w:r>
      <w:r w:rsidR="006F5A44" w:rsidRPr="0082730A">
        <w:br w:type="page"/>
      </w:r>
    </w:p>
    <w:p w14:paraId="68BCF52E" w14:textId="34FD7925" w:rsidR="00A20B45" w:rsidRPr="0082730A" w:rsidRDefault="00A5443D" w:rsidP="00A5443D">
      <w:pPr>
        <w:pStyle w:val="Heading1"/>
        <w:rPr>
          <w:lang w:val="en-GB"/>
        </w:rPr>
      </w:pPr>
      <w:bookmarkStart w:id="14" w:name="_Toc215674140"/>
      <w:r w:rsidRPr="0082730A">
        <w:rPr>
          <w:lang w:val="en-GB"/>
        </w:rPr>
        <w:lastRenderedPageBreak/>
        <w:t>References</w:t>
      </w:r>
      <w:bookmarkEnd w:id="14"/>
    </w:p>
    <w:p w14:paraId="4ADDB85D" w14:textId="77777777" w:rsidR="00D541B6" w:rsidRPr="0082730A" w:rsidRDefault="00D541B6" w:rsidP="00A5443D">
      <w:r w:rsidRPr="0082730A">
        <w:t>Alfred, M. V. (2021). Race and the politics of exclusion: The socio‐historical contexts of Black brutality and the emergence of the Black Lives Matter movement. New Directions for Adult and Continuing Education, 2021(170), 9-19.</w:t>
      </w:r>
    </w:p>
    <w:p w14:paraId="36F6A0F3" w14:textId="77777777" w:rsidR="00D541B6" w:rsidRPr="0082730A" w:rsidRDefault="00D541B6" w:rsidP="00A5443D">
      <w:r w:rsidRPr="0082730A">
        <w:t>Aslam, N. (2023). Inequality and Social Justice: A Critical Analysis. Al-Anfal, 1(01), 74-82.</w:t>
      </w:r>
    </w:p>
    <w:p w14:paraId="2E8969F6" w14:textId="77777777" w:rsidR="00D541B6" w:rsidRPr="0082730A" w:rsidRDefault="00D541B6" w:rsidP="00A5443D">
      <w:r w:rsidRPr="0082730A">
        <w:t>Braveman, P. A., Arkin, E., Proctor, D., Kauh, T., &amp; Holm, N. (2022). Systemic And Structural Racism: Definitions, Examples, Health Damages, And Approaches To Dismantling: Study examines definitions, examples, health damages, and dismantling systemic and structural racism. Health affairs, 41(2), 171-178.</w:t>
      </w:r>
    </w:p>
    <w:p w14:paraId="68B2DA7B" w14:textId="77777777" w:rsidR="00D541B6" w:rsidRPr="0082730A" w:rsidRDefault="00D541B6" w:rsidP="00A5443D">
      <w:r w:rsidRPr="0082730A">
        <w:t>Chovatia, V. (2025). Action or Distraction? Assessing the Impact of Post-2020 Police Use of Force Reforms in American Cities (Doctoral dissertation, Duke University Durham).</w:t>
      </w:r>
    </w:p>
    <w:p w14:paraId="307491E7" w14:textId="77777777" w:rsidR="00D541B6" w:rsidRPr="0082730A" w:rsidRDefault="00D541B6" w:rsidP="00A5443D">
      <w:r w:rsidRPr="00A5443D">
        <w:t xml:space="preserve">Clayton, D. M. (2018). Black Lives Matter and the Civil Rights Movement: A Comparative Analysis of Two Social Movements in the United States. </w:t>
      </w:r>
      <w:r w:rsidRPr="00A5443D">
        <w:rPr>
          <w:i/>
          <w:iCs/>
        </w:rPr>
        <w:t>Journal of Black Studies</w:t>
      </w:r>
      <w:r w:rsidRPr="00A5443D">
        <w:t xml:space="preserve">, </w:t>
      </w:r>
      <w:r w:rsidRPr="00A5443D">
        <w:rPr>
          <w:i/>
          <w:iCs/>
        </w:rPr>
        <w:t>49</w:t>
      </w:r>
      <w:r w:rsidRPr="00A5443D">
        <w:t xml:space="preserve">(5), 448-480. </w:t>
      </w:r>
      <w:hyperlink r:id="rId7" w:history="1">
        <w:r w:rsidRPr="00A5443D">
          <w:rPr>
            <w:rStyle w:val="Hyperlink"/>
          </w:rPr>
          <w:t>https://doi.org/10.1177/0021934718764099</w:t>
        </w:r>
      </w:hyperlink>
      <w:r w:rsidRPr="00A5443D">
        <w:t xml:space="preserve"> </w:t>
      </w:r>
    </w:p>
    <w:p w14:paraId="030E1002" w14:textId="77777777" w:rsidR="00D541B6" w:rsidRPr="0082730A" w:rsidRDefault="00D541B6" w:rsidP="00A5443D">
      <w:r w:rsidRPr="0082730A">
        <w:t>Dunivin, Z. O., Yan, H. Y., Ince, J., &amp; Rojas, F. (2022). Black Lives Matter protests shift public discourse. Proceedings of the National Academy of Sciences, 119(10), e2117320119.</w:t>
      </w:r>
    </w:p>
    <w:p w14:paraId="4D88BBF9" w14:textId="77777777" w:rsidR="00D541B6" w:rsidRPr="0082730A" w:rsidRDefault="00D541B6" w:rsidP="00A5443D">
      <w:r w:rsidRPr="0082730A">
        <w:t xml:space="preserve">Gandhi, M. (1930). </w:t>
      </w:r>
      <w:r w:rsidRPr="0082730A">
        <w:rPr>
          <w:i/>
          <w:iCs/>
        </w:rPr>
        <w:t>The Salt March and the Indian Independence Movement</w:t>
      </w:r>
      <w:r w:rsidRPr="0082730A">
        <w:t>. New Delhi: National Publishing House.</w:t>
      </w:r>
    </w:p>
    <w:p w14:paraId="11A00F7C" w14:textId="77777777" w:rsidR="00D541B6" w:rsidRPr="0082730A" w:rsidRDefault="00D541B6" w:rsidP="00A5443D">
      <w:r w:rsidRPr="0082730A">
        <w:t>Harrison, D. L., &amp; Brown, C. T. (2025). Discovering the roadblocks: Culturally relevant dispositions among preservice teachers. Urban Education, 60(2), 378-403.</w:t>
      </w:r>
    </w:p>
    <w:p w14:paraId="447ED23A" w14:textId="77777777" w:rsidR="00D541B6" w:rsidRPr="00A5443D" w:rsidRDefault="00D541B6" w:rsidP="00A5443D">
      <w:r w:rsidRPr="0082730A">
        <w:t>Pow, V. (2022). Grassroots movement lawyering: insights from the George Floyd rebellion. UCLA L. Rev., 69, 80.</w:t>
      </w:r>
    </w:p>
    <w:p w14:paraId="5053CE2A" w14:textId="77777777" w:rsidR="00D541B6" w:rsidRPr="0082730A" w:rsidRDefault="00D541B6" w:rsidP="00A5443D">
      <w:r w:rsidRPr="0082730A">
        <w:lastRenderedPageBreak/>
        <w:t>Reyers, B., Moore, M. L., Haider, L. J., &amp; Schlüter, M. (2022). The contributions of resilience to reshaping sustainable development. Nature Sustainability, 5(8), 657-664.</w:t>
      </w:r>
    </w:p>
    <w:p w14:paraId="3A190BF5" w14:textId="77777777" w:rsidR="00D541B6" w:rsidRPr="0082730A" w:rsidRDefault="00D541B6" w:rsidP="00A5443D">
      <w:r w:rsidRPr="0082730A">
        <w:t>Taylor, K. Y. (2020). From# BlackLivesMatter to black liberation. Haymarket Books.</w:t>
      </w:r>
    </w:p>
    <w:p w14:paraId="16208AB9" w14:textId="77777777" w:rsidR="00A5443D" w:rsidRPr="0082730A" w:rsidRDefault="00A5443D" w:rsidP="00A5443D"/>
    <w:p w14:paraId="2908A800" w14:textId="77777777" w:rsidR="00A5443D" w:rsidRPr="00A5443D" w:rsidRDefault="00A5443D" w:rsidP="00A5443D"/>
    <w:sectPr w:rsidR="00A5443D" w:rsidRPr="00A5443D" w:rsidSect="006804EB">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278E733" w14:textId="77777777" w:rsidR="00B95259" w:rsidRPr="0082730A" w:rsidRDefault="00B95259" w:rsidP="00A5443D">
      <w:pPr>
        <w:spacing w:after="0" w:line="240" w:lineRule="auto"/>
      </w:pPr>
      <w:r w:rsidRPr="0082730A">
        <w:separator/>
      </w:r>
    </w:p>
  </w:endnote>
  <w:endnote w:type="continuationSeparator" w:id="0">
    <w:p w14:paraId="39E11F80" w14:textId="77777777" w:rsidR="00B95259" w:rsidRPr="0082730A" w:rsidRDefault="00B95259" w:rsidP="00A5443D">
      <w:pPr>
        <w:spacing w:after="0" w:line="240" w:lineRule="auto"/>
      </w:pPr>
      <w:r w:rsidRPr="0082730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7538E2B" w14:textId="77777777" w:rsidR="00B95259" w:rsidRPr="0082730A" w:rsidRDefault="00B95259" w:rsidP="00A5443D">
      <w:pPr>
        <w:spacing w:after="0" w:line="240" w:lineRule="auto"/>
      </w:pPr>
      <w:r w:rsidRPr="0082730A">
        <w:separator/>
      </w:r>
    </w:p>
  </w:footnote>
  <w:footnote w:type="continuationSeparator" w:id="0">
    <w:p w14:paraId="12B5C665" w14:textId="77777777" w:rsidR="00B95259" w:rsidRPr="0082730A" w:rsidRDefault="00B95259" w:rsidP="00A5443D">
      <w:pPr>
        <w:spacing w:after="0" w:line="240" w:lineRule="auto"/>
      </w:pPr>
      <w:r w:rsidRPr="0082730A">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2784667"/>
    <w:multiLevelType w:val="multilevel"/>
    <w:tmpl w:val="2F3EC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42D3A41"/>
    <w:multiLevelType w:val="multilevel"/>
    <w:tmpl w:val="16B8C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5855278">
    <w:abstractNumId w:val="0"/>
  </w:num>
  <w:num w:numId="2" w16cid:durableId="12245605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doNotDisplayPageBoundarie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443D"/>
    <w:rsid w:val="000008C9"/>
    <w:rsid w:val="00025751"/>
    <w:rsid w:val="00035493"/>
    <w:rsid w:val="00066369"/>
    <w:rsid w:val="000811C1"/>
    <w:rsid w:val="000A06E3"/>
    <w:rsid w:val="000A141B"/>
    <w:rsid w:val="000C6E4D"/>
    <w:rsid w:val="000E29F4"/>
    <w:rsid w:val="001004FD"/>
    <w:rsid w:val="00104A94"/>
    <w:rsid w:val="00110474"/>
    <w:rsid w:val="00111EFE"/>
    <w:rsid w:val="00126CD2"/>
    <w:rsid w:val="00134C18"/>
    <w:rsid w:val="00144546"/>
    <w:rsid w:val="00151A0D"/>
    <w:rsid w:val="001A0643"/>
    <w:rsid w:val="001C5ECE"/>
    <w:rsid w:val="001F510D"/>
    <w:rsid w:val="00201A49"/>
    <w:rsid w:val="002107CA"/>
    <w:rsid w:val="00231FE3"/>
    <w:rsid w:val="00235BF9"/>
    <w:rsid w:val="00262BF8"/>
    <w:rsid w:val="002674CF"/>
    <w:rsid w:val="002730FA"/>
    <w:rsid w:val="00273C31"/>
    <w:rsid w:val="002854E5"/>
    <w:rsid w:val="002B218C"/>
    <w:rsid w:val="002B5E80"/>
    <w:rsid w:val="002D2009"/>
    <w:rsid w:val="002D3BCE"/>
    <w:rsid w:val="002D4C9E"/>
    <w:rsid w:val="00351BA6"/>
    <w:rsid w:val="00361265"/>
    <w:rsid w:val="00370C6A"/>
    <w:rsid w:val="00382B5A"/>
    <w:rsid w:val="003904EF"/>
    <w:rsid w:val="003A652E"/>
    <w:rsid w:val="003A710A"/>
    <w:rsid w:val="003D266F"/>
    <w:rsid w:val="004309E6"/>
    <w:rsid w:val="00450224"/>
    <w:rsid w:val="004533B8"/>
    <w:rsid w:val="00470641"/>
    <w:rsid w:val="00491D90"/>
    <w:rsid w:val="004B1A1D"/>
    <w:rsid w:val="004E549C"/>
    <w:rsid w:val="005319E3"/>
    <w:rsid w:val="00537A8A"/>
    <w:rsid w:val="005468CB"/>
    <w:rsid w:val="00562E1C"/>
    <w:rsid w:val="00570F07"/>
    <w:rsid w:val="00577376"/>
    <w:rsid w:val="005A16DA"/>
    <w:rsid w:val="005A4E11"/>
    <w:rsid w:val="00627871"/>
    <w:rsid w:val="00637DAA"/>
    <w:rsid w:val="006543FD"/>
    <w:rsid w:val="00660202"/>
    <w:rsid w:val="00662DC6"/>
    <w:rsid w:val="00663858"/>
    <w:rsid w:val="00673E2B"/>
    <w:rsid w:val="00676D43"/>
    <w:rsid w:val="006804EB"/>
    <w:rsid w:val="00681241"/>
    <w:rsid w:val="00695A40"/>
    <w:rsid w:val="00697E3E"/>
    <w:rsid w:val="006C7DDB"/>
    <w:rsid w:val="006D1A42"/>
    <w:rsid w:val="006D70C8"/>
    <w:rsid w:val="006E0451"/>
    <w:rsid w:val="006E3305"/>
    <w:rsid w:val="006F121C"/>
    <w:rsid w:val="006F14E7"/>
    <w:rsid w:val="006F5A44"/>
    <w:rsid w:val="00724CC4"/>
    <w:rsid w:val="00753FAE"/>
    <w:rsid w:val="007544C6"/>
    <w:rsid w:val="00765A11"/>
    <w:rsid w:val="007726E2"/>
    <w:rsid w:val="00796A57"/>
    <w:rsid w:val="007A02A2"/>
    <w:rsid w:val="007B11C8"/>
    <w:rsid w:val="007D61A7"/>
    <w:rsid w:val="007F3BEB"/>
    <w:rsid w:val="00820E36"/>
    <w:rsid w:val="0082160F"/>
    <w:rsid w:val="00823E93"/>
    <w:rsid w:val="0082730A"/>
    <w:rsid w:val="00831D56"/>
    <w:rsid w:val="00850409"/>
    <w:rsid w:val="00856D55"/>
    <w:rsid w:val="0087235F"/>
    <w:rsid w:val="008731F5"/>
    <w:rsid w:val="0088503A"/>
    <w:rsid w:val="00896868"/>
    <w:rsid w:val="008B056C"/>
    <w:rsid w:val="008B0E5B"/>
    <w:rsid w:val="008C1582"/>
    <w:rsid w:val="009240B1"/>
    <w:rsid w:val="00934D07"/>
    <w:rsid w:val="00937361"/>
    <w:rsid w:val="00946FCA"/>
    <w:rsid w:val="00964D27"/>
    <w:rsid w:val="0096537E"/>
    <w:rsid w:val="0097241D"/>
    <w:rsid w:val="00975BA1"/>
    <w:rsid w:val="009B6CE5"/>
    <w:rsid w:val="009C34D2"/>
    <w:rsid w:val="009E6A8E"/>
    <w:rsid w:val="009F2C69"/>
    <w:rsid w:val="00A01349"/>
    <w:rsid w:val="00A20B45"/>
    <w:rsid w:val="00A402EE"/>
    <w:rsid w:val="00A40D2A"/>
    <w:rsid w:val="00A45CB0"/>
    <w:rsid w:val="00A46315"/>
    <w:rsid w:val="00A5443D"/>
    <w:rsid w:val="00A71E6A"/>
    <w:rsid w:val="00A966A3"/>
    <w:rsid w:val="00A967CB"/>
    <w:rsid w:val="00AA3240"/>
    <w:rsid w:val="00AB2CAB"/>
    <w:rsid w:val="00AB47F4"/>
    <w:rsid w:val="00AE43A9"/>
    <w:rsid w:val="00AE709F"/>
    <w:rsid w:val="00AF44B5"/>
    <w:rsid w:val="00B114E1"/>
    <w:rsid w:val="00B42F2E"/>
    <w:rsid w:val="00B54D04"/>
    <w:rsid w:val="00B740EB"/>
    <w:rsid w:val="00B95259"/>
    <w:rsid w:val="00BC2F47"/>
    <w:rsid w:val="00BD5BB2"/>
    <w:rsid w:val="00BD70E7"/>
    <w:rsid w:val="00BE6D7C"/>
    <w:rsid w:val="00BF3A28"/>
    <w:rsid w:val="00C61A76"/>
    <w:rsid w:val="00C735C8"/>
    <w:rsid w:val="00C748C4"/>
    <w:rsid w:val="00C76495"/>
    <w:rsid w:val="00C83F07"/>
    <w:rsid w:val="00CC5CF5"/>
    <w:rsid w:val="00D22FD5"/>
    <w:rsid w:val="00D541B6"/>
    <w:rsid w:val="00DA13EC"/>
    <w:rsid w:val="00DA34AD"/>
    <w:rsid w:val="00DA70AC"/>
    <w:rsid w:val="00DB0EBA"/>
    <w:rsid w:val="00DC59A1"/>
    <w:rsid w:val="00E0053D"/>
    <w:rsid w:val="00E05394"/>
    <w:rsid w:val="00E06148"/>
    <w:rsid w:val="00E164C0"/>
    <w:rsid w:val="00E261F5"/>
    <w:rsid w:val="00E33B6D"/>
    <w:rsid w:val="00E36FFD"/>
    <w:rsid w:val="00E5667F"/>
    <w:rsid w:val="00E608DD"/>
    <w:rsid w:val="00E629B0"/>
    <w:rsid w:val="00E92AA5"/>
    <w:rsid w:val="00E934C1"/>
    <w:rsid w:val="00EA2098"/>
    <w:rsid w:val="00EB0957"/>
    <w:rsid w:val="00EC131B"/>
    <w:rsid w:val="00EC554A"/>
    <w:rsid w:val="00EC6645"/>
    <w:rsid w:val="00EC6862"/>
    <w:rsid w:val="00EE3A0B"/>
    <w:rsid w:val="00F0353C"/>
    <w:rsid w:val="00F329C0"/>
    <w:rsid w:val="00F66CB4"/>
    <w:rsid w:val="00F671B0"/>
    <w:rsid w:val="00F7551E"/>
    <w:rsid w:val="00F809AC"/>
    <w:rsid w:val="00F845C7"/>
    <w:rsid w:val="00F9104C"/>
    <w:rsid w:val="00F95BC8"/>
    <w:rsid w:val="00F96A75"/>
    <w:rsid w:val="00FA2243"/>
    <w:rsid w:val="00FA2624"/>
    <w:rsid w:val="00FB0FD7"/>
    <w:rsid w:val="00FB2A4A"/>
    <w:rsid w:val="00FC64DC"/>
    <w:rsid w:val="00FD058D"/>
    <w:rsid w:val="00FE4336"/>
    <w:rsid w:val="00FF19E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D57C1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443D"/>
    <w:pPr>
      <w:spacing w:after="200" w:line="480" w:lineRule="auto"/>
      <w:jc w:val="both"/>
    </w:pPr>
    <w:rPr>
      <w:rFonts w:ascii="Times New Roman" w:hAnsi="Times New Roman"/>
      <w:bCs/>
      <w:kern w:val="0"/>
      <w:lang w:val="en-GB"/>
      <w14:ligatures w14:val="none"/>
    </w:rPr>
  </w:style>
  <w:style w:type="paragraph" w:styleId="Heading1">
    <w:name w:val="heading 1"/>
    <w:basedOn w:val="Title"/>
    <w:next w:val="Normal"/>
    <w:link w:val="Heading1Char"/>
    <w:uiPriority w:val="9"/>
    <w:qFormat/>
    <w:rsid w:val="003D266F"/>
    <w:pPr>
      <w:spacing w:after="0" w:line="360" w:lineRule="auto"/>
      <w:outlineLvl w:val="0"/>
    </w:pPr>
    <w:rPr>
      <w:rFonts w:ascii="Times New Roman" w:hAnsi="Times New Roman" w:cs="Times New Roman"/>
      <w:b/>
      <w:bCs w:val="0"/>
      <w:sz w:val="24"/>
      <w:szCs w:val="24"/>
      <w:lang w:val="en-US"/>
      <w14:ligatures w14:val="standardContextual"/>
    </w:rPr>
  </w:style>
  <w:style w:type="paragraph" w:styleId="Heading2">
    <w:name w:val="heading 2"/>
    <w:basedOn w:val="Normal"/>
    <w:next w:val="Normal"/>
    <w:link w:val="Heading2Char"/>
    <w:uiPriority w:val="9"/>
    <w:unhideWhenUsed/>
    <w:qFormat/>
    <w:rsid w:val="00A5443D"/>
    <w:pPr>
      <w:outlineLvl w:val="1"/>
    </w:pPr>
    <w:rPr>
      <w:b/>
      <w:lang w:val="en-US"/>
    </w:rPr>
  </w:style>
  <w:style w:type="paragraph" w:styleId="Heading3">
    <w:name w:val="heading 3"/>
    <w:basedOn w:val="Normal"/>
    <w:next w:val="Normal"/>
    <w:link w:val="Heading3Char"/>
    <w:uiPriority w:val="9"/>
    <w:unhideWhenUsed/>
    <w:qFormat/>
    <w:rsid w:val="00491D90"/>
    <w:pPr>
      <w:keepNext/>
      <w:keepLines/>
      <w:spacing w:before="160" w:afterLines="120" w:after="288" w:line="360" w:lineRule="auto"/>
      <w:outlineLvl w:val="2"/>
    </w:pPr>
    <w:rPr>
      <w:rFonts w:eastAsiaTheme="majorEastAsia" w:cs="Times New Roman"/>
      <w:b/>
      <w:bCs w:val="0"/>
      <w:color w:val="000000" w:themeColor="text1"/>
      <w:kern w:val="2"/>
      <w:sz w:val="24"/>
      <w:lang w:val="en-US"/>
      <w14:ligatures w14:val="standardContextual"/>
    </w:rPr>
  </w:style>
  <w:style w:type="paragraph" w:styleId="Heading4">
    <w:name w:val="heading 4"/>
    <w:basedOn w:val="Normal"/>
    <w:next w:val="Normal"/>
    <w:link w:val="Heading4Char"/>
    <w:uiPriority w:val="9"/>
    <w:unhideWhenUsed/>
    <w:qFormat/>
    <w:rsid w:val="00FE4336"/>
    <w:pPr>
      <w:keepNext/>
      <w:keepLines/>
      <w:spacing w:before="80" w:after="40" w:line="360" w:lineRule="auto"/>
      <w:outlineLvl w:val="3"/>
    </w:pPr>
    <w:rPr>
      <w:rFonts w:asciiTheme="majorBidi" w:eastAsiaTheme="majorEastAsia" w:hAnsiTheme="majorBidi" w:cstheme="majorBidi"/>
      <w:b/>
      <w:bCs w:val="0"/>
      <w:i/>
      <w:iCs/>
      <w:kern w:val="2"/>
      <w:sz w:val="24"/>
      <w:lang w:val="en-US"/>
      <w14:ligatures w14:val="standardContextual"/>
    </w:rPr>
  </w:style>
  <w:style w:type="paragraph" w:styleId="Heading5">
    <w:name w:val="heading 5"/>
    <w:basedOn w:val="Normal"/>
    <w:next w:val="Normal"/>
    <w:link w:val="Heading5Char"/>
    <w:uiPriority w:val="9"/>
    <w:semiHidden/>
    <w:unhideWhenUsed/>
    <w:qFormat/>
    <w:rsid w:val="00A5443D"/>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A5443D"/>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A5443D"/>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A5443D"/>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A5443D"/>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266F"/>
    <w:rPr>
      <w:rFonts w:ascii="Times New Roman" w:eastAsiaTheme="majorEastAsia" w:hAnsi="Times New Roman" w:cs="Times New Roman"/>
      <w:b/>
      <w:spacing w:val="-10"/>
      <w:kern w:val="28"/>
      <w:sz w:val="24"/>
      <w:szCs w:val="24"/>
    </w:rPr>
  </w:style>
  <w:style w:type="character" w:customStyle="1" w:styleId="Heading3Char">
    <w:name w:val="Heading 3 Char"/>
    <w:basedOn w:val="DefaultParagraphFont"/>
    <w:link w:val="Heading3"/>
    <w:uiPriority w:val="9"/>
    <w:rsid w:val="00491D90"/>
    <w:rPr>
      <w:rFonts w:ascii="Times New Roman" w:eastAsiaTheme="majorEastAsia" w:hAnsi="Times New Roman" w:cs="Times New Roman"/>
      <w:b/>
      <w:color w:val="000000" w:themeColor="text1"/>
      <w:sz w:val="24"/>
    </w:rPr>
  </w:style>
  <w:style w:type="character" w:customStyle="1" w:styleId="Heading2Char">
    <w:name w:val="Heading 2 Char"/>
    <w:basedOn w:val="DefaultParagraphFont"/>
    <w:link w:val="Heading2"/>
    <w:uiPriority w:val="9"/>
    <w:qFormat/>
    <w:rsid w:val="00A5443D"/>
    <w:rPr>
      <w:rFonts w:ascii="Times New Roman" w:hAnsi="Times New Roman"/>
      <w:b/>
      <w:bCs/>
      <w:kern w:val="0"/>
      <w14:ligatures w14:val="none"/>
    </w:rPr>
  </w:style>
  <w:style w:type="character" w:customStyle="1" w:styleId="Heading4Char">
    <w:name w:val="Heading 4 Char"/>
    <w:basedOn w:val="DefaultParagraphFont"/>
    <w:link w:val="Heading4"/>
    <w:uiPriority w:val="9"/>
    <w:rsid w:val="00FE4336"/>
    <w:rPr>
      <w:rFonts w:asciiTheme="majorBidi" w:eastAsiaTheme="majorEastAsia" w:hAnsiTheme="majorBidi" w:cstheme="majorBidi"/>
      <w:b/>
      <w:i/>
      <w:iCs/>
      <w:sz w:val="24"/>
    </w:rPr>
  </w:style>
  <w:style w:type="paragraph" w:styleId="Title">
    <w:name w:val="Title"/>
    <w:basedOn w:val="Normal"/>
    <w:next w:val="Normal"/>
    <w:link w:val="TitleChar"/>
    <w:uiPriority w:val="10"/>
    <w:qFormat/>
    <w:rsid w:val="003D266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D266F"/>
    <w:rPr>
      <w:rFonts w:asciiTheme="majorHAnsi" w:eastAsiaTheme="majorEastAsia" w:hAnsiTheme="majorHAnsi" w:cstheme="majorBidi"/>
      <w:bCs/>
      <w:spacing w:val="-10"/>
      <w:kern w:val="28"/>
      <w:sz w:val="56"/>
      <w:szCs w:val="56"/>
      <w:lang w:val="en-GB"/>
      <w14:ligatures w14:val="none"/>
    </w:rPr>
  </w:style>
  <w:style w:type="character" w:customStyle="1" w:styleId="Heading5Char">
    <w:name w:val="Heading 5 Char"/>
    <w:basedOn w:val="DefaultParagraphFont"/>
    <w:link w:val="Heading5"/>
    <w:uiPriority w:val="9"/>
    <w:semiHidden/>
    <w:rsid w:val="00A5443D"/>
    <w:rPr>
      <w:rFonts w:eastAsiaTheme="majorEastAsia" w:cstheme="majorBidi"/>
      <w:bCs/>
      <w:color w:val="2F5496" w:themeColor="accent1" w:themeShade="BF"/>
      <w:kern w:val="0"/>
      <w:lang w:val="en-GB"/>
      <w14:ligatures w14:val="none"/>
    </w:rPr>
  </w:style>
  <w:style w:type="character" w:customStyle="1" w:styleId="Heading6Char">
    <w:name w:val="Heading 6 Char"/>
    <w:basedOn w:val="DefaultParagraphFont"/>
    <w:link w:val="Heading6"/>
    <w:uiPriority w:val="9"/>
    <w:semiHidden/>
    <w:rsid w:val="00A5443D"/>
    <w:rPr>
      <w:rFonts w:eastAsiaTheme="majorEastAsia" w:cstheme="majorBidi"/>
      <w:bCs/>
      <w:i/>
      <w:iCs/>
      <w:color w:val="595959" w:themeColor="text1" w:themeTint="A6"/>
      <w:kern w:val="0"/>
      <w:lang w:val="en-GB"/>
      <w14:ligatures w14:val="none"/>
    </w:rPr>
  </w:style>
  <w:style w:type="character" w:customStyle="1" w:styleId="Heading7Char">
    <w:name w:val="Heading 7 Char"/>
    <w:basedOn w:val="DefaultParagraphFont"/>
    <w:link w:val="Heading7"/>
    <w:uiPriority w:val="9"/>
    <w:semiHidden/>
    <w:rsid w:val="00A5443D"/>
    <w:rPr>
      <w:rFonts w:eastAsiaTheme="majorEastAsia" w:cstheme="majorBidi"/>
      <w:bCs/>
      <w:color w:val="595959" w:themeColor="text1" w:themeTint="A6"/>
      <w:kern w:val="0"/>
      <w:lang w:val="en-GB"/>
      <w14:ligatures w14:val="none"/>
    </w:rPr>
  </w:style>
  <w:style w:type="character" w:customStyle="1" w:styleId="Heading8Char">
    <w:name w:val="Heading 8 Char"/>
    <w:basedOn w:val="DefaultParagraphFont"/>
    <w:link w:val="Heading8"/>
    <w:uiPriority w:val="9"/>
    <w:semiHidden/>
    <w:rsid w:val="00A5443D"/>
    <w:rPr>
      <w:rFonts w:eastAsiaTheme="majorEastAsia" w:cstheme="majorBidi"/>
      <w:bCs/>
      <w:i/>
      <w:iCs/>
      <w:color w:val="272727" w:themeColor="text1" w:themeTint="D8"/>
      <w:kern w:val="0"/>
      <w:lang w:val="en-GB"/>
      <w14:ligatures w14:val="none"/>
    </w:rPr>
  </w:style>
  <w:style w:type="character" w:customStyle="1" w:styleId="Heading9Char">
    <w:name w:val="Heading 9 Char"/>
    <w:basedOn w:val="DefaultParagraphFont"/>
    <w:link w:val="Heading9"/>
    <w:uiPriority w:val="9"/>
    <w:semiHidden/>
    <w:rsid w:val="00A5443D"/>
    <w:rPr>
      <w:rFonts w:eastAsiaTheme="majorEastAsia" w:cstheme="majorBidi"/>
      <w:bCs/>
      <w:color w:val="272727" w:themeColor="text1" w:themeTint="D8"/>
      <w:kern w:val="0"/>
      <w:lang w:val="en-GB"/>
      <w14:ligatures w14:val="none"/>
    </w:rPr>
  </w:style>
  <w:style w:type="paragraph" w:styleId="Subtitle">
    <w:name w:val="Subtitle"/>
    <w:basedOn w:val="Normal"/>
    <w:next w:val="Normal"/>
    <w:link w:val="SubtitleChar"/>
    <w:uiPriority w:val="11"/>
    <w:qFormat/>
    <w:rsid w:val="00A5443D"/>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5443D"/>
    <w:rPr>
      <w:rFonts w:eastAsiaTheme="majorEastAsia" w:cstheme="majorBidi"/>
      <w:bCs/>
      <w:color w:val="595959" w:themeColor="text1" w:themeTint="A6"/>
      <w:spacing w:val="15"/>
      <w:kern w:val="0"/>
      <w:sz w:val="28"/>
      <w:szCs w:val="28"/>
      <w:lang w:val="en-GB"/>
      <w14:ligatures w14:val="none"/>
    </w:rPr>
  </w:style>
  <w:style w:type="paragraph" w:styleId="Quote">
    <w:name w:val="Quote"/>
    <w:basedOn w:val="Normal"/>
    <w:next w:val="Normal"/>
    <w:link w:val="QuoteChar"/>
    <w:uiPriority w:val="29"/>
    <w:qFormat/>
    <w:rsid w:val="00A5443D"/>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5443D"/>
    <w:rPr>
      <w:rFonts w:ascii="Times New Roman" w:hAnsi="Times New Roman"/>
      <w:bCs/>
      <w:i/>
      <w:iCs/>
      <w:color w:val="404040" w:themeColor="text1" w:themeTint="BF"/>
      <w:kern w:val="0"/>
      <w:lang w:val="en-GB"/>
      <w14:ligatures w14:val="none"/>
    </w:rPr>
  </w:style>
  <w:style w:type="paragraph" w:styleId="ListParagraph">
    <w:name w:val="List Paragraph"/>
    <w:basedOn w:val="Normal"/>
    <w:uiPriority w:val="34"/>
    <w:qFormat/>
    <w:rsid w:val="00A5443D"/>
    <w:pPr>
      <w:ind w:left="720"/>
      <w:contextualSpacing/>
    </w:pPr>
  </w:style>
  <w:style w:type="character" w:styleId="IntenseEmphasis">
    <w:name w:val="Intense Emphasis"/>
    <w:basedOn w:val="DefaultParagraphFont"/>
    <w:uiPriority w:val="21"/>
    <w:qFormat/>
    <w:rsid w:val="00A5443D"/>
    <w:rPr>
      <w:i/>
      <w:iCs/>
      <w:color w:val="2F5496" w:themeColor="accent1" w:themeShade="BF"/>
    </w:rPr>
  </w:style>
  <w:style w:type="paragraph" w:styleId="IntenseQuote">
    <w:name w:val="Intense Quote"/>
    <w:basedOn w:val="Normal"/>
    <w:next w:val="Normal"/>
    <w:link w:val="IntenseQuoteChar"/>
    <w:uiPriority w:val="30"/>
    <w:qFormat/>
    <w:rsid w:val="00A5443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5443D"/>
    <w:rPr>
      <w:rFonts w:ascii="Times New Roman" w:hAnsi="Times New Roman"/>
      <w:bCs/>
      <w:i/>
      <w:iCs/>
      <w:color w:val="2F5496" w:themeColor="accent1" w:themeShade="BF"/>
      <w:kern w:val="0"/>
      <w:lang w:val="en-GB"/>
      <w14:ligatures w14:val="none"/>
    </w:rPr>
  </w:style>
  <w:style w:type="character" w:styleId="IntenseReference">
    <w:name w:val="Intense Reference"/>
    <w:basedOn w:val="DefaultParagraphFont"/>
    <w:uiPriority w:val="32"/>
    <w:qFormat/>
    <w:rsid w:val="00A5443D"/>
    <w:rPr>
      <w:b/>
      <w:bCs/>
      <w:smallCaps/>
      <w:color w:val="2F5496" w:themeColor="accent1" w:themeShade="BF"/>
      <w:spacing w:val="5"/>
    </w:rPr>
  </w:style>
  <w:style w:type="paragraph" w:styleId="Header">
    <w:name w:val="header"/>
    <w:basedOn w:val="Normal"/>
    <w:link w:val="HeaderChar"/>
    <w:uiPriority w:val="99"/>
    <w:unhideWhenUsed/>
    <w:rsid w:val="00A5443D"/>
    <w:pPr>
      <w:tabs>
        <w:tab w:val="center" w:pos="4680"/>
        <w:tab w:val="right" w:pos="9360"/>
      </w:tabs>
      <w:spacing w:after="0" w:line="240" w:lineRule="auto"/>
    </w:pPr>
  </w:style>
  <w:style w:type="character" w:customStyle="1" w:styleId="HeaderChar">
    <w:name w:val="Header Char"/>
    <w:basedOn w:val="DefaultParagraphFont"/>
    <w:link w:val="Header"/>
    <w:uiPriority w:val="99"/>
    <w:rsid w:val="00A5443D"/>
    <w:rPr>
      <w:rFonts w:ascii="Times New Roman" w:hAnsi="Times New Roman"/>
      <w:bCs/>
      <w:kern w:val="0"/>
      <w14:ligatures w14:val="none"/>
    </w:rPr>
  </w:style>
  <w:style w:type="paragraph" w:styleId="Footer">
    <w:name w:val="footer"/>
    <w:basedOn w:val="Normal"/>
    <w:link w:val="FooterChar"/>
    <w:uiPriority w:val="99"/>
    <w:unhideWhenUsed/>
    <w:rsid w:val="00A5443D"/>
    <w:pPr>
      <w:tabs>
        <w:tab w:val="center" w:pos="4680"/>
        <w:tab w:val="right" w:pos="9360"/>
      </w:tabs>
      <w:spacing w:after="0" w:line="240" w:lineRule="auto"/>
    </w:pPr>
  </w:style>
  <w:style w:type="character" w:customStyle="1" w:styleId="FooterChar">
    <w:name w:val="Footer Char"/>
    <w:basedOn w:val="DefaultParagraphFont"/>
    <w:link w:val="Footer"/>
    <w:uiPriority w:val="99"/>
    <w:rsid w:val="00A5443D"/>
    <w:rPr>
      <w:rFonts w:ascii="Times New Roman" w:hAnsi="Times New Roman"/>
      <w:bCs/>
      <w:kern w:val="0"/>
      <w14:ligatures w14:val="none"/>
    </w:rPr>
  </w:style>
  <w:style w:type="character" w:styleId="Hyperlink">
    <w:name w:val="Hyperlink"/>
    <w:basedOn w:val="DefaultParagraphFont"/>
    <w:uiPriority w:val="99"/>
    <w:unhideWhenUsed/>
    <w:rsid w:val="00A5443D"/>
    <w:rPr>
      <w:color w:val="0563C1" w:themeColor="hyperlink"/>
      <w:u w:val="single"/>
    </w:rPr>
  </w:style>
  <w:style w:type="character" w:styleId="UnresolvedMention">
    <w:name w:val="Unresolved Mention"/>
    <w:basedOn w:val="DefaultParagraphFont"/>
    <w:uiPriority w:val="99"/>
    <w:semiHidden/>
    <w:unhideWhenUsed/>
    <w:rsid w:val="00A5443D"/>
    <w:rPr>
      <w:color w:val="605E5C"/>
      <w:shd w:val="clear" w:color="auto" w:fill="E1DFDD"/>
    </w:rPr>
  </w:style>
  <w:style w:type="paragraph" w:styleId="TOCHeading">
    <w:name w:val="TOC Heading"/>
    <w:basedOn w:val="Heading1"/>
    <w:next w:val="Normal"/>
    <w:uiPriority w:val="39"/>
    <w:unhideWhenUsed/>
    <w:qFormat/>
    <w:rsid w:val="008B0E5B"/>
    <w:pPr>
      <w:keepNext/>
      <w:keepLines/>
      <w:spacing w:before="240" w:line="259" w:lineRule="auto"/>
      <w:contextualSpacing w:val="0"/>
      <w:jc w:val="left"/>
      <w:outlineLvl w:val="9"/>
    </w:pPr>
    <w:rPr>
      <w:rFonts w:asciiTheme="majorHAnsi" w:hAnsiTheme="majorHAnsi" w:cstheme="majorBidi"/>
      <w:b w:val="0"/>
      <w:color w:val="2F5496" w:themeColor="accent1" w:themeShade="BF"/>
      <w:spacing w:val="0"/>
      <w:kern w:val="0"/>
      <w:sz w:val="32"/>
      <w:szCs w:val="32"/>
      <w14:ligatures w14:val="none"/>
    </w:rPr>
  </w:style>
  <w:style w:type="paragraph" w:styleId="TOC1">
    <w:name w:val="toc 1"/>
    <w:basedOn w:val="Normal"/>
    <w:next w:val="Normal"/>
    <w:autoRedefine/>
    <w:uiPriority w:val="39"/>
    <w:unhideWhenUsed/>
    <w:rsid w:val="008B0E5B"/>
    <w:pPr>
      <w:spacing w:after="100"/>
    </w:pPr>
  </w:style>
  <w:style w:type="paragraph" w:styleId="TOC2">
    <w:name w:val="toc 2"/>
    <w:basedOn w:val="Normal"/>
    <w:next w:val="Normal"/>
    <w:autoRedefine/>
    <w:uiPriority w:val="39"/>
    <w:unhideWhenUsed/>
    <w:rsid w:val="008B0E5B"/>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1177/0021934718764099"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4154</Words>
  <Characters>21855</Characters>
  <Application>Microsoft Office Word</Application>
  <DocSecurity>0</DocSecurity>
  <Lines>299</Lines>
  <Paragraphs>95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25914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2026-01-02T21:39:00Z</dcterms:created>
  <dcterms:modified xsi:type="dcterms:W3CDTF">2026-01-02T21:48:00Z</dcterms:modified>
  <cp:category/>
</cp:coreProperties>
</file>