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D4776" w14:textId="77777777" w:rsidR="00AE352C" w:rsidRDefault="00AE352C">
      <w:pPr>
        <w:rPr>
          <w:b/>
          <w:bCs/>
          <w:sz w:val="28"/>
          <w:szCs w:val="28"/>
        </w:rPr>
      </w:pPr>
    </w:p>
    <w:p w14:paraId="0766A234" w14:textId="77777777" w:rsidR="00AE352C" w:rsidRDefault="00AE352C">
      <w:pPr>
        <w:rPr>
          <w:b/>
          <w:bCs/>
          <w:sz w:val="28"/>
          <w:szCs w:val="28"/>
        </w:rPr>
      </w:pPr>
    </w:p>
    <w:p w14:paraId="6DA3F483" w14:textId="1BB0AEB4" w:rsidR="00AE352C" w:rsidRPr="00FC0F02" w:rsidRDefault="00FC0F02" w:rsidP="00FC0F02">
      <w:pPr>
        <w:rPr>
          <w:sz w:val="28"/>
          <w:szCs w:val="28"/>
        </w:rPr>
      </w:pPr>
      <w:r w:rsidRPr="00FC0F02">
        <w:rPr>
          <w:sz w:val="28"/>
          <w:szCs w:val="28"/>
        </w:rPr>
        <w:t>Module:</w:t>
      </w:r>
      <w:r>
        <w:rPr>
          <w:sz w:val="28"/>
          <w:szCs w:val="28"/>
        </w:rPr>
        <w:t xml:space="preserve"> </w:t>
      </w:r>
      <w:r w:rsidRPr="00FC0F02">
        <w:rPr>
          <w:sz w:val="28"/>
          <w:szCs w:val="28"/>
        </w:rPr>
        <w:t xml:space="preserve">Principles of Human Resource Management </w:t>
      </w:r>
      <w:r>
        <w:rPr>
          <w:sz w:val="28"/>
          <w:szCs w:val="28"/>
        </w:rPr>
        <w:t xml:space="preserve">- </w:t>
      </w:r>
      <w:r w:rsidRPr="00FC0F02">
        <w:rPr>
          <w:sz w:val="28"/>
          <w:szCs w:val="28"/>
        </w:rPr>
        <w:t xml:space="preserve">LCBB5012  </w:t>
      </w:r>
    </w:p>
    <w:p w14:paraId="7011BCD2" w14:textId="5DC0FE20" w:rsidR="00FC0F02" w:rsidRPr="00FC0F02" w:rsidRDefault="00FC0F02">
      <w:pPr>
        <w:rPr>
          <w:sz w:val="28"/>
          <w:szCs w:val="28"/>
        </w:rPr>
      </w:pPr>
      <w:r w:rsidRPr="00FC0F02">
        <w:rPr>
          <w:sz w:val="28"/>
          <w:szCs w:val="28"/>
        </w:rPr>
        <w:t>Tutor's name:</w:t>
      </w:r>
      <w:r>
        <w:rPr>
          <w:sz w:val="28"/>
          <w:szCs w:val="28"/>
        </w:rPr>
        <w:t xml:space="preserve"> </w:t>
      </w:r>
      <w:r w:rsidRPr="00FC0F02">
        <w:rPr>
          <w:sz w:val="28"/>
          <w:szCs w:val="28"/>
        </w:rPr>
        <w:t xml:space="preserve">Nerys Dosseh </w:t>
      </w:r>
    </w:p>
    <w:p w14:paraId="4495C733" w14:textId="15CFEAD3" w:rsidR="00FC0F02" w:rsidRPr="00FC0F02" w:rsidRDefault="00FC0F02">
      <w:pPr>
        <w:rPr>
          <w:sz w:val="28"/>
          <w:szCs w:val="28"/>
        </w:rPr>
      </w:pPr>
      <w:r w:rsidRPr="00FC0F02">
        <w:rPr>
          <w:sz w:val="28"/>
          <w:szCs w:val="28"/>
        </w:rPr>
        <w:t xml:space="preserve">Student's name: </w:t>
      </w:r>
      <w:r>
        <w:rPr>
          <w:sz w:val="28"/>
          <w:szCs w:val="28"/>
        </w:rPr>
        <w:t>Danut Constantin Chinole - 2316293</w:t>
      </w:r>
    </w:p>
    <w:p w14:paraId="760D4511" w14:textId="412AA922" w:rsidR="00AE352C" w:rsidRPr="00FC0F02" w:rsidRDefault="00FC0F02" w:rsidP="00FC0F02">
      <w:pPr>
        <w:rPr>
          <w:sz w:val="28"/>
          <w:szCs w:val="28"/>
        </w:rPr>
      </w:pPr>
      <w:r w:rsidRPr="00FC0F02">
        <w:rPr>
          <w:sz w:val="28"/>
          <w:szCs w:val="28"/>
        </w:rPr>
        <w:t xml:space="preserve">Coursework 2: Individual Report </w:t>
      </w:r>
      <w:r>
        <w:rPr>
          <w:sz w:val="28"/>
          <w:szCs w:val="28"/>
        </w:rPr>
        <w:t xml:space="preserve">– Word count: 2020 </w:t>
      </w:r>
    </w:p>
    <w:p w14:paraId="330864E4" w14:textId="77777777" w:rsidR="00AE352C" w:rsidRDefault="00AE352C">
      <w:pPr>
        <w:rPr>
          <w:b/>
          <w:bCs/>
          <w:sz w:val="28"/>
          <w:szCs w:val="28"/>
        </w:rPr>
      </w:pPr>
    </w:p>
    <w:p w14:paraId="51B112A9" w14:textId="77777777" w:rsidR="00AE352C" w:rsidRDefault="00AE352C">
      <w:pPr>
        <w:rPr>
          <w:b/>
          <w:bCs/>
          <w:sz w:val="28"/>
          <w:szCs w:val="28"/>
        </w:rPr>
      </w:pPr>
    </w:p>
    <w:p w14:paraId="6E918EDD" w14:textId="77777777" w:rsidR="00AE352C" w:rsidRDefault="00AE352C">
      <w:pPr>
        <w:rPr>
          <w:b/>
          <w:bCs/>
          <w:sz w:val="28"/>
          <w:szCs w:val="28"/>
        </w:rPr>
      </w:pPr>
    </w:p>
    <w:p w14:paraId="096208F5" w14:textId="77777777" w:rsidR="00AE352C" w:rsidRDefault="00AE352C">
      <w:pPr>
        <w:rPr>
          <w:b/>
          <w:bCs/>
          <w:sz w:val="28"/>
          <w:szCs w:val="28"/>
        </w:rPr>
      </w:pPr>
    </w:p>
    <w:p w14:paraId="07502EA1" w14:textId="77777777" w:rsidR="00AE352C" w:rsidRDefault="00AE352C">
      <w:pPr>
        <w:rPr>
          <w:b/>
          <w:bCs/>
          <w:sz w:val="28"/>
          <w:szCs w:val="28"/>
        </w:rPr>
      </w:pPr>
    </w:p>
    <w:p w14:paraId="39A4EC88" w14:textId="77777777" w:rsidR="00FC0F02" w:rsidRDefault="00FC0F02" w:rsidP="00902C40">
      <w:pPr>
        <w:jc w:val="center"/>
        <w:rPr>
          <w:b/>
          <w:bCs/>
          <w:sz w:val="28"/>
          <w:szCs w:val="28"/>
        </w:rPr>
      </w:pPr>
    </w:p>
    <w:p w14:paraId="23707202" w14:textId="77777777" w:rsidR="00FC0F02" w:rsidRDefault="00FC0F02" w:rsidP="00FC0F02">
      <w:pPr>
        <w:rPr>
          <w:b/>
          <w:bCs/>
          <w:sz w:val="28"/>
          <w:szCs w:val="28"/>
        </w:rPr>
      </w:pPr>
    </w:p>
    <w:p w14:paraId="46714E53" w14:textId="77777777" w:rsidR="00FC0F02" w:rsidRDefault="00FC0F02" w:rsidP="00902C40">
      <w:pPr>
        <w:jc w:val="center"/>
        <w:rPr>
          <w:b/>
          <w:bCs/>
          <w:sz w:val="28"/>
          <w:szCs w:val="28"/>
        </w:rPr>
      </w:pPr>
    </w:p>
    <w:p w14:paraId="115B4593" w14:textId="0712EF28" w:rsidR="0053297C" w:rsidRDefault="00AE352C" w:rsidP="00902C40">
      <w:pPr>
        <w:jc w:val="center"/>
        <w:rPr>
          <w:b/>
          <w:bCs/>
          <w:sz w:val="28"/>
          <w:szCs w:val="28"/>
        </w:rPr>
      </w:pPr>
      <w:r w:rsidRPr="00FC0F02">
        <w:rPr>
          <w:b/>
          <w:bCs/>
          <w:sz w:val="32"/>
          <w:szCs w:val="32"/>
        </w:rPr>
        <w:t>Environmental Factors and HR Managers' Effectiveness in Global Organisations: A PESTLE Analysis of Unilever</w:t>
      </w:r>
    </w:p>
    <w:p w14:paraId="2E1F9950" w14:textId="77777777" w:rsidR="00AE352C" w:rsidRDefault="00AE352C">
      <w:pPr>
        <w:rPr>
          <w:b/>
          <w:bCs/>
          <w:sz w:val="28"/>
          <w:szCs w:val="28"/>
        </w:rPr>
      </w:pPr>
    </w:p>
    <w:p w14:paraId="52CC04F6" w14:textId="77777777" w:rsidR="00AE352C" w:rsidRDefault="00AE352C">
      <w:pPr>
        <w:rPr>
          <w:b/>
          <w:bCs/>
          <w:sz w:val="28"/>
          <w:szCs w:val="28"/>
        </w:rPr>
      </w:pPr>
    </w:p>
    <w:p w14:paraId="7DBB9C08" w14:textId="77777777" w:rsidR="00AE352C" w:rsidRDefault="00AE352C">
      <w:pPr>
        <w:rPr>
          <w:b/>
          <w:bCs/>
          <w:sz w:val="28"/>
          <w:szCs w:val="28"/>
        </w:rPr>
      </w:pPr>
    </w:p>
    <w:p w14:paraId="267C26FE" w14:textId="77777777" w:rsidR="00AE352C" w:rsidRDefault="00AE352C">
      <w:pPr>
        <w:rPr>
          <w:b/>
          <w:bCs/>
          <w:sz w:val="28"/>
          <w:szCs w:val="28"/>
        </w:rPr>
      </w:pPr>
    </w:p>
    <w:p w14:paraId="43BD2EC0" w14:textId="77777777" w:rsidR="00AE352C" w:rsidRDefault="00AE352C">
      <w:pPr>
        <w:rPr>
          <w:b/>
          <w:bCs/>
          <w:sz w:val="28"/>
          <w:szCs w:val="28"/>
        </w:rPr>
      </w:pPr>
    </w:p>
    <w:p w14:paraId="55B4187F" w14:textId="77777777" w:rsidR="00AE352C" w:rsidRDefault="00AE352C">
      <w:pPr>
        <w:rPr>
          <w:b/>
          <w:bCs/>
          <w:sz w:val="28"/>
          <w:szCs w:val="28"/>
        </w:rPr>
      </w:pPr>
    </w:p>
    <w:p w14:paraId="5C6259ED" w14:textId="77777777" w:rsidR="00AE352C" w:rsidRDefault="00AE352C">
      <w:pPr>
        <w:rPr>
          <w:b/>
          <w:bCs/>
          <w:sz w:val="28"/>
          <w:szCs w:val="28"/>
        </w:rPr>
      </w:pPr>
    </w:p>
    <w:p w14:paraId="3812951D" w14:textId="77777777" w:rsidR="00AE352C" w:rsidRDefault="00AE352C">
      <w:pPr>
        <w:rPr>
          <w:b/>
          <w:bCs/>
          <w:sz w:val="28"/>
          <w:szCs w:val="28"/>
        </w:rPr>
      </w:pPr>
    </w:p>
    <w:p w14:paraId="68FC48EC" w14:textId="77777777" w:rsidR="00AE352C" w:rsidRDefault="00AE352C">
      <w:pPr>
        <w:rPr>
          <w:b/>
          <w:bCs/>
          <w:sz w:val="28"/>
          <w:szCs w:val="28"/>
        </w:rPr>
      </w:pPr>
    </w:p>
    <w:p w14:paraId="0E09F9AD" w14:textId="77777777" w:rsidR="00AE352C" w:rsidRDefault="00AE352C">
      <w:pPr>
        <w:rPr>
          <w:b/>
          <w:bCs/>
          <w:sz w:val="28"/>
          <w:szCs w:val="28"/>
        </w:rPr>
      </w:pPr>
    </w:p>
    <w:p w14:paraId="5FEC4768" w14:textId="77777777" w:rsidR="00AE352C" w:rsidRDefault="00AE352C">
      <w:pPr>
        <w:rPr>
          <w:b/>
          <w:bCs/>
          <w:sz w:val="28"/>
          <w:szCs w:val="28"/>
        </w:rPr>
      </w:pPr>
    </w:p>
    <w:p w14:paraId="681DE935" w14:textId="77777777" w:rsidR="00AE352C" w:rsidRDefault="00AE352C">
      <w:pPr>
        <w:rPr>
          <w:b/>
          <w:bCs/>
          <w:sz w:val="28"/>
          <w:szCs w:val="28"/>
        </w:rPr>
      </w:pPr>
    </w:p>
    <w:p w14:paraId="343E0F03" w14:textId="77777777" w:rsidR="00AE352C" w:rsidRDefault="00AE352C">
      <w:pPr>
        <w:rPr>
          <w:b/>
          <w:bCs/>
          <w:sz w:val="28"/>
          <w:szCs w:val="28"/>
        </w:rPr>
      </w:pPr>
    </w:p>
    <w:p w14:paraId="6C6DBDE9" w14:textId="77777777" w:rsidR="00AE352C" w:rsidRDefault="00AE352C">
      <w:pPr>
        <w:rPr>
          <w:b/>
          <w:bCs/>
          <w:sz w:val="28"/>
          <w:szCs w:val="28"/>
        </w:rPr>
      </w:pPr>
    </w:p>
    <w:p w14:paraId="3F745B11" w14:textId="77777777" w:rsidR="00AE352C" w:rsidRDefault="00AE352C">
      <w:pPr>
        <w:rPr>
          <w:b/>
          <w:bCs/>
          <w:sz w:val="28"/>
          <w:szCs w:val="28"/>
        </w:rPr>
      </w:pPr>
    </w:p>
    <w:p w14:paraId="382271E0" w14:textId="77777777" w:rsidR="00AE352C" w:rsidRDefault="00AE352C">
      <w:pPr>
        <w:rPr>
          <w:b/>
          <w:bCs/>
          <w:sz w:val="28"/>
          <w:szCs w:val="28"/>
        </w:rPr>
      </w:pPr>
    </w:p>
    <w:p w14:paraId="2EE5B530" w14:textId="1CA8781B" w:rsidR="000C2794" w:rsidRDefault="000C2794">
      <w:pPr>
        <w:rPr>
          <w:b/>
          <w:bCs/>
          <w:sz w:val="28"/>
          <w:szCs w:val="28"/>
        </w:rPr>
      </w:pPr>
    </w:p>
    <w:p w14:paraId="5A35088E" w14:textId="77777777" w:rsidR="000C2794" w:rsidRDefault="000C2794">
      <w:pPr>
        <w:rPr>
          <w:b/>
          <w:bCs/>
          <w:sz w:val="28"/>
          <w:szCs w:val="28"/>
        </w:rPr>
      </w:pPr>
    </w:p>
    <w:p w14:paraId="09C1807F" w14:textId="77777777" w:rsidR="00902C40" w:rsidRDefault="00902C40">
      <w:pPr>
        <w:rPr>
          <w:b/>
          <w:bCs/>
          <w:sz w:val="28"/>
          <w:szCs w:val="28"/>
        </w:rPr>
      </w:pPr>
    </w:p>
    <w:p w14:paraId="154766F2" w14:textId="77777777" w:rsidR="00902C40" w:rsidRDefault="00902C40">
      <w:pPr>
        <w:rPr>
          <w:b/>
          <w:bCs/>
          <w:sz w:val="28"/>
          <w:szCs w:val="28"/>
        </w:rPr>
      </w:pPr>
    </w:p>
    <w:bookmarkStart w:id="0" w:name="_Toc170668104" w:displacedByCustomXml="next"/>
    <w:sdt>
      <w:sdtPr>
        <w:rPr>
          <w:rFonts w:asciiTheme="minorHAnsi" w:eastAsiaTheme="minorEastAsia" w:hAnsiTheme="minorHAnsi" w:cs="Times New Roman"/>
          <w:color w:val="auto"/>
          <w:sz w:val="3276"/>
          <w:szCs w:val="3276"/>
        </w:rPr>
        <w:id w:val="-1485006363"/>
        <w:docPartObj>
          <w:docPartGallery w:val="Table of Contents"/>
          <w:docPartUnique/>
        </w:docPartObj>
      </w:sdtPr>
      <w:sdtEndPr>
        <w:rPr>
          <w:rFonts w:cstheme="minorBidi"/>
          <w:b/>
          <w:bCs/>
          <w:sz w:val="20"/>
          <w:szCs w:val="20"/>
        </w:rPr>
      </w:sdtEndPr>
      <w:sdtContent>
        <w:p w14:paraId="3BBFDCCC" w14:textId="77777777" w:rsidR="00902C40" w:rsidRDefault="00902C40" w:rsidP="00B472E6">
          <w:pPr>
            <w:pStyle w:val="TOCHeading"/>
            <w:outlineLvl w:val="2"/>
          </w:pPr>
          <w:r>
            <w:t>Table of Contents</w:t>
          </w:r>
          <w:bookmarkEnd w:id="0"/>
        </w:p>
        <w:p w14:paraId="4A865FF7" w14:textId="3143501F" w:rsidR="00902C40" w:rsidRPr="00902C40" w:rsidRDefault="00902C40" w:rsidP="00B472E6">
          <w:pPr>
            <w:pStyle w:val="TOC1"/>
            <w:tabs>
              <w:tab w:val="right" w:leader="dot" w:pos="9350"/>
            </w:tabs>
            <w:outlineLvl w:val="2"/>
            <w:rPr>
              <w:rFonts w:cstheme="minorBidi"/>
              <w:noProof/>
              <w:kern w:val="2"/>
              <w:sz w:val="24"/>
              <w:szCs w:val="24"/>
              <w14:ligatures w14:val="standardContextual"/>
            </w:rPr>
          </w:pPr>
          <w:r w:rsidRPr="00902C40">
            <w:rPr>
              <w:sz w:val="24"/>
              <w:szCs w:val="24"/>
            </w:rPr>
            <w:fldChar w:fldCharType="begin"/>
          </w:r>
          <w:r w:rsidRPr="00902C40">
            <w:rPr>
              <w:sz w:val="24"/>
              <w:szCs w:val="24"/>
            </w:rPr>
            <w:instrText xml:space="preserve"> TOC \o "1-3" \h \z \u </w:instrText>
          </w:r>
          <w:r w:rsidRPr="00902C40">
            <w:rPr>
              <w:sz w:val="24"/>
              <w:szCs w:val="24"/>
            </w:rPr>
            <w:fldChar w:fldCharType="separate"/>
          </w:r>
        </w:p>
        <w:p w14:paraId="23D96B0E" w14:textId="396CFE2E" w:rsidR="00902C40" w:rsidRPr="00902C40" w:rsidRDefault="00902C40" w:rsidP="00B472E6">
          <w:pPr>
            <w:outlineLvl w:val="2"/>
            <w:rPr>
              <w:sz w:val="24"/>
              <w:szCs w:val="24"/>
            </w:rPr>
          </w:pPr>
          <w:r w:rsidRPr="00902C40">
            <w:rPr>
              <w:b/>
              <w:bCs/>
              <w:sz w:val="24"/>
              <w:szCs w:val="24"/>
            </w:rPr>
            <w:fldChar w:fldCharType="end"/>
          </w:r>
          <w:r w:rsidRPr="00902C40">
            <w:rPr>
              <w:sz w:val="24"/>
              <w:szCs w:val="24"/>
            </w:rPr>
            <w:t>Introduction……………………………………………………………………………………………….…2</w:t>
          </w:r>
        </w:p>
        <w:p w14:paraId="77049A0D" w14:textId="77777777" w:rsidR="00902C40" w:rsidRPr="00902C40" w:rsidRDefault="00902C40" w:rsidP="00B472E6">
          <w:pPr>
            <w:outlineLvl w:val="2"/>
            <w:rPr>
              <w:sz w:val="24"/>
              <w:szCs w:val="24"/>
            </w:rPr>
          </w:pPr>
        </w:p>
        <w:p w14:paraId="71F30B87" w14:textId="01A1D89F" w:rsidR="00902C40" w:rsidRPr="00902C40" w:rsidRDefault="00902C40" w:rsidP="00B472E6">
          <w:pPr>
            <w:outlineLvl w:val="2"/>
            <w:rPr>
              <w:sz w:val="24"/>
              <w:szCs w:val="24"/>
            </w:rPr>
          </w:pPr>
          <w:r w:rsidRPr="00902C40">
            <w:rPr>
              <w:sz w:val="24"/>
              <w:szCs w:val="24"/>
            </w:rPr>
            <w:t>Internal And External</w:t>
          </w:r>
          <w:r>
            <w:rPr>
              <w:sz w:val="24"/>
              <w:szCs w:val="24"/>
            </w:rPr>
            <w:t xml:space="preserve"> </w:t>
          </w:r>
          <w:r w:rsidRPr="00902C40">
            <w:rPr>
              <w:sz w:val="24"/>
              <w:szCs w:val="24"/>
            </w:rPr>
            <w:t>Environment……………………………………………………………………2</w:t>
          </w:r>
        </w:p>
        <w:p w14:paraId="660727C6" w14:textId="77777777" w:rsidR="00902C40" w:rsidRPr="00902C40" w:rsidRDefault="00902C40" w:rsidP="00B472E6">
          <w:pPr>
            <w:outlineLvl w:val="2"/>
            <w:rPr>
              <w:sz w:val="24"/>
              <w:szCs w:val="24"/>
            </w:rPr>
          </w:pPr>
        </w:p>
        <w:p w14:paraId="1A46F64A" w14:textId="45D53C9C" w:rsidR="00902C40" w:rsidRPr="00902C40" w:rsidRDefault="00902C40" w:rsidP="00B472E6">
          <w:pPr>
            <w:outlineLvl w:val="2"/>
            <w:rPr>
              <w:sz w:val="24"/>
              <w:szCs w:val="24"/>
            </w:rPr>
          </w:pPr>
          <w:r w:rsidRPr="00902C40">
            <w:rPr>
              <w:sz w:val="24"/>
              <w:szCs w:val="24"/>
            </w:rPr>
            <w:t>Organisation Applicatio</w:t>
          </w:r>
          <w:r>
            <w:rPr>
              <w:sz w:val="24"/>
              <w:szCs w:val="24"/>
            </w:rPr>
            <w:t>n</w:t>
          </w:r>
          <w:r w:rsidRPr="00902C40">
            <w:rPr>
              <w:sz w:val="24"/>
              <w:szCs w:val="24"/>
            </w:rPr>
            <w:t>……………………………………………………………………………</w:t>
          </w:r>
          <w:proofErr w:type="gramStart"/>
          <w:r w:rsidRPr="00902C40">
            <w:rPr>
              <w:sz w:val="24"/>
              <w:szCs w:val="24"/>
            </w:rPr>
            <w:t>…..</w:t>
          </w:r>
          <w:proofErr w:type="gramEnd"/>
          <w:r w:rsidRPr="00902C40">
            <w:rPr>
              <w:sz w:val="24"/>
              <w:szCs w:val="24"/>
            </w:rPr>
            <w:t>5</w:t>
          </w:r>
        </w:p>
        <w:p w14:paraId="0C8886A5" w14:textId="77777777" w:rsidR="00902C40" w:rsidRPr="00902C40" w:rsidRDefault="00902C40" w:rsidP="00B472E6">
          <w:pPr>
            <w:outlineLvl w:val="2"/>
            <w:rPr>
              <w:sz w:val="24"/>
              <w:szCs w:val="24"/>
            </w:rPr>
          </w:pPr>
        </w:p>
        <w:p w14:paraId="76CD4F54" w14:textId="5E6A89F0" w:rsidR="00902C40" w:rsidRPr="00902C40" w:rsidRDefault="00902C40" w:rsidP="00B472E6">
          <w:pPr>
            <w:outlineLvl w:val="2"/>
            <w:rPr>
              <w:sz w:val="24"/>
              <w:szCs w:val="24"/>
            </w:rPr>
          </w:pPr>
          <w:r w:rsidRPr="00902C40">
            <w:rPr>
              <w:sz w:val="24"/>
              <w:szCs w:val="24"/>
            </w:rPr>
            <w:t>Application Of Model…………………………………………………………………………………</w:t>
          </w:r>
          <w:proofErr w:type="gramStart"/>
          <w:r w:rsidRPr="00902C40">
            <w:rPr>
              <w:sz w:val="24"/>
              <w:szCs w:val="24"/>
            </w:rPr>
            <w:t>…..</w:t>
          </w:r>
          <w:proofErr w:type="gramEnd"/>
          <w:r w:rsidRPr="00902C40">
            <w:rPr>
              <w:sz w:val="24"/>
              <w:szCs w:val="24"/>
            </w:rPr>
            <w:t>6</w:t>
          </w:r>
        </w:p>
        <w:p w14:paraId="32635233" w14:textId="77777777" w:rsidR="00902C40" w:rsidRPr="00902C40" w:rsidRDefault="00902C40" w:rsidP="00B472E6">
          <w:pPr>
            <w:outlineLvl w:val="2"/>
            <w:rPr>
              <w:sz w:val="24"/>
              <w:szCs w:val="24"/>
            </w:rPr>
          </w:pPr>
        </w:p>
        <w:p w14:paraId="0EC02492" w14:textId="18C7E90A" w:rsidR="00902C40" w:rsidRPr="00902C40" w:rsidRDefault="00902C40" w:rsidP="00B472E6">
          <w:pPr>
            <w:outlineLvl w:val="2"/>
            <w:rPr>
              <w:sz w:val="24"/>
              <w:szCs w:val="24"/>
            </w:rPr>
          </w:pPr>
          <w:r w:rsidRPr="00902C40">
            <w:rPr>
              <w:sz w:val="24"/>
              <w:szCs w:val="24"/>
            </w:rPr>
            <w:t>Conclusion………………………………………………………………………………………………</w:t>
          </w:r>
          <w:proofErr w:type="gramStart"/>
          <w:r w:rsidRPr="00902C40">
            <w:rPr>
              <w:sz w:val="24"/>
              <w:szCs w:val="24"/>
            </w:rPr>
            <w:t>…..</w:t>
          </w:r>
          <w:proofErr w:type="gramEnd"/>
          <w:r w:rsidRPr="00902C40">
            <w:rPr>
              <w:sz w:val="24"/>
              <w:szCs w:val="24"/>
            </w:rPr>
            <w:t>8</w:t>
          </w:r>
        </w:p>
        <w:p w14:paraId="182F7BE6" w14:textId="77777777" w:rsidR="00902C40" w:rsidRPr="00902C40" w:rsidRDefault="00902C40" w:rsidP="00B472E6">
          <w:pPr>
            <w:outlineLvl w:val="2"/>
            <w:rPr>
              <w:sz w:val="24"/>
              <w:szCs w:val="24"/>
            </w:rPr>
          </w:pPr>
        </w:p>
        <w:p w14:paraId="4E6F36A2" w14:textId="28E133CD" w:rsidR="00902C40" w:rsidRPr="00902C40" w:rsidRDefault="00902C40" w:rsidP="00B472E6">
          <w:pPr>
            <w:outlineLvl w:val="2"/>
            <w:rPr>
              <w:sz w:val="24"/>
              <w:szCs w:val="24"/>
            </w:rPr>
          </w:pPr>
          <w:r w:rsidRPr="00902C40">
            <w:rPr>
              <w:sz w:val="24"/>
              <w:szCs w:val="24"/>
            </w:rPr>
            <w:t>References…………………………………………</w:t>
          </w:r>
          <w:r>
            <w:rPr>
              <w:sz w:val="24"/>
              <w:szCs w:val="24"/>
            </w:rPr>
            <w:t>…</w:t>
          </w:r>
          <w:r w:rsidRPr="00902C40">
            <w:rPr>
              <w:sz w:val="24"/>
              <w:szCs w:val="24"/>
            </w:rPr>
            <w:t>…………………………………………………</w:t>
          </w:r>
          <w:proofErr w:type="gramStart"/>
          <w:r w:rsidRPr="00902C40">
            <w:rPr>
              <w:sz w:val="24"/>
              <w:szCs w:val="24"/>
            </w:rPr>
            <w:t>…..</w:t>
          </w:r>
          <w:proofErr w:type="gramEnd"/>
          <w:r w:rsidRPr="00902C40">
            <w:rPr>
              <w:sz w:val="24"/>
              <w:szCs w:val="24"/>
            </w:rPr>
            <w:t>9</w:t>
          </w:r>
        </w:p>
        <w:p w14:paraId="0804EEA3" w14:textId="77777777" w:rsidR="00902C40" w:rsidRDefault="00902C40" w:rsidP="00B472E6">
          <w:pPr>
            <w:outlineLvl w:val="2"/>
          </w:pPr>
        </w:p>
        <w:p w14:paraId="201C691D" w14:textId="3D693437" w:rsidR="00902C40" w:rsidRDefault="00000000" w:rsidP="00B472E6">
          <w:pPr>
            <w:outlineLvl w:val="2"/>
          </w:pPr>
        </w:p>
      </w:sdtContent>
    </w:sdt>
    <w:p w14:paraId="7E443A9B" w14:textId="08979F1D" w:rsidR="000C2794" w:rsidRDefault="000C2794">
      <w:pPr>
        <w:rPr>
          <w:b/>
          <w:bCs/>
          <w:sz w:val="28"/>
          <w:szCs w:val="28"/>
        </w:rPr>
      </w:pPr>
    </w:p>
    <w:p w14:paraId="1EC7E0AB" w14:textId="77777777" w:rsidR="000C2794" w:rsidRDefault="000C2794">
      <w:pPr>
        <w:rPr>
          <w:b/>
          <w:bCs/>
          <w:sz w:val="28"/>
          <w:szCs w:val="28"/>
        </w:rPr>
      </w:pPr>
    </w:p>
    <w:p w14:paraId="06EF80E2" w14:textId="77777777" w:rsidR="000C2794" w:rsidRDefault="000C2794">
      <w:pPr>
        <w:rPr>
          <w:b/>
          <w:bCs/>
          <w:sz w:val="28"/>
          <w:szCs w:val="28"/>
        </w:rPr>
      </w:pPr>
    </w:p>
    <w:p w14:paraId="27CEB00F" w14:textId="77777777" w:rsidR="000C2794" w:rsidRDefault="000C2794">
      <w:pPr>
        <w:rPr>
          <w:b/>
          <w:bCs/>
          <w:sz w:val="28"/>
          <w:szCs w:val="28"/>
        </w:rPr>
      </w:pPr>
    </w:p>
    <w:p w14:paraId="567C6DD0" w14:textId="77777777" w:rsidR="000C2794" w:rsidRDefault="000C2794">
      <w:pPr>
        <w:rPr>
          <w:b/>
          <w:bCs/>
          <w:sz w:val="28"/>
          <w:szCs w:val="28"/>
        </w:rPr>
      </w:pPr>
    </w:p>
    <w:p w14:paraId="1B2D99A4" w14:textId="77777777" w:rsidR="000C2794" w:rsidRDefault="000C2794">
      <w:pPr>
        <w:rPr>
          <w:b/>
          <w:bCs/>
          <w:sz w:val="28"/>
          <w:szCs w:val="28"/>
        </w:rPr>
      </w:pPr>
    </w:p>
    <w:p w14:paraId="02D2C166" w14:textId="77777777" w:rsidR="000C2794" w:rsidRDefault="000C2794">
      <w:pPr>
        <w:rPr>
          <w:b/>
          <w:bCs/>
          <w:sz w:val="28"/>
          <w:szCs w:val="28"/>
        </w:rPr>
      </w:pPr>
    </w:p>
    <w:p w14:paraId="2CD5F877" w14:textId="63D4DA35" w:rsidR="00AE352C" w:rsidRDefault="00AE352C">
      <w:pPr>
        <w:rPr>
          <w:b/>
          <w:bCs/>
          <w:sz w:val="28"/>
          <w:szCs w:val="28"/>
        </w:rPr>
      </w:pPr>
      <w:r>
        <w:rPr>
          <w:b/>
          <w:bCs/>
          <w:sz w:val="28"/>
          <w:szCs w:val="28"/>
        </w:rPr>
        <w:lastRenderedPageBreak/>
        <w:t>Introduction</w:t>
      </w:r>
    </w:p>
    <w:p w14:paraId="60D3D9BA" w14:textId="21A9B48E" w:rsidR="00AE352C" w:rsidRDefault="00AE352C" w:rsidP="00AE352C">
      <w:pPr>
        <w:spacing w:line="360" w:lineRule="auto"/>
        <w:rPr>
          <w:rFonts w:ascii="Times New Roman" w:hAnsi="Times New Roman" w:cs="Times New Roman"/>
          <w:sz w:val="24"/>
          <w:szCs w:val="24"/>
        </w:rPr>
      </w:pPr>
      <w:r w:rsidRPr="00AE352C">
        <w:rPr>
          <w:rFonts w:ascii="Times New Roman" w:hAnsi="Times New Roman" w:cs="Times New Roman"/>
          <w:sz w:val="24"/>
          <w:szCs w:val="24"/>
        </w:rPr>
        <w:t>Human resources management (HRM) functions</w:t>
      </w:r>
      <w:r>
        <w:rPr>
          <w:rFonts w:ascii="Times New Roman" w:hAnsi="Times New Roman" w:cs="Times New Roman"/>
          <w:sz w:val="24"/>
          <w:szCs w:val="24"/>
        </w:rPr>
        <w:t>, such as recruitment and selection, training and development, performance management, and employee relations, constitute</w:t>
      </w:r>
      <w:r w:rsidRPr="00AE352C">
        <w:rPr>
          <w:rFonts w:ascii="Times New Roman" w:hAnsi="Times New Roman" w:cs="Times New Roman"/>
          <w:sz w:val="24"/>
          <w:szCs w:val="24"/>
        </w:rPr>
        <w:t xml:space="preserve"> the operational core through which organisations translate strategic objectives into operational capabilities (Armstrong </w:t>
      </w:r>
      <w:r>
        <w:rPr>
          <w:rFonts w:ascii="Times New Roman" w:hAnsi="Times New Roman" w:cs="Times New Roman"/>
          <w:sz w:val="24"/>
          <w:szCs w:val="24"/>
        </w:rPr>
        <w:t>&amp;</w:t>
      </w:r>
      <w:r w:rsidRPr="00AE352C">
        <w:rPr>
          <w:rFonts w:ascii="Times New Roman" w:hAnsi="Times New Roman" w:cs="Times New Roman"/>
          <w:sz w:val="24"/>
          <w:szCs w:val="24"/>
        </w:rPr>
        <w:t xml:space="preserve"> Taylor, 2014). Recruitment and selection ensure that organisations attract and retain people with the right skills to maintain their competitive edge, while training and development build the skills necessary to adapt to changing market and technological conditions (Torrington </w:t>
      </w:r>
      <w:r>
        <w:rPr>
          <w:rFonts w:ascii="Times New Roman" w:hAnsi="Times New Roman" w:cs="Times New Roman"/>
          <w:sz w:val="24"/>
          <w:szCs w:val="24"/>
        </w:rPr>
        <w:t>&amp;</w:t>
      </w:r>
      <w:r w:rsidRPr="00AE352C">
        <w:rPr>
          <w:rFonts w:ascii="Times New Roman" w:hAnsi="Times New Roman" w:cs="Times New Roman"/>
          <w:sz w:val="24"/>
          <w:szCs w:val="24"/>
        </w:rPr>
        <w:t xml:space="preserve"> Others, 2020). Performance management aligns individual </w:t>
      </w:r>
      <w:r>
        <w:rPr>
          <w:rFonts w:ascii="Times New Roman" w:hAnsi="Times New Roman" w:cs="Times New Roman"/>
          <w:sz w:val="24"/>
          <w:szCs w:val="24"/>
        </w:rPr>
        <w:t>contributions to organisational goals, and employee relations maintain the quality of the working relationship, including engagement, voice,</w:t>
      </w:r>
      <w:r w:rsidRPr="00AE352C">
        <w:rPr>
          <w:rFonts w:ascii="Times New Roman" w:hAnsi="Times New Roman" w:cs="Times New Roman"/>
          <w:sz w:val="24"/>
          <w:szCs w:val="24"/>
        </w:rPr>
        <w:t xml:space="preserve"> and compliance with regulations (Marchington et al., 2025). Together, these functions determine whether an organisation can implement its strategy through people; a weakness in any one of </w:t>
      </w:r>
      <w:r>
        <w:rPr>
          <w:rFonts w:ascii="Times New Roman" w:hAnsi="Times New Roman" w:cs="Times New Roman"/>
          <w:sz w:val="24"/>
          <w:szCs w:val="24"/>
        </w:rPr>
        <w:t>them can undermine the organisation's performance, the well-being of its employees,</w:t>
      </w:r>
      <w:r w:rsidRPr="00AE352C">
        <w:rPr>
          <w:rFonts w:ascii="Times New Roman" w:hAnsi="Times New Roman" w:cs="Times New Roman"/>
          <w:sz w:val="24"/>
          <w:szCs w:val="24"/>
        </w:rPr>
        <w:t xml:space="preserve"> and the legitimacy of its actions in the eyes of those involved (Vilas Boas, 2024).</w:t>
      </w:r>
    </w:p>
    <w:p w14:paraId="2A3A39C5" w14:textId="77777777" w:rsidR="00AE352C" w:rsidRDefault="00AE352C" w:rsidP="00AE352C">
      <w:pPr>
        <w:spacing w:line="360" w:lineRule="auto"/>
        <w:rPr>
          <w:rFonts w:ascii="Times New Roman" w:hAnsi="Times New Roman" w:cs="Times New Roman"/>
          <w:sz w:val="24"/>
          <w:szCs w:val="24"/>
        </w:rPr>
      </w:pPr>
      <w:r w:rsidRPr="00AE352C">
        <w:rPr>
          <w:rFonts w:ascii="Times New Roman" w:hAnsi="Times New Roman" w:cs="Times New Roman"/>
          <w:sz w:val="24"/>
          <w:szCs w:val="24"/>
        </w:rPr>
        <w:t xml:space="preserve"> Internal and external environmental forces constantly shape the resources, constraints</w:t>
      </w:r>
      <w:r>
        <w:rPr>
          <w:rFonts w:ascii="Times New Roman" w:hAnsi="Times New Roman" w:cs="Times New Roman"/>
          <w:sz w:val="24"/>
          <w:szCs w:val="24"/>
        </w:rPr>
        <w:t>, and choices available to organisations, especially those with global operations, where local variations in legal, economic,</w:t>
      </w:r>
      <w:r w:rsidRPr="00AE352C">
        <w:rPr>
          <w:rFonts w:ascii="Times New Roman" w:hAnsi="Times New Roman" w:cs="Times New Roman"/>
          <w:sz w:val="24"/>
          <w:szCs w:val="24"/>
        </w:rPr>
        <w:t xml:space="preserve"> and cultural contexts add to the complexity of HR decision-making (Cross </w:t>
      </w:r>
      <w:r>
        <w:rPr>
          <w:rFonts w:ascii="Times New Roman" w:hAnsi="Times New Roman" w:cs="Times New Roman"/>
          <w:sz w:val="24"/>
          <w:szCs w:val="24"/>
        </w:rPr>
        <w:t>&amp;</w:t>
      </w:r>
      <w:r w:rsidRPr="00AE352C">
        <w:rPr>
          <w:rFonts w:ascii="Times New Roman" w:hAnsi="Times New Roman" w:cs="Times New Roman"/>
          <w:sz w:val="24"/>
          <w:szCs w:val="24"/>
        </w:rPr>
        <w:t xml:space="preserve"> Swart, 2022). </w:t>
      </w:r>
    </w:p>
    <w:p w14:paraId="51C51733" w14:textId="16C712C3" w:rsidR="00AE352C" w:rsidRPr="00AE352C" w:rsidRDefault="00AE352C" w:rsidP="00AE352C">
      <w:pPr>
        <w:spacing w:line="360" w:lineRule="auto"/>
        <w:rPr>
          <w:rFonts w:ascii="Times New Roman" w:hAnsi="Times New Roman" w:cs="Times New Roman"/>
          <w:sz w:val="24"/>
          <w:szCs w:val="24"/>
        </w:rPr>
      </w:pPr>
      <w:r w:rsidRPr="00AE352C">
        <w:rPr>
          <w:rFonts w:ascii="Times New Roman" w:hAnsi="Times New Roman" w:cs="Times New Roman"/>
          <w:sz w:val="24"/>
          <w:szCs w:val="24"/>
        </w:rPr>
        <w:t xml:space="preserve">This report examines how these environmental factors affect the effectiveness of human resources managers, using Unilever as a reference organisation. </w:t>
      </w:r>
    </w:p>
    <w:p w14:paraId="5A8F8B77" w14:textId="5DD5B3EB" w:rsidR="00AE352C" w:rsidRDefault="00FB3A33">
      <w:pPr>
        <w:rPr>
          <w:rFonts w:ascii="Times New Roman" w:hAnsi="Times New Roman" w:cs="Times New Roman"/>
          <w:b/>
          <w:bCs/>
          <w:sz w:val="24"/>
          <w:szCs w:val="24"/>
        </w:rPr>
      </w:pPr>
      <w:r w:rsidRPr="00FB3A33">
        <w:rPr>
          <w:rFonts w:ascii="Times New Roman" w:hAnsi="Times New Roman" w:cs="Times New Roman"/>
          <w:b/>
          <w:bCs/>
          <w:sz w:val="24"/>
          <w:szCs w:val="24"/>
        </w:rPr>
        <w:t>Internal And External Environment</w:t>
      </w:r>
    </w:p>
    <w:p w14:paraId="208278F1" w14:textId="4F4B37B9" w:rsidR="00FB3A33" w:rsidRDefault="00FB3A33" w:rsidP="00FB3A33">
      <w:pPr>
        <w:spacing w:line="360" w:lineRule="auto"/>
        <w:rPr>
          <w:rFonts w:ascii="Times New Roman" w:hAnsi="Times New Roman" w:cs="Times New Roman"/>
          <w:sz w:val="24"/>
          <w:szCs w:val="24"/>
        </w:rPr>
      </w:pPr>
      <w:r w:rsidRPr="00FB3A33">
        <w:rPr>
          <w:rFonts w:ascii="Times New Roman" w:hAnsi="Times New Roman" w:cs="Times New Roman"/>
          <w:sz w:val="24"/>
          <w:szCs w:val="24"/>
        </w:rPr>
        <w:t>There are several models for analysing the business environment that influences HRM, including SWOT, Porter Five Forces and PESTLE. This report adopts the PESTLE analysis as it provides a comprehensive view of the external macro environment relevant to human resources, encompassing political, economic, social, technological, legal and environmental factors (CIPD, 2024). Policy factors include government stability, trade policy and geopolitical conflict; economic factors include inflation, labour market conditions and exchange rates; social factors include demographic change, labour expectations and cultural norms; technological factors include automation and digital recruitment tools; legal factors include labour law and data protection; and environmental factors include sustainability regulation and climate risk (Torrington et al., 2020).</w:t>
      </w:r>
    </w:p>
    <w:p w14:paraId="4DC7FB5B" w14:textId="096BBE5D" w:rsidR="00B52890" w:rsidRDefault="00B52890" w:rsidP="00FB3A33">
      <w:pPr>
        <w:spacing w:line="360" w:lineRule="auto"/>
        <w:rPr>
          <w:rFonts w:ascii="Times New Roman" w:hAnsi="Times New Roman" w:cs="Times New Roman"/>
          <w:sz w:val="24"/>
          <w:szCs w:val="24"/>
        </w:rPr>
      </w:pPr>
      <w:r w:rsidRPr="00B52890">
        <w:rPr>
          <w:rFonts w:ascii="Times New Roman" w:hAnsi="Times New Roman" w:cs="Times New Roman"/>
          <w:sz w:val="24"/>
          <w:szCs w:val="24"/>
        </w:rPr>
        <w:lastRenderedPageBreak/>
        <w:t xml:space="preserve">The usefulness of PESTLE </w:t>
      </w:r>
      <w:r>
        <w:rPr>
          <w:rFonts w:ascii="Times New Roman" w:hAnsi="Times New Roman" w:cs="Times New Roman"/>
          <w:sz w:val="24"/>
          <w:szCs w:val="24"/>
        </w:rPr>
        <w:t>lies in its structured, comprehensive coverage of the external environment, enabling HR managers to anticipate changes rather than</w:t>
      </w:r>
      <w:r w:rsidRPr="00B52890">
        <w:rPr>
          <w:rFonts w:ascii="Times New Roman" w:hAnsi="Times New Roman" w:cs="Times New Roman"/>
          <w:sz w:val="24"/>
          <w:szCs w:val="24"/>
        </w:rPr>
        <w:t xml:space="preserve"> just react to them. It supports scenario planning, informs staff and succession planning</w:t>
      </w:r>
      <w:r>
        <w:rPr>
          <w:rFonts w:ascii="Times New Roman" w:hAnsi="Times New Roman" w:cs="Times New Roman"/>
          <w:sz w:val="24"/>
          <w:szCs w:val="24"/>
        </w:rPr>
        <w:t>, and helps organisations stay legally compliant across</w:t>
      </w:r>
      <w:r w:rsidRPr="00B52890">
        <w:rPr>
          <w:rFonts w:ascii="Times New Roman" w:hAnsi="Times New Roman" w:cs="Times New Roman"/>
          <w:sz w:val="24"/>
          <w:szCs w:val="24"/>
        </w:rPr>
        <w:t xml:space="preserve"> all jurisdictions (CIPD, 2024). For multinational organisations, PESTLE is particularly valuable as it can be used at both global and country levels and can be used when local conditions deviate from assumptions made at headquarters (Marchington et al., 2025).</w:t>
      </w:r>
    </w:p>
    <w:p w14:paraId="3674D933" w14:textId="4F657C14" w:rsidR="00B52890" w:rsidRDefault="00B52890" w:rsidP="00FB3A33">
      <w:pPr>
        <w:spacing w:line="360" w:lineRule="auto"/>
        <w:rPr>
          <w:rFonts w:ascii="Times New Roman" w:hAnsi="Times New Roman" w:cs="Times New Roman"/>
          <w:sz w:val="24"/>
          <w:szCs w:val="24"/>
        </w:rPr>
      </w:pPr>
      <w:r w:rsidRPr="00B52890">
        <w:rPr>
          <w:rFonts w:ascii="Times New Roman" w:hAnsi="Times New Roman" w:cs="Times New Roman"/>
          <w:sz w:val="24"/>
          <w:szCs w:val="24"/>
        </w:rPr>
        <w:t>However, PESTLE has limitations. It is more a descriptive tool than an analytical one: it identifies external factors but</w:t>
      </w:r>
      <w:r w:rsidR="00886253">
        <w:rPr>
          <w:rFonts w:ascii="Times New Roman" w:hAnsi="Times New Roman" w:cs="Times New Roman"/>
          <w:sz w:val="24"/>
          <w:szCs w:val="24"/>
        </w:rPr>
        <w:t xml:space="preserve"> does not indicate their relative importance, probability, or an organisation's ability</w:t>
      </w:r>
      <w:r w:rsidRPr="00B52890">
        <w:rPr>
          <w:rFonts w:ascii="Times New Roman" w:hAnsi="Times New Roman" w:cs="Times New Roman"/>
          <w:sz w:val="24"/>
          <w:szCs w:val="24"/>
        </w:rPr>
        <w:t xml:space="preserve"> to react (Armstrong </w:t>
      </w:r>
      <w:r>
        <w:rPr>
          <w:rFonts w:ascii="Times New Roman" w:hAnsi="Times New Roman" w:cs="Times New Roman"/>
          <w:sz w:val="24"/>
          <w:szCs w:val="24"/>
        </w:rPr>
        <w:t>&amp;</w:t>
      </w:r>
      <w:r w:rsidRPr="00B52890">
        <w:rPr>
          <w:rFonts w:ascii="Times New Roman" w:hAnsi="Times New Roman" w:cs="Times New Roman"/>
          <w:sz w:val="24"/>
          <w:szCs w:val="24"/>
        </w:rPr>
        <w:t xml:space="preserve"> Taylor, 2014). It is also static, offers a snapshot of a rapidly changing environment</w:t>
      </w:r>
      <w:r w:rsidR="00886253">
        <w:rPr>
          <w:rFonts w:ascii="Times New Roman" w:hAnsi="Times New Roman" w:cs="Times New Roman"/>
          <w:sz w:val="24"/>
          <w:szCs w:val="24"/>
        </w:rPr>
        <w:t>, and risks becoming obsolete soon after completion;</w:t>
      </w:r>
      <w:r w:rsidRPr="00B52890">
        <w:rPr>
          <w:rFonts w:ascii="Times New Roman" w:hAnsi="Times New Roman" w:cs="Times New Roman"/>
          <w:sz w:val="24"/>
          <w:szCs w:val="24"/>
        </w:rPr>
        <w:t xml:space="preserve"> its categories may overlap, </w:t>
      </w:r>
      <w:r w:rsidR="000C2794">
        <w:rPr>
          <w:rFonts w:ascii="Times New Roman" w:hAnsi="Times New Roman" w:cs="Times New Roman"/>
          <w:sz w:val="24"/>
          <w:szCs w:val="24"/>
        </w:rPr>
        <w:t>leading to factors being</w:t>
      </w:r>
      <w:r w:rsidRPr="00B52890">
        <w:rPr>
          <w:rFonts w:ascii="Times New Roman" w:hAnsi="Times New Roman" w:cs="Times New Roman"/>
          <w:sz w:val="24"/>
          <w:szCs w:val="24"/>
        </w:rPr>
        <w:t xml:space="preserve"> sometimes incorrectly classified. As it does not address internal organisational capacity, PESTLE can best be used in combination with internally focused tools</w:t>
      </w:r>
      <w:r w:rsidR="00886253">
        <w:rPr>
          <w:rFonts w:ascii="Times New Roman" w:hAnsi="Times New Roman" w:cs="Times New Roman"/>
          <w:sz w:val="24"/>
          <w:szCs w:val="24"/>
        </w:rPr>
        <w:t>, such as SWOT analysis, to provide a more comprehensive picture of external threats and opportunities,</w:t>
      </w:r>
      <w:r w:rsidRPr="00B52890">
        <w:rPr>
          <w:rFonts w:ascii="Times New Roman" w:hAnsi="Times New Roman" w:cs="Times New Roman"/>
          <w:sz w:val="24"/>
          <w:szCs w:val="24"/>
        </w:rPr>
        <w:t xml:space="preserve"> as well as internal resources and capabilities (Torrington et al., 2020). By contrast, the Porter Five Forces focus on industrial competitiveness and are less suited for a broad analysis of labour and regulation, whereas SWOTs capture internal strengths and weaknesses which PESTLE misses completely (Marchington et al., 2025). The combination of instruments</w:t>
      </w:r>
      <w:r w:rsidR="00886253">
        <w:rPr>
          <w:rFonts w:ascii="Times New Roman" w:hAnsi="Times New Roman" w:cs="Times New Roman"/>
          <w:sz w:val="24"/>
          <w:szCs w:val="24"/>
        </w:rPr>
        <w:t>, therefore,</w:t>
      </w:r>
      <w:r w:rsidRPr="00B52890">
        <w:rPr>
          <w:rFonts w:ascii="Times New Roman" w:hAnsi="Times New Roman" w:cs="Times New Roman"/>
          <w:sz w:val="24"/>
          <w:szCs w:val="24"/>
        </w:rPr>
        <w:t xml:space="preserve"> compensates for </w:t>
      </w:r>
      <w:r w:rsidR="00886253">
        <w:rPr>
          <w:rFonts w:ascii="Times New Roman" w:hAnsi="Times New Roman" w:cs="Times New Roman"/>
          <w:sz w:val="24"/>
          <w:szCs w:val="24"/>
        </w:rPr>
        <w:t>PESTLE's narrower, external focus</w:t>
      </w:r>
      <w:r w:rsidRPr="00B52890">
        <w:rPr>
          <w:rFonts w:ascii="Times New Roman" w:hAnsi="Times New Roman" w:cs="Times New Roman"/>
          <w:sz w:val="24"/>
          <w:szCs w:val="24"/>
        </w:rPr>
        <w:t>.</w:t>
      </w:r>
    </w:p>
    <w:p w14:paraId="40B6E927" w14:textId="31BA2112" w:rsidR="00886253" w:rsidRDefault="00886253" w:rsidP="00FB3A33">
      <w:pPr>
        <w:spacing w:line="360" w:lineRule="auto"/>
        <w:rPr>
          <w:rFonts w:ascii="Times New Roman" w:hAnsi="Times New Roman" w:cs="Times New Roman"/>
          <w:sz w:val="24"/>
          <w:szCs w:val="24"/>
        </w:rPr>
      </w:pPr>
      <w:r w:rsidRPr="00886253">
        <w:rPr>
          <w:rFonts w:ascii="Times New Roman" w:hAnsi="Times New Roman" w:cs="Times New Roman"/>
          <w:sz w:val="24"/>
          <w:szCs w:val="24"/>
        </w:rPr>
        <w:t xml:space="preserve">Internal environmental factors also shape the effectiveness of HR managers, </w:t>
      </w:r>
      <w:r>
        <w:rPr>
          <w:rFonts w:ascii="Times New Roman" w:hAnsi="Times New Roman" w:cs="Times New Roman"/>
          <w:sz w:val="24"/>
          <w:szCs w:val="24"/>
        </w:rPr>
        <w:t>even though PESTLE</w:t>
      </w:r>
      <w:r w:rsidRPr="00886253">
        <w:rPr>
          <w:rFonts w:ascii="Times New Roman" w:hAnsi="Times New Roman" w:cs="Times New Roman"/>
          <w:sz w:val="24"/>
          <w:szCs w:val="24"/>
        </w:rPr>
        <w:t xml:space="preserve"> is primarily an external instrument. Organisational culture, support to management, resources allocated to HR functions</w:t>
      </w:r>
      <w:r>
        <w:rPr>
          <w:rFonts w:ascii="Times New Roman" w:hAnsi="Times New Roman" w:cs="Times New Roman"/>
          <w:sz w:val="24"/>
          <w:szCs w:val="24"/>
        </w:rPr>
        <w:t>, and the maturity of HR information systems all determine how far HR managers can</w:t>
      </w:r>
      <w:r w:rsidRPr="00886253">
        <w:rPr>
          <w:rFonts w:ascii="Times New Roman" w:hAnsi="Times New Roman" w:cs="Times New Roman"/>
          <w:sz w:val="24"/>
          <w:szCs w:val="24"/>
        </w:rPr>
        <w:t xml:space="preserve"> translate external insights into effective policies (Armstrong </w:t>
      </w:r>
      <w:r>
        <w:rPr>
          <w:rFonts w:ascii="Times New Roman" w:hAnsi="Times New Roman" w:cs="Times New Roman"/>
          <w:sz w:val="24"/>
          <w:szCs w:val="24"/>
        </w:rPr>
        <w:t>&amp;</w:t>
      </w:r>
      <w:r w:rsidRPr="00886253">
        <w:rPr>
          <w:rFonts w:ascii="Times New Roman" w:hAnsi="Times New Roman" w:cs="Times New Roman"/>
          <w:sz w:val="24"/>
          <w:szCs w:val="24"/>
        </w:rPr>
        <w:t xml:space="preserve"> Taylor, 2014). For example, an organisation with strong senior management engagement and integrated human analytics can respond much faster to external technological shifts, such as AI-enabled recruitment, than one without strategic influence or investment in HR. This distinction between the internal and </w:t>
      </w:r>
      <w:r>
        <w:rPr>
          <w:rFonts w:ascii="Times New Roman" w:hAnsi="Times New Roman" w:cs="Times New Roman"/>
          <w:sz w:val="24"/>
          <w:szCs w:val="24"/>
        </w:rPr>
        <w:t>external environments reinforces why PESTLE analysis is most effective when combined with an internal-oriented framework such as SWOT, which allows managers to assess not only what is happening out there but also whether the organisation has the internal capacity</w:t>
      </w:r>
      <w:r w:rsidRPr="00886253">
        <w:rPr>
          <w:rFonts w:ascii="Times New Roman" w:hAnsi="Times New Roman" w:cs="Times New Roman"/>
          <w:sz w:val="24"/>
          <w:szCs w:val="24"/>
        </w:rPr>
        <w:t xml:space="preserve"> to respond (Torrington et al., 2020)</w:t>
      </w:r>
      <w:r>
        <w:rPr>
          <w:rFonts w:ascii="Times New Roman" w:hAnsi="Times New Roman" w:cs="Times New Roman"/>
          <w:sz w:val="24"/>
          <w:szCs w:val="24"/>
        </w:rPr>
        <w:t>.</w:t>
      </w:r>
    </w:p>
    <w:p w14:paraId="52664748" w14:textId="28210EB8" w:rsidR="00886253" w:rsidRDefault="00886253" w:rsidP="00FB3A33">
      <w:pPr>
        <w:spacing w:line="360" w:lineRule="auto"/>
        <w:rPr>
          <w:rFonts w:ascii="Times New Roman" w:hAnsi="Times New Roman" w:cs="Times New Roman"/>
          <w:sz w:val="24"/>
          <w:szCs w:val="24"/>
        </w:rPr>
      </w:pPr>
      <w:r w:rsidRPr="00886253">
        <w:rPr>
          <w:rFonts w:ascii="Times New Roman" w:hAnsi="Times New Roman" w:cs="Times New Roman"/>
          <w:sz w:val="24"/>
          <w:szCs w:val="24"/>
        </w:rPr>
        <w:t xml:space="preserve">The link between PESTLE and the human </w:t>
      </w:r>
      <w:r w:rsidR="000C2794">
        <w:rPr>
          <w:rFonts w:ascii="Times New Roman" w:hAnsi="Times New Roman" w:cs="Times New Roman"/>
          <w:sz w:val="24"/>
          <w:szCs w:val="24"/>
        </w:rPr>
        <w:t>resource’s</w:t>
      </w:r>
      <w:r w:rsidRPr="00886253">
        <w:rPr>
          <w:rFonts w:ascii="Times New Roman" w:hAnsi="Times New Roman" w:cs="Times New Roman"/>
          <w:sz w:val="24"/>
          <w:szCs w:val="24"/>
        </w:rPr>
        <w:t xml:space="preserve"> function is straightforward. Political instability or restrictive immigration policies may limit recruitment and international mobility; economic downturns may force cost-oriented labour planning and wage bargaining; </w:t>
      </w:r>
      <w:r w:rsidRPr="00886253">
        <w:rPr>
          <w:rFonts w:ascii="Times New Roman" w:hAnsi="Times New Roman" w:cs="Times New Roman"/>
          <w:sz w:val="24"/>
          <w:szCs w:val="24"/>
        </w:rPr>
        <w:lastRenderedPageBreak/>
        <w:t>social changes, such as the shift in expectations towards flexible work, will change employee relations and engagement strategies; technological change will transform recruitment, training and performance management with digital and artificial intelligence tools; and regulatory changes will require continuous updating of HR policies and training; and environmental regulation will shape the branding of businesses (Vilas Boas, 2024). Understanding these links enables human resources managers to move from a reactive</w:t>
      </w:r>
      <w:r>
        <w:rPr>
          <w:rFonts w:ascii="Times New Roman" w:hAnsi="Times New Roman" w:cs="Times New Roman"/>
          <w:sz w:val="24"/>
          <w:szCs w:val="24"/>
        </w:rPr>
        <w:t>, administrative role to a proactive,</w:t>
      </w:r>
      <w:r w:rsidRPr="00886253">
        <w:rPr>
          <w:rFonts w:ascii="Times New Roman" w:hAnsi="Times New Roman" w:cs="Times New Roman"/>
          <w:sz w:val="24"/>
          <w:szCs w:val="24"/>
        </w:rPr>
        <w:t xml:space="preserve"> strategic one.</w:t>
      </w:r>
    </w:p>
    <w:p w14:paraId="2A899325" w14:textId="5EDE79AC" w:rsidR="00886253" w:rsidRPr="00886253" w:rsidRDefault="00886253" w:rsidP="00FB3A33">
      <w:pPr>
        <w:spacing w:line="360" w:lineRule="auto"/>
        <w:rPr>
          <w:rFonts w:ascii="Times New Roman" w:hAnsi="Times New Roman" w:cs="Times New Roman"/>
          <w:b/>
          <w:bCs/>
          <w:sz w:val="24"/>
          <w:szCs w:val="24"/>
        </w:rPr>
      </w:pPr>
      <w:r w:rsidRPr="00886253">
        <w:rPr>
          <w:rFonts w:ascii="Times New Roman" w:hAnsi="Times New Roman" w:cs="Times New Roman"/>
          <w:b/>
          <w:bCs/>
          <w:sz w:val="24"/>
          <w:szCs w:val="24"/>
        </w:rPr>
        <w:t>Organisation Application</w:t>
      </w:r>
    </w:p>
    <w:p w14:paraId="367347DE" w14:textId="5F3A2406" w:rsidR="00886253" w:rsidRDefault="00886253" w:rsidP="00FB3A33">
      <w:pPr>
        <w:spacing w:line="360" w:lineRule="auto"/>
        <w:rPr>
          <w:rFonts w:ascii="Times New Roman" w:hAnsi="Times New Roman" w:cs="Times New Roman"/>
          <w:sz w:val="24"/>
          <w:szCs w:val="24"/>
        </w:rPr>
      </w:pPr>
      <w:r w:rsidRPr="00886253">
        <w:rPr>
          <w:rFonts w:ascii="Times New Roman" w:hAnsi="Times New Roman" w:cs="Times New Roman"/>
          <w:sz w:val="24"/>
          <w:szCs w:val="24"/>
        </w:rPr>
        <w:t xml:space="preserve">Unilever is a British multinational consumer goods company active in </w:t>
      </w:r>
      <w:r>
        <w:rPr>
          <w:rFonts w:ascii="Times New Roman" w:hAnsi="Times New Roman" w:cs="Times New Roman"/>
          <w:sz w:val="24"/>
          <w:szCs w:val="24"/>
        </w:rPr>
        <w:t>beauty and wellbeing, personal care, home care, and food products</w:t>
      </w:r>
      <w:r w:rsidRPr="00886253">
        <w:rPr>
          <w:rFonts w:ascii="Times New Roman" w:hAnsi="Times New Roman" w:cs="Times New Roman"/>
          <w:sz w:val="24"/>
          <w:szCs w:val="24"/>
        </w:rPr>
        <w:t>, with products sold in over 190 countries and reaching an estimated 3.7 billion consumers every day (Unilever, 2026). The company employs around 97 000 people worldwide, with the largest concentrations in India, the USA and Indonesia, reflecting the diversity of workers in both developed and emerging markets (Statista, 2025).</w:t>
      </w:r>
    </w:p>
    <w:p w14:paraId="5C13940D" w14:textId="4CC0BF01" w:rsidR="00886253" w:rsidRDefault="00886253" w:rsidP="00FB3A33">
      <w:pPr>
        <w:spacing w:line="360" w:lineRule="auto"/>
        <w:rPr>
          <w:rFonts w:ascii="Times New Roman" w:hAnsi="Times New Roman" w:cs="Times New Roman"/>
          <w:sz w:val="24"/>
          <w:szCs w:val="24"/>
        </w:rPr>
      </w:pPr>
      <w:r w:rsidRPr="00886253">
        <w:rPr>
          <w:rFonts w:ascii="Times New Roman" w:hAnsi="Times New Roman" w:cs="Times New Roman"/>
          <w:sz w:val="24"/>
          <w:szCs w:val="24"/>
        </w:rPr>
        <w:t xml:space="preserve">The HR function </w:t>
      </w:r>
      <w:r>
        <w:rPr>
          <w:rFonts w:ascii="Times New Roman" w:hAnsi="Times New Roman" w:cs="Times New Roman"/>
          <w:sz w:val="24"/>
          <w:szCs w:val="24"/>
        </w:rPr>
        <w:t xml:space="preserve">at Unilever operates on a decentralised model: the Global Chief HR Officer sets the overall human resources strategy, </w:t>
      </w:r>
      <w:r w:rsidR="00187B45">
        <w:rPr>
          <w:rFonts w:ascii="Times New Roman" w:hAnsi="Times New Roman" w:cs="Times New Roman"/>
          <w:sz w:val="24"/>
          <w:szCs w:val="24"/>
        </w:rPr>
        <w:t>with regional HR executives adapting</w:t>
      </w:r>
      <w:r>
        <w:rPr>
          <w:rFonts w:ascii="Times New Roman" w:hAnsi="Times New Roman" w:cs="Times New Roman"/>
          <w:sz w:val="24"/>
          <w:szCs w:val="24"/>
        </w:rPr>
        <w:t xml:space="preserve"> recruitment, training, performance management, and staff relations procedures to local labour markets</w:t>
      </w:r>
      <w:r w:rsidRPr="00886253">
        <w:rPr>
          <w:rFonts w:ascii="Times New Roman" w:hAnsi="Times New Roman" w:cs="Times New Roman"/>
          <w:sz w:val="24"/>
          <w:szCs w:val="24"/>
        </w:rPr>
        <w:t xml:space="preserve"> while maintaining global standards (Marchington et al., 2025). </w:t>
      </w:r>
    </w:p>
    <w:p w14:paraId="085BE342" w14:textId="6E65D0B7" w:rsidR="00886253" w:rsidRDefault="00886253" w:rsidP="00FB3A33">
      <w:pPr>
        <w:spacing w:line="360" w:lineRule="auto"/>
        <w:rPr>
          <w:rFonts w:ascii="Times New Roman" w:hAnsi="Times New Roman" w:cs="Times New Roman"/>
          <w:sz w:val="24"/>
          <w:szCs w:val="24"/>
        </w:rPr>
      </w:pPr>
      <w:r w:rsidRPr="00886253">
        <w:rPr>
          <w:rFonts w:ascii="Times New Roman" w:hAnsi="Times New Roman" w:cs="Times New Roman"/>
          <w:sz w:val="24"/>
          <w:szCs w:val="24"/>
        </w:rPr>
        <w:t>Recruitment is increasingly technology-based: the Unilever Future Leaders programme uses artificial intelligence-driven</w:t>
      </w:r>
      <w:r w:rsidR="00187B45">
        <w:rPr>
          <w:rFonts w:ascii="Times New Roman" w:hAnsi="Times New Roman" w:cs="Times New Roman"/>
          <w:sz w:val="24"/>
          <w:szCs w:val="24"/>
        </w:rPr>
        <w:t xml:space="preserve">, gamified psychometric assessments to screen many global applicants consistently, regardless of </w:t>
      </w:r>
      <w:r w:rsidRPr="00886253">
        <w:rPr>
          <w:rFonts w:ascii="Times New Roman" w:hAnsi="Times New Roman" w:cs="Times New Roman"/>
          <w:sz w:val="24"/>
          <w:szCs w:val="24"/>
        </w:rPr>
        <w:t xml:space="preserve">location. Training and development </w:t>
      </w:r>
      <w:r>
        <w:rPr>
          <w:rFonts w:ascii="Times New Roman" w:hAnsi="Times New Roman" w:cs="Times New Roman"/>
          <w:sz w:val="24"/>
          <w:szCs w:val="24"/>
        </w:rPr>
        <w:t>are</w:t>
      </w:r>
      <w:r w:rsidRPr="00886253">
        <w:rPr>
          <w:rFonts w:ascii="Times New Roman" w:hAnsi="Times New Roman" w:cs="Times New Roman"/>
          <w:sz w:val="24"/>
          <w:szCs w:val="24"/>
        </w:rPr>
        <w:t xml:space="preserve"> carried out through structured global programmes, such as regional management traineeships, complemented by continuous digital learning. Performance management is governed by a global framework, which was renewed in 2025 around four organisational priorities, namely motivation, coaching, talent management and rewiring for performance, which should be applied consistently across all markets, while allowing regional HR managers discretion in the way they target and interact with staff (Marchington et al., 2025). </w:t>
      </w:r>
      <w:r>
        <w:rPr>
          <w:rFonts w:ascii="Times New Roman" w:hAnsi="Times New Roman" w:cs="Times New Roman"/>
          <w:sz w:val="24"/>
          <w:szCs w:val="24"/>
        </w:rPr>
        <w:t>Employee relations are shaped by long-standing partnerships with trade unions and works councils, particularly in Europe, Africa,</w:t>
      </w:r>
      <w:r w:rsidRPr="00886253">
        <w:rPr>
          <w:rFonts w:ascii="Times New Roman" w:hAnsi="Times New Roman" w:cs="Times New Roman"/>
          <w:sz w:val="24"/>
          <w:szCs w:val="24"/>
        </w:rPr>
        <w:t xml:space="preserve"> and Asia, where more than half of the workforce is covered by collective agreements</w:t>
      </w:r>
      <w:r w:rsidR="00B80955">
        <w:rPr>
          <w:rFonts w:ascii="Times New Roman" w:hAnsi="Times New Roman" w:cs="Times New Roman"/>
          <w:sz w:val="24"/>
          <w:szCs w:val="24"/>
        </w:rPr>
        <w:t xml:space="preserve"> </w:t>
      </w:r>
      <w:r w:rsidR="007C713E">
        <w:rPr>
          <w:rFonts w:ascii="Times New Roman" w:hAnsi="Times New Roman" w:cs="Times New Roman"/>
          <w:sz w:val="24"/>
          <w:szCs w:val="24"/>
        </w:rPr>
        <w:t>(</w:t>
      </w:r>
      <w:r w:rsidR="00B80955" w:rsidRPr="00B80955">
        <w:rPr>
          <w:rFonts w:ascii="Times New Roman" w:hAnsi="Times New Roman" w:cs="Times New Roman"/>
          <w:sz w:val="24"/>
          <w:szCs w:val="24"/>
        </w:rPr>
        <w:t xml:space="preserve">Stavrou </w:t>
      </w:r>
      <w:r w:rsidR="00B80955">
        <w:rPr>
          <w:rFonts w:ascii="Times New Roman" w:hAnsi="Times New Roman" w:cs="Times New Roman"/>
          <w:sz w:val="24"/>
          <w:szCs w:val="24"/>
        </w:rPr>
        <w:t>et al</w:t>
      </w:r>
      <w:r w:rsidR="007C713E">
        <w:rPr>
          <w:rFonts w:ascii="Times New Roman" w:hAnsi="Times New Roman" w:cs="Times New Roman"/>
          <w:sz w:val="24"/>
          <w:szCs w:val="24"/>
        </w:rPr>
        <w:t xml:space="preserve">., </w:t>
      </w:r>
      <w:r w:rsidR="00B80955" w:rsidRPr="00B80955">
        <w:rPr>
          <w:rFonts w:ascii="Times New Roman" w:hAnsi="Times New Roman" w:cs="Times New Roman"/>
          <w:sz w:val="24"/>
          <w:szCs w:val="24"/>
        </w:rPr>
        <w:t>2023</w:t>
      </w:r>
      <w:r w:rsidR="007C713E">
        <w:rPr>
          <w:rFonts w:ascii="Times New Roman" w:hAnsi="Times New Roman" w:cs="Times New Roman"/>
          <w:sz w:val="24"/>
          <w:szCs w:val="24"/>
        </w:rPr>
        <w:t>).</w:t>
      </w:r>
    </w:p>
    <w:p w14:paraId="7AED81FF" w14:textId="77777777" w:rsidR="00902C40" w:rsidRDefault="00902C40" w:rsidP="00FB3A33">
      <w:pPr>
        <w:spacing w:line="360" w:lineRule="auto"/>
        <w:rPr>
          <w:rFonts w:ascii="Times New Roman" w:hAnsi="Times New Roman" w:cs="Times New Roman"/>
          <w:sz w:val="24"/>
          <w:szCs w:val="24"/>
        </w:rPr>
      </w:pPr>
    </w:p>
    <w:p w14:paraId="35E3FB07" w14:textId="77777777" w:rsidR="00886253" w:rsidRDefault="00886253" w:rsidP="00FB3A33">
      <w:pPr>
        <w:spacing w:line="360" w:lineRule="auto"/>
        <w:rPr>
          <w:rFonts w:ascii="Times New Roman" w:hAnsi="Times New Roman" w:cs="Times New Roman"/>
          <w:sz w:val="24"/>
          <w:szCs w:val="24"/>
        </w:rPr>
      </w:pPr>
    </w:p>
    <w:p w14:paraId="607F119B" w14:textId="1CA04FE4" w:rsidR="00886253" w:rsidRPr="00886253" w:rsidRDefault="00886253" w:rsidP="00FB3A33">
      <w:pPr>
        <w:spacing w:line="360" w:lineRule="auto"/>
        <w:rPr>
          <w:rFonts w:ascii="Times New Roman" w:hAnsi="Times New Roman" w:cs="Times New Roman"/>
          <w:b/>
          <w:bCs/>
          <w:sz w:val="24"/>
          <w:szCs w:val="24"/>
        </w:rPr>
      </w:pPr>
      <w:r w:rsidRPr="00886253">
        <w:rPr>
          <w:rFonts w:ascii="Times New Roman" w:hAnsi="Times New Roman" w:cs="Times New Roman"/>
          <w:b/>
          <w:bCs/>
          <w:sz w:val="24"/>
          <w:szCs w:val="24"/>
        </w:rPr>
        <w:lastRenderedPageBreak/>
        <w:t>Application Of Model</w:t>
      </w:r>
    </w:p>
    <w:p w14:paraId="3DC68398" w14:textId="77777777" w:rsidR="00886253" w:rsidRDefault="00886253" w:rsidP="00FB3A33">
      <w:pPr>
        <w:spacing w:line="360" w:lineRule="auto"/>
        <w:rPr>
          <w:rFonts w:ascii="Times New Roman" w:hAnsi="Times New Roman" w:cs="Times New Roman"/>
          <w:sz w:val="24"/>
          <w:szCs w:val="24"/>
        </w:rPr>
      </w:pPr>
      <w:r w:rsidRPr="00886253">
        <w:rPr>
          <w:rFonts w:ascii="Times New Roman" w:hAnsi="Times New Roman" w:cs="Times New Roman"/>
          <w:sz w:val="24"/>
          <w:szCs w:val="24"/>
        </w:rPr>
        <w:t xml:space="preserve">The PESTLE factors interact directly with Unilever's human resources practices and often test </w:t>
      </w:r>
      <w:r>
        <w:rPr>
          <w:rFonts w:ascii="Times New Roman" w:hAnsi="Times New Roman" w:cs="Times New Roman"/>
          <w:sz w:val="24"/>
          <w:szCs w:val="24"/>
        </w:rPr>
        <w:t>HR managers' ability</w:t>
      </w:r>
      <w:r w:rsidRPr="00886253">
        <w:rPr>
          <w:rFonts w:ascii="Times New Roman" w:hAnsi="Times New Roman" w:cs="Times New Roman"/>
          <w:sz w:val="24"/>
          <w:szCs w:val="24"/>
        </w:rPr>
        <w:t xml:space="preserve"> to remain effective in a very different context. </w:t>
      </w:r>
    </w:p>
    <w:p w14:paraId="556602AB" w14:textId="5E521C6E" w:rsidR="003A2914" w:rsidRPr="003A2914" w:rsidRDefault="003A2914" w:rsidP="00FB3A33">
      <w:pPr>
        <w:spacing w:line="360" w:lineRule="auto"/>
        <w:rPr>
          <w:rFonts w:ascii="Times New Roman" w:hAnsi="Times New Roman" w:cs="Times New Roman"/>
          <w:i/>
          <w:iCs/>
          <w:sz w:val="24"/>
          <w:szCs w:val="24"/>
        </w:rPr>
      </w:pPr>
      <w:r w:rsidRPr="003A2914">
        <w:rPr>
          <w:rFonts w:ascii="Times New Roman" w:hAnsi="Times New Roman" w:cs="Times New Roman"/>
          <w:i/>
          <w:iCs/>
          <w:sz w:val="24"/>
          <w:szCs w:val="24"/>
        </w:rPr>
        <w:t>Political</w:t>
      </w:r>
    </w:p>
    <w:p w14:paraId="4791D5FF" w14:textId="77777777" w:rsidR="003A2914" w:rsidRDefault="00886253" w:rsidP="00FB3A33">
      <w:pPr>
        <w:spacing w:line="360" w:lineRule="auto"/>
        <w:rPr>
          <w:rFonts w:ascii="Times New Roman" w:hAnsi="Times New Roman" w:cs="Times New Roman"/>
          <w:sz w:val="24"/>
          <w:szCs w:val="24"/>
        </w:rPr>
      </w:pPr>
      <w:r w:rsidRPr="00886253">
        <w:rPr>
          <w:rFonts w:ascii="Times New Roman" w:hAnsi="Times New Roman" w:cs="Times New Roman"/>
          <w:sz w:val="24"/>
          <w:szCs w:val="24"/>
        </w:rPr>
        <w:t xml:space="preserve">Politically, geopolitical conflict directly affects Unilever's operations: in 2026, it imposed a global hiring freeze in response to the instability associated with the US-Iranian conflict (CNBC, 2026), demonstrating how political risk can overwhelm normal planning of staff and limit the ability of HR managers to implement their recruitment strategy on time. </w:t>
      </w:r>
    </w:p>
    <w:p w14:paraId="63E840DD" w14:textId="47CB1340" w:rsidR="003A2914" w:rsidRPr="003A2914" w:rsidRDefault="003A2914" w:rsidP="00FB3A33">
      <w:pPr>
        <w:spacing w:line="360" w:lineRule="auto"/>
        <w:rPr>
          <w:rFonts w:ascii="Times New Roman" w:hAnsi="Times New Roman" w:cs="Times New Roman"/>
          <w:i/>
          <w:iCs/>
          <w:sz w:val="24"/>
          <w:szCs w:val="24"/>
        </w:rPr>
      </w:pPr>
      <w:r w:rsidRPr="003A2914">
        <w:rPr>
          <w:rFonts w:ascii="Times New Roman" w:hAnsi="Times New Roman" w:cs="Times New Roman"/>
          <w:i/>
          <w:iCs/>
          <w:sz w:val="24"/>
          <w:szCs w:val="24"/>
        </w:rPr>
        <w:t>Economical</w:t>
      </w:r>
    </w:p>
    <w:p w14:paraId="34C5B4B3" w14:textId="47F62621" w:rsidR="00886253" w:rsidRDefault="00886253" w:rsidP="00FB3A33">
      <w:pPr>
        <w:spacing w:line="360" w:lineRule="auto"/>
        <w:rPr>
          <w:rFonts w:ascii="Times New Roman" w:hAnsi="Times New Roman" w:cs="Times New Roman"/>
          <w:sz w:val="24"/>
          <w:szCs w:val="24"/>
        </w:rPr>
      </w:pPr>
      <w:r w:rsidRPr="00886253">
        <w:rPr>
          <w:rFonts w:ascii="Times New Roman" w:hAnsi="Times New Roman" w:cs="Times New Roman"/>
          <w:sz w:val="24"/>
          <w:szCs w:val="24"/>
        </w:rPr>
        <w:t>From an economic point of view, the proposed 65-billion-dollar merger of Unilever's food business with McCormick</w:t>
      </w:r>
      <w:r>
        <w:rPr>
          <w:rFonts w:ascii="Times New Roman" w:hAnsi="Times New Roman" w:cs="Times New Roman"/>
          <w:sz w:val="24"/>
          <w:szCs w:val="24"/>
        </w:rPr>
        <w:t>,</w:t>
      </w:r>
      <w:r w:rsidRPr="00886253">
        <w:rPr>
          <w:rFonts w:ascii="Times New Roman" w:hAnsi="Times New Roman" w:cs="Times New Roman"/>
          <w:sz w:val="24"/>
          <w:szCs w:val="24"/>
        </w:rPr>
        <w:t xml:space="preserve"> agreed in 2026</w:t>
      </w:r>
      <w:r w:rsidR="003A2914">
        <w:rPr>
          <w:rFonts w:ascii="Times New Roman" w:hAnsi="Times New Roman" w:cs="Times New Roman"/>
          <w:sz w:val="24"/>
          <w:szCs w:val="24"/>
        </w:rPr>
        <w:t>,</w:t>
      </w:r>
      <w:r w:rsidRPr="00886253">
        <w:rPr>
          <w:rFonts w:ascii="Times New Roman" w:hAnsi="Times New Roman" w:cs="Times New Roman"/>
          <w:sz w:val="24"/>
          <w:szCs w:val="24"/>
        </w:rPr>
        <w:t xml:space="preserve"> required HR to negotiate a two-year contract of protection for employees in all European operations, showing how important decisions on economic and corporate restructuring put HR managers in charge of managing employee anxiety, retention and legal obligations at the same </w:t>
      </w:r>
      <w:r w:rsidR="00187B45" w:rsidRPr="00886253">
        <w:rPr>
          <w:rFonts w:ascii="Times New Roman" w:hAnsi="Times New Roman" w:cs="Times New Roman"/>
          <w:sz w:val="24"/>
          <w:szCs w:val="24"/>
        </w:rPr>
        <w:t>time</w:t>
      </w:r>
      <w:r w:rsidR="00187B45">
        <w:rPr>
          <w:rFonts w:ascii="Times New Roman" w:hAnsi="Times New Roman" w:cs="Times New Roman"/>
          <w:sz w:val="24"/>
          <w:szCs w:val="24"/>
        </w:rPr>
        <w:t xml:space="preserve"> (</w:t>
      </w:r>
      <w:r w:rsidR="007E00B8" w:rsidRPr="007E00B8">
        <w:rPr>
          <w:rFonts w:ascii="Times New Roman" w:hAnsi="Times New Roman" w:cs="Times New Roman"/>
          <w:sz w:val="24"/>
          <w:szCs w:val="24"/>
        </w:rPr>
        <w:t>The Daily Record</w:t>
      </w:r>
      <w:r w:rsidR="007E00B8">
        <w:rPr>
          <w:rFonts w:ascii="Times New Roman" w:hAnsi="Times New Roman" w:cs="Times New Roman"/>
          <w:sz w:val="24"/>
          <w:szCs w:val="24"/>
        </w:rPr>
        <w:t xml:space="preserve">, </w:t>
      </w:r>
      <w:r w:rsidR="007E00B8" w:rsidRPr="007E00B8">
        <w:rPr>
          <w:rFonts w:ascii="Times New Roman" w:hAnsi="Times New Roman" w:cs="Times New Roman"/>
          <w:sz w:val="24"/>
          <w:szCs w:val="24"/>
        </w:rPr>
        <w:t>2026)</w:t>
      </w:r>
      <w:r w:rsidR="007E00B8">
        <w:rPr>
          <w:rFonts w:ascii="Times New Roman" w:hAnsi="Times New Roman" w:cs="Times New Roman"/>
          <w:sz w:val="24"/>
          <w:szCs w:val="24"/>
        </w:rPr>
        <w:t>.</w:t>
      </w:r>
      <w:r w:rsidR="007E00B8" w:rsidRPr="007E00B8">
        <w:rPr>
          <w:rFonts w:ascii="Times New Roman" w:hAnsi="Times New Roman" w:cs="Times New Roman"/>
          <w:sz w:val="24"/>
          <w:szCs w:val="24"/>
        </w:rPr>
        <w:t xml:space="preserve"> </w:t>
      </w:r>
    </w:p>
    <w:p w14:paraId="07CD6BE3" w14:textId="6EB3FC00" w:rsidR="003A2914" w:rsidRPr="003A2914" w:rsidRDefault="003A2914" w:rsidP="00FB3A33">
      <w:pPr>
        <w:spacing w:line="360" w:lineRule="auto"/>
        <w:rPr>
          <w:rFonts w:ascii="Times New Roman" w:hAnsi="Times New Roman" w:cs="Times New Roman"/>
          <w:i/>
          <w:iCs/>
          <w:sz w:val="24"/>
          <w:szCs w:val="24"/>
        </w:rPr>
      </w:pPr>
      <w:r w:rsidRPr="003A2914">
        <w:rPr>
          <w:rFonts w:ascii="Times New Roman" w:hAnsi="Times New Roman" w:cs="Times New Roman"/>
          <w:i/>
          <w:iCs/>
          <w:sz w:val="24"/>
          <w:szCs w:val="24"/>
        </w:rPr>
        <w:t xml:space="preserve">Social </w:t>
      </w:r>
    </w:p>
    <w:p w14:paraId="1215456A" w14:textId="77777777" w:rsidR="003A2914" w:rsidRDefault="003A2914" w:rsidP="00FB3A33">
      <w:pPr>
        <w:spacing w:line="360" w:lineRule="auto"/>
        <w:rPr>
          <w:rFonts w:ascii="Times New Roman" w:hAnsi="Times New Roman" w:cs="Times New Roman"/>
          <w:sz w:val="24"/>
          <w:szCs w:val="24"/>
        </w:rPr>
      </w:pPr>
      <w:r>
        <w:rPr>
          <w:rFonts w:ascii="Times New Roman" w:hAnsi="Times New Roman" w:cs="Times New Roman"/>
          <w:sz w:val="24"/>
          <w:szCs w:val="24"/>
        </w:rPr>
        <w:t>T</w:t>
      </w:r>
      <w:r w:rsidRPr="003A2914">
        <w:rPr>
          <w:rFonts w:ascii="Times New Roman" w:hAnsi="Times New Roman" w:cs="Times New Roman"/>
          <w:sz w:val="24"/>
          <w:szCs w:val="24"/>
        </w:rPr>
        <w:t xml:space="preserve">he Unilever scale, which </w:t>
      </w:r>
      <w:r>
        <w:rPr>
          <w:rFonts w:ascii="Times New Roman" w:hAnsi="Times New Roman" w:cs="Times New Roman"/>
          <w:sz w:val="24"/>
          <w:szCs w:val="24"/>
        </w:rPr>
        <w:t>spans 190 countries, means that HR managers must reconcile globally consistent corporate branding and diversity commitments with markedly different social norms across</w:t>
      </w:r>
      <w:r w:rsidRPr="003A2914">
        <w:rPr>
          <w:rFonts w:ascii="Times New Roman" w:hAnsi="Times New Roman" w:cs="Times New Roman"/>
          <w:sz w:val="24"/>
          <w:szCs w:val="24"/>
        </w:rPr>
        <w:t xml:space="preserve"> regions (Vilas Boas, 2024).</w:t>
      </w:r>
    </w:p>
    <w:p w14:paraId="7E1A8104" w14:textId="7779AE01" w:rsidR="003A2914" w:rsidRPr="003A2914" w:rsidRDefault="003A2914" w:rsidP="00FB3A33">
      <w:pPr>
        <w:spacing w:line="360" w:lineRule="auto"/>
        <w:rPr>
          <w:rFonts w:ascii="Times New Roman" w:hAnsi="Times New Roman" w:cs="Times New Roman"/>
          <w:sz w:val="24"/>
          <w:szCs w:val="24"/>
        </w:rPr>
      </w:pPr>
      <w:r w:rsidRPr="003A2914">
        <w:rPr>
          <w:rFonts w:ascii="Times New Roman" w:hAnsi="Times New Roman" w:cs="Times New Roman"/>
          <w:i/>
          <w:iCs/>
          <w:sz w:val="24"/>
          <w:szCs w:val="24"/>
        </w:rPr>
        <w:t xml:space="preserve"> Technological</w:t>
      </w:r>
    </w:p>
    <w:p w14:paraId="513A521D" w14:textId="0EFCD100" w:rsidR="003A2914" w:rsidRDefault="003A2914" w:rsidP="00FB3A33">
      <w:pPr>
        <w:spacing w:line="360" w:lineRule="auto"/>
        <w:rPr>
          <w:rFonts w:ascii="Times New Roman" w:hAnsi="Times New Roman" w:cs="Times New Roman"/>
          <w:sz w:val="24"/>
          <w:szCs w:val="24"/>
        </w:rPr>
      </w:pPr>
      <w:r>
        <w:rPr>
          <w:rFonts w:ascii="Times New Roman" w:hAnsi="Times New Roman" w:cs="Times New Roman"/>
          <w:sz w:val="24"/>
          <w:szCs w:val="24"/>
        </w:rPr>
        <w:t>The</w:t>
      </w:r>
      <w:r w:rsidRPr="003A2914">
        <w:rPr>
          <w:rFonts w:ascii="Times New Roman" w:hAnsi="Times New Roman" w:cs="Times New Roman"/>
          <w:sz w:val="24"/>
          <w:szCs w:val="24"/>
        </w:rPr>
        <w:t xml:space="preserve"> move to AI-enabled, gamified recruitment assessments used in the Future Leaders programme has enabled Unilever to process a very large number of applications while increasing the rate of completion and the diversity of candidates (</w:t>
      </w:r>
      <w:r w:rsidR="0048085E" w:rsidRPr="0048085E">
        <w:rPr>
          <w:rFonts w:ascii="Times New Roman" w:hAnsi="Times New Roman" w:cs="Times New Roman"/>
          <w:sz w:val="24"/>
          <w:szCs w:val="24"/>
        </w:rPr>
        <w:t>Bandara</w:t>
      </w:r>
      <w:r w:rsidR="0048085E">
        <w:rPr>
          <w:rFonts w:ascii="Times New Roman" w:hAnsi="Times New Roman" w:cs="Times New Roman"/>
          <w:sz w:val="24"/>
          <w:szCs w:val="24"/>
        </w:rPr>
        <w:t xml:space="preserve"> et al.,</w:t>
      </w:r>
      <w:r w:rsidR="0048085E" w:rsidRPr="0048085E">
        <w:rPr>
          <w:rFonts w:ascii="Times New Roman" w:hAnsi="Times New Roman" w:cs="Times New Roman"/>
          <w:sz w:val="24"/>
          <w:szCs w:val="24"/>
        </w:rPr>
        <w:t xml:space="preserve"> 2025</w:t>
      </w:r>
      <w:r w:rsidR="0048085E">
        <w:rPr>
          <w:rFonts w:ascii="Times New Roman" w:hAnsi="Times New Roman" w:cs="Times New Roman"/>
          <w:sz w:val="24"/>
          <w:szCs w:val="24"/>
        </w:rPr>
        <w:t>)</w:t>
      </w:r>
      <w:r w:rsidRPr="003A2914">
        <w:rPr>
          <w:rFonts w:ascii="Times New Roman" w:hAnsi="Times New Roman" w:cs="Times New Roman"/>
          <w:sz w:val="24"/>
          <w:szCs w:val="24"/>
        </w:rPr>
        <w:t xml:space="preserve">, but it also creates new legal and ethical requirements for HR managers to verify the fairness of the algorithms and avoid discriminatory bias in the automated screening process. </w:t>
      </w:r>
    </w:p>
    <w:p w14:paraId="01851BC4" w14:textId="0E5791A2" w:rsidR="003A2914" w:rsidRPr="003A2914" w:rsidRDefault="003A2914" w:rsidP="00FB3A33">
      <w:pPr>
        <w:spacing w:line="360" w:lineRule="auto"/>
        <w:rPr>
          <w:rFonts w:ascii="Times New Roman" w:hAnsi="Times New Roman" w:cs="Times New Roman"/>
          <w:i/>
          <w:iCs/>
          <w:sz w:val="24"/>
          <w:szCs w:val="24"/>
        </w:rPr>
      </w:pPr>
      <w:r w:rsidRPr="003A2914">
        <w:rPr>
          <w:rFonts w:ascii="Times New Roman" w:hAnsi="Times New Roman" w:cs="Times New Roman"/>
          <w:i/>
          <w:iCs/>
          <w:sz w:val="24"/>
          <w:szCs w:val="24"/>
        </w:rPr>
        <w:t>Legal</w:t>
      </w:r>
    </w:p>
    <w:p w14:paraId="7F3362DC" w14:textId="65746AC6" w:rsidR="003A2914" w:rsidRDefault="003A2914" w:rsidP="00FB3A33">
      <w:pPr>
        <w:spacing w:line="360" w:lineRule="auto"/>
        <w:rPr>
          <w:rFonts w:ascii="Times New Roman" w:hAnsi="Times New Roman" w:cs="Times New Roman"/>
          <w:sz w:val="24"/>
          <w:szCs w:val="24"/>
        </w:rPr>
      </w:pPr>
      <w:r w:rsidRPr="003A2914">
        <w:rPr>
          <w:rFonts w:ascii="Times New Roman" w:hAnsi="Times New Roman" w:cs="Times New Roman"/>
          <w:sz w:val="24"/>
          <w:szCs w:val="24"/>
        </w:rPr>
        <w:t xml:space="preserve">Unilever has to comply with a patchwork of labour laws in all its countries of operation, ranging from EU-level requirements enforced in part by its European Works Council to markedly different labour codes in Asia and Africa, and its 2026 global agreement with the trade unions to limit temporary employment demonstrates that HR managers actively shape </w:t>
      </w:r>
      <w:r w:rsidRPr="003A2914">
        <w:rPr>
          <w:rFonts w:ascii="Times New Roman" w:hAnsi="Times New Roman" w:cs="Times New Roman"/>
          <w:sz w:val="24"/>
          <w:szCs w:val="24"/>
        </w:rPr>
        <w:lastRenderedPageBreak/>
        <w:t>the legal and industrial relations risk rather than merely comply with it (Industrial Global Union, 2026).</w:t>
      </w:r>
    </w:p>
    <w:p w14:paraId="047EF764" w14:textId="57820A3E" w:rsidR="003A2914" w:rsidRPr="003A2914" w:rsidRDefault="003A2914" w:rsidP="00FB3A33">
      <w:pPr>
        <w:spacing w:line="360" w:lineRule="auto"/>
        <w:rPr>
          <w:rFonts w:ascii="Times New Roman" w:hAnsi="Times New Roman" w:cs="Times New Roman"/>
          <w:i/>
          <w:iCs/>
          <w:sz w:val="24"/>
          <w:szCs w:val="24"/>
        </w:rPr>
      </w:pPr>
      <w:r w:rsidRPr="003A2914">
        <w:rPr>
          <w:rFonts w:ascii="Times New Roman" w:hAnsi="Times New Roman" w:cs="Times New Roman"/>
          <w:i/>
          <w:iCs/>
          <w:sz w:val="24"/>
          <w:szCs w:val="24"/>
        </w:rPr>
        <w:t xml:space="preserve">Environmental </w:t>
      </w:r>
    </w:p>
    <w:p w14:paraId="5254C733" w14:textId="687B09A3" w:rsidR="003A2914" w:rsidRDefault="003A2914" w:rsidP="00FB3A33">
      <w:pPr>
        <w:spacing w:line="360" w:lineRule="auto"/>
        <w:rPr>
          <w:rFonts w:ascii="Times New Roman" w:hAnsi="Times New Roman" w:cs="Times New Roman"/>
          <w:sz w:val="24"/>
          <w:szCs w:val="24"/>
        </w:rPr>
      </w:pPr>
      <w:r>
        <w:rPr>
          <w:rFonts w:ascii="Times New Roman" w:hAnsi="Times New Roman" w:cs="Times New Roman"/>
          <w:sz w:val="24"/>
          <w:szCs w:val="24"/>
        </w:rPr>
        <w:t>Sustainability</w:t>
      </w:r>
      <w:r w:rsidRPr="003A2914">
        <w:rPr>
          <w:rFonts w:ascii="Times New Roman" w:hAnsi="Times New Roman" w:cs="Times New Roman"/>
          <w:sz w:val="24"/>
          <w:szCs w:val="24"/>
        </w:rPr>
        <w:t xml:space="preserve"> regulation increasingly affects reward structures and reporting obligations, requiring HR to link executive and employee incentives to environmental targets (CIPD, 2024).</w:t>
      </w:r>
    </w:p>
    <w:p w14:paraId="1645DC8B" w14:textId="4D3BAC1D" w:rsidR="003A2914" w:rsidRDefault="003A2914" w:rsidP="00FB3A33">
      <w:pPr>
        <w:spacing w:line="360" w:lineRule="auto"/>
        <w:rPr>
          <w:rFonts w:ascii="Times New Roman" w:hAnsi="Times New Roman" w:cs="Times New Roman"/>
          <w:sz w:val="24"/>
          <w:szCs w:val="24"/>
        </w:rPr>
      </w:pPr>
      <w:r w:rsidRPr="003A2914">
        <w:rPr>
          <w:rFonts w:ascii="Times New Roman" w:hAnsi="Times New Roman" w:cs="Times New Roman"/>
          <w:sz w:val="24"/>
          <w:szCs w:val="24"/>
        </w:rPr>
        <w:t xml:space="preserve">These environmental forces do not affect </w:t>
      </w:r>
      <w:r>
        <w:rPr>
          <w:rFonts w:ascii="Times New Roman" w:hAnsi="Times New Roman" w:cs="Times New Roman"/>
          <w:sz w:val="24"/>
          <w:szCs w:val="24"/>
        </w:rPr>
        <w:t>Unilever's activities in the same way; their impact varies</w:t>
      </w:r>
      <w:r w:rsidRPr="003A2914">
        <w:rPr>
          <w:rFonts w:ascii="Times New Roman" w:hAnsi="Times New Roman" w:cs="Times New Roman"/>
          <w:sz w:val="24"/>
          <w:szCs w:val="24"/>
        </w:rPr>
        <w:t xml:space="preserve"> significantly from country to country. Cultural differences shape employee-relationship practices: in markets with strong collectivistic traditions and established trade union structures, such as most of Western Europe, HR managers need to invest heavily in formal social dialogue and labour-market involvement, while in more individualistic markets with less union density, HR managers rely more on direct channels of communication, such as employee-led platforms (Torrington et al., 2020). Legal regulation also varies considerably: European employment law provides for strong collective consultation rights and protection of the works councils, as seen in the McCormick workers' protection agreement, while the regulatory environment in some emerging markets imposes fewer formal restrictions on restructuring but more informal reliance on relations with local authorities and community stakeholders (Marchington et al., 2025). Economic conditions further differentiate the practice of HR; in India, where Unilever has the largest concentration of employees, HR is required to manage cost-sensitive, </w:t>
      </w:r>
      <w:r>
        <w:rPr>
          <w:rFonts w:ascii="Times New Roman" w:hAnsi="Times New Roman" w:cs="Times New Roman"/>
          <w:sz w:val="24"/>
          <w:szCs w:val="24"/>
        </w:rPr>
        <w:t>high-volume</w:t>
      </w:r>
      <w:r w:rsidRPr="003A2914">
        <w:rPr>
          <w:rFonts w:ascii="Times New Roman" w:hAnsi="Times New Roman" w:cs="Times New Roman"/>
          <w:sz w:val="24"/>
          <w:szCs w:val="24"/>
        </w:rPr>
        <w:t xml:space="preserve"> recruitment and </w:t>
      </w:r>
      <w:r>
        <w:rPr>
          <w:rFonts w:ascii="Times New Roman" w:hAnsi="Times New Roman" w:cs="Times New Roman"/>
          <w:sz w:val="24"/>
          <w:szCs w:val="24"/>
        </w:rPr>
        <w:t>large-scale</w:t>
      </w:r>
      <w:r w:rsidRPr="003A2914">
        <w:rPr>
          <w:rFonts w:ascii="Times New Roman" w:hAnsi="Times New Roman" w:cs="Times New Roman"/>
          <w:sz w:val="24"/>
          <w:szCs w:val="24"/>
        </w:rPr>
        <w:t xml:space="preserve"> graduate programmes, while in more cost-sensitive markets like the US, HR faces greater pressure to compete for and retain specialised talent (Statista, 2025).</w:t>
      </w:r>
    </w:p>
    <w:p w14:paraId="056E159A" w14:textId="101FC117" w:rsidR="003A2914" w:rsidRDefault="003A2914" w:rsidP="00FB3A33">
      <w:pPr>
        <w:spacing w:line="360" w:lineRule="auto"/>
        <w:rPr>
          <w:rFonts w:ascii="Times New Roman" w:hAnsi="Times New Roman" w:cs="Times New Roman"/>
          <w:sz w:val="24"/>
          <w:szCs w:val="24"/>
        </w:rPr>
      </w:pPr>
      <w:r w:rsidRPr="003A2914">
        <w:rPr>
          <w:rFonts w:ascii="Times New Roman" w:hAnsi="Times New Roman" w:cs="Times New Roman"/>
          <w:sz w:val="24"/>
          <w:szCs w:val="24"/>
        </w:rPr>
        <w:t xml:space="preserve">These external effects are compounded by internal environmental factors. As the HR function </w:t>
      </w:r>
      <w:r w:rsidR="000C2794">
        <w:rPr>
          <w:rFonts w:ascii="Times New Roman" w:hAnsi="Times New Roman" w:cs="Times New Roman"/>
          <w:sz w:val="24"/>
          <w:szCs w:val="24"/>
        </w:rPr>
        <w:t>at Unilever is deliberately decentralised, the effectiveness of regional HR managers in responding to environmental change depends heavily</w:t>
      </w:r>
      <w:r w:rsidRPr="003A2914">
        <w:rPr>
          <w:rFonts w:ascii="Times New Roman" w:hAnsi="Times New Roman" w:cs="Times New Roman"/>
          <w:sz w:val="24"/>
          <w:szCs w:val="24"/>
        </w:rPr>
        <w:t xml:space="preserve"> on the resources, </w:t>
      </w:r>
      <w:r>
        <w:rPr>
          <w:rFonts w:ascii="Times New Roman" w:hAnsi="Times New Roman" w:cs="Times New Roman"/>
          <w:sz w:val="24"/>
          <w:szCs w:val="24"/>
        </w:rPr>
        <w:t>decision-making autonomy,</w:t>
      </w:r>
      <w:r w:rsidRPr="003A2914">
        <w:rPr>
          <w:rFonts w:ascii="Times New Roman" w:hAnsi="Times New Roman" w:cs="Times New Roman"/>
          <w:sz w:val="24"/>
          <w:szCs w:val="24"/>
        </w:rPr>
        <w:t xml:space="preserve"> and local market knowledge at their disposal (Armstrong </w:t>
      </w:r>
      <w:r>
        <w:rPr>
          <w:rFonts w:ascii="Times New Roman" w:hAnsi="Times New Roman" w:cs="Times New Roman"/>
          <w:sz w:val="24"/>
          <w:szCs w:val="24"/>
        </w:rPr>
        <w:t>&amp;</w:t>
      </w:r>
      <w:r w:rsidRPr="003A2914">
        <w:rPr>
          <w:rFonts w:ascii="Times New Roman" w:hAnsi="Times New Roman" w:cs="Times New Roman"/>
          <w:sz w:val="24"/>
          <w:szCs w:val="24"/>
        </w:rPr>
        <w:t xml:space="preserve"> Taylor, 2014). In </w:t>
      </w:r>
      <w:r>
        <w:rPr>
          <w:rFonts w:ascii="Times New Roman" w:hAnsi="Times New Roman" w:cs="Times New Roman"/>
          <w:sz w:val="24"/>
          <w:szCs w:val="24"/>
        </w:rPr>
        <w:t>fast-growing markets such as Brazil, currently the fastest-growing Unilever market, HR managers must balance rapid expansion with continuing compliance with Unilever's global standards of compliance and sustainability, while in more mature European markets,</w:t>
      </w:r>
      <w:r w:rsidRPr="003A2914">
        <w:rPr>
          <w:rFonts w:ascii="Times New Roman" w:hAnsi="Times New Roman" w:cs="Times New Roman"/>
          <w:sz w:val="24"/>
          <w:szCs w:val="24"/>
        </w:rPr>
        <w:t xml:space="preserve"> they spend a proportionate amount of time renegotiating established collective agreements in the context of restructuring. This internal variation in resources and autonomy, combined with the external factors of PESTLE, means that the effectiveness of HR managers in all of Unilever's </w:t>
      </w:r>
      <w:r w:rsidRPr="003A2914">
        <w:rPr>
          <w:rFonts w:ascii="Times New Roman" w:hAnsi="Times New Roman" w:cs="Times New Roman"/>
          <w:sz w:val="24"/>
          <w:szCs w:val="24"/>
        </w:rPr>
        <w:lastRenderedPageBreak/>
        <w:t>operations cannot be assessed against a single global benchmark but must instead be assessed in relation to the specific configuration of internal capacity and the external pressures that exist in each country.</w:t>
      </w:r>
    </w:p>
    <w:p w14:paraId="6B8EC4A7" w14:textId="5966E3E2" w:rsidR="003A2914" w:rsidRDefault="003A2914" w:rsidP="00FB3A33">
      <w:pPr>
        <w:spacing w:line="360" w:lineRule="auto"/>
        <w:rPr>
          <w:rFonts w:ascii="Times New Roman" w:hAnsi="Times New Roman" w:cs="Times New Roman"/>
          <w:sz w:val="24"/>
          <w:szCs w:val="24"/>
        </w:rPr>
      </w:pPr>
      <w:r w:rsidRPr="003A2914">
        <w:rPr>
          <w:rFonts w:ascii="Times New Roman" w:hAnsi="Times New Roman" w:cs="Times New Roman"/>
          <w:sz w:val="24"/>
          <w:szCs w:val="24"/>
        </w:rPr>
        <w:t>This variation illustrates a larger theoretical point: the effectiveness of HR managers is not only a function of designing a global HR policy, but also their ability to translate it in ways that remain locally legitimate. As Cross and Swart (2022) argue in relation to freelancing, traditional HRM assumptions based on standardised, organisational relations with work do not travel well across national contexts; the same caution applies when the single global HR model risks losing its relevance if it is not adapted to local political, legal, economic and cultural realities.</w:t>
      </w:r>
    </w:p>
    <w:p w14:paraId="77847FFB" w14:textId="221AA797" w:rsidR="003A2914" w:rsidRPr="003A2914" w:rsidRDefault="003A2914" w:rsidP="00FB3A33">
      <w:pPr>
        <w:spacing w:line="360" w:lineRule="auto"/>
        <w:rPr>
          <w:rFonts w:ascii="Times New Roman" w:hAnsi="Times New Roman" w:cs="Times New Roman"/>
          <w:b/>
          <w:bCs/>
          <w:sz w:val="24"/>
          <w:szCs w:val="24"/>
        </w:rPr>
      </w:pPr>
      <w:r w:rsidRPr="003A2914">
        <w:rPr>
          <w:rFonts w:ascii="Times New Roman" w:hAnsi="Times New Roman" w:cs="Times New Roman"/>
          <w:b/>
          <w:bCs/>
          <w:sz w:val="24"/>
          <w:szCs w:val="24"/>
        </w:rPr>
        <w:t>Conclusion</w:t>
      </w:r>
    </w:p>
    <w:p w14:paraId="47BB16B5" w14:textId="3C49BEE8" w:rsidR="003A2914" w:rsidRDefault="003A2914" w:rsidP="00FB3A33">
      <w:pPr>
        <w:spacing w:line="360" w:lineRule="auto"/>
        <w:rPr>
          <w:rFonts w:ascii="Times New Roman" w:hAnsi="Times New Roman" w:cs="Times New Roman"/>
          <w:sz w:val="24"/>
          <w:szCs w:val="24"/>
        </w:rPr>
      </w:pPr>
      <w:r w:rsidRPr="003A2914">
        <w:rPr>
          <w:rFonts w:ascii="Times New Roman" w:hAnsi="Times New Roman" w:cs="Times New Roman"/>
          <w:sz w:val="24"/>
          <w:szCs w:val="24"/>
        </w:rPr>
        <w:t>Human resources functions, in particular recruitment, training and development, performance management</w:t>
      </w:r>
      <w:r>
        <w:rPr>
          <w:rFonts w:ascii="Times New Roman" w:hAnsi="Times New Roman" w:cs="Times New Roman"/>
          <w:sz w:val="24"/>
          <w:szCs w:val="24"/>
        </w:rPr>
        <w:t>, and staff relations, are essential to an organisation's performance, but their performance is constantly shaped by political, economic, social, technological, legal,</w:t>
      </w:r>
      <w:r w:rsidRPr="003A2914">
        <w:rPr>
          <w:rFonts w:ascii="Times New Roman" w:hAnsi="Times New Roman" w:cs="Times New Roman"/>
          <w:sz w:val="24"/>
          <w:szCs w:val="24"/>
        </w:rPr>
        <w:t xml:space="preserve"> and environmental forces. The PESTLE analysis is a useful and structured way to understand these forces, but it works best when combined with internally focused tools</w:t>
      </w:r>
      <w:r w:rsidR="00BA6B05">
        <w:rPr>
          <w:rFonts w:ascii="Times New Roman" w:hAnsi="Times New Roman" w:cs="Times New Roman"/>
          <w:sz w:val="24"/>
          <w:szCs w:val="24"/>
        </w:rPr>
        <w:t>.</w:t>
      </w:r>
    </w:p>
    <w:p w14:paraId="72B673D4" w14:textId="736CEF71" w:rsidR="003A2914" w:rsidRDefault="003A2914" w:rsidP="00FB3A33">
      <w:pPr>
        <w:spacing w:line="360" w:lineRule="auto"/>
        <w:rPr>
          <w:rFonts w:ascii="Times New Roman" w:hAnsi="Times New Roman" w:cs="Times New Roman"/>
          <w:sz w:val="24"/>
          <w:szCs w:val="24"/>
        </w:rPr>
      </w:pPr>
      <w:r w:rsidRPr="003A2914">
        <w:rPr>
          <w:rFonts w:ascii="Times New Roman" w:hAnsi="Times New Roman" w:cs="Times New Roman"/>
          <w:sz w:val="24"/>
          <w:szCs w:val="24"/>
        </w:rPr>
        <w:t xml:space="preserve">The Unilever experience shows that global organisations </w:t>
      </w:r>
      <w:r w:rsidR="00BA6B05">
        <w:rPr>
          <w:rFonts w:ascii="Times New Roman" w:hAnsi="Times New Roman" w:cs="Times New Roman"/>
          <w:sz w:val="24"/>
          <w:szCs w:val="24"/>
        </w:rPr>
        <w:t xml:space="preserve">face </w:t>
      </w:r>
      <w:r w:rsidR="00BA6B05" w:rsidRPr="003A2914">
        <w:rPr>
          <w:rFonts w:ascii="Times New Roman" w:hAnsi="Times New Roman" w:cs="Times New Roman"/>
          <w:sz w:val="24"/>
          <w:szCs w:val="24"/>
        </w:rPr>
        <w:t>several</w:t>
      </w:r>
      <w:r w:rsidRPr="003A2914">
        <w:rPr>
          <w:rFonts w:ascii="Times New Roman" w:hAnsi="Times New Roman" w:cs="Times New Roman"/>
          <w:sz w:val="24"/>
          <w:szCs w:val="24"/>
        </w:rPr>
        <w:t xml:space="preserve"> overlapping national environments, each with its own legal regimes, cultural expectations and economic realities. Effective HR managers in these organisations therefore need to combine global consistency in </w:t>
      </w:r>
      <w:r>
        <w:rPr>
          <w:rFonts w:ascii="Times New Roman" w:hAnsi="Times New Roman" w:cs="Times New Roman"/>
          <w:sz w:val="24"/>
          <w:szCs w:val="24"/>
        </w:rPr>
        <w:t xml:space="preserve">company branding, technology platforms, and core human resources frameworks with genuine local adaptation in </w:t>
      </w:r>
      <w:r w:rsidRPr="003A2914">
        <w:rPr>
          <w:rFonts w:ascii="Times New Roman" w:hAnsi="Times New Roman" w:cs="Times New Roman"/>
          <w:sz w:val="24"/>
          <w:szCs w:val="24"/>
        </w:rPr>
        <w:t xml:space="preserve">employee relations, remuneration, and compliance practices. Looking ahead, HR managers in global </w:t>
      </w:r>
      <w:r>
        <w:rPr>
          <w:rFonts w:ascii="Times New Roman" w:hAnsi="Times New Roman" w:cs="Times New Roman"/>
          <w:sz w:val="24"/>
          <w:szCs w:val="24"/>
        </w:rPr>
        <w:t>organisations</w:t>
      </w:r>
      <w:r w:rsidRPr="003A2914">
        <w:rPr>
          <w:rFonts w:ascii="Times New Roman" w:hAnsi="Times New Roman" w:cs="Times New Roman"/>
          <w:sz w:val="24"/>
          <w:szCs w:val="24"/>
        </w:rPr>
        <w:t xml:space="preserve"> will face increasing environmental pressures: geopolitical instability, accelerating AI adoption in recruitment and performance management, tightening regulation of data protection and algorithmic liability, and growing expectations of sustainability and CSR. Building organisational and personal agility, together with a strong environmental screening capability and continued investment in internal human resources, will be essential if HR managers are to remain effective strategic partners in an increasingly volatile global business environment</w:t>
      </w:r>
      <w:r w:rsidR="00BA6B05">
        <w:rPr>
          <w:rFonts w:ascii="Times New Roman" w:hAnsi="Times New Roman" w:cs="Times New Roman"/>
          <w:sz w:val="24"/>
          <w:szCs w:val="24"/>
        </w:rPr>
        <w:t>.</w:t>
      </w:r>
    </w:p>
    <w:p w14:paraId="4531605D" w14:textId="77777777" w:rsidR="00BA6B05" w:rsidRDefault="00BA6B05" w:rsidP="00FB3A33">
      <w:pPr>
        <w:spacing w:line="360" w:lineRule="auto"/>
        <w:rPr>
          <w:rFonts w:ascii="Times New Roman" w:hAnsi="Times New Roman" w:cs="Times New Roman"/>
          <w:sz w:val="24"/>
          <w:szCs w:val="24"/>
        </w:rPr>
      </w:pPr>
    </w:p>
    <w:p w14:paraId="52EA6CDC" w14:textId="77777777" w:rsidR="00BA6B05" w:rsidRDefault="00BA6B05" w:rsidP="00FB3A33">
      <w:pPr>
        <w:spacing w:line="360" w:lineRule="auto"/>
        <w:rPr>
          <w:rFonts w:ascii="Times New Roman" w:hAnsi="Times New Roman" w:cs="Times New Roman"/>
          <w:sz w:val="24"/>
          <w:szCs w:val="24"/>
        </w:rPr>
      </w:pPr>
    </w:p>
    <w:p w14:paraId="09578FBA" w14:textId="77777777" w:rsidR="00BA6B05" w:rsidRDefault="00BA6B05" w:rsidP="00FB3A33">
      <w:pPr>
        <w:spacing w:line="360" w:lineRule="auto"/>
        <w:rPr>
          <w:rFonts w:ascii="Times New Roman" w:hAnsi="Times New Roman" w:cs="Times New Roman"/>
          <w:sz w:val="24"/>
          <w:szCs w:val="24"/>
        </w:rPr>
      </w:pPr>
    </w:p>
    <w:p w14:paraId="3421C317" w14:textId="56B7E5CB" w:rsidR="00BA6B05" w:rsidRDefault="00BA6B05" w:rsidP="00FB3A3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14:paraId="2A93C79E" w14:textId="2BD9ACDC" w:rsidR="00BA6B05" w:rsidRDefault="00BA6B05" w:rsidP="00BA6B05">
      <w:pPr>
        <w:spacing w:line="360" w:lineRule="auto"/>
        <w:rPr>
          <w:rFonts w:ascii="Times New Roman" w:hAnsi="Times New Roman" w:cs="Times New Roman"/>
          <w:sz w:val="24"/>
          <w:szCs w:val="24"/>
        </w:rPr>
      </w:pPr>
      <w:r w:rsidRPr="00BA6B05">
        <w:rPr>
          <w:rFonts w:ascii="Times New Roman" w:hAnsi="Times New Roman" w:cs="Times New Roman"/>
          <w:sz w:val="24"/>
          <w:szCs w:val="24"/>
        </w:rPr>
        <w:t xml:space="preserve">Armstrong, M. </w:t>
      </w:r>
      <w:r>
        <w:rPr>
          <w:rFonts w:ascii="Times New Roman" w:hAnsi="Times New Roman" w:cs="Times New Roman"/>
          <w:sz w:val="24"/>
          <w:szCs w:val="24"/>
        </w:rPr>
        <w:t>&amp;</w:t>
      </w:r>
      <w:r w:rsidRPr="00BA6B05">
        <w:rPr>
          <w:rFonts w:ascii="Times New Roman" w:hAnsi="Times New Roman" w:cs="Times New Roman"/>
          <w:sz w:val="24"/>
          <w:szCs w:val="24"/>
        </w:rPr>
        <w:t xml:space="preserve"> Taylor, S. (2014)</w:t>
      </w:r>
      <w:r>
        <w:rPr>
          <w:rFonts w:ascii="Times New Roman" w:hAnsi="Times New Roman" w:cs="Times New Roman"/>
          <w:sz w:val="24"/>
          <w:szCs w:val="24"/>
        </w:rPr>
        <w:t>.</w:t>
      </w:r>
      <w:r w:rsidRPr="00BA6B05">
        <w:rPr>
          <w:rFonts w:ascii="Times New Roman" w:hAnsi="Times New Roman" w:cs="Times New Roman"/>
          <w:sz w:val="24"/>
          <w:szCs w:val="24"/>
        </w:rPr>
        <w:t xml:space="preserve"> </w:t>
      </w:r>
      <w:r w:rsidRPr="00BA6B05">
        <w:rPr>
          <w:rFonts w:ascii="Times New Roman" w:hAnsi="Times New Roman" w:cs="Times New Roman"/>
          <w:i/>
          <w:iCs/>
          <w:sz w:val="24"/>
          <w:szCs w:val="24"/>
        </w:rPr>
        <w:t>Armstrong's Handbook of Human Resource Management Practice</w:t>
      </w:r>
      <w:r w:rsidRPr="00BA6B05">
        <w:rPr>
          <w:rFonts w:ascii="Times New Roman" w:hAnsi="Times New Roman" w:cs="Times New Roman"/>
          <w:sz w:val="24"/>
          <w:szCs w:val="24"/>
        </w:rPr>
        <w:t>. 13th ed</w:t>
      </w:r>
      <w:r>
        <w:rPr>
          <w:rFonts w:ascii="Times New Roman" w:hAnsi="Times New Roman" w:cs="Times New Roman"/>
          <w:sz w:val="24"/>
          <w:szCs w:val="24"/>
        </w:rPr>
        <w:t>itio</w:t>
      </w:r>
      <w:r w:rsidRPr="00BA6B05">
        <w:rPr>
          <w:rFonts w:ascii="Times New Roman" w:hAnsi="Times New Roman" w:cs="Times New Roman"/>
          <w:sz w:val="24"/>
          <w:szCs w:val="24"/>
        </w:rPr>
        <w:t>n. London: Kogan Page.</w:t>
      </w:r>
    </w:p>
    <w:p w14:paraId="0A9B6390" w14:textId="24218E13" w:rsidR="00057A8E" w:rsidRPr="00BA6B05" w:rsidRDefault="00057A8E" w:rsidP="00BA6B05">
      <w:pPr>
        <w:spacing w:line="360" w:lineRule="auto"/>
        <w:rPr>
          <w:rFonts w:ascii="Times New Roman" w:hAnsi="Times New Roman" w:cs="Times New Roman"/>
          <w:sz w:val="24"/>
          <w:szCs w:val="24"/>
        </w:rPr>
      </w:pPr>
      <w:r w:rsidRPr="00057A8E">
        <w:rPr>
          <w:rFonts w:ascii="Times New Roman" w:hAnsi="Times New Roman" w:cs="Times New Roman"/>
          <w:sz w:val="24"/>
          <w:szCs w:val="24"/>
        </w:rPr>
        <w:t xml:space="preserve">Bandara, R., Biswas, K., Akter, S., Shafique, S. </w:t>
      </w:r>
      <w:r w:rsidR="006A0B17">
        <w:rPr>
          <w:rFonts w:ascii="Times New Roman" w:hAnsi="Times New Roman" w:cs="Times New Roman"/>
          <w:sz w:val="24"/>
          <w:szCs w:val="24"/>
        </w:rPr>
        <w:t>&amp;</w:t>
      </w:r>
      <w:r w:rsidRPr="00057A8E">
        <w:rPr>
          <w:rFonts w:ascii="Times New Roman" w:hAnsi="Times New Roman" w:cs="Times New Roman"/>
          <w:sz w:val="24"/>
          <w:szCs w:val="24"/>
        </w:rPr>
        <w:t xml:space="preserve"> Rahman, M. (2025)</w:t>
      </w:r>
      <w:r w:rsidR="006A0B17">
        <w:rPr>
          <w:rFonts w:ascii="Times New Roman" w:hAnsi="Times New Roman" w:cs="Times New Roman"/>
          <w:sz w:val="24"/>
          <w:szCs w:val="24"/>
        </w:rPr>
        <w:t>.</w:t>
      </w:r>
      <w:r w:rsidRPr="00057A8E">
        <w:rPr>
          <w:rFonts w:ascii="Times New Roman" w:hAnsi="Times New Roman" w:cs="Times New Roman"/>
          <w:sz w:val="24"/>
          <w:szCs w:val="24"/>
        </w:rPr>
        <w:t xml:space="preserve"> 'Addressing algorithmic bias in AI-driven HRM systems: Implications for strategic HRM effectiveness', </w:t>
      </w:r>
      <w:r w:rsidRPr="006A0B17">
        <w:rPr>
          <w:rFonts w:ascii="Times New Roman" w:hAnsi="Times New Roman" w:cs="Times New Roman"/>
          <w:i/>
          <w:iCs/>
          <w:sz w:val="24"/>
          <w:szCs w:val="24"/>
        </w:rPr>
        <w:t>Human Resource Management Journal</w:t>
      </w:r>
      <w:r w:rsidRPr="00057A8E">
        <w:rPr>
          <w:rFonts w:ascii="Times New Roman" w:hAnsi="Times New Roman" w:cs="Times New Roman"/>
          <w:sz w:val="24"/>
          <w:szCs w:val="24"/>
        </w:rPr>
        <w:t>, 35(4), pp. 1047–1063.</w:t>
      </w:r>
      <w:r w:rsidR="00632402">
        <w:rPr>
          <w:rFonts w:ascii="Times New Roman" w:hAnsi="Times New Roman" w:cs="Times New Roman"/>
          <w:sz w:val="24"/>
          <w:szCs w:val="24"/>
        </w:rPr>
        <w:t xml:space="preserve"> </w:t>
      </w:r>
      <w:hyperlink r:id="rId7" w:history="1">
        <w:r w:rsidR="00632402" w:rsidRPr="001F5906">
          <w:rPr>
            <w:rStyle w:val="Hyperlink"/>
            <w:rFonts w:ascii="Times New Roman" w:hAnsi="Times New Roman" w:cs="Times New Roman"/>
            <w:sz w:val="24"/>
            <w:szCs w:val="24"/>
          </w:rPr>
          <w:t>https://doi.org/10.1111/1748-8583.12609</w:t>
        </w:r>
      </w:hyperlink>
      <w:r w:rsidR="00632402">
        <w:rPr>
          <w:rFonts w:ascii="Times New Roman" w:hAnsi="Times New Roman" w:cs="Times New Roman"/>
          <w:sz w:val="24"/>
          <w:szCs w:val="24"/>
        </w:rPr>
        <w:t xml:space="preserve"> </w:t>
      </w:r>
    </w:p>
    <w:p w14:paraId="025DC893" w14:textId="22E9E311" w:rsidR="00BA6B05" w:rsidRPr="00BA6B05" w:rsidRDefault="00BA6B05" w:rsidP="00BA6B05">
      <w:pPr>
        <w:spacing w:line="360" w:lineRule="auto"/>
        <w:rPr>
          <w:rFonts w:ascii="Times New Roman" w:hAnsi="Times New Roman" w:cs="Times New Roman"/>
          <w:sz w:val="24"/>
          <w:szCs w:val="24"/>
        </w:rPr>
      </w:pPr>
      <w:r w:rsidRPr="00BA6B05">
        <w:rPr>
          <w:rFonts w:ascii="Times New Roman" w:hAnsi="Times New Roman" w:cs="Times New Roman"/>
          <w:sz w:val="24"/>
          <w:szCs w:val="24"/>
        </w:rPr>
        <w:t xml:space="preserve">CIPD (2024) </w:t>
      </w:r>
      <w:r w:rsidRPr="00BA6B05">
        <w:rPr>
          <w:rFonts w:ascii="Times New Roman" w:hAnsi="Times New Roman" w:cs="Times New Roman"/>
          <w:i/>
          <w:iCs/>
          <w:sz w:val="24"/>
          <w:szCs w:val="24"/>
        </w:rPr>
        <w:t>PESTLE analysis factsheet</w:t>
      </w:r>
      <w:r w:rsidRPr="00BA6B05">
        <w:rPr>
          <w:rFonts w:ascii="Times New Roman" w:hAnsi="Times New Roman" w:cs="Times New Roman"/>
          <w:sz w:val="24"/>
          <w:szCs w:val="24"/>
        </w:rPr>
        <w:t>.</w:t>
      </w:r>
      <w:r>
        <w:rPr>
          <w:rFonts w:ascii="Times New Roman" w:hAnsi="Times New Roman" w:cs="Times New Roman"/>
          <w:sz w:val="24"/>
          <w:szCs w:val="24"/>
        </w:rPr>
        <w:t xml:space="preserve"> Online, </w:t>
      </w:r>
      <w:r w:rsidRPr="00BA6B05">
        <w:rPr>
          <w:rFonts w:ascii="Times New Roman" w:hAnsi="Times New Roman" w:cs="Times New Roman"/>
          <w:sz w:val="24"/>
          <w:szCs w:val="24"/>
        </w:rPr>
        <w:t xml:space="preserve">Available at: </w:t>
      </w:r>
      <w:hyperlink r:id="rId8" w:history="1">
        <w:r w:rsidRPr="004E3720">
          <w:rPr>
            <w:rStyle w:val="Hyperlink"/>
            <w:rFonts w:ascii="Times New Roman" w:hAnsi="Times New Roman" w:cs="Times New Roman"/>
            <w:sz w:val="24"/>
            <w:szCs w:val="24"/>
          </w:rPr>
          <w:t>https://www.cipd.org/en/knowledge/factsheets/pestle-analysis-factsheet/</w:t>
        </w:r>
      </w:hyperlink>
      <w:r>
        <w:rPr>
          <w:rFonts w:ascii="Times New Roman" w:hAnsi="Times New Roman" w:cs="Times New Roman"/>
          <w:sz w:val="24"/>
          <w:szCs w:val="24"/>
        </w:rPr>
        <w:t xml:space="preserve"> </w:t>
      </w:r>
      <w:r w:rsidRPr="00BA6B05">
        <w:rPr>
          <w:rFonts w:ascii="Times New Roman" w:hAnsi="Times New Roman" w:cs="Times New Roman"/>
          <w:sz w:val="24"/>
          <w:szCs w:val="24"/>
        </w:rPr>
        <w:t xml:space="preserve"> (Accessed: 2 August 2026).</w:t>
      </w:r>
    </w:p>
    <w:p w14:paraId="62E47083" w14:textId="20961205" w:rsidR="00BA6B05" w:rsidRPr="00BA6B05" w:rsidRDefault="00BA6B05" w:rsidP="00BA6B05">
      <w:pPr>
        <w:spacing w:line="360" w:lineRule="auto"/>
        <w:rPr>
          <w:rFonts w:ascii="Times New Roman" w:hAnsi="Times New Roman" w:cs="Times New Roman"/>
          <w:sz w:val="24"/>
          <w:szCs w:val="24"/>
        </w:rPr>
      </w:pPr>
      <w:r w:rsidRPr="00BA6B05">
        <w:rPr>
          <w:rFonts w:ascii="Times New Roman" w:hAnsi="Times New Roman" w:cs="Times New Roman"/>
          <w:sz w:val="24"/>
          <w:szCs w:val="24"/>
        </w:rPr>
        <w:t xml:space="preserve">CNBC (2026) </w:t>
      </w:r>
      <w:r w:rsidRPr="00BA6B05">
        <w:rPr>
          <w:rFonts w:ascii="Times New Roman" w:hAnsi="Times New Roman" w:cs="Times New Roman"/>
          <w:i/>
          <w:iCs/>
          <w:sz w:val="24"/>
          <w:szCs w:val="24"/>
        </w:rPr>
        <w:t xml:space="preserve">'Unilever enforces global hiring pause due to </w:t>
      </w:r>
      <w:r>
        <w:rPr>
          <w:rFonts w:ascii="Times New Roman" w:hAnsi="Times New Roman" w:cs="Times New Roman"/>
          <w:i/>
          <w:iCs/>
          <w:sz w:val="24"/>
          <w:szCs w:val="24"/>
        </w:rPr>
        <w:t>'significant challenges'</w:t>
      </w:r>
      <w:r w:rsidRPr="00BA6B05">
        <w:rPr>
          <w:rFonts w:ascii="Times New Roman" w:hAnsi="Times New Roman" w:cs="Times New Roman"/>
          <w:i/>
          <w:iCs/>
          <w:sz w:val="24"/>
          <w:szCs w:val="24"/>
        </w:rPr>
        <w:t xml:space="preserve"> amid Middle East conflict'</w:t>
      </w:r>
      <w:r w:rsidRPr="00BA6B05">
        <w:rPr>
          <w:rFonts w:ascii="Times New Roman" w:hAnsi="Times New Roman" w:cs="Times New Roman"/>
          <w:sz w:val="24"/>
          <w:szCs w:val="24"/>
        </w:rPr>
        <w:t xml:space="preserve">, </w:t>
      </w:r>
      <w:r>
        <w:rPr>
          <w:rFonts w:ascii="Times New Roman" w:hAnsi="Times New Roman" w:cs="Times New Roman"/>
          <w:sz w:val="24"/>
          <w:szCs w:val="24"/>
        </w:rPr>
        <w:t>Online</w:t>
      </w:r>
      <w:r w:rsidRPr="00BA6B05">
        <w:rPr>
          <w:rFonts w:ascii="Times New Roman" w:hAnsi="Times New Roman" w:cs="Times New Roman"/>
          <w:sz w:val="24"/>
          <w:szCs w:val="24"/>
        </w:rPr>
        <w:t xml:space="preserve">. Available at: </w:t>
      </w:r>
      <w:hyperlink r:id="rId9" w:history="1">
        <w:r w:rsidRPr="004E3720">
          <w:rPr>
            <w:rStyle w:val="Hyperlink"/>
            <w:rFonts w:ascii="Times New Roman" w:hAnsi="Times New Roman" w:cs="Times New Roman"/>
            <w:sz w:val="24"/>
            <w:szCs w:val="24"/>
          </w:rPr>
          <w:t>https://www.cnbc.com/2026/03/31/unilever-global-hiring-pause-us-iran-war-challenges-.html</w:t>
        </w:r>
      </w:hyperlink>
      <w:r>
        <w:rPr>
          <w:rFonts w:ascii="Times New Roman" w:hAnsi="Times New Roman" w:cs="Times New Roman"/>
          <w:sz w:val="24"/>
          <w:szCs w:val="24"/>
        </w:rPr>
        <w:t xml:space="preserve"> </w:t>
      </w:r>
      <w:r w:rsidRPr="00BA6B05">
        <w:rPr>
          <w:rFonts w:ascii="Times New Roman" w:hAnsi="Times New Roman" w:cs="Times New Roman"/>
          <w:sz w:val="24"/>
          <w:szCs w:val="24"/>
        </w:rPr>
        <w:t xml:space="preserve"> (Accessed: 2 August 2026).</w:t>
      </w:r>
    </w:p>
    <w:p w14:paraId="70BD4BDF" w14:textId="69F3992E" w:rsidR="00BA6B05" w:rsidRPr="00BA6B05" w:rsidRDefault="00BA6B05" w:rsidP="00BA6B05">
      <w:pPr>
        <w:spacing w:line="360" w:lineRule="auto"/>
        <w:rPr>
          <w:rFonts w:ascii="Times New Roman" w:hAnsi="Times New Roman" w:cs="Times New Roman"/>
          <w:sz w:val="24"/>
          <w:szCs w:val="24"/>
        </w:rPr>
      </w:pPr>
      <w:r w:rsidRPr="00BA6B05">
        <w:rPr>
          <w:rFonts w:ascii="Times New Roman" w:hAnsi="Times New Roman" w:cs="Times New Roman"/>
          <w:sz w:val="24"/>
          <w:szCs w:val="24"/>
        </w:rPr>
        <w:t xml:space="preserve">Cross, D. </w:t>
      </w:r>
      <w:r>
        <w:rPr>
          <w:rFonts w:ascii="Times New Roman" w:hAnsi="Times New Roman" w:cs="Times New Roman"/>
          <w:sz w:val="24"/>
          <w:szCs w:val="24"/>
        </w:rPr>
        <w:t>&amp;</w:t>
      </w:r>
      <w:r w:rsidRPr="00BA6B05">
        <w:rPr>
          <w:rFonts w:ascii="Times New Roman" w:hAnsi="Times New Roman" w:cs="Times New Roman"/>
          <w:sz w:val="24"/>
          <w:szCs w:val="24"/>
        </w:rPr>
        <w:t xml:space="preserve"> Swart, J. (2022)</w:t>
      </w:r>
      <w:r>
        <w:rPr>
          <w:rFonts w:ascii="Times New Roman" w:hAnsi="Times New Roman" w:cs="Times New Roman"/>
          <w:sz w:val="24"/>
          <w:szCs w:val="24"/>
        </w:rPr>
        <w:t>.</w:t>
      </w:r>
      <w:r w:rsidRPr="00BA6B05">
        <w:rPr>
          <w:rFonts w:ascii="Times New Roman" w:hAnsi="Times New Roman" w:cs="Times New Roman"/>
          <w:sz w:val="24"/>
          <w:szCs w:val="24"/>
        </w:rPr>
        <w:t xml:space="preserve"> 'The (</w:t>
      </w:r>
      <w:proofErr w:type="spellStart"/>
      <w:r w:rsidRPr="00BA6B05">
        <w:rPr>
          <w:rFonts w:ascii="Times New Roman" w:hAnsi="Times New Roman" w:cs="Times New Roman"/>
          <w:sz w:val="24"/>
          <w:szCs w:val="24"/>
        </w:rPr>
        <w:t>i</w:t>
      </w:r>
      <w:r>
        <w:rPr>
          <w:rFonts w:ascii="Times New Roman" w:hAnsi="Times New Roman" w:cs="Times New Roman"/>
          <w:sz w:val="24"/>
          <w:szCs w:val="24"/>
        </w:rPr>
        <w:t>r</w:t>
      </w:r>
      <w:proofErr w:type="spellEnd"/>
      <w:r w:rsidRPr="00BA6B05">
        <w:rPr>
          <w:rFonts w:ascii="Times New Roman" w:hAnsi="Times New Roman" w:cs="Times New Roman"/>
          <w:sz w:val="24"/>
          <w:szCs w:val="24"/>
        </w:rPr>
        <w:t xml:space="preserve">)relevance of human resource management in independent work: Challenging assumptions', </w:t>
      </w:r>
      <w:r w:rsidRPr="00BA6B05">
        <w:rPr>
          <w:rFonts w:ascii="Times New Roman" w:hAnsi="Times New Roman" w:cs="Times New Roman"/>
          <w:i/>
          <w:iCs/>
          <w:sz w:val="24"/>
          <w:szCs w:val="24"/>
        </w:rPr>
        <w:t>Human Resource Management Journal</w:t>
      </w:r>
      <w:r w:rsidRPr="00BA6B05">
        <w:rPr>
          <w:rFonts w:ascii="Times New Roman" w:hAnsi="Times New Roman" w:cs="Times New Roman"/>
          <w:sz w:val="24"/>
          <w:szCs w:val="24"/>
        </w:rPr>
        <w:t>, 32(1), pp. 232–246.</w:t>
      </w:r>
      <w:r>
        <w:rPr>
          <w:rFonts w:ascii="Times New Roman" w:hAnsi="Times New Roman" w:cs="Times New Roman"/>
          <w:sz w:val="24"/>
          <w:szCs w:val="24"/>
        </w:rPr>
        <w:t xml:space="preserve"> </w:t>
      </w:r>
      <w:hyperlink r:id="rId10" w:history="1">
        <w:r w:rsidRPr="004E3720">
          <w:rPr>
            <w:rStyle w:val="Hyperlink"/>
            <w:rFonts w:ascii="Times New Roman" w:hAnsi="Times New Roman" w:cs="Times New Roman"/>
            <w:sz w:val="24"/>
            <w:szCs w:val="24"/>
          </w:rPr>
          <w:t>https://doi.org/10.1111/1748-8583.12389</w:t>
        </w:r>
      </w:hyperlink>
      <w:r>
        <w:rPr>
          <w:rFonts w:ascii="Times New Roman" w:hAnsi="Times New Roman" w:cs="Times New Roman"/>
          <w:sz w:val="24"/>
          <w:szCs w:val="24"/>
        </w:rPr>
        <w:t xml:space="preserve"> </w:t>
      </w:r>
    </w:p>
    <w:p w14:paraId="2914ABA4" w14:textId="44FB6EF8" w:rsidR="00BA6B05" w:rsidRPr="00BA6B05" w:rsidRDefault="00BA6B05" w:rsidP="00BA6B05">
      <w:pPr>
        <w:spacing w:line="360" w:lineRule="auto"/>
        <w:rPr>
          <w:rFonts w:ascii="Times New Roman" w:hAnsi="Times New Roman" w:cs="Times New Roman"/>
          <w:sz w:val="24"/>
          <w:szCs w:val="24"/>
        </w:rPr>
      </w:pPr>
      <w:r>
        <w:rPr>
          <w:rFonts w:ascii="Times New Roman" w:hAnsi="Times New Roman" w:cs="Times New Roman"/>
          <w:sz w:val="24"/>
          <w:szCs w:val="24"/>
        </w:rPr>
        <w:t>Industrial</w:t>
      </w:r>
      <w:r w:rsidRPr="00BA6B05">
        <w:rPr>
          <w:rFonts w:ascii="Times New Roman" w:hAnsi="Times New Roman" w:cs="Times New Roman"/>
          <w:sz w:val="24"/>
          <w:szCs w:val="24"/>
        </w:rPr>
        <w:t xml:space="preserve"> Global Union (2026)</w:t>
      </w:r>
      <w:r>
        <w:rPr>
          <w:rFonts w:ascii="Times New Roman" w:hAnsi="Times New Roman" w:cs="Times New Roman"/>
          <w:sz w:val="24"/>
          <w:szCs w:val="24"/>
        </w:rPr>
        <w:t>.</w:t>
      </w:r>
      <w:r w:rsidRPr="00BA6B05">
        <w:rPr>
          <w:rFonts w:ascii="Times New Roman" w:hAnsi="Times New Roman" w:cs="Times New Roman"/>
          <w:sz w:val="24"/>
          <w:szCs w:val="24"/>
        </w:rPr>
        <w:t xml:space="preserve"> </w:t>
      </w:r>
      <w:r w:rsidRPr="00BA6B05">
        <w:rPr>
          <w:rFonts w:ascii="Times New Roman" w:hAnsi="Times New Roman" w:cs="Times New Roman"/>
          <w:i/>
          <w:iCs/>
          <w:sz w:val="24"/>
          <w:szCs w:val="24"/>
        </w:rPr>
        <w:t>Unilever and global unions sign an agreement to restrict temporary jobs.</w:t>
      </w:r>
      <w:r w:rsidRPr="00BA6B05">
        <w:rPr>
          <w:rFonts w:ascii="Times New Roman" w:hAnsi="Times New Roman" w:cs="Times New Roman"/>
          <w:sz w:val="24"/>
          <w:szCs w:val="24"/>
        </w:rPr>
        <w:t xml:space="preserve"> Available at: </w:t>
      </w:r>
      <w:hyperlink r:id="rId11" w:history="1">
        <w:r w:rsidRPr="004E3720">
          <w:rPr>
            <w:rStyle w:val="Hyperlink"/>
            <w:rFonts w:ascii="Times New Roman" w:hAnsi="Times New Roman" w:cs="Times New Roman"/>
            <w:sz w:val="24"/>
            <w:szCs w:val="24"/>
          </w:rPr>
          <w:t>https://admin.industriall-union.org/unilever-and-global-unions-sign-agreement-to-restrict-temporary-jobs/</w:t>
        </w:r>
      </w:hyperlink>
      <w:r>
        <w:rPr>
          <w:rFonts w:ascii="Times New Roman" w:hAnsi="Times New Roman" w:cs="Times New Roman"/>
          <w:sz w:val="24"/>
          <w:szCs w:val="24"/>
        </w:rPr>
        <w:t xml:space="preserve"> </w:t>
      </w:r>
      <w:r w:rsidRPr="00BA6B05">
        <w:rPr>
          <w:rFonts w:ascii="Times New Roman" w:hAnsi="Times New Roman" w:cs="Times New Roman"/>
          <w:sz w:val="24"/>
          <w:szCs w:val="24"/>
        </w:rPr>
        <w:t xml:space="preserve"> (Accessed: 2 August 2026).</w:t>
      </w:r>
    </w:p>
    <w:p w14:paraId="19096F59" w14:textId="577D026B" w:rsidR="00BA6B05" w:rsidRPr="00BA6B05" w:rsidRDefault="00BA6B05" w:rsidP="00BA6B05">
      <w:pPr>
        <w:spacing w:line="360" w:lineRule="auto"/>
        <w:rPr>
          <w:rFonts w:ascii="Times New Roman" w:hAnsi="Times New Roman" w:cs="Times New Roman"/>
          <w:sz w:val="24"/>
          <w:szCs w:val="24"/>
        </w:rPr>
      </w:pPr>
      <w:r w:rsidRPr="00BA6B05">
        <w:rPr>
          <w:rFonts w:ascii="Times New Roman" w:hAnsi="Times New Roman" w:cs="Times New Roman"/>
          <w:sz w:val="24"/>
          <w:szCs w:val="24"/>
        </w:rPr>
        <w:t xml:space="preserve">Marchington, M., Wilkinson, A., Donnelly, R. </w:t>
      </w:r>
      <w:r>
        <w:rPr>
          <w:rFonts w:ascii="Times New Roman" w:hAnsi="Times New Roman" w:cs="Times New Roman"/>
          <w:sz w:val="24"/>
          <w:szCs w:val="24"/>
        </w:rPr>
        <w:t>&amp;</w:t>
      </w:r>
      <w:r w:rsidRPr="00BA6B05">
        <w:rPr>
          <w:rFonts w:ascii="Times New Roman" w:hAnsi="Times New Roman" w:cs="Times New Roman"/>
          <w:sz w:val="24"/>
          <w:szCs w:val="24"/>
        </w:rPr>
        <w:t xml:space="preserve"> </w:t>
      </w:r>
      <w:proofErr w:type="spellStart"/>
      <w:r w:rsidRPr="00BA6B05">
        <w:rPr>
          <w:rFonts w:ascii="Times New Roman" w:hAnsi="Times New Roman" w:cs="Times New Roman"/>
          <w:sz w:val="24"/>
          <w:szCs w:val="24"/>
        </w:rPr>
        <w:t>Kynighou</w:t>
      </w:r>
      <w:proofErr w:type="spellEnd"/>
      <w:r w:rsidRPr="00BA6B05">
        <w:rPr>
          <w:rFonts w:ascii="Times New Roman" w:hAnsi="Times New Roman" w:cs="Times New Roman"/>
          <w:sz w:val="24"/>
          <w:szCs w:val="24"/>
        </w:rPr>
        <w:t>, A. (2025)</w:t>
      </w:r>
      <w:r>
        <w:rPr>
          <w:rFonts w:ascii="Times New Roman" w:hAnsi="Times New Roman" w:cs="Times New Roman"/>
          <w:sz w:val="24"/>
          <w:szCs w:val="24"/>
        </w:rPr>
        <w:t>.</w:t>
      </w:r>
      <w:r w:rsidRPr="00BA6B05">
        <w:rPr>
          <w:rFonts w:ascii="Times New Roman" w:hAnsi="Times New Roman" w:cs="Times New Roman"/>
          <w:sz w:val="24"/>
          <w:szCs w:val="24"/>
        </w:rPr>
        <w:t xml:space="preserve"> </w:t>
      </w:r>
      <w:r w:rsidRPr="00BA6B05">
        <w:rPr>
          <w:rFonts w:ascii="Times New Roman" w:hAnsi="Times New Roman" w:cs="Times New Roman"/>
          <w:i/>
          <w:iCs/>
          <w:sz w:val="24"/>
          <w:szCs w:val="24"/>
        </w:rPr>
        <w:t>Human Resource Management at Work: The Definitive Guide</w:t>
      </w:r>
      <w:r w:rsidRPr="00BA6B05">
        <w:rPr>
          <w:rFonts w:ascii="Times New Roman" w:hAnsi="Times New Roman" w:cs="Times New Roman"/>
          <w:sz w:val="24"/>
          <w:szCs w:val="24"/>
        </w:rPr>
        <w:t>. 8th ed</w:t>
      </w:r>
      <w:r>
        <w:rPr>
          <w:rFonts w:ascii="Times New Roman" w:hAnsi="Times New Roman" w:cs="Times New Roman"/>
          <w:sz w:val="24"/>
          <w:szCs w:val="24"/>
        </w:rPr>
        <w:t>itio</w:t>
      </w:r>
      <w:r w:rsidRPr="00BA6B05">
        <w:rPr>
          <w:rFonts w:ascii="Times New Roman" w:hAnsi="Times New Roman" w:cs="Times New Roman"/>
          <w:sz w:val="24"/>
          <w:szCs w:val="24"/>
        </w:rPr>
        <w:t>n. London: Kogan Page.</w:t>
      </w:r>
    </w:p>
    <w:p w14:paraId="09980305" w14:textId="1B311294" w:rsidR="00BA6B05" w:rsidRDefault="00BA6B05" w:rsidP="00BA6B05">
      <w:pPr>
        <w:spacing w:line="360" w:lineRule="auto"/>
        <w:rPr>
          <w:rFonts w:ascii="Times New Roman" w:hAnsi="Times New Roman" w:cs="Times New Roman"/>
          <w:sz w:val="24"/>
          <w:szCs w:val="24"/>
        </w:rPr>
      </w:pPr>
      <w:r w:rsidRPr="00BA6B05">
        <w:rPr>
          <w:rFonts w:ascii="Times New Roman" w:hAnsi="Times New Roman" w:cs="Times New Roman"/>
          <w:sz w:val="24"/>
          <w:szCs w:val="24"/>
        </w:rPr>
        <w:t>Statista (2025)</w:t>
      </w:r>
      <w:r w:rsidR="000C2794">
        <w:rPr>
          <w:rFonts w:ascii="Times New Roman" w:hAnsi="Times New Roman" w:cs="Times New Roman"/>
          <w:sz w:val="24"/>
          <w:szCs w:val="24"/>
        </w:rPr>
        <w:t>.</w:t>
      </w:r>
      <w:r w:rsidRPr="00BA6B05">
        <w:rPr>
          <w:rFonts w:ascii="Times New Roman" w:hAnsi="Times New Roman" w:cs="Times New Roman"/>
          <w:sz w:val="24"/>
          <w:szCs w:val="24"/>
        </w:rPr>
        <w:t xml:space="preserve"> </w:t>
      </w:r>
      <w:r w:rsidRPr="000C2794">
        <w:rPr>
          <w:rFonts w:ascii="Times New Roman" w:hAnsi="Times New Roman" w:cs="Times New Roman"/>
          <w:i/>
          <w:iCs/>
          <w:sz w:val="24"/>
          <w:szCs w:val="24"/>
        </w:rPr>
        <w:t>Employee count of Unilever by region</w:t>
      </w:r>
      <w:r w:rsidRPr="00BA6B05">
        <w:rPr>
          <w:rFonts w:ascii="Times New Roman" w:hAnsi="Times New Roman" w:cs="Times New Roman"/>
          <w:sz w:val="24"/>
          <w:szCs w:val="24"/>
        </w:rPr>
        <w:t xml:space="preserve">. </w:t>
      </w:r>
      <w:r w:rsidR="000C2794">
        <w:rPr>
          <w:rFonts w:ascii="Times New Roman" w:hAnsi="Times New Roman" w:cs="Times New Roman"/>
          <w:sz w:val="24"/>
          <w:szCs w:val="24"/>
        </w:rPr>
        <w:t xml:space="preserve">Online, </w:t>
      </w:r>
      <w:r w:rsidRPr="00BA6B05">
        <w:rPr>
          <w:rFonts w:ascii="Times New Roman" w:hAnsi="Times New Roman" w:cs="Times New Roman"/>
          <w:sz w:val="24"/>
          <w:szCs w:val="24"/>
        </w:rPr>
        <w:t xml:space="preserve">Available at: </w:t>
      </w:r>
      <w:hyperlink r:id="rId12" w:history="1">
        <w:r w:rsidR="000C2794" w:rsidRPr="004E3720">
          <w:rPr>
            <w:rStyle w:val="Hyperlink"/>
            <w:rFonts w:ascii="Times New Roman" w:hAnsi="Times New Roman" w:cs="Times New Roman"/>
            <w:sz w:val="24"/>
            <w:szCs w:val="24"/>
          </w:rPr>
          <w:t>https://www.statista.com/statistics/269467/average-number-of-unilever-employees-by-region/</w:t>
        </w:r>
      </w:hyperlink>
      <w:r w:rsidR="000C2794">
        <w:rPr>
          <w:rFonts w:ascii="Times New Roman" w:hAnsi="Times New Roman" w:cs="Times New Roman"/>
          <w:sz w:val="24"/>
          <w:szCs w:val="24"/>
        </w:rPr>
        <w:t xml:space="preserve"> </w:t>
      </w:r>
      <w:r w:rsidRPr="00BA6B05">
        <w:rPr>
          <w:rFonts w:ascii="Times New Roman" w:hAnsi="Times New Roman" w:cs="Times New Roman"/>
          <w:sz w:val="24"/>
          <w:szCs w:val="24"/>
        </w:rPr>
        <w:t xml:space="preserve"> (Accessed: 2 August 2026).</w:t>
      </w:r>
    </w:p>
    <w:p w14:paraId="04003449" w14:textId="6D5DFCC1" w:rsidR="00A23E77" w:rsidRPr="00BA6B05" w:rsidRDefault="00A23E77" w:rsidP="00BA6B05">
      <w:pPr>
        <w:spacing w:line="360" w:lineRule="auto"/>
        <w:rPr>
          <w:rFonts w:ascii="Times New Roman" w:hAnsi="Times New Roman" w:cs="Times New Roman"/>
          <w:sz w:val="24"/>
          <w:szCs w:val="24"/>
        </w:rPr>
      </w:pPr>
      <w:r w:rsidRPr="00A23E77">
        <w:rPr>
          <w:rFonts w:ascii="Times New Roman" w:hAnsi="Times New Roman" w:cs="Times New Roman"/>
          <w:sz w:val="24"/>
          <w:szCs w:val="24"/>
        </w:rPr>
        <w:t xml:space="preserve">Stavrou, E., Parry, E., Gooderham, P., Morley, M. and Lazarova, M. (2023) 'Institutional duality and human resource management practice in foreign subsidiaries of multinationals', </w:t>
      </w:r>
      <w:r w:rsidRPr="00A23E77">
        <w:rPr>
          <w:rFonts w:ascii="Times New Roman" w:hAnsi="Times New Roman" w:cs="Times New Roman"/>
          <w:i/>
          <w:iCs/>
          <w:sz w:val="24"/>
          <w:szCs w:val="24"/>
        </w:rPr>
        <w:t>Human Resource Management Journal</w:t>
      </w:r>
      <w:r w:rsidRPr="00A23E77">
        <w:rPr>
          <w:rFonts w:ascii="Times New Roman" w:hAnsi="Times New Roman" w:cs="Times New Roman"/>
          <w:sz w:val="24"/>
          <w:szCs w:val="24"/>
        </w:rPr>
        <w:t>, 33(1), pp. 69–94.</w:t>
      </w:r>
      <w:r w:rsidR="009D7CB0">
        <w:rPr>
          <w:rFonts w:ascii="Times New Roman" w:hAnsi="Times New Roman" w:cs="Times New Roman"/>
          <w:sz w:val="24"/>
          <w:szCs w:val="24"/>
        </w:rPr>
        <w:t xml:space="preserve"> </w:t>
      </w:r>
      <w:hyperlink r:id="rId13" w:history="1">
        <w:r w:rsidR="009D7CB0" w:rsidRPr="001F5906">
          <w:rPr>
            <w:rStyle w:val="Hyperlink"/>
            <w:rFonts w:ascii="Times New Roman" w:hAnsi="Times New Roman" w:cs="Times New Roman"/>
            <w:sz w:val="24"/>
            <w:szCs w:val="24"/>
          </w:rPr>
          <w:t>https://doi.org/10.1111/1748-8583.12357</w:t>
        </w:r>
      </w:hyperlink>
      <w:r w:rsidR="009D7CB0">
        <w:rPr>
          <w:rFonts w:ascii="Times New Roman" w:hAnsi="Times New Roman" w:cs="Times New Roman"/>
          <w:sz w:val="24"/>
          <w:szCs w:val="24"/>
        </w:rPr>
        <w:t xml:space="preserve">  </w:t>
      </w:r>
    </w:p>
    <w:p w14:paraId="27B893E3" w14:textId="6CE1B8A0" w:rsidR="00BA6B05" w:rsidRPr="00BA6B05" w:rsidRDefault="00BA6B05" w:rsidP="00BA6B05">
      <w:pPr>
        <w:spacing w:line="360" w:lineRule="auto"/>
        <w:rPr>
          <w:rFonts w:ascii="Times New Roman" w:hAnsi="Times New Roman" w:cs="Times New Roman"/>
          <w:sz w:val="24"/>
          <w:szCs w:val="24"/>
        </w:rPr>
      </w:pPr>
      <w:r w:rsidRPr="00BA6B05">
        <w:rPr>
          <w:rFonts w:ascii="Times New Roman" w:hAnsi="Times New Roman" w:cs="Times New Roman"/>
          <w:sz w:val="24"/>
          <w:szCs w:val="24"/>
        </w:rPr>
        <w:t xml:space="preserve">The Daily Record (2026) </w:t>
      </w:r>
      <w:r w:rsidRPr="000C2794">
        <w:rPr>
          <w:rFonts w:ascii="Times New Roman" w:hAnsi="Times New Roman" w:cs="Times New Roman"/>
          <w:i/>
          <w:iCs/>
          <w:sz w:val="24"/>
          <w:szCs w:val="24"/>
        </w:rPr>
        <w:t>'Unilever agrees to two-year worker protection after $65bn McCormick merger, memo shows'</w:t>
      </w:r>
      <w:r w:rsidRPr="00BA6B05">
        <w:rPr>
          <w:rFonts w:ascii="Times New Roman" w:hAnsi="Times New Roman" w:cs="Times New Roman"/>
          <w:sz w:val="24"/>
          <w:szCs w:val="24"/>
        </w:rPr>
        <w:t xml:space="preserve">, </w:t>
      </w:r>
      <w:r w:rsidR="000C2794">
        <w:rPr>
          <w:rFonts w:ascii="Times New Roman" w:hAnsi="Times New Roman" w:cs="Times New Roman"/>
          <w:sz w:val="24"/>
          <w:szCs w:val="24"/>
        </w:rPr>
        <w:t>online</w:t>
      </w:r>
      <w:r w:rsidRPr="00BA6B05">
        <w:rPr>
          <w:rFonts w:ascii="Times New Roman" w:hAnsi="Times New Roman" w:cs="Times New Roman"/>
          <w:sz w:val="24"/>
          <w:szCs w:val="24"/>
        </w:rPr>
        <w:t xml:space="preserve">. Available at: </w:t>
      </w:r>
      <w:hyperlink r:id="rId14" w:history="1">
        <w:r w:rsidR="000C2794" w:rsidRPr="004E3720">
          <w:rPr>
            <w:rStyle w:val="Hyperlink"/>
            <w:rFonts w:ascii="Times New Roman" w:hAnsi="Times New Roman" w:cs="Times New Roman"/>
            <w:sz w:val="24"/>
            <w:szCs w:val="24"/>
          </w:rPr>
          <w:t>https://thedailyrecord.com/2026/07/29/unilever-worker-protection-europe-mccormick-merger/</w:t>
        </w:r>
      </w:hyperlink>
      <w:r w:rsidR="000C2794">
        <w:rPr>
          <w:rFonts w:ascii="Times New Roman" w:hAnsi="Times New Roman" w:cs="Times New Roman"/>
          <w:sz w:val="24"/>
          <w:szCs w:val="24"/>
        </w:rPr>
        <w:t xml:space="preserve"> </w:t>
      </w:r>
      <w:r w:rsidRPr="00BA6B05">
        <w:rPr>
          <w:rFonts w:ascii="Times New Roman" w:hAnsi="Times New Roman" w:cs="Times New Roman"/>
          <w:sz w:val="24"/>
          <w:szCs w:val="24"/>
        </w:rPr>
        <w:t xml:space="preserve"> (Accessed: 2 August 2026).</w:t>
      </w:r>
    </w:p>
    <w:p w14:paraId="6F0E205D" w14:textId="260FAD89" w:rsidR="00BA6B05" w:rsidRPr="00BA6B05" w:rsidRDefault="00BA6B05" w:rsidP="00BA6B05">
      <w:pPr>
        <w:spacing w:line="360" w:lineRule="auto"/>
        <w:rPr>
          <w:rFonts w:ascii="Times New Roman" w:hAnsi="Times New Roman" w:cs="Times New Roman"/>
          <w:sz w:val="24"/>
          <w:szCs w:val="24"/>
        </w:rPr>
      </w:pPr>
      <w:r w:rsidRPr="00BA6B05">
        <w:rPr>
          <w:rFonts w:ascii="Times New Roman" w:hAnsi="Times New Roman" w:cs="Times New Roman"/>
          <w:sz w:val="24"/>
          <w:szCs w:val="24"/>
        </w:rPr>
        <w:t xml:space="preserve">Torrington, D., Hall, L., Atkinson, C. </w:t>
      </w:r>
      <w:r w:rsidR="00B04630">
        <w:rPr>
          <w:rFonts w:ascii="Times New Roman" w:hAnsi="Times New Roman" w:cs="Times New Roman"/>
          <w:sz w:val="24"/>
          <w:szCs w:val="24"/>
        </w:rPr>
        <w:t>&amp;</w:t>
      </w:r>
      <w:r w:rsidRPr="00BA6B05">
        <w:rPr>
          <w:rFonts w:ascii="Times New Roman" w:hAnsi="Times New Roman" w:cs="Times New Roman"/>
          <w:sz w:val="24"/>
          <w:szCs w:val="24"/>
        </w:rPr>
        <w:t xml:space="preserve"> Taylor, S. (2020)</w:t>
      </w:r>
      <w:r w:rsidR="00057A8E">
        <w:rPr>
          <w:rFonts w:ascii="Times New Roman" w:hAnsi="Times New Roman" w:cs="Times New Roman"/>
          <w:sz w:val="24"/>
          <w:szCs w:val="24"/>
        </w:rPr>
        <w:t>.</w:t>
      </w:r>
      <w:r w:rsidRPr="00BA6B05">
        <w:rPr>
          <w:rFonts w:ascii="Times New Roman" w:hAnsi="Times New Roman" w:cs="Times New Roman"/>
          <w:sz w:val="24"/>
          <w:szCs w:val="24"/>
        </w:rPr>
        <w:t xml:space="preserve"> </w:t>
      </w:r>
      <w:r w:rsidRPr="00462F5C">
        <w:rPr>
          <w:rFonts w:ascii="Times New Roman" w:hAnsi="Times New Roman" w:cs="Times New Roman"/>
          <w:i/>
          <w:iCs/>
          <w:sz w:val="24"/>
          <w:szCs w:val="24"/>
        </w:rPr>
        <w:t>Human Resource Management</w:t>
      </w:r>
      <w:r w:rsidRPr="00BA6B05">
        <w:rPr>
          <w:rFonts w:ascii="Times New Roman" w:hAnsi="Times New Roman" w:cs="Times New Roman"/>
          <w:sz w:val="24"/>
          <w:szCs w:val="24"/>
        </w:rPr>
        <w:t>. 11th ed</w:t>
      </w:r>
      <w:r w:rsidR="007E7037">
        <w:rPr>
          <w:rFonts w:ascii="Times New Roman" w:hAnsi="Times New Roman" w:cs="Times New Roman"/>
          <w:sz w:val="24"/>
          <w:szCs w:val="24"/>
        </w:rPr>
        <w:t>iti</w:t>
      </w:r>
      <w:r w:rsidR="00462F5C">
        <w:rPr>
          <w:rFonts w:ascii="Times New Roman" w:hAnsi="Times New Roman" w:cs="Times New Roman"/>
          <w:sz w:val="24"/>
          <w:szCs w:val="24"/>
        </w:rPr>
        <w:t>o</w:t>
      </w:r>
      <w:r w:rsidRPr="00BA6B05">
        <w:rPr>
          <w:rFonts w:ascii="Times New Roman" w:hAnsi="Times New Roman" w:cs="Times New Roman"/>
          <w:sz w:val="24"/>
          <w:szCs w:val="24"/>
        </w:rPr>
        <w:t>n. Harlow: Pearson Education Limited.</w:t>
      </w:r>
    </w:p>
    <w:p w14:paraId="0BFC72C5" w14:textId="1A3EB69A" w:rsidR="00BA6B05" w:rsidRPr="00BA6B05" w:rsidRDefault="00BA6B05" w:rsidP="00BA6B05">
      <w:pPr>
        <w:spacing w:line="360" w:lineRule="auto"/>
        <w:rPr>
          <w:rFonts w:ascii="Times New Roman" w:hAnsi="Times New Roman" w:cs="Times New Roman"/>
          <w:sz w:val="24"/>
          <w:szCs w:val="24"/>
        </w:rPr>
      </w:pPr>
      <w:r w:rsidRPr="00BA6B05">
        <w:rPr>
          <w:rFonts w:ascii="Times New Roman" w:hAnsi="Times New Roman" w:cs="Times New Roman"/>
          <w:sz w:val="24"/>
          <w:szCs w:val="24"/>
        </w:rPr>
        <w:t xml:space="preserve">Unilever (2026) </w:t>
      </w:r>
      <w:r w:rsidRPr="00632402">
        <w:rPr>
          <w:rFonts w:ascii="Times New Roman" w:hAnsi="Times New Roman" w:cs="Times New Roman"/>
          <w:i/>
          <w:iCs/>
          <w:sz w:val="24"/>
          <w:szCs w:val="24"/>
        </w:rPr>
        <w:t>About Unilever.</w:t>
      </w:r>
      <w:r w:rsidRPr="00BA6B05">
        <w:rPr>
          <w:rFonts w:ascii="Times New Roman" w:hAnsi="Times New Roman" w:cs="Times New Roman"/>
          <w:sz w:val="24"/>
          <w:szCs w:val="24"/>
        </w:rPr>
        <w:t xml:space="preserve"> Available at:</w:t>
      </w:r>
      <w:r w:rsidR="001A06F4">
        <w:rPr>
          <w:rFonts w:ascii="Times New Roman" w:hAnsi="Times New Roman" w:cs="Times New Roman"/>
          <w:sz w:val="24"/>
          <w:szCs w:val="24"/>
        </w:rPr>
        <w:t xml:space="preserve"> </w:t>
      </w:r>
      <w:hyperlink r:id="rId15" w:history="1">
        <w:r w:rsidR="001A06F4" w:rsidRPr="001F5906">
          <w:rPr>
            <w:rStyle w:val="Hyperlink"/>
            <w:rFonts w:ascii="Times New Roman" w:hAnsi="Times New Roman" w:cs="Times New Roman"/>
            <w:sz w:val="24"/>
            <w:szCs w:val="24"/>
          </w:rPr>
          <w:t>https://www.unilever.co.uk/</w:t>
        </w:r>
      </w:hyperlink>
      <w:proofErr w:type="gramStart"/>
      <w:r w:rsidR="001A06F4">
        <w:rPr>
          <w:rFonts w:ascii="Times New Roman" w:hAnsi="Times New Roman" w:cs="Times New Roman"/>
          <w:sz w:val="24"/>
          <w:szCs w:val="24"/>
        </w:rPr>
        <w:t xml:space="preserve"> </w:t>
      </w:r>
      <w:r w:rsidRPr="00BA6B05">
        <w:rPr>
          <w:rFonts w:ascii="Times New Roman" w:hAnsi="Times New Roman" w:cs="Times New Roman"/>
          <w:sz w:val="24"/>
          <w:szCs w:val="24"/>
        </w:rPr>
        <w:t xml:space="preserve">  (</w:t>
      </w:r>
      <w:proofErr w:type="gramEnd"/>
      <w:r w:rsidRPr="00BA6B05">
        <w:rPr>
          <w:rFonts w:ascii="Times New Roman" w:hAnsi="Times New Roman" w:cs="Times New Roman"/>
          <w:sz w:val="24"/>
          <w:szCs w:val="24"/>
        </w:rPr>
        <w:t>Accessed: 2 August 2026).</w:t>
      </w:r>
    </w:p>
    <w:p w14:paraId="790A61D8" w14:textId="6790EBB3" w:rsidR="00753EBB" w:rsidRPr="00FB3A33" w:rsidRDefault="00753EBB" w:rsidP="00BA6B05">
      <w:pPr>
        <w:spacing w:line="360" w:lineRule="auto"/>
        <w:rPr>
          <w:rFonts w:ascii="Times New Roman" w:hAnsi="Times New Roman" w:cs="Times New Roman"/>
          <w:sz w:val="24"/>
          <w:szCs w:val="24"/>
        </w:rPr>
      </w:pPr>
      <w:r w:rsidRPr="00753EBB">
        <w:rPr>
          <w:rFonts w:ascii="Times New Roman" w:hAnsi="Times New Roman" w:cs="Times New Roman"/>
          <w:sz w:val="24"/>
          <w:szCs w:val="24"/>
        </w:rPr>
        <w:t>Vilas Boas A</w:t>
      </w:r>
      <w:r>
        <w:rPr>
          <w:rFonts w:ascii="Times New Roman" w:hAnsi="Times New Roman" w:cs="Times New Roman"/>
          <w:sz w:val="24"/>
          <w:szCs w:val="24"/>
        </w:rPr>
        <w:t>.</w:t>
      </w:r>
      <w:r w:rsidR="007E7037">
        <w:rPr>
          <w:rFonts w:ascii="Times New Roman" w:hAnsi="Times New Roman" w:cs="Times New Roman"/>
          <w:sz w:val="24"/>
          <w:szCs w:val="24"/>
        </w:rPr>
        <w:t>A.</w:t>
      </w:r>
      <w:r w:rsidRPr="00753EBB">
        <w:rPr>
          <w:rFonts w:ascii="Times New Roman" w:hAnsi="Times New Roman" w:cs="Times New Roman"/>
          <w:sz w:val="24"/>
          <w:szCs w:val="24"/>
        </w:rPr>
        <w:t xml:space="preserve"> (ed.) (2024)</w:t>
      </w:r>
      <w:r>
        <w:rPr>
          <w:rFonts w:ascii="Times New Roman" w:hAnsi="Times New Roman" w:cs="Times New Roman"/>
          <w:sz w:val="24"/>
          <w:szCs w:val="24"/>
        </w:rPr>
        <w:t>.</w:t>
      </w:r>
      <w:r w:rsidRPr="00753EBB">
        <w:rPr>
          <w:rFonts w:ascii="Times New Roman" w:hAnsi="Times New Roman" w:cs="Times New Roman"/>
          <w:sz w:val="24"/>
          <w:szCs w:val="24"/>
        </w:rPr>
        <w:t xml:space="preserve"> </w:t>
      </w:r>
      <w:r w:rsidRPr="00B04630">
        <w:rPr>
          <w:rFonts w:ascii="Times New Roman" w:hAnsi="Times New Roman" w:cs="Times New Roman"/>
          <w:i/>
          <w:iCs/>
          <w:sz w:val="24"/>
          <w:szCs w:val="24"/>
        </w:rPr>
        <w:t>Human Resource Management - An Update</w:t>
      </w:r>
      <w:r w:rsidRPr="00753EBB">
        <w:rPr>
          <w:rFonts w:ascii="Times New Roman" w:hAnsi="Times New Roman" w:cs="Times New Roman"/>
          <w:sz w:val="24"/>
          <w:szCs w:val="24"/>
        </w:rPr>
        <w:t xml:space="preserve">. </w:t>
      </w:r>
      <w:proofErr w:type="spellStart"/>
      <w:r w:rsidRPr="00753EBB">
        <w:rPr>
          <w:rFonts w:ascii="Times New Roman" w:hAnsi="Times New Roman" w:cs="Times New Roman"/>
          <w:sz w:val="24"/>
          <w:szCs w:val="24"/>
        </w:rPr>
        <w:t>IntechOpen</w:t>
      </w:r>
      <w:proofErr w:type="spellEnd"/>
      <w:r w:rsidRPr="00753EBB">
        <w:rPr>
          <w:rFonts w:ascii="Times New Roman" w:hAnsi="Times New Roman" w:cs="Times New Roman"/>
          <w:sz w:val="24"/>
          <w:szCs w:val="24"/>
        </w:rPr>
        <w:t xml:space="preserve">. Available at: </w:t>
      </w:r>
      <w:hyperlink r:id="rId16" w:history="1">
        <w:r w:rsidR="00B04630" w:rsidRPr="001F5906">
          <w:rPr>
            <w:rStyle w:val="Hyperlink"/>
            <w:rFonts w:ascii="Times New Roman" w:hAnsi="Times New Roman" w:cs="Times New Roman"/>
            <w:sz w:val="24"/>
            <w:szCs w:val="24"/>
          </w:rPr>
          <w:t>http://dx.doi.org/10.5772/intechopen.111166</w:t>
        </w:r>
      </w:hyperlink>
      <w:r w:rsidRPr="00753EBB">
        <w:rPr>
          <w:rFonts w:ascii="Times New Roman" w:hAnsi="Times New Roman" w:cs="Times New Roman"/>
          <w:sz w:val="24"/>
          <w:szCs w:val="24"/>
        </w:rPr>
        <w:t>.</w:t>
      </w:r>
    </w:p>
    <w:sectPr w:rsidR="00753EBB" w:rsidRPr="00FB3A33">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FFCC2" w14:textId="77777777" w:rsidR="00245306" w:rsidRDefault="00245306" w:rsidP="000C2794">
      <w:pPr>
        <w:spacing w:after="0" w:line="240" w:lineRule="auto"/>
      </w:pPr>
      <w:r>
        <w:separator/>
      </w:r>
    </w:p>
  </w:endnote>
  <w:endnote w:type="continuationSeparator" w:id="0">
    <w:p w14:paraId="006398AC" w14:textId="77777777" w:rsidR="00245306" w:rsidRDefault="00245306" w:rsidP="000C2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607255"/>
      <w:docPartObj>
        <w:docPartGallery w:val="Page Numbers (Bottom of Page)"/>
        <w:docPartUnique/>
      </w:docPartObj>
    </w:sdtPr>
    <w:sdtContent>
      <w:p w14:paraId="5F72A64C" w14:textId="7D0ADB3F" w:rsidR="000C2794" w:rsidRDefault="000C2794">
        <w:pPr>
          <w:pStyle w:val="Footer"/>
          <w:jc w:val="center"/>
        </w:pPr>
        <w:r>
          <w:fldChar w:fldCharType="begin"/>
        </w:r>
        <w:r>
          <w:instrText>PAGE   \* MERGEFORMAT</w:instrText>
        </w:r>
        <w:r>
          <w:fldChar w:fldCharType="separate"/>
        </w:r>
        <w:r>
          <w:t>2</w:t>
        </w:r>
        <w:r>
          <w:fldChar w:fldCharType="end"/>
        </w:r>
      </w:p>
    </w:sdtContent>
  </w:sdt>
  <w:p w14:paraId="554011A8" w14:textId="77777777" w:rsidR="000C2794" w:rsidRDefault="000C2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0492A" w14:textId="77777777" w:rsidR="00245306" w:rsidRDefault="00245306" w:rsidP="000C2794">
      <w:pPr>
        <w:spacing w:after="0" w:line="240" w:lineRule="auto"/>
      </w:pPr>
      <w:r>
        <w:separator/>
      </w:r>
    </w:p>
  </w:footnote>
  <w:footnote w:type="continuationSeparator" w:id="0">
    <w:p w14:paraId="443939EC" w14:textId="77777777" w:rsidR="00245306" w:rsidRDefault="00245306" w:rsidP="000C27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65D257" w14:textId="77777777" w:rsidR="000C2794" w:rsidRDefault="000C27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52C"/>
    <w:rsid w:val="00057A8E"/>
    <w:rsid w:val="000C2794"/>
    <w:rsid w:val="00187B45"/>
    <w:rsid w:val="001A06F4"/>
    <w:rsid w:val="001C2CEF"/>
    <w:rsid w:val="001E4BC3"/>
    <w:rsid w:val="00245306"/>
    <w:rsid w:val="003A2914"/>
    <w:rsid w:val="00462F5C"/>
    <w:rsid w:val="0048085E"/>
    <w:rsid w:val="004A5C5F"/>
    <w:rsid w:val="0053297C"/>
    <w:rsid w:val="00632402"/>
    <w:rsid w:val="006A0B17"/>
    <w:rsid w:val="00753EBB"/>
    <w:rsid w:val="007C713E"/>
    <w:rsid w:val="007E00B8"/>
    <w:rsid w:val="007E7037"/>
    <w:rsid w:val="008004E3"/>
    <w:rsid w:val="00886253"/>
    <w:rsid w:val="00902C40"/>
    <w:rsid w:val="009D7CB0"/>
    <w:rsid w:val="009F72B8"/>
    <w:rsid w:val="00A23E77"/>
    <w:rsid w:val="00AE352C"/>
    <w:rsid w:val="00B04630"/>
    <w:rsid w:val="00B52890"/>
    <w:rsid w:val="00B70D7B"/>
    <w:rsid w:val="00B80955"/>
    <w:rsid w:val="00BA6B05"/>
    <w:rsid w:val="00C82328"/>
    <w:rsid w:val="00CB3C84"/>
    <w:rsid w:val="00D25F04"/>
    <w:rsid w:val="00DC5B73"/>
    <w:rsid w:val="00E24E3E"/>
    <w:rsid w:val="00FB3A33"/>
    <w:rsid w:val="00FC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76151"/>
  <w15:chartTrackingRefBased/>
  <w15:docId w15:val="{9D21C2B6-6074-4875-9636-BBF9E3E63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C40"/>
  </w:style>
  <w:style w:type="paragraph" w:styleId="Heading1">
    <w:name w:val="heading 1"/>
    <w:basedOn w:val="Normal"/>
    <w:next w:val="Normal"/>
    <w:link w:val="Heading1Char"/>
    <w:uiPriority w:val="9"/>
    <w:qFormat/>
    <w:rsid w:val="00902C40"/>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902C40"/>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02C40"/>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902C40"/>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02C40"/>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902C40"/>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902C40"/>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902C40"/>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902C40"/>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C40"/>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902C40"/>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02C40"/>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902C40"/>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02C40"/>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902C40"/>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902C40"/>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902C40"/>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902C40"/>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902C40"/>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902C40"/>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902C40"/>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02C40"/>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902C40"/>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02C40"/>
    <w:rPr>
      <w:i/>
      <w:iCs/>
      <w:color w:val="404040" w:themeColor="text1" w:themeTint="BF"/>
    </w:rPr>
  </w:style>
  <w:style w:type="paragraph" w:styleId="ListParagraph">
    <w:name w:val="List Paragraph"/>
    <w:basedOn w:val="Normal"/>
    <w:uiPriority w:val="34"/>
    <w:qFormat/>
    <w:rsid w:val="00AE352C"/>
    <w:pPr>
      <w:ind w:left="720"/>
      <w:contextualSpacing/>
    </w:pPr>
  </w:style>
  <w:style w:type="character" w:styleId="IntenseEmphasis">
    <w:name w:val="Intense Emphasis"/>
    <w:basedOn w:val="DefaultParagraphFont"/>
    <w:uiPriority w:val="21"/>
    <w:qFormat/>
    <w:rsid w:val="00902C40"/>
    <w:rPr>
      <w:b/>
      <w:bCs/>
      <w:i/>
      <w:iCs/>
    </w:rPr>
  </w:style>
  <w:style w:type="paragraph" w:styleId="IntenseQuote">
    <w:name w:val="Intense Quote"/>
    <w:basedOn w:val="Normal"/>
    <w:next w:val="Normal"/>
    <w:link w:val="IntenseQuoteChar"/>
    <w:uiPriority w:val="30"/>
    <w:qFormat/>
    <w:rsid w:val="00902C40"/>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902C40"/>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902C40"/>
    <w:rPr>
      <w:b/>
      <w:bCs/>
      <w:smallCaps/>
      <w:spacing w:val="5"/>
      <w:u w:val="single"/>
    </w:rPr>
  </w:style>
  <w:style w:type="character" w:styleId="Hyperlink">
    <w:name w:val="Hyperlink"/>
    <w:basedOn w:val="DefaultParagraphFont"/>
    <w:uiPriority w:val="99"/>
    <w:unhideWhenUsed/>
    <w:rsid w:val="00BA6B05"/>
    <w:rPr>
      <w:color w:val="467886" w:themeColor="hyperlink"/>
      <w:u w:val="single"/>
    </w:rPr>
  </w:style>
  <w:style w:type="character" w:styleId="UnresolvedMention">
    <w:name w:val="Unresolved Mention"/>
    <w:basedOn w:val="DefaultParagraphFont"/>
    <w:uiPriority w:val="99"/>
    <w:semiHidden/>
    <w:unhideWhenUsed/>
    <w:rsid w:val="00BA6B05"/>
    <w:rPr>
      <w:color w:val="605E5C"/>
      <w:shd w:val="clear" w:color="auto" w:fill="E1DFDD"/>
    </w:rPr>
  </w:style>
  <w:style w:type="character" w:styleId="FollowedHyperlink">
    <w:name w:val="FollowedHyperlink"/>
    <w:basedOn w:val="DefaultParagraphFont"/>
    <w:uiPriority w:val="99"/>
    <w:semiHidden/>
    <w:unhideWhenUsed/>
    <w:rsid w:val="00BA6B05"/>
    <w:rPr>
      <w:color w:val="96607D" w:themeColor="followedHyperlink"/>
      <w:u w:val="single"/>
    </w:rPr>
  </w:style>
  <w:style w:type="paragraph" w:styleId="TOCHeading">
    <w:name w:val="TOC Heading"/>
    <w:basedOn w:val="Heading1"/>
    <w:next w:val="Normal"/>
    <w:uiPriority w:val="39"/>
    <w:unhideWhenUsed/>
    <w:qFormat/>
    <w:rsid w:val="00902C40"/>
    <w:pPr>
      <w:outlineLvl w:val="9"/>
    </w:pPr>
  </w:style>
  <w:style w:type="paragraph" w:styleId="TOC1">
    <w:name w:val="toc 1"/>
    <w:basedOn w:val="Normal"/>
    <w:next w:val="Normal"/>
    <w:autoRedefine/>
    <w:uiPriority w:val="39"/>
    <w:unhideWhenUsed/>
    <w:rsid w:val="000C2794"/>
    <w:pPr>
      <w:spacing w:after="100"/>
    </w:pPr>
    <w:rPr>
      <w:rFonts w:cs="Times New Roman"/>
      <w:lang w:eastAsia="en-GB"/>
    </w:rPr>
  </w:style>
  <w:style w:type="paragraph" w:styleId="TOC3">
    <w:name w:val="toc 3"/>
    <w:basedOn w:val="Normal"/>
    <w:next w:val="Normal"/>
    <w:autoRedefine/>
    <w:uiPriority w:val="39"/>
    <w:unhideWhenUsed/>
    <w:rsid w:val="000C2794"/>
    <w:pPr>
      <w:spacing w:after="100"/>
      <w:ind w:left="440"/>
    </w:pPr>
  </w:style>
  <w:style w:type="paragraph" w:styleId="Header">
    <w:name w:val="header"/>
    <w:basedOn w:val="Normal"/>
    <w:link w:val="HeaderChar"/>
    <w:uiPriority w:val="99"/>
    <w:unhideWhenUsed/>
    <w:rsid w:val="000C2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794"/>
  </w:style>
  <w:style w:type="paragraph" w:styleId="Footer">
    <w:name w:val="footer"/>
    <w:basedOn w:val="Normal"/>
    <w:link w:val="FooterChar"/>
    <w:uiPriority w:val="99"/>
    <w:unhideWhenUsed/>
    <w:rsid w:val="000C2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794"/>
  </w:style>
  <w:style w:type="paragraph" w:styleId="TOC2">
    <w:name w:val="toc 2"/>
    <w:basedOn w:val="Normal"/>
    <w:next w:val="Normal"/>
    <w:autoRedefine/>
    <w:uiPriority w:val="39"/>
    <w:unhideWhenUsed/>
    <w:rsid w:val="00902C40"/>
    <w:pPr>
      <w:spacing w:after="100"/>
      <w:ind w:left="220"/>
    </w:pPr>
    <w:rPr>
      <w:rFonts w:cs="Times New Roman"/>
      <w:lang w:eastAsia="en-GB"/>
    </w:rPr>
  </w:style>
  <w:style w:type="paragraph" w:styleId="Caption">
    <w:name w:val="caption"/>
    <w:basedOn w:val="Normal"/>
    <w:next w:val="Normal"/>
    <w:uiPriority w:val="35"/>
    <w:semiHidden/>
    <w:unhideWhenUsed/>
    <w:qFormat/>
    <w:rsid w:val="00902C40"/>
    <w:pPr>
      <w:spacing w:line="240" w:lineRule="auto"/>
    </w:pPr>
    <w:rPr>
      <w:b/>
      <w:bCs/>
      <w:smallCaps/>
      <w:color w:val="595959" w:themeColor="text1" w:themeTint="A6"/>
      <w:spacing w:val="6"/>
    </w:rPr>
  </w:style>
  <w:style w:type="character" w:styleId="Strong">
    <w:name w:val="Strong"/>
    <w:basedOn w:val="DefaultParagraphFont"/>
    <w:uiPriority w:val="22"/>
    <w:qFormat/>
    <w:rsid w:val="00902C40"/>
    <w:rPr>
      <w:b/>
      <w:bCs/>
    </w:rPr>
  </w:style>
  <w:style w:type="character" w:styleId="Emphasis">
    <w:name w:val="Emphasis"/>
    <w:basedOn w:val="DefaultParagraphFont"/>
    <w:uiPriority w:val="20"/>
    <w:qFormat/>
    <w:rsid w:val="00902C40"/>
    <w:rPr>
      <w:i/>
      <w:iCs/>
    </w:rPr>
  </w:style>
  <w:style w:type="paragraph" w:styleId="NoSpacing">
    <w:name w:val="No Spacing"/>
    <w:uiPriority w:val="1"/>
    <w:qFormat/>
    <w:rsid w:val="00902C40"/>
    <w:pPr>
      <w:spacing w:after="0" w:line="240" w:lineRule="auto"/>
    </w:pPr>
  </w:style>
  <w:style w:type="character" w:styleId="SubtleEmphasis">
    <w:name w:val="Subtle Emphasis"/>
    <w:basedOn w:val="DefaultParagraphFont"/>
    <w:uiPriority w:val="19"/>
    <w:qFormat/>
    <w:rsid w:val="00902C40"/>
    <w:rPr>
      <w:i/>
      <w:iCs/>
      <w:color w:val="404040" w:themeColor="text1" w:themeTint="BF"/>
    </w:rPr>
  </w:style>
  <w:style w:type="character" w:styleId="SubtleReference">
    <w:name w:val="Subtle Reference"/>
    <w:basedOn w:val="DefaultParagraphFont"/>
    <w:uiPriority w:val="31"/>
    <w:qFormat/>
    <w:rsid w:val="00902C40"/>
    <w:rPr>
      <w:smallCaps/>
      <w:color w:val="404040" w:themeColor="text1" w:themeTint="BF"/>
      <w:u w:val="single" w:color="7F7F7F" w:themeColor="text1" w:themeTint="80"/>
    </w:rPr>
  </w:style>
  <w:style w:type="character" w:styleId="BookTitle">
    <w:name w:val="Book Title"/>
    <w:basedOn w:val="DefaultParagraphFont"/>
    <w:uiPriority w:val="33"/>
    <w:qFormat/>
    <w:rsid w:val="00902C40"/>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knowledge/factsheets/pestle-analysis-factsheet/" TargetMode="External"/><Relationship Id="rId13" Type="http://schemas.openxmlformats.org/officeDocument/2006/relationships/hyperlink" Target="https://doi.org/10.1111/1748-8583.12357"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11/1748-8583.12609" TargetMode="External"/><Relationship Id="rId12" Type="http://schemas.openxmlformats.org/officeDocument/2006/relationships/hyperlink" Target="https://www.statista.com/statistics/269467/average-number-of-unilever-employees-by-region/"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dx.doi.org/10.5772/intechopen.11116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dmin.industriall-union.org/unilever-and-global-unions-sign-agreement-to-restrict-temporary-jobs/" TargetMode="External"/><Relationship Id="rId5" Type="http://schemas.openxmlformats.org/officeDocument/2006/relationships/footnotes" Target="footnotes.xml"/><Relationship Id="rId15" Type="http://schemas.openxmlformats.org/officeDocument/2006/relationships/hyperlink" Target="https://www.unilever.co.uk/" TargetMode="External"/><Relationship Id="rId10" Type="http://schemas.openxmlformats.org/officeDocument/2006/relationships/hyperlink" Target="https://doi.org/10.1111/1748-8583.1238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nbc.com/2026/03/31/unilever-global-hiring-pause-us-iran-war-challenges-.html" TargetMode="External"/><Relationship Id="rId14" Type="http://schemas.openxmlformats.org/officeDocument/2006/relationships/hyperlink" Target="https://thedailyrecord.com/2026/07/29/unilever-worker-protection-europe-mccormick-mer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154B73-3275-4387-8866-5538F1E2C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10</Pages>
  <Words>2805</Words>
  <Characters>15989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Chinole</dc:creator>
  <cp:keywords/>
  <dc:description/>
  <cp:lastModifiedBy>Mihaela Chinole</cp:lastModifiedBy>
  <cp:revision>18</cp:revision>
  <dcterms:created xsi:type="dcterms:W3CDTF">2026-08-02T14:52:00Z</dcterms:created>
  <dcterms:modified xsi:type="dcterms:W3CDTF">2026-08-21T07:32:00Z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9f805cb8-dc37-4f0c-84cb-be424fda1c02</vt:lpwstr>
  </property>
</Properties>
</file>