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3C288336"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A07DCF">
        <w:rPr>
          <w:rStyle w:val="Strong"/>
          <w:rFonts w:ascii="Arial" w:hAnsi="Arial" w:cs="Arial"/>
          <w:color w:val="1D2125"/>
          <w:sz w:val="32"/>
          <w:szCs w:val="32"/>
        </w:rPr>
        <w:t xml:space="preserve"> Jujita Angog Cupatan</w:t>
      </w:r>
    </w:p>
    <w:p w14:paraId="3DCFFD10" w14:textId="78B4DFF9"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A07DCF">
        <w:rPr>
          <w:rStyle w:val="Strong"/>
          <w:rFonts w:ascii="Arial" w:hAnsi="Arial" w:cs="Arial"/>
          <w:color w:val="1D2125"/>
          <w:sz w:val="32"/>
          <w:szCs w:val="32"/>
        </w:rPr>
        <w:t xml:space="preserve"> 2424591</w:t>
      </w:r>
    </w:p>
    <w:p w14:paraId="6F2C3011" w14:textId="7DD4DB60"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A07DCF">
        <w:rPr>
          <w:rStyle w:val="Strong"/>
          <w:rFonts w:ascii="Arial" w:hAnsi="Arial" w:cs="Arial"/>
          <w:color w:val="1D2125"/>
          <w:sz w:val="32"/>
          <w:szCs w:val="32"/>
        </w:rPr>
        <w:t xml:space="preserve"> Mr. Brian Mashumba</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42726B8D" w14:textId="77777777" w:rsidR="00D46920" w:rsidRPr="008375B5"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p w14:paraId="3A94D737" w14:textId="77777777" w:rsidR="00D46920" w:rsidRDefault="00D46920" w:rsidP="00D46920">
      <w:pPr>
        <w:pStyle w:val="NormalWeb"/>
        <w:spacing w:line="360" w:lineRule="auto"/>
        <w:rPr>
          <w:rFonts w:ascii="Arial" w:hAnsi="Arial" w:cs="Arial"/>
          <w:b/>
          <w:bCs/>
          <w:color w:val="000000"/>
        </w:rPr>
      </w:pPr>
    </w:p>
    <w:p w14:paraId="0E7D1C0E" w14:textId="6711DD32" w:rsidR="00800CB1" w:rsidRDefault="00266D5C" w:rsidP="00800CB1">
      <w:pPr>
        <w:pStyle w:val="ListParagraph"/>
        <w:numPr>
          <w:ilvl w:val="0"/>
          <w:numId w:val="14"/>
        </w:numPr>
        <w:spacing w:line="360" w:lineRule="auto"/>
        <w:rPr>
          <w:rStyle w:val="Strong"/>
        </w:rPr>
      </w:pPr>
      <w:r>
        <w:rPr>
          <w:rStyle w:val="Strong"/>
        </w:rPr>
        <w:t>Introduction</w:t>
      </w:r>
    </w:p>
    <w:p w14:paraId="201980BF" w14:textId="06979488" w:rsidR="00800CB1" w:rsidRPr="00800CB1" w:rsidRDefault="00266D5C" w:rsidP="00800CB1">
      <w:pPr>
        <w:pStyle w:val="ListParagraph"/>
        <w:numPr>
          <w:ilvl w:val="0"/>
          <w:numId w:val="14"/>
        </w:numPr>
        <w:spacing w:line="360" w:lineRule="auto"/>
        <w:rPr>
          <w:b/>
          <w:bCs/>
        </w:rPr>
      </w:pPr>
      <w:r>
        <w:rPr>
          <w:rStyle w:val="Strong"/>
        </w:rPr>
        <w:t>Task 1:</w:t>
      </w:r>
      <w:r>
        <w:t xml:space="preserve"> Key Concepts – Innovation, Creativity, Value Creation and Change</w:t>
      </w:r>
    </w:p>
    <w:p w14:paraId="4E7F1162" w14:textId="01867C22" w:rsidR="00800CB1" w:rsidRDefault="00266D5C" w:rsidP="00800CB1">
      <w:pPr>
        <w:pStyle w:val="ListParagraph"/>
        <w:numPr>
          <w:ilvl w:val="0"/>
          <w:numId w:val="14"/>
        </w:numPr>
        <w:spacing w:line="360" w:lineRule="auto"/>
      </w:pPr>
      <w:r>
        <w:rPr>
          <w:rStyle w:val="Strong"/>
        </w:rPr>
        <w:t>Task 2:</w:t>
      </w:r>
      <w:r>
        <w:t xml:space="preserve"> Mind Map – Communication Problem in Health and Social Care </w:t>
      </w:r>
    </w:p>
    <w:p w14:paraId="2A334552" w14:textId="7CA35EA5" w:rsidR="00800CB1" w:rsidRDefault="00266D5C" w:rsidP="00800CB1">
      <w:pPr>
        <w:pStyle w:val="ListParagraph"/>
        <w:numPr>
          <w:ilvl w:val="0"/>
          <w:numId w:val="14"/>
        </w:numPr>
        <w:spacing w:line="360" w:lineRule="auto"/>
      </w:pPr>
      <w:r>
        <w:rPr>
          <w:rStyle w:val="Strong"/>
        </w:rPr>
        <w:t>Task 3:</w:t>
      </w:r>
      <w:r>
        <w:t xml:space="preserve"> Self</w:t>
      </w:r>
      <w:r>
        <w:noBreakHyphen/>
        <w:t>Reflection on Convergent and Divergent Thinking</w:t>
      </w:r>
    </w:p>
    <w:p w14:paraId="229CF957" w14:textId="0AC54538" w:rsidR="00800CB1" w:rsidRDefault="00266D5C" w:rsidP="00800CB1">
      <w:pPr>
        <w:pStyle w:val="ListParagraph"/>
        <w:numPr>
          <w:ilvl w:val="0"/>
          <w:numId w:val="14"/>
        </w:numPr>
        <w:spacing w:line="360" w:lineRule="auto"/>
      </w:pPr>
      <w:r>
        <w:rPr>
          <w:rStyle w:val="Strong"/>
        </w:rPr>
        <w:t>Task 4:</w:t>
      </w:r>
      <w:r>
        <w:t xml:space="preserve"> Case Study Analysis of a UK Innovation </w:t>
      </w:r>
    </w:p>
    <w:p w14:paraId="1EBCD398" w14:textId="34C46206" w:rsidR="00800CB1" w:rsidRDefault="00266D5C" w:rsidP="00800CB1">
      <w:pPr>
        <w:pStyle w:val="ListParagraph"/>
        <w:numPr>
          <w:ilvl w:val="0"/>
          <w:numId w:val="14"/>
        </w:numPr>
        <w:spacing w:line="360" w:lineRule="auto"/>
      </w:pPr>
      <w:r>
        <w:rPr>
          <w:rStyle w:val="Strong"/>
        </w:rPr>
        <w:t>Task 5:</w:t>
      </w:r>
      <w:r>
        <w:t xml:space="preserve"> Research Task – Causes of Staff Stress and Burnout </w:t>
      </w:r>
    </w:p>
    <w:p w14:paraId="026CB11D" w14:textId="09798F7A" w:rsidR="00800CB1" w:rsidRDefault="00266D5C" w:rsidP="00800CB1">
      <w:pPr>
        <w:pStyle w:val="ListParagraph"/>
        <w:numPr>
          <w:ilvl w:val="0"/>
          <w:numId w:val="14"/>
        </w:numPr>
        <w:spacing w:line="360" w:lineRule="auto"/>
      </w:pPr>
      <w:r>
        <w:rPr>
          <w:rStyle w:val="Strong"/>
        </w:rPr>
        <w:t>Task 6:</w:t>
      </w:r>
      <w:r>
        <w:t xml:space="preserve"> Exploring Digital Innovation in Health and Social Care</w:t>
      </w:r>
    </w:p>
    <w:p w14:paraId="205BB389" w14:textId="7B8716CB" w:rsidR="00800CB1" w:rsidRDefault="00800CB1" w:rsidP="005C28E8">
      <w:pPr>
        <w:spacing w:line="360" w:lineRule="auto"/>
      </w:pPr>
      <w:r>
        <w:t xml:space="preserve">               </w:t>
      </w:r>
      <w:r w:rsidR="00266D5C">
        <w:t xml:space="preserve">• Wearable Health Technologies </w:t>
      </w:r>
    </w:p>
    <w:p w14:paraId="432107E5" w14:textId="2114DA81" w:rsidR="00800CB1" w:rsidRDefault="00800CB1" w:rsidP="005C28E8">
      <w:pPr>
        <w:spacing w:line="360" w:lineRule="auto"/>
      </w:pPr>
      <w:r>
        <w:t xml:space="preserve">               </w:t>
      </w:r>
      <w:r w:rsidR="00266D5C">
        <w:t xml:space="preserve">• Electronic Health Records (EHRs) Digital Tools for Preventative Care </w:t>
      </w:r>
    </w:p>
    <w:p w14:paraId="2B1EE33C" w14:textId="17E857DF" w:rsidR="00800CB1" w:rsidRDefault="00266D5C" w:rsidP="00800CB1">
      <w:pPr>
        <w:pStyle w:val="ListParagraph"/>
        <w:numPr>
          <w:ilvl w:val="0"/>
          <w:numId w:val="14"/>
        </w:numPr>
        <w:spacing w:line="360" w:lineRule="auto"/>
      </w:pPr>
      <w:r>
        <w:rPr>
          <w:rStyle w:val="Strong"/>
        </w:rPr>
        <w:t>Task 7:</w:t>
      </w:r>
      <w:r>
        <w:t xml:space="preserve"> Understanding the NHS Leadership Framework </w:t>
      </w:r>
    </w:p>
    <w:p w14:paraId="1F0D8EEB" w14:textId="7A19F7B9" w:rsidR="00800CB1" w:rsidRDefault="00800CB1" w:rsidP="005C28E8">
      <w:pPr>
        <w:spacing w:line="360" w:lineRule="auto"/>
      </w:pPr>
      <w:r>
        <w:t xml:space="preserve">             </w:t>
      </w:r>
      <w:r w:rsidR="00266D5C">
        <w:t xml:space="preserve">• Summary of Leadership Behaviours </w:t>
      </w:r>
    </w:p>
    <w:p w14:paraId="17B1037A" w14:textId="21FE724A" w:rsidR="00800CB1" w:rsidRDefault="00800CB1" w:rsidP="005C28E8">
      <w:pPr>
        <w:spacing w:line="360" w:lineRule="auto"/>
      </w:pPr>
      <w:r>
        <w:t xml:space="preserve">            </w:t>
      </w:r>
      <w:r w:rsidR="00266D5C">
        <w:t>• Application of Leading with Care</w:t>
      </w:r>
    </w:p>
    <w:p w14:paraId="188723C1" w14:textId="0E6DB67C" w:rsidR="00800CB1" w:rsidRDefault="00800CB1" w:rsidP="005C28E8">
      <w:pPr>
        <w:spacing w:line="360" w:lineRule="auto"/>
      </w:pPr>
      <w:r>
        <w:t xml:space="preserve">            </w:t>
      </w:r>
      <w:r w:rsidR="00266D5C">
        <w:t xml:space="preserve">• Reflective Journal Entry </w:t>
      </w:r>
    </w:p>
    <w:p w14:paraId="23E97EEA" w14:textId="0E6DD44C" w:rsidR="00D46920" w:rsidRPr="00800CB1" w:rsidRDefault="00266D5C" w:rsidP="00800CB1">
      <w:pPr>
        <w:pStyle w:val="ListParagraph"/>
        <w:numPr>
          <w:ilvl w:val="0"/>
          <w:numId w:val="14"/>
        </w:numPr>
        <w:spacing w:line="360" w:lineRule="auto"/>
      </w:pPr>
      <w:r>
        <w:rPr>
          <w:rStyle w:val="Strong"/>
        </w:rPr>
        <w:t>Task 8:</w:t>
      </w:r>
      <w:r>
        <w:t xml:space="preserve"> Self</w:t>
      </w:r>
      <w:r>
        <w:noBreakHyphen/>
        <w:t>Reflection Journal Entry</w:t>
      </w: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58BB6066" w14:textId="77777777" w:rsidR="00800CB1" w:rsidRDefault="00800CB1" w:rsidP="005C28E8">
      <w:pPr>
        <w:spacing w:line="360" w:lineRule="auto"/>
        <w:rPr>
          <w:rFonts w:ascii="Times New Roman" w:hAnsi="Times New Roman"/>
          <w:b/>
          <w:bCs/>
          <w:sz w:val="32"/>
          <w:szCs w:val="32"/>
        </w:rPr>
      </w:pPr>
    </w:p>
    <w:p w14:paraId="3CC12BCF" w14:textId="26EFCDEA" w:rsidR="008F7CEC" w:rsidRPr="00800CB1" w:rsidRDefault="008F7CEC" w:rsidP="005C28E8">
      <w:pPr>
        <w:spacing w:line="360" w:lineRule="auto"/>
        <w:rPr>
          <w:rFonts w:ascii="Times New Roman" w:hAnsi="Times New Roman"/>
          <w:b/>
          <w:bCs/>
          <w:sz w:val="32"/>
          <w:szCs w:val="32"/>
        </w:rPr>
      </w:pPr>
      <w:r w:rsidRPr="00A96FFC">
        <w:rPr>
          <w:b/>
          <w:bCs/>
          <w:sz w:val="32"/>
          <w:szCs w:val="32"/>
        </w:rPr>
        <w:lastRenderedPageBreak/>
        <w:t>Introduction:</w:t>
      </w:r>
    </w:p>
    <w:p w14:paraId="295624A2" w14:textId="1DB8271C" w:rsidR="00B53FF7" w:rsidRDefault="008F7CEC" w:rsidP="005C28E8">
      <w:pPr>
        <w:spacing w:line="360" w:lineRule="auto"/>
      </w:pPr>
      <w:r>
        <w:t>This assignment explores key concepts that shape creativity, innovation, and value creation within health and social care. Across eight tasks, the portfolio examines how new ideas are developed, applied, and evaluated in practice, and how professionals use creative thinking to respond to complex needs. The work begins by defining core concepts such as innovation, creativity, value creation, and change, before applying these ideas to real</w:t>
      </w:r>
      <w:r>
        <w:noBreakHyphen/>
        <w:t>world challenges through a mind map and reflective activities. The assignment also analyses a current NHS innovation, reviews academic research on workforce issues, and evaluates how digital technologies support modern care delivery. Leadership and reflective practice are integrated throughout, highlighting how effective leadership behaviours encourage creativity and service improvement. Overall, this portfolio demonstrates how theoretical models, evidence</w:t>
      </w:r>
      <w:r>
        <w:noBreakHyphen/>
        <w:t>based practice, and critical reflection contribute to high</w:t>
      </w:r>
      <w:r>
        <w:noBreakHyphen/>
        <w:t>quality, person</w:t>
      </w:r>
      <w:r>
        <w:noBreakHyphen/>
        <w:t>centred care and support ongoing professional development within health and social care settings.</w:t>
      </w:r>
      <w:r>
        <w:t xml:space="preserve"> And I added some screenshots of what we have learned in class, in addition to what I have research.</w:t>
      </w:r>
    </w:p>
    <w:p w14:paraId="7B70CD67" w14:textId="36808897" w:rsidR="008E3B13" w:rsidRPr="008F7CEC" w:rsidRDefault="008F7CEC" w:rsidP="005C28E8">
      <w:pPr>
        <w:spacing w:line="360" w:lineRule="auto"/>
        <w:rPr>
          <w:rFonts w:ascii="Times New Roman" w:hAnsi="Times New Roman"/>
          <w:b/>
          <w:bCs/>
          <w:sz w:val="32"/>
          <w:szCs w:val="32"/>
        </w:rPr>
      </w:pPr>
      <w:r w:rsidRPr="008F7CEC">
        <w:rPr>
          <w:b/>
          <w:bCs/>
          <w:sz w:val="32"/>
          <w:szCs w:val="32"/>
        </w:rPr>
        <w:t>Defining Key Concepts in Practice</w:t>
      </w:r>
    </w:p>
    <w:p w14:paraId="7A25B93F" w14:textId="13722AF2" w:rsidR="00C14204" w:rsidRPr="000F3180" w:rsidRDefault="008E3B13" w:rsidP="005C28E8">
      <w:pPr>
        <w:spacing w:line="360" w:lineRule="auto"/>
        <w:rPr>
          <w:rFonts w:ascii="Times New Roman" w:hAnsi="Times New Roman"/>
          <w:b/>
          <w:bCs/>
          <w:sz w:val="32"/>
          <w:szCs w:val="32"/>
        </w:rPr>
      </w:pPr>
      <w:r>
        <w:rPr>
          <w:rFonts w:ascii="Times New Roman" w:hAnsi="Times New Roman"/>
          <w:b/>
          <w:bCs/>
          <w:noProof/>
          <w:sz w:val="32"/>
          <w:szCs w:val="32"/>
          <w14:ligatures w14:val="standardContextual"/>
        </w:rPr>
        <w:drawing>
          <wp:inline distT="0" distB="0" distL="0" distR="0" wp14:anchorId="376908B2" wp14:editId="6A8E9A55">
            <wp:extent cx="5731510" cy="2118360"/>
            <wp:effectExtent l="0" t="0" r="2540" b="0"/>
            <wp:docPr id="1746238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38066" name="Picture 174623806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118360"/>
                    </a:xfrm>
                    <a:prstGeom prst="rect">
                      <a:avLst/>
                    </a:prstGeom>
                  </pic:spPr>
                </pic:pic>
              </a:graphicData>
            </a:graphic>
          </wp:inline>
        </w:drawing>
      </w:r>
    </w:p>
    <w:p w14:paraId="3A87D2C0" w14:textId="698DAFEE" w:rsidR="00A96FFC" w:rsidRDefault="00A96FFC" w:rsidP="005C28E8">
      <w:pPr>
        <w:spacing w:line="360" w:lineRule="auto"/>
        <w:rPr>
          <w:rFonts w:ascii="Times New Roman" w:hAnsi="Times New Roman"/>
          <w:b/>
          <w:bCs/>
          <w:sz w:val="32"/>
          <w:szCs w:val="32"/>
        </w:rPr>
      </w:pPr>
      <w:r>
        <w:t xml:space="preserve">Innovation refers to the introduction of new ideas, methods, or services that improve existing practice or create better outcomes. In health and social care, innovation often involves adopting new technologies, redesigning services, or developing improved ways of working to enhance safety, efficiency, and patient experience. Rogers’ Diffusion of Innovation Theory explains how innovative practices spread gradually through </w:t>
      </w:r>
      <w:r>
        <w:lastRenderedPageBreak/>
        <w:t>organisations as staff become aware of, evaluate, and adopt them (Rogers, 2003). Innovation is essential in health and social care because services must continually respond to changing needs, policy requirements, and emerging evidence. For example, the introduction of digital health records has improved information sharing between multidisciplinary teams, reducing duplication and supporting safer decision</w:t>
      </w:r>
      <w:r>
        <w:noBreakHyphen/>
        <w:t>making. Example: The use of telehealth consultations in community nursing is an innovation that increases access for families who face barriers to attending in</w:t>
      </w:r>
      <w:r>
        <w:noBreakHyphen/>
        <w:t>person appointments. Creativity involves generating new and useful ideas by combining knowledge, skills, and imagination. Amabile’s Componential Theory of Creativity highlights that creativity emerges when individuals have expertise, creative-thinking skills, and motivation (Amabile, 1996). Creativity is important in health and social care because practitioners often need to find flexible, person</w:t>
      </w:r>
      <w:r>
        <w:noBreakHyphen/>
        <w:t>centred solutions to complex problems. Creative thinking supports professionals to adapt interventions, communicate effectively with diverse families, and design services that better meet children’s needs. Example: A social worker developing a personalised communication tool for a non</w:t>
      </w:r>
      <w:r>
        <w:noBreakHyphen/>
        <w:t>verbal child demonstrates creativity by tailoring support to the child’s strengths and preferences. Value Creation Value creation refers to delivering services that improve outcomes relative to the resources used. Porter argues that value in healthcare is achieved when interventions enhance patient outcomes while maintaining or reducing costs (Porter, 2010). In health and social care, value creation ensures that limited resources are used effectively to support children, young people, and families. It encourages evidence</w:t>
      </w:r>
      <w:r>
        <w:noBreakHyphen/>
        <w:t>based practice, efficient service delivery, and interventions that genuinely improve wellbeing. Example: Early intervention programmes for vulnerable families create value by preventing escalation of need, reducing long</w:t>
      </w:r>
      <w:r>
        <w:noBreakHyphen/>
        <w:t xml:space="preserve">term costs, and improving children’s developmental outcomes. Change involves altering existing practices, behaviours, or systems to achieve improvement. Lewin’s Change Management Model describes change as a process of unfreezing current practice, implementing new approaches, and refreezing to stabilise improvements (Burnes, 2017). Change is vital in health and social care because services must adapt to new legislation, safeguarding requirements, and emerging risks. Effective change ensures that organisations remain responsive, safe, and aligned with national policy. Example: Implementing the updated Working Together to Safeguard </w:t>
      </w:r>
      <w:r>
        <w:lastRenderedPageBreak/>
        <w:t>Children (2023) guidance requires organisational change to ensure staff follow revised assessment processes and information</w:t>
      </w:r>
      <w:r>
        <w:noBreakHyphen/>
        <w:t>sharing expectations.</w:t>
      </w:r>
    </w:p>
    <w:p w14:paraId="0034181D" w14:textId="77777777" w:rsidR="00C628EC" w:rsidRDefault="00C628EC" w:rsidP="005C28E8">
      <w:pPr>
        <w:spacing w:line="360" w:lineRule="auto"/>
        <w:rPr>
          <w:rFonts w:ascii="Times New Roman" w:hAnsi="Times New Roman"/>
          <w:b/>
          <w:bCs/>
          <w:sz w:val="32"/>
          <w:szCs w:val="32"/>
        </w:rPr>
      </w:pPr>
    </w:p>
    <w:p w14:paraId="6A2B9813" w14:textId="1138152E" w:rsidR="00B1678F" w:rsidRPr="008F7CEC" w:rsidRDefault="00B53FF7" w:rsidP="005C28E8">
      <w:pPr>
        <w:spacing w:line="360" w:lineRule="auto"/>
        <w:rPr>
          <w:rFonts w:ascii="Times New Roman" w:hAnsi="Times New Roman"/>
          <w:b/>
          <w:bCs/>
          <w:sz w:val="32"/>
          <w:szCs w:val="32"/>
        </w:rPr>
      </w:pPr>
      <w:r w:rsidRPr="008F7CEC">
        <w:rPr>
          <w:rFonts w:ascii="Times New Roman" w:hAnsi="Times New Roman"/>
          <w:b/>
          <w:bCs/>
          <w:sz w:val="32"/>
          <w:szCs w:val="32"/>
        </w:rPr>
        <w:t>Mind Ma</w:t>
      </w:r>
      <w:r w:rsidR="00B1678F">
        <w:rPr>
          <w:rFonts w:ascii="Times New Roman" w:hAnsi="Times New Roman"/>
          <w:b/>
          <w:bCs/>
          <w:sz w:val="32"/>
          <w:szCs w:val="32"/>
        </w:rPr>
        <w:t>p</w:t>
      </w:r>
    </w:p>
    <w:p w14:paraId="5A0E0BD3" w14:textId="746629D0" w:rsidR="00A07DCF" w:rsidRPr="00C628EC" w:rsidRDefault="00D56D16" w:rsidP="005C28E8">
      <w:pPr>
        <w:spacing w:line="360" w:lineRule="auto"/>
        <w:rPr>
          <w:rFonts w:ascii="Times New Roman" w:hAnsi="Times New Roman"/>
          <w:b/>
          <w:bCs/>
          <w:sz w:val="32"/>
          <w:szCs w:val="32"/>
        </w:rPr>
      </w:pPr>
      <w:r>
        <w:rPr>
          <w:rFonts w:ascii="Times New Roman" w:hAnsi="Times New Roman"/>
          <w:b/>
          <w:bCs/>
          <w:noProof/>
          <w:sz w:val="32"/>
          <w:szCs w:val="32"/>
          <w14:ligatures w14:val="standardContextual"/>
        </w:rPr>
        <w:drawing>
          <wp:inline distT="0" distB="0" distL="0" distR="0" wp14:anchorId="1DCD7A71" wp14:editId="38E18D5B">
            <wp:extent cx="5731510" cy="3116580"/>
            <wp:effectExtent l="0" t="0" r="2540" b="7620"/>
            <wp:docPr id="169979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7916" name="Picture 169979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16580"/>
                    </a:xfrm>
                    <a:prstGeom prst="rect">
                      <a:avLst/>
                    </a:prstGeom>
                  </pic:spPr>
                </pic:pic>
              </a:graphicData>
            </a:graphic>
          </wp:inline>
        </w:drawing>
      </w:r>
    </w:p>
    <w:p w14:paraId="09547A84" w14:textId="1ED0D146" w:rsidR="00A96FFC" w:rsidRDefault="00A96FFC" w:rsidP="00A96FFC">
      <w:pPr>
        <w:pStyle w:val="NormalWeb"/>
      </w:pPr>
      <w:r>
        <w:t xml:space="preserve">Poor communication is a </w:t>
      </w:r>
      <w:r>
        <w:t>major</w:t>
      </w:r>
      <w:r>
        <w:t xml:space="preserve"> problem in health and social care because it leads to delays, inconsistent information, and unsafe decision</w:t>
      </w:r>
      <w:r>
        <w:noBreakHyphen/>
        <w:t xml:space="preserve">making. Using </w:t>
      </w:r>
      <w:r w:rsidRPr="00C628EC">
        <w:t>a</w:t>
      </w:r>
      <w:r w:rsidRPr="00C628EC">
        <w:rPr>
          <w:b/>
          <w:bCs/>
        </w:rPr>
        <w:t xml:space="preserve"> </w:t>
      </w:r>
      <w:r w:rsidRPr="00C628EC">
        <w:rPr>
          <w:rStyle w:val="Strong"/>
          <w:b w:val="0"/>
          <w:bCs w:val="0"/>
        </w:rPr>
        <w:t>systems thinking approach</w:t>
      </w:r>
      <w:r w:rsidRPr="00C628EC">
        <w:rPr>
          <w:b/>
          <w:bCs/>
        </w:rPr>
        <w:t>,</w:t>
      </w:r>
      <w:r>
        <w:t xml:space="preserve"> which recognises that problems arise from interconnected factors rather than a single cause (Meadows, 2008), the mind map shows how communication failures stem from staff burnout, digital barriers, high caseloads, and limited multi</w:t>
      </w:r>
      <w:r>
        <w:noBreakHyphen/>
        <w:t xml:space="preserve">agency coordination. These causes create serious impacts such as missed safeguarding concerns, reduced care quality, and emotional distress for </w:t>
      </w:r>
      <w:r w:rsidR="00C628EC">
        <w:t>families. If</w:t>
      </w:r>
      <w:r>
        <w:t xml:space="preserve"> poor communication is not addressed, vulnerable groups</w:t>
      </w:r>
      <w:r w:rsidR="00C628EC">
        <w:t xml:space="preserve"> </w:t>
      </w:r>
      <w:r>
        <w:t>especially children and those with complex needs</w:t>
      </w:r>
      <w:r w:rsidR="00C628EC">
        <w:t xml:space="preserve"> </w:t>
      </w:r>
      <w:r>
        <w:t>remain at risk of harm. Solutions in the mind map include improved digital systems, shared training, clearer information pathways, and protected time for staff to update records. These actions strengthen teamwork and support safer practice.</w:t>
      </w:r>
    </w:p>
    <w:p w14:paraId="424D07F4" w14:textId="77777777" w:rsidR="00456A95" w:rsidRDefault="00456A95" w:rsidP="005C28E8">
      <w:pPr>
        <w:spacing w:line="360" w:lineRule="auto"/>
        <w:rPr>
          <w:rFonts w:ascii="Times New Roman" w:hAnsi="Times New Roman"/>
          <w:b/>
          <w:bCs/>
          <w:sz w:val="32"/>
          <w:szCs w:val="32"/>
        </w:rPr>
      </w:pPr>
    </w:p>
    <w:p w14:paraId="74A5A1AF" w14:textId="77777777" w:rsidR="00456A95" w:rsidRDefault="00456A95" w:rsidP="005C28E8">
      <w:pPr>
        <w:spacing w:line="360" w:lineRule="auto"/>
        <w:rPr>
          <w:rFonts w:ascii="Times New Roman" w:hAnsi="Times New Roman"/>
          <w:b/>
          <w:bCs/>
          <w:sz w:val="32"/>
          <w:szCs w:val="32"/>
        </w:rPr>
      </w:pPr>
    </w:p>
    <w:p w14:paraId="4F511B8A" w14:textId="77777777" w:rsidR="00C628EC" w:rsidRDefault="00C628EC" w:rsidP="005C28E8">
      <w:pPr>
        <w:spacing w:line="360" w:lineRule="auto"/>
        <w:rPr>
          <w:rFonts w:ascii="Times New Roman" w:hAnsi="Times New Roman"/>
          <w:b/>
          <w:bCs/>
          <w:sz w:val="32"/>
          <w:szCs w:val="32"/>
        </w:rPr>
      </w:pPr>
    </w:p>
    <w:p w14:paraId="0ECF8056" w14:textId="77777777" w:rsidR="001233E4" w:rsidRDefault="001233E4" w:rsidP="005C28E8">
      <w:pPr>
        <w:spacing w:line="360" w:lineRule="auto"/>
        <w:rPr>
          <w:rFonts w:ascii="Times New Roman" w:hAnsi="Times New Roman"/>
          <w:b/>
          <w:bCs/>
          <w:sz w:val="32"/>
          <w:szCs w:val="32"/>
        </w:rPr>
      </w:pPr>
    </w:p>
    <w:p w14:paraId="198BAF4D" w14:textId="5FF32B43" w:rsidR="00B1678F" w:rsidRPr="000F3180" w:rsidRDefault="00E123C5" w:rsidP="005C28E8">
      <w:pPr>
        <w:spacing w:line="360" w:lineRule="auto"/>
        <w:rPr>
          <w:rFonts w:ascii="Times New Roman" w:hAnsi="Times New Roman"/>
          <w:b/>
          <w:bCs/>
          <w:sz w:val="32"/>
          <w:szCs w:val="32"/>
        </w:rPr>
      </w:pPr>
      <w:r>
        <w:rPr>
          <w:rFonts w:ascii="Times New Roman" w:hAnsi="Times New Roman"/>
          <w:b/>
          <w:bCs/>
          <w:sz w:val="32"/>
          <w:szCs w:val="32"/>
        </w:rPr>
        <w:lastRenderedPageBreak/>
        <w:t>Self-reflection of Group Activity</w:t>
      </w:r>
    </w:p>
    <w:p w14:paraId="63E6BB6B" w14:textId="45BDA162" w:rsidR="00E123C5" w:rsidRDefault="000F3180" w:rsidP="005C28E8">
      <w:pPr>
        <w:spacing w:line="360" w:lineRule="auto"/>
        <w:rPr>
          <w:rFonts w:ascii="Times New Roman" w:hAnsi="Times New Roman"/>
          <w:b/>
          <w:bCs/>
          <w:sz w:val="32"/>
          <w:szCs w:val="32"/>
        </w:rPr>
      </w:pPr>
      <w:r>
        <w:rPr>
          <w:rFonts w:ascii="Times New Roman" w:hAnsi="Times New Roman"/>
          <w:b/>
          <w:bCs/>
          <w:noProof/>
          <w:sz w:val="32"/>
          <w:szCs w:val="32"/>
          <w14:ligatures w14:val="standardContextual"/>
        </w:rPr>
        <w:drawing>
          <wp:inline distT="0" distB="0" distL="0" distR="0" wp14:anchorId="16E50C4A" wp14:editId="20B4CE02">
            <wp:extent cx="5731510" cy="2867025"/>
            <wp:effectExtent l="0" t="0" r="2540" b="9525"/>
            <wp:docPr id="6509402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40293" name="Picture 65094029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inline>
        </w:drawing>
      </w:r>
    </w:p>
    <w:p w14:paraId="2CADA34B" w14:textId="59DFC2F3" w:rsidR="00C628EC" w:rsidRDefault="00C628EC" w:rsidP="00C628EC">
      <w:pPr>
        <w:pStyle w:val="NormalWeb"/>
      </w:pPr>
      <w:r>
        <w:t xml:space="preserve">Using </w:t>
      </w:r>
      <w:r w:rsidRPr="00C628EC">
        <w:rPr>
          <w:rStyle w:val="Strong"/>
          <w:b w:val="0"/>
          <w:bCs w:val="0"/>
        </w:rPr>
        <w:t>Gibbs’ Reflective Cycle (1988)</w:t>
      </w:r>
      <w:r w:rsidRPr="00C628EC">
        <w:rPr>
          <w:b/>
          <w:bCs/>
        </w:rPr>
        <w:t>,</w:t>
      </w:r>
      <w:r>
        <w:t xml:space="preserve"> I reflected on my experience of the convergent and divergent thinking activity. Divergent thinking involves generating multiple ideas without judgement, while convergent thinking focuses on narrowing options to reach a single solution (Runco, 2014). During the group task, I noticed that divergent thinking felt more natural to me. When our group struggled to agree, I suggested we pause and list all possible ideas first. This helped reduce tension and allowed everyone to </w:t>
      </w:r>
      <w:r>
        <w:t>contribute. In</w:t>
      </w:r>
      <w:r>
        <w:t xml:space="preserve"> the evaluation stage, I recognised that although I am confident generating ideas, I become more hesitant when the group needs to make a final decision. Convergent thinking required me to be more assertive, especially when we used a pros</w:t>
      </w:r>
      <w:r>
        <w:noBreakHyphen/>
        <w:t>and</w:t>
      </w:r>
      <w:r>
        <w:noBreakHyphen/>
        <w:t>cons list to select our final option. I learned that effective teamwork depends on balancing both thinking styles and communicating clearly.</w:t>
      </w:r>
      <w:r>
        <w:t xml:space="preserve"> </w:t>
      </w:r>
      <w:r>
        <w:t>In the analysis stage, I realised that I work best when I listen actively and help organise ideas. Next time, I would contribute more confidently during the decision</w:t>
      </w:r>
      <w:r>
        <w:noBreakHyphen/>
        <w:t>making phase and support the group in reaching conclusions more efficiently.</w:t>
      </w:r>
    </w:p>
    <w:p w14:paraId="170C1CCE" w14:textId="77777777" w:rsidR="009213F6" w:rsidRDefault="009213F6" w:rsidP="005C28E8">
      <w:pPr>
        <w:spacing w:line="360" w:lineRule="auto"/>
        <w:rPr>
          <w:rFonts w:ascii="Times New Roman" w:hAnsi="Times New Roman"/>
          <w:b/>
          <w:bCs/>
          <w:sz w:val="32"/>
          <w:szCs w:val="32"/>
        </w:rPr>
      </w:pPr>
    </w:p>
    <w:p w14:paraId="60B25E9E" w14:textId="77777777" w:rsidR="009213F6" w:rsidRDefault="009213F6" w:rsidP="005C28E8">
      <w:pPr>
        <w:spacing w:line="360" w:lineRule="auto"/>
        <w:rPr>
          <w:rFonts w:ascii="Times New Roman" w:hAnsi="Times New Roman"/>
          <w:b/>
          <w:bCs/>
          <w:sz w:val="32"/>
          <w:szCs w:val="32"/>
        </w:rPr>
      </w:pPr>
    </w:p>
    <w:p w14:paraId="246605D6" w14:textId="77777777" w:rsidR="009213F6" w:rsidRDefault="009213F6" w:rsidP="005C28E8">
      <w:pPr>
        <w:spacing w:line="360" w:lineRule="auto"/>
        <w:rPr>
          <w:rFonts w:ascii="Times New Roman" w:hAnsi="Times New Roman"/>
          <w:b/>
          <w:bCs/>
          <w:sz w:val="32"/>
          <w:szCs w:val="32"/>
        </w:rPr>
      </w:pPr>
    </w:p>
    <w:p w14:paraId="1DC77DBC" w14:textId="77777777" w:rsidR="00033E70" w:rsidRDefault="00033E70" w:rsidP="005C28E8">
      <w:pPr>
        <w:spacing w:line="360" w:lineRule="auto"/>
        <w:rPr>
          <w:rFonts w:ascii="Times New Roman" w:hAnsi="Times New Roman"/>
          <w:b/>
          <w:bCs/>
          <w:sz w:val="32"/>
          <w:szCs w:val="32"/>
        </w:rPr>
      </w:pPr>
    </w:p>
    <w:p w14:paraId="3B5FDDEB" w14:textId="77777777" w:rsidR="00C628EC" w:rsidRDefault="00C628EC" w:rsidP="005C28E8">
      <w:pPr>
        <w:spacing w:line="360" w:lineRule="auto"/>
        <w:rPr>
          <w:rFonts w:ascii="Times New Roman" w:hAnsi="Times New Roman"/>
          <w:b/>
          <w:bCs/>
          <w:sz w:val="32"/>
          <w:szCs w:val="32"/>
        </w:rPr>
      </w:pPr>
    </w:p>
    <w:p w14:paraId="47B5166E" w14:textId="77777777" w:rsidR="001233E4" w:rsidRDefault="001233E4" w:rsidP="005C28E8">
      <w:pPr>
        <w:spacing w:line="360" w:lineRule="auto"/>
        <w:rPr>
          <w:rFonts w:ascii="Times New Roman" w:hAnsi="Times New Roman"/>
          <w:b/>
          <w:bCs/>
          <w:sz w:val="32"/>
          <w:szCs w:val="32"/>
        </w:rPr>
      </w:pPr>
    </w:p>
    <w:p w14:paraId="6835799B" w14:textId="41612AD5" w:rsidR="00456A95" w:rsidRPr="00C628EC" w:rsidRDefault="00B1678F" w:rsidP="005C28E8">
      <w:pPr>
        <w:spacing w:line="360" w:lineRule="auto"/>
        <w:rPr>
          <w:rFonts w:ascii="Times New Roman" w:hAnsi="Times New Roman"/>
          <w:b/>
          <w:bCs/>
          <w:sz w:val="32"/>
          <w:szCs w:val="32"/>
        </w:rPr>
      </w:pPr>
      <w:r>
        <w:rPr>
          <w:rFonts w:ascii="Times New Roman" w:hAnsi="Times New Roman"/>
          <w:b/>
          <w:bCs/>
          <w:sz w:val="32"/>
          <w:szCs w:val="32"/>
        </w:rPr>
        <w:lastRenderedPageBreak/>
        <w:t xml:space="preserve">Case Study </w:t>
      </w:r>
      <w:r w:rsidR="009213F6">
        <w:rPr>
          <w:rFonts w:ascii="Times New Roman" w:hAnsi="Times New Roman"/>
          <w:b/>
          <w:bCs/>
          <w:sz w:val="32"/>
          <w:szCs w:val="32"/>
        </w:rPr>
        <w:t>Analysis of a UK Innovation</w:t>
      </w:r>
    </w:p>
    <w:p w14:paraId="10FB0262" w14:textId="28407A12" w:rsidR="009213F6" w:rsidRDefault="009213F6" w:rsidP="009213F6">
      <w:pPr>
        <w:pStyle w:val="NormalWeb"/>
      </w:pPr>
      <w:r>
        <w:rPr>
          <w:noProof/>
          <w14:ligatures w14:val="standardContextual"/>
        </w:rPr>
        <w:drawing>
          <wp:inline distT="0" distB="0" distL="0" distR="0" wp14:anchorId="4C97BBB0" wp14:editId="0D7F966A">
            <wp:extent cx="5731510" cy="2867025"/>
            <wp:effectExtent l="0" t="0" r="2540" b="9525"/>
            <wp:docPr id="3512499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49988" name="Picture 35124998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inline>
        </w:drawing>
      </w:r>
    </w:p>
    <w:p w14:paraId="195B9BFF" w14:textId="781AB11E" w:rsidR="00C628EC" w:rsidRDefault="00C628EC" w:rsidP="00C628EC">
      <w:pPr>
        <w:pStyle w:val="NormalWeb"/>
      </w:pPr>
      <w:r>
        <w:t xml:space="preserve">A key innovation in the NHS has been the introduction of </w:t>
      </w:r>
      <w:r w:rsidRPr="00C628EC">
        <w:rPr>
          <w:rStyle w:val="Strong"/>
          <w:b w:val="0"/>
          <w:bCs w:val="0"/>
        </w:rPr>
        <w:t>digital triage tools</w:t>
      </w:r>
      <w:r>
        <w:t xml:space="preserve">, such as eConsult, to address rising demand and long GP wait times. The main problem was that patients struggled to access timely appointments, leading to delays in diagnosis and increased pressure on staff. Creativity played a central role in redesigning the traditional access model. Instead of relying solely on phone calls, digital triage allowed patients to submit symptoms online and receive rapid clinical assessment. This reflects </w:t>
      </w:r>
      <w:r w:rsidRPr="00C628EC">
        <w:rPr>
          <w:rStyle w:val="Strong"/>
          <w:b w:val="0"/>
          <w:bCs w:val="0"/>
        </w:rPr>
        <w:t>Rogers’ Diffusion of Innovation</w:t>
      </w:r>
      <w:r>
        <w:rPr>
          <w:rStyle w:val="Strong"/>
        </w:rPr>
        <w:t xml:space="preserve"> </w:t>
      </w:r>
      <w:r w:rsidRPr="00C628EC">
        <w:rPr>
          <w:rStyle w:val="Strong"/>
          <w:b w:val="0"/>
          <w:bCs w:val="0"/>
        </w:rPr>
        <w:t>Theory</w:t>
      </w:r>
      <w:r w:rsidRPr="00C628EC">
        <w:rPr>
          <w:b/>
          <w:bCs/>
        </w:rPr>
        <w:t>,</w:t>
      </w:r>
      <w:r>
        <w:t xml:space="preserve"> which explains that adoption increases when innovations are perceived as useful, easy to use, and beneficial to staff and patients (Rogers, 2003</w:t>
      </w:r>
      <w:r>
        <w:t>). This</w:t>
      </w:r>
      <w:r>
        <w:t xml:space="preserve"> innovation created significant value for service users by improving access, reducing waiting times, and enabling earlier identification of urgent cases. Staff benefited from clearer prioritisation, reduced administrative burden, and more efficient workflow. NHS evaluations report improved patient satisfaction, better demand management, and more appropriate allocation of appointments (NHS England, 2023</w:t>
      </w:r>
      <w:r>
        <w:t>). Outcomes</w:t>
      </w:r>
      <w:r>
        <w:t xml:space="preserve"> suggest digital triage could be scaled across other services, including mental</w:t>
      </w:r>
      <w:r>
        <w:noBreakHyphen/>
        <w:t>health triage and community care, demonstrating its potential to improve system</w:t>
      </w:r>
      <w:r>
        <w:noBreakHyphen/>
        <w:t>wide efficiency and patient experience.</w:t>
      </w:r>
    </w:p>
    <w:p w14:paraId="45C29612" w14:textId="77777777" w:rsidR="009213F6" w:rsidRDefault="009213F6" w:rsidP="005C28E8">
      <w:pPr>
        <w:spacing w:line="360" w:lineRule="auto"/>
        <w:rPr>
          <w:rFonts w:ascii="Times New Roman" w:hAnsi="Times New Roman"/>
          <w:b/>
          <w:bCs/>
          <w:sz w:val="32"/>
          <w:szCs w:val="32"/>
        </w:rPr>
      </w:pPr>
    </w:p>
    <w:p w14:paraId="6A8E92DA" w14:textId="77777777" w:rsidR="00B864C4" w:rsidRDefault="00B864C4" w:rsidP="005C28E8">
      <w:pPr>
        <w:spacing w:line="360" w:lineRule="auto"/>
        <w:rPr>
          <w:rFonts w:ascii="Times New Roman" w:hAnsi="Times New Roman"/>
          <w:b/>
          <w:bCs/>
          <w:sz w:val="32"/>
          <w:szCs w:val="32"/>
        </w:rPr>
      </w:pPr>
    </w:p>
    <w:p w14:paraId="08A4F77B" w14:textId="77777777" w:rsidR="00033E70" w:rsidRDefault="00033E70" w:rsidP="00033E70">
      <w:pPr>
        <w:spacing w:before="100" w:beforeAutospacing="1" w:after="100" w:afterAutospacing="1" w:line="240" w:lineRule="auto"/>
        <w:outlineLvl w:val="1"/>
        <w:rPr>
          <w:rFonts w:ascii="Times New Roman" w:eastAsia="Times New Roman" w:hAnsi="Times New Roman"/>
          <w:b/>
          <w:bCs/>
          <w:kern w:val="0"/>
          <w:sz w:val="36"/>
          <w:szCs w:val="36"/>
          <w:lang w:eastAsia="en-GB"/>
        </w:rPr>
      </w:pPr>
    </w:p>
    <w:p w14:paraId="29508941" w14:textId="77777777" w:rsidR="00B1678F" w:rsidRDefault="00B1678F" w:rsidP="00033E70">
      <w:pPr>
        <w:spacing w:before="100" w:beforeAutospacing="1" w:after="100" w:afterAutospacing="1" w:line="240" w:lineRule="auto"/>
        <w:outlineLvl w:val="1"/>
        <w:rPr>
          <w:rFonts w:ascii="Times New Roman" w:eastAsia="Times New Roman" w:hAnsi="Times New Roman"/>
          <w:b/>
          <w:bCs/>
          <w:kern w:val="0"/>
          <w:sz w:val="36"/>
          <w:szCs w:val="36"/>
          <w:lang w:eastAsia="en-GB"/>
        </w:rPr>
      </w:pPr>
    </w:p>
    <w:p w14:paraId="648034F7" w14:textId="77777777" w:rsidR="00B1678F" w:rsidRDefault="00B1678F" w:rsidP="00033E70">
      <w:pPr>
        <w:spacing w:before="100" w:beforeAutospacing="1" w:after="100" w:afterAutospacing="1" w:line="240" w:lineRule="auto"/>
        <w:outlineLvl w:val="1"/>
        <w:rPr>
          <w:rFonts w:ascii="Times New Roman" w:eastAsia="Times New Roman" w:hAnsi="Times New Roman"/>
          <w:b/>
          <w:bCs/>
          <w:kern w:val="0"/>
          <w:sz w:val="36"/>
          <w:szCs w:val="36"/>
          <w:lang w:eastAsia="en-GB"/>
        </w:rPr>
      </w:pPr>
    </w:p>
    <w:p w14:paraId="75A69EC7" w14:textId="1943FAA4" w:rsidR="00B1678F" w:rsidRDefault="00C628EC" w:rsidP="00033E70">
      <w:pPr>
        <w:spacing w:before="100" w:beforeAutospacing="1" w:after="100" w:afterAutospacing="1" w:line="240" w:lineRule="auto"/>
        <w:outlineLvl w:val="1"/>
        <w:rPr>
          <w:rFonts w:ascii="Times New Roman" w:eastAsia="Times New Roman" w:hAnsi="Times New Roman"/>
          <w:b/>
          <w:bCs/>
          <w:kern w:val="0"/>
          <w:sz w:val="36"/>
          <w:szCs w:val="36"/>
          <w:lang w:eastAsia="en-GB"/>
        </w:rPr>
      </w:pPr>
      <w:r w:rsidRPr="00033E70">
        <w:rPr>
          <w:rFonts w:ascii="Times New Roman" w:eastAsia="Times New Roman" w:hAnsi="Times New Roman"/>
          <w:b/>
          <w:bCs/>
          <w:kern w:val="0"/>
          <w:sz w:val="36"/>
          <w:szCs w:val="36"/>
          <w:lang w:eastAsia="en-GB"/>
        </w:rPr>
        <w:lastRenderedPageBreak/>
        <w:t>Research Task</w:t>
      </w:r>
    </w:p>
    <w:p w14:paraId="6F76CBCC" w14:textId="1CC072C7" w:rsidR="00033E70" w:rsidRDefault="00033E70" w:rsidP="00033E70">
      <w:pPr>
        <w:spacing w:before="100" w:beforeAutospacing="1" w:after="100" w:afterAutospacing="1" w:line="240" w:lineRule="auto"/>
        <w:outlineLvl w:val="1"/>
        <w:rPr>
          <w:rFonts w:ascii="Times New Roman" w:eastAsia="Times New Roman" w:hAnsi="Times New Roman"/>
          <w:b/>
          <w:bCs/>
          <w:kern w:val="0"/>
          <w:sz w:val="36"/>
          <w:szCs w:val="36"/>
          <w:lang w:eastAsia="en-GB"/>
        </w:rPr>
      </w:pPr>
      <w:r>
        <w:rPr>
          <w:rFonts w:ascii="Times New Roman" w:eastAsia="Times New Roman" w:hAnsi="Times New Roman"/>
          <w:b/>
          <w:bCs/>
          <w:noProof/>
          <w:kern w:val="0"/>
          <w:sz w:val="36"/>
          <w:szCs w:val="36"/>
          <w:lang w:eastAsia="en-GB"/>
          <w14:ligatures w14:val="standardContextual"/>
        </w:rPr>
        <w:drawing>
          <wp:inline distT="0" distB="0" distL="0" distR="0" wp14:anchorId="1DFFFDC8" wp14:editId="78B3B609">
            <wp:extent cx="5731510" cy="2661920"/>
            <wp:effectExtent l="0" t="0" r="2540" b="5080"/>
            <wp:docPr id="2107918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18061" name="Picture 210791806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61920"/>
                    </a:xfrm>
                    <a:prstGeom prst="rect">
                      <a:avLst/>
                    </a:prstGeom>
                  </pic:spPr>
                </pic:pic>
              </a:graphicData>
            </a:graphic>
          </wp:inline>
        </w:drawing>
      </w:r>
    </w:p>
    <w:p w14:paraId="086A0A7C" w14:textId="77777777" w:rsidR="00B1678F" w:rsidRDefault="00B1678F" w:rsidP="00B1678F">
      <w:pPr>
        <w:pStyle w:val="NormalWeb"/>
      </w:pPr>
    </w:p>
    <w:p w14:paraId="2A201737" w14:textId="684786DB" w:rsidR="00B1678F" w:rsidRDefault="00B1678F" w:rsidP="00B1678F">
      <w:pPr>
        <w:pStyle w:val="NormalWeb"/>
      </w:pPr>
      <w:r>
        <w:t xml:space="preserve">This research task examines </w:t>
      </w:r>
      <w:r w:rsidRPr="00197FFE">
        <w:rPr>
          <w:rStyle w:val="Strong"/>
          <w:b w:val="0"/>
          <w:bCs w:val="0"/>
        </w:rPr>
        <w:t>staff stress and burnout</w:t>
      </w:r>
      <w:r>
        <w:t xml:space="preserve"> in health and social care. Maslach and Leiter (2016) explain that burnout develops when workers experience chronic emotional exhaustion, high workloads, and limited control over job demands. Their work highlights how constant pressure, role conflict, and insufficient recovery time reduce staff wellbeing and impair decision</w:t>
      </w:r>
      <w:r>
        <w:noBreakHyphen/>
        <w:t xml:space="preserve">making. In real practice, this is visible when practitioners struggle to manage caseloads, miss important information, or feel overwhelmed by safeguarding responsibilities. Maslach’s Burnout Theory helps me understand how emotional strain gradually affects performance and increases risk to service </w:t>
      </w:r>
      <w:r w:rsidR="00197FFE">
        <w:t>users. A</w:t>
      </w:r>
      <w:r>
        <w:t xml:space="preserve"> second study by Hall et al. (2016) found that burnout is strongly linked to organisational factors such as understaffing, poor communication, and lack of managerial support. Their findings show that stress is not only an individual issue but a systemic one shaped by workplace culture and resource constraints. Both articles agree that prolonged exposure to stressors leads to burnout, but Hall et al. place greater emphasis on structural conditions, whereas Maslach and Leiter focus more on psychological </w:t>
      </w:r>
      <w:r w:rsidR="00197FFE">
        <w:t>processes. Together</w:t>
      </w:r>
      <w:r>
        <w:t>, these studies deepen my understanding of how staff stress emerges and why it affects care quality. They show that burnout reduces attention, increases errors, and weakens safeguarding responses.</w:t>
      </w:r>
    </w:p>
    <w:p w14:paraId="02731265" w14:textId="4E9ADAA8" w:rsidR="00197FFE" w:rsidRDefault="00197FFE" w:rsidP="005C28E8">
      <w:pPr>
        <w:spacing w:line="360" w:lineRule="auto"/>
        <w:rPr>
          <w:rFonts w:ascii="Times New Roman" w:hAnsi="Times New Roman"/>
          <w:b/>
          <w:bCs/>
          <w:sz w:val="32"/>
          <w:szCs w:val="32"/>
        </w:rPr>
      </w:pPr>
      <w:r>
        <w:rPr>
          <w:rFonts w:ascii="Times New Roman" w:hAnsi="Times New Roman"/>
          <w:b/>
          <w:bCs/>
          <w:sz w:val="32"/>
          <w:szCs w:val="32"/>
        </w:rPr>
        <w:t>Exploring Digital Innovation in health and Social Care</w:t>
      </w:r>
    </w:p>
    <w:p w14:paraId="1F84E697" w14:textId="77777777" w:rsidR="00DC67D9" w:rsidRDefault="00197FFE" w:rsidP="00DC67D9">
      <w:pPr>
        <w:pStyle w:val="Heading2"/>
        <w:rPr>
          <w:rFonts w:ascii="Times New Roman" w:eastAsia="Times New Roman" w:hAnsi="Times New Roman" w:cs="Times New Roman"/>
          <w:b/>
          <w:bCs/>
          <w:color w:val="auto"/>
          <w:kern w:val="0"/>
          <w:sz w:val="22"/>
          <w:szCs w:val="22"/>
          <w:lang w:eastAsia="en-GB"/>
        </w:rPr>
      </w:pPr>
      <w:r w:rsidRPr="00DC67D9">
        <w:rPr>
          <w:rFonts w:ascii="Times New Roman" w:eastAsia="Times New Roman" w:hAnsi="Times New Roman" w:cs="Times New Roman"/>
          <w:b/>
          <w:bCs/>
          <w:color w:val="auto"/>
          <w:kern w:val="0"/>
          <w:sz w:val="22"/>
          <w:szCs w:val="22"/>
          <w:lang w:eastAsia="en-GB"/>
        </w:rPr>
        <w:lastRenderedPageBreak/>
        <w:t xml:space="preserve">Benefit of Wearable Health Technologies </w:t>
      </w:r>
    </w:p>
    <w:p w14:paraId="3CB66875" w14:textId="77777777" w:rsidR="00DC67D9" w:rsidRDefault="00197FFE" w:rsidP="00DC67D9">
      <w:pPr>
        <w:pStyle w:val="Heading2"/>
        <w:rPr>
          <w:rFonts w:ascii="Times New Roman" w:eastAsia="Times New Roman" w:hAnsi="Times New Roman"/>
          <w:color w:val="0D0D0D" w:themeColor="text1" w:themeTint="F2"/>
          <w:kern w:val="0"/>
          <w:sz w:val="22"/>
          <w:szCs w:val="22"/>
          <w:lang w:eastAsia="en-GB"/>
        </w:rPr>
      </w:pPr>
      <w:r w:rsidRPr="00DC67D9">
        <w:rPr>
          <w:rFonts w:ascii="Times New Roman" w:eastAsia="Times New Roman" w:hAnsi="Times New Roman"/>
          <w:color w:val="0D0D0D" w:themeColor="text1" w:themeTint="F2"/>
          <w:kern w:val="0"/>
          <w:sz w:val="22"/>
          <w:szCs w:val="22"/>
          <w:lang w:eastAsia="en-GB"/>
        </w:rPr>
        <w:t>Wearable health technologies, such as smartwatches and fitness trackers, support the management of chronic conditions by enabling continuous monitoring of symptoms and behaviours. One key benefit is improved self</w:t>
      </w:r>
      <w:r w:rsidRPr="00DC67D9">
        <w:rPr>
          <w:rFonts w:ascii="Times New Roman" w:eastAsia="Times New Roman" w:hAnsi="Times New Roman"/>
          <w:color w:val="0D0D0D" w:themeColor="text1" w:themeTint="F2"/>
          <w:kern w:val="0"/>
          <w:sz w:val="22"/>
          <w:szCs w:val="22"/>
          <w:lang w:eastAsia="en-GB"/>
        </w:rPr>
        <w:noBreakHyphen/>
        <w:t>management. Devices can track heart rate, sleep, physical activity, and medication reminders, helping individuals recognise patterns and adjust their lifestyle. For example, people with hypertension can monitor blood pressure trends and share data with clinicians, allowing earlier intervention. The Technology Acceptance Model explains that patients are more likely to use wearables when they perceive them as useful and easy to use (Davis, 1989</w:t>
      </w:r>
      <w:r w:rsidR="00DC67D9" w:rsidRPr="00DC67D9">
        <w:rPr>
          <w:rFonts w:ascii="Times New Roman" w:eastAsia="Times New Roman" w:hAnsi="Times New Roman"/>
          <w:color w:val="0D0D0D" w:themeColor="text1" w:themeTint="F2"/>
          <w:kern w:val="0"/>
          <w:sz w:val="22"/>
          <w:szCs w:val="22"/>
          <w:lang w:eastAsia="en-GB"/>
        </w:rPr>
        <w:t>). Wearables</w:t>
      </w:r>
      <w:r w:rsidRPr="00DC67D9">
        <w:rPr>
          <w:rFonts w:ascii="Times New Roman" w:eastAsia="Times New Roman" w:hAnsi="Times New Roman"/>
          <w:color w:val="0D0D0D" w:themeColor="text1" w:themeTint="F2"/>
          <w:kern w:val="0"/>
          <w:sz w:val="22"/>
          <w:szCs w:val="22"/>
          <w:lang w:eastAsia="en-GB"/>
        </w:rPr>
        <w:t xml:space="preserve"> also support remote monitoring, reducing unnecessary appointments and enabling clinicians to identify deterioration sooner. NHS pilots show that wearable devices for heart</w:t>
      </w:r>
      <w:r w:rsidRPr="00DC67D9">
        <w:rPr>
          <w:rFonts w:ascii="Times New Roman" w:eastAsia="Times New Roman" w:hAnsi="Times New Roman"/>
          <w:color w:val="0D0D0D" w:themeColor="text1" w:themeTint="F2"/>
          <w:kern w:val="0"/>
          <w:sz w:val="22"/>
          <w:szCs w:val="22"/>
          <w:lang w:eastAsia="en-GB"/>
        </w:rPr>
        <w:noBreakHyphen/>
        <w:t>failure patients reduce hospital admissions and improve quality of life (NHS England, 2023). This demonstrates how digital tools enhance personalised care and empower patients to take an active role in managing long</w:t>
      </w:r>
      <w:r w:rsidRPr="00DC67D9">
        <w:rPr>
          <w:rFonts w:ascii="Times New Roman" w:eastAsia="Times New Roman" w:hAnsi="Times New Roman"/>
          <w:color w:val="0D0D0D" w:themeColor="text1" w:themeTint="F2"/>
          <w:kern w:val="0"/>
          <w:sz w:val="22"/>
          <w:szCs w:val="22"/>
          <w:lang w:eastAsia="en-GB"/>
        </w:rPr>
        <w:noBreakHyphen/>
        <w:t>term conditions.</w:t>
      </w:r>
    </w:p>
    <w:p w14:paraId="749611F6" w14:textId="21F8DA1E" w:rsidR="00197FFE" w:rsidRPr="00DC67D9" w:rsidRDefault="00197FFE" w:rsidP="00DC67D9">
      <w:pPr>
        <w:pStyle w:val="Heading2"/>
        <w:rPr>
          <w:rFonts w:ascii="Times New Roman" w:eastAsia="Times New Roman" w:hAnsi="Times New Roman" w:cs="Times New Roman"/>
          <w:b/>
          <w:bCs/>
          <w:color w:val="000000" w:themeColor="text1"/>
          <w:kern w:val="0"/>
          <w:sz w:val="22"/>
          <w:szCs w:val="22"/>
          <w:lang w:eastAsia="en-GB"/>
        </w:rPr>
      </w:pPr>
      <w:r w:rsidRPr="00DC67D9">
        <w:rPr>
          <w:rFonts w:ascii="Times New Roman" w:eastAsia="Times New Roman" w:hAnsi="Times New Roman"/>
          <w:b/>
          <w:bCs/>
          <w:color w:val="000000" w:themeColor="text1"/>
          <w:kern w:val="0"/>
          <w:sz w:val="22"/>
          <w:szCs w:val="22"/>
          <w:lang w:eastAsia="en-GB"/>
        </w:rPr>
        <w:t xml:space="preserve">How Electronic Health Records Improve Communication </w:t>
      </w:r>
    </w:p>
    <w:p w14:paraId="629FE08D" w14:textId="08A855C2" w:rsidR="00197FFE" w:rsidRPr="00197FFE" w:rsidRDefault="00197FFE" w:rsidP="00197FFE">
      <w:pPr>
        <w:spacing w:before="100" w:beforeAutospacing="1" w:after="100" w:afterAutospacing="1" w:line="240" w:lineRule="auto"/>
        <w:rPr>
          <w:rFonts w:ascii="Times New Roman" w:eastAsia="Times New Roman" w:hAnsi="Times New Roman"/>
          <w:kern w:val="0"/>
          <w:lang w:eastAsia="en-GB"/>
        </w:rPr>
      </w:pPr>
      <w:r w:rsidRPr="00197FFE">
        <w:rPr>
          <w:rFonts w:ascii="Times New Roman" w:eastAsia="Times New Roman" w:hAnsi="Times New Roman"/>
          <w:kern w:val="0"/>
          <w:lang w:eastAsia="en-GB"/>
        </w:rPr>
        <w:t>Electronic Health Records (EHRs) improve communication and collaboration by allowing professionals to access accurate, up</w:t>
      </w:r>
      <w:r w:rsidRPr="00197FFE">
        <w:rPr>
          <w:rFonts w:ascii="Times New Roman" w:eastAsia="Times New Roman" w:hAnsi="Times New Roman"/>
          <w:kern w:val="0"/>
          <w:lang w:eastAsia="en-GB"/>
        </w:rPr>
        <w:noBreakHyphen/>
        <w:t>to</w:t>
      </w:r>
      <w:r w:rsidRPr="00197FFE">
        <w:rPr>
          <w:rFonts w:ascii="Times New Roman" w:eastAsia="Times New Roman" w:hAnsi="Times New Roman"/>
          <w:kern w:val="0"/>
          <w:lang w:eastAsia="en-GB"/>
        </w:rPr>
        <w:noBreakHyphen/>
        <w:t>date information in one shared system. This reduces duplication, prevents errors, and ensures that all members of the multidisciplinary team have the same understanding of a patient’s needs. For example, when a child is seen by a GP, social worker, and mental</w:t>
      </w:r>
      <w:r w:rsidRPr="00197FFE">
        <w:rPr>
          <w:rFonts w:ascii="Times New Roman" w:eastAsia="Times New Roman" w:hAnsi="Times New Roman"/>
          <w:kern w:val="0"/>
          <w:lang w:eastAsia="en-GB"/>
        </w:rPr>
        <w:noBreakHyphen/>
        <w:t>health practitioner, EHRs allow each professional to view assessments, safeguarding notes, and care plans instantly. This supports safer decision</w:t>
      </w:r>
      <w:r w:rsidRPr="00197FFE">
        <w:rPr>
          <w:rFonts w:ascii="Times New Roman" w:eastAsia="Times New Roman" w:hAnsi="Times New Roman"/>
          <w:kern w:val="0"/>
          <w:lang w:eastAsia="en-GB"/>
        </w:rPr>
        <w:noBreakHyphen/>
        <w:t xml:space="preserve">making and faster </w:t>
      </w:r>
      <w:r w:rsidR="00DC67D9" w:rsidRPr="00197FFE">
        <w:rPr>
          <w:rFonts w:ascii="Times New Roman" w:eastAsia="Times New Roman" w:hAnsi="Times New Roman"/>
          <w:kern w:val="0"/>
          <w:lang w:eastAsia="en-GB"/>
        </w:rPr>
        <w:t>coordination. The</w:t>
      </w:r>
      <w:r w:rsidRPr="00197FFE">
        <w:rPr>
          <w:rFonts w:ascii="Times New Roman" w:eastAsia="Times New Roman" w:hAnsi="Times New Roman"/>
          <w:kern w:val="0"/>
          <w:lang w:eastAsia="en-GB"/>
        </w:rPr>
        <w:t xml:space="preserve"> </w:t>
      </w:r>
      <w:r w:rsidRPr="00DC67D9">
        <w:rPr>
          <w:rFonts w:ascii="Times New Roman" w:eastAsia="Times New Roman" w:hAnsi="Times New Roman"/>
          <w:kern w:val="0"/>
          <w:lang w:eastAsia="en-GB"/>
        </w:rPr>
        <w:t>Technology Acceptance Model</w:t>
      </w:r>
      <w:r w:rsidRPr="00197FFE">
        <w:rPr>
          <w:rFonts w:ascii="Times New Roman" w:eastAsia="Times New Roman" w:hAnsi="Times New Roman"/>
          <w:kern w:val="0"/>
          <w:lang w:eastAsia="en-GB"/>
        </w:rPr>
        <w:t xml:space="preserve"> highlights that staff adoption increases when digital systems are perceived as useful and easy to navigate (Davis, 1989). Research shows EHRs improve teamwork, reduce medication errors, and enhance continuity of care (Kruse et al., 2018). In practice, this means fewer missed concerns, clearer communication pathways, and more efficient collaboration across health and social care services.</w:t>
      </w:r>
    </w:p>
    <w:p w14:paraId="1BE34BB7" w14:textId="7F1CB45A" w:rsidR="00197FFE" w:rsidRPr="00DC67D9" w:rsidRDefault="00197FFE" w:rsidP="00197FFE">
      <w:pPr>
        <w:spacing w:before="100" w:beforeAutospacing="1" w:after="100" w:afterAutospacing="1" w:line="240" w:lineRule="auto"/>
        <w:outlineLvl w:val="1"/>
        <w:rPr>
          <w:rFonts w:ascii="Times New Roman" w:eastAsia="Times New Roman" w:hAnsi="Times New Roman"/>
          <w:b/>
          <w:bCs/>
          <w:kern w:val="0"/>
          <w:sz w:val="22"/>
          <w:szCs w:val="22"/>
          <w:lang w:eastAsia="en-GB"/>
        </w:rPr>
      </w:pPr>
      <w:r w:rsidRPr="00DC67D9">
        <w:rPr>
          <w:rFonts w:ascii="Times New Roman" w:eastAsia="Times New Roman" w:hAnsi="Times New Roman"/>
          <w:b/>
          <w:bCs/>
          <w:kern w:val="0"/>
          <w:sz w:val="22"/>
          <w:szCs w:val="22"/>
          <w:lang w:eastAsia="en-GB"/>
        </w:rPr>
        <w:t xml:space="preserve">Digital Technology Supporting Preventative Care </w:t>
      </w:r>
    </w:p>
    <w:p w14:paraId="639A3A2C" w14:textId="0610C566" w:rsidR="00197FFE" w:rsidRDefault="00197FFE" w:rsidP="00266D5C">
      <w:pPr>
        <w:spacing w:before="100" w:beforeAutospacing="1" w:after="100" w:afterAutospacing="1" w:line="240" w:lineRule="auto"/>
        <w:rPr>
          <w:rFonts w:ascii="Times New Roman" w:eastAsia="Times New Roman" w:hAnsi="Times New Roman"/>
          <w:kern w:val="0"/>
          <w:lang w:eastAsia="en-GB"/>
        </w:rPr>
      </w:pPr>
      <w:r w:rsidRPr="00197FFE">
        <w:rPr>
          <w:rFonts w:ascii="Times New Roman" w:eastAsia="Times New Roman" w:hAnsi="Times New Roman"/>
          <w:kern w:val="0"/>
          <w:lang w:eastAsia="en-GB"/>
        </w:rPr>
        <w:t>Digital technology supports preventative care by helping individuals identify risks early and adopt healthier behaviours. For example, mobile health apps can provide personalised advice, track lifestyle habits, and send alerts when users deviate from recommended routines. A diabetes</w:t>
      </w:r>
      <w:r w:rsidRPr="00197FFE">
        <w:rPr>
          <w:rFonts w:ascii="Times New Roman" w:eastAsia="Times New Roman" w:hAnsi="Times New Roman"/>
          <w:kern w:val="0"/>
          <w:lang w:eastAsia="en-GB"/>
        </w:rPr>
        <w:noBreakHyphen/>
        <w:t>prevention app might encourage physical activity, monitor diet, and offer educational content to reduce long</w:t>
      </w:r>
      <w:r w:rsidRPr="00197FFE">
        <w:rPr>
          <w:rFonts w:ascii="Times New Roman" w:eastAsia="Times New Roman" w:hAnsi="Times New Roman"/>
          <w:kern w:val="0"/>
          <w:lang w:eastAsia="en-GB"/>
        </w:rPr>
        <w:noBreakHyphen/>
        <w:t xml:space="preserve">term risk. </w:t>
      </w:r>
      <w:r w:rsidRPr="00DC67D9">
        <w:rPr>
          <w:rFonts w:ascii="Times New Roman" w:eastAsia="Times New Roman" w:hAnsi="Times New Roman"/>
          <w:kern w:val="0"/>
          <w:sz w:val="22"/>
          <w:szCs w:val="22"/>
          <w:lang w:eastAsia="en-GB"/>
        </w:rPr>
        <w:t>The Technology Acceptance Model</w:t>
      </w:r>
      <w:r w:rsidRPr="00197FFE">
        <w:rPr>
          <w:rFonts w:ascii="Times New Roman" w:eastAsia="Times New Roman" w:hAnsi="Times New Roman"/>
          <w:kern w:val="0"/>
          <w:lang w:eastAsia="en-GB"/>
        </w:rPr>
        <w:t xml:space="preserve"> suggests people engage more with digital tools when they find them useful and easy to use (Davis, 1989</w:t>
      </w:r>
      <w:r w:rsidR="00DC67D9" w:rsidRPr="00197FFE">
        <w:rPr>
          <w:rFonts w:ascii="Times New Roman" w:eastAsia="Times New Roman" w:hAnsi="Times New Roman"/>
          <w:kern w:val="0"/>
          <w:lang w:eastAsia="en-GB"/>
        </w:rPr>
        <w:t>). Preventative</w:t>
      </w:r>
      <w:r w:rsidRPr="00197FFE">
        <w:rPr>
          <w:rFonts w:ascii="Times New Roman" w:eastAsia="Times New Roman" w:hAnsi="Times New Roman"/>
          <w:kern w:val="0"/>
          <w:lang w:eastAsia="en-GB"/>
        </w:rPr>
        <w:t xml:space="preserve"> digital tools also support population</w:t>
      </w:r>
      <w:r w:rsidRPr="00197FFE">
        <w:rPr>
          <w:rFonts w:ascii="Times New Roman" w:eastAsia="Times New Roman" w:hAnsi="Times New Roman"/>
          <w:kern w:val="0"/>
          <w:lang w:eastAsia="en-GB"/>
        </w:rPr>
        <w:noBreakHyphen/>
        <w:t>level health promotion. NHS digital campaigns use apps and online platforms to encourage smoking cessation, weight management, and mental</w:t>
      </w:r>
      <w:r w:rsidRPr="00197FFE">
        <w:rPr>
          <w:rFonts w:ascii="Times New Roman" w:eastAsia="Times New Roman" w:hAnsi="Times New Roman"/>
          <w:kern w:val="0"/>
          <w:lang w:eastAsia="en-GB"/>
        </w:rPr>
        <w:noBreakHyphen/>
        <w:t>health support. Evidence shows digital interventions can increase engagement and improve health outcomes (Murray et al., 2016). In practice, this reduces pressure on services by preventing conditions from escalating and empowering individuals to take proactive steps toward wellbeing.</w:t>
      </w:r>
    </w:p>
    <w:p w14:paraId="393E83E0" w14:textId="77777777" w:rsidR="00266D5C" w:rsidRPr="00266D5C" w:rsidRDefault="00266D5C" w:rsidP="00266D5C">
      <w:pPr>
        <w:spacing w:before="100" w:beforeAutospacing="1" w:after="100" w:afterAutospacing="1" w:line="240" w:lineRule="auto"/>
        <w:rPr>
          <w:rFonts w:ascii="Times New Roman" w:eastAsia="Times New Roman" w:hAnsi="Times New Roman"/>
          <w:kern w:val="0"/>
          <w:lang w:eastAsia="en-GB"/>
        </w:rPr>
      </w:pPr>
    </w:p>
    <w:p w14:paraId="35E987A6" w14:textId="77777777" w:rsidR="001233E4" w:rsidRDefault="001233E4" w:rsidP="005C28E8">
      <w:pPr>
        <w:spacing w:line="360" w:lineRule="auto"/>
        <w:rPr>
          <w:rFonts w:ascii="Times New Roman" w:hAnsi="Times New Roman"/>
          <w:b/>
          <w:bCs/>
          <w:sz w:val="32"/>
          <w:szCs w:val="32"/>
        </w:rPr>
      </w:pPr>
    </w:p>
    <w:p w14:paraId="7227BCF3" w14:textId="092A46C4" w:rsidR="00B864C4" w:rsidRDefault="00B1678F" w:rsidP="005C28E8">
      <w:pPr>
        <w:spacing w:line="360" w:lineRule="auto"/>
        <w:rPr>
          <w:rFonts w:ascii="Times New Roman" w:hAnsi="Times New Roman"/>
          <w:b/>
          <w:bCs/>
          <w:sz w:val="32"/>
          <w:szCs w:val="32"/>
        </w:rPr>
      </w:pPr>
      <w:r>
        <w:rPr>
          <w:rFonts w:ascii="Times New Roman" w:hAnsi="Times New Roman"/>
          <w:b/>
          <w:bCs/>
          <w:sz w:val="32"/>
          <w:szCs w:val="32"/>
        </w:rPr>
        <w:lastRenderedPageBreak/>
        <w:t>Understanding the NHS Leadership Framework</w:t>
      </w:r>
    </w:p>
    <w:p w14:paraId="3DEEF415" w14:textId="77777777" w:rsidR="00266D5C" w:rsidRDefault="00DC67D9" w:rsidP="00266D5C">
      <w:pPr>
        <w:spacing w:before="100" w:beforeAutospacing="1" w:after="100" w:afterAutospacing="1" w:line="240" w:lineRule="auto"/>
        <w:outlineLvl w:val="1"/>
        <w:rPr>
          <w:rFonts w:ascii="Times New Roman" w:eastAsia="Times New Roman" w:hAnsi="Times New Roman"/>
          <w:b/>
          <w:bCs/>
          <w:kern w:val="0"/>
          <w:sz w:val="36"/>
          <w:szCs w:val="36"/>
          <w:lang w:eastAsia="en-GB"/>
        </w:rPr>
      </w:pPr>
      <w:r w:rsidRPr="00DC67D9">
        <w:rPr>
          <w:rFonts w:ascii="Times New Roman" w:eastAsia="Times New Roman" w:hAnsi="Times New Roman"/>
          <w:b/>
          <w:bCs/>
          <w:kern w:val="0"/>
          <w:sz w:val="22"/>
          <w:szCs w:val="22"/>
          <w:lang w:eastAsia="en-GB"/>
        </w:rPr>
        <w:t xml:space="preserve">Summary of the NHS Leadership Framework </w:t>
      </w:r>
    </w:p>
    <w:p w14:paraId="53588B97" w14:textId="2FF32B5C" w:rsidR="00DC67D9" w:rsidRPr="00266D5C" w:rsidRDefault="00DC67D9" w:rsidP="00266D5C">
      <w:pPr>
        <w:spacing w:before="100" w:beforeAutospacing="1" w:after="100" w:afterAutospacing="1" w:line="240" w:lineRule="auto"/>
        <w:outlineLvl w:val="1"/>
        <w:rPr>
          <w:rFonts w:ascii="Times New Roman" w:eastAsia="Times New Roman" w:hAnsi="Times New Roman"/>
          <w:b/>
          <w:bCs/>
          <w:kern w:val="0"/>
          <w:sz w:val="36"/>
          <w:szCs w:val="36"/>
          <w:lang w:eastAsia="en-GB"/>
        </w:rPr>
      </w:pPr>
      <w:r w:rsidRPr="00DC67D9">
        <w:rPr>
          <w:rFonts w:ascii="Times New Roman" w:eastAsia="Times New Roman" w:hAnsi="Times New Roman"/>
          <w:kern w:val="0"/>
          <w:lang w:eastAsia="en-GB"/>
        </w:rPr>
        <w:t>The NHS Leadership Framework outlines the behaviours and competencies required for effective leadership across health and social care. It emphasises six core areas: inspiring shared purpose, leading with care, evaluating information, connecting services, sharing the vision, and engaging the team (NHS Leadership Academy, 2013). These behaviours help leaders create safe, compassionate, and innovative environments where staff feel supported and motivated. The framework is important because health and social care settings are complex, multidisciplinary, and constantly changing. Strong leadership ensures that teams work collaboratively, respond effectively to safeguarding needs, and deliver high</w:t>
      </w:r>
      <w:r w:rsidRPr="00DC67D9">
        <w:rPr>
          <w:rFonts w:ascii="Times New Roman" w:eastAsia="Times New Roman" w:hAnsi="Times New Roman"/>
          <w:kern w:val="0"/>
          <w:lang w:eastAsia="en-GB"/>
        </w:rPr>
        <w:noBreakHyphen/>
        <w:t xml:space="preserve">quality </w:t>
      </w:r>
      <w:r w:rsidR="00266D5C" w:rsidRPr="00DC67D9">
        <w:rPr>
          <w:rFonts w:ascii="Times New Roman" w:eastAsia="Times New Roman" w:hAnsi="Times New Roman"/>
          <w:kern w:val="0"/>
          <w:lang w:eastAsia="en-GB"/>
        </w:rPr>
        <w:t>care. The</w:t>
      </w:r>
      <w:r w:rsidRPr="00DC67D9">
        <w:rPr>
          <w:rFonts w:ascii="Times New Roman" w:eastAsia="Times New Roman" w:hAnsi="Times New Roman"/>
          <w:kern w:val="0"/>
          <w:lang w:eastAsia="en-GB"/>
        </w:rPr>
        <w:t xml:space="preserve"> framework aligns closely with </w:t>
      </w:r>
      <w:r w:rsidRPr="00266D5C">
        <w:rPr>
          <w:rFonts w:ascii="Times New Roman" w:eastAsia="Times New Roman" w:hAnsi="Times New Roman"/>
          <w:kern w:val="0"/>
          <w:lang w:eastAsia="en-GB"/>
        </w:rPr>
        <w:t>Transformational Leadership</w:t>
      </w:r>
      <w:r w:rsidRPr="00DC67D9">
        <w:rPr>
          <w:rFonts w:ascii="Times New Roman" w:eastAsia="Times New Roman" w:hAnsi="Times New Roman"/>
          <w:kern w:val="0"/>
          <w:lang w:eastAsia="en-GB"/>
        </w:rPr>
        <w:t>, which suggests leaders inspire others through vision, encouragement, and support (Bass &amp; Avolio, 1994). By modelling positive behaviours, NHS leaders can influence culture, promote creativity, and ensure services remain responsive to the needs of children, families, and communities.</w:t>
      </w:r>
    </w:p>
    <w:p w14:paraId="06F00A68" w14:textId="430DA124" w:rsidR="00DC67D9" w:rsidRPr="00DC67D9" w:rsidRDefault="00DC67D9" w:rsidP="00DC67D9">
      <w:pPr>
        <w:spacing w:before="100" w:beforeAutospacing="1" w:after="100" w:afterAutospacing="1" w:line="240" w:lineRule="auto"/>
        <w:outlineLvl w:val="1"/>
        <w:rPr>
          <w:rFonts w:ascii="Times New Roman" w:eastAsia="Times New Roman" w:hAnsi="Times New Roman"/>
          <w:b/>
          <w:bCs/>
          <w:kern w:val="0"/>
          <w:sz w:val="36"/>
          <w:szCs w:val="36"/>
          <w:lang w:eastAsia="en-GB"/>
        </w:rPr>
      </w:pPr>
      <w:r w:rsidRPr="00266D5C">
        <w:rPr>
          <w:rFonts w:ascii="Times New Roman" w:eastAsia="Times New Roman" w:hAnsi="Times New Roman"/>
          <w:b/>
          <w:bCs/>
          <w:kern w:val="0"/>
          <w:sz w:val="22"/>
          <w:szCs w:val="22"/>
          <w:lang w:eastAsia="en-GB"/>
        </w:rPr>
        <w:t>Leadership Behaviour: Leading with Care</w:t>
      </w:r>
      <w:r w:rsidRPr="00DC67D9">
        <w:rPr>
          <w:rFonts w:ascii="Times New Roman" w:eastAsia="Times New Roman" w:hAnsi="Times New Roman"/>
          <w:b/>
          <w:bCs/>
          <w:kern w:val="0"/>
          <w:sz w:val="36"/>
          <w:szCs w:val="36"/>
          <w:lang w:eastAsia="en-GB"/>
        </w:rPr>
        <w:t xml:space="preserve"> </w:t>
      </w:r>
    </w:p>
    <w:p w14:paraId="6260C1E9" w14:textId="6E747DF3" w:rsidR="00266D5C" w:rsidRDefault="00DC67D9" w:rsidP="00266D5C">
      <w:pPr>
        <w:spacing w:before="100" w:beforeAutospacing="1" w:after="100" w:afterAutospacing="1" w:line="240" w:lineRule="auto"/>
        <w:rPr>
          <w:rFonts w:ascii="Times New Roman" w:eastAsia="Times New Roman" w:hAnsi="Times New Roman"/>
          <w:kern w:val="0"/>
          <w:lang w:eastAsia="en-GB"/>
        </w:rPr>
      </w:pPr>
      <w:r w:rsidRPr="00DC67D9">
        <w:rPr>
          <w:rFonts w:ascii="Times New Roman" w:eastAsia="Times New Roman" w:hAnsi="Times New Roman"/>
          <w:kern w:val="0"/>
          <w:lang w:eastAsia="en-GB"/>
        </w:rPr>
        <w:t>Leading with care involves showing compassion, supporting staff wellbeing, and creating psychologically safe environments. A leader can use this behaviour to encourage creativity by ensuring staff feel valued and confident to share new ideas. For example, in a children’s service team, a manager might hold regular reflective discussions where practitioners can explore challenges and propose innovative solutions. By listening actively and acknowledging staff contributions, the leader reduces fear of judgement and promotes open thinking. This approach improves patient and service</w:t>
      </w:r>
      <w:r w:rsidRPr="00DC67D9">
        <w:rPr>
          <w:rFonts w:ascii="Times New Roman" w:eastAsia="Times New Roman" w:hAnsi="Times New Roman"/>
          <w:kern w:val="0"/>
          <w:lang w:eastAsia="en-GB"/>
        </w:rPr>
        <w:noBreakHyphen/>
        <w:t>user care because staff are more motivated, emotionally regulated, and able to design flexible, person</w:t>
      </w:r>
      <w:r w:rsidRPr="00DC67D9">
        <w:rPr>
          <w:rFonts w:ascii="Times New Roman" w:eastAsia="Times New Roman" w:hAnsi="Times New Roman"/>
          <w:kern w:val="0"/>
          <w:lang w:eastAsia="en-GB"/>
        </w:rPr>
        <w:noBreakHyphen/>
        <w:t>centred interventions.</w:t>
      </w:r>
    </w:p>
    <w:p w14:paraId="48BC4140" w14:textId="60A698BF" w:rsidR="00DC67D9" w:rsidRPr="00266D5C" w:rsidRDefault="00DC67D9" w:rsidP="00266D5C">
      <w:pPr>
        <w:spacing w:before="100" w:beforeAutospacing="1" w:after="100" w:afterAutospacing="1" w:line="240" w:lineRule="auto"/>
        <w:rPr>
          <w:rFonts w:ascii="Times New Roman" w:eastAsia="Times New Roman" w:hAnsi="Times New Roman"/>
          <w:kern w:val="0"/>
          <w:lang w:eastAsia="en-GB"/>
        </w:rPr>
      </w:pPr>
      <w:r w:rsidRPr="00266D5C">
        <w:rPr>
          <w:rFonts w:ascii="Times New Roman" w:eastAsia="Times New Roman" w:hAnsi="Times New Roman"/>
          <w:b/>
          <w:bCs/>
          <w:kern w:val="0"/>
          <w:sz w:val="22"/>
          <w:szCs w:val="22"/>
          <w:lang w:eastAsia="en-GB"/>
        </w:rPr>
        <w:t xml:space="preserve">Reflective Journal Entry </w:t>
      </w:r>
    </w:p>
    <w:p w14:paraId="7920094A" w14:textId="77777777" w:rsidR="00DC67D9" w:rsidRPr="00DC67D9" w:rsidRDefault="00DC67D9" w:rsidP="00DC67D9">
      <w:pPr>
        <w:spacing w:before="100" w:beforeAutospacing="1" w:after="100" w:afterAutospacing="1" w:line="240" w:lineRule="auto"/>
        <w:rPr>
          <w:rFonts w:ascii="Times New Roman" w:eastAsia="Times New Roman" w:hAnsi="Times New Roman"/>
          <w:kern w:val="0"/>
          <w:lang w:eastAsia="en-GB"/>
        </w:rPr>
      </w:pPr>
      <w:r w:rsidRPr="00DC67D9">
        <w:rPr>
          <w:rFonts w:ascii="Times New Roman" w:eastAsia="Times New Roman" w:hAnsi="Times New Roman"/>
          <w:kern w:val="0"/>
          <w:lang w:eastAsia="en-GB"/>
        </w:rPr>
        <w:t>Throughout this module, my understanding of creativity and value creation in health and social care has developed significantly. I previously viewed creativity as generating ideas, but I now recognise it as a structured process linked to innovation, leadership, and improved outcomes. Activities such as the divergent and convergent thinking exercise helped me appreciate how creativity emerges through collaboration and critical reflection. Learning about value creation showed me the importance of designing interventions that genuinely improve wellbeing while using resources effectively. This learning will shape my future practice by encouraging me to think more innovatively, contribute ideas confidently, and support service improvements grounded in evidence.</w:t>
      </w:r>
    </w:p>
    <w:p w14:paraId="1499A277" w14:textId="77777777" w:rsidR="00DC67D9" w:rsidRDefault="00DC67D9" w:rsidP="00DC67D9">
      <w:pPr>
        <w:pStyle w:val="NormalWeb"/>
      </w:pPr>
    </w:p>
    <w:p w14:paraId="481A7E0F" w14:textId="77777777" w:rsidR="00266D5C" w:rsidRDefault="00266D5C" w:rsidP="00DC67D9">
      <w:pPr>
        <w:pStyle w:val="NormalWeb"/>
        <w:rPr>
          <w:b/>
          <w:bCs/>
          <w:sz w:val="32"/>
          <w:szCs w:val="32"/>
        </w:rPr>
      </w:pPr>
    </w:p>
    <w:p w14:paraId="5B5668F7" w14:textId="77777777" w:rsidR="00266D5C" w:rsidRDefault="00266D5C" w:rsidP="00DC67D9">
      <w:pPr>
        <w:pStyle w:val="NormalWeb"/>
        <w:rPr>
          <w:b/>
          <w:bCs/>
          <w:sz w:val="32"/>
          <w:szCs w:val="32"/>
        </w:rPr>
      </w:pPr>
    </w:p>
    <w:p w14:paraId="0181AC1B" w14:textId="77777777" w:rsidR="00266D5C" w:rsidRDefault="00266D5C" w:rsidP="00DC67D9">
      <w:pPr>
        <w:pStyle w:val="NormalWeb"/>
        <w:rPr>
          <w:b/>
          <w:bCs/>
          <w:sz w:val="32"/>
          <w:szCs w:val="32"/>
        </w:rPr>
      </w:pPr>
    </w:p>
    <w:p w14:paraId="333599F3" w14:textId="1D05C5CB" w:rsidR="00266D5C" w:rsidRPr="00266D5C" w:rsidRDefault="00266D5C" w:rsidP="00DC67D9">
      <w:pPr>
        <w:pStyle w:val="NormalWeb"/>
        <w:rPr>
          <w:b/>
          <w:bCs/>
          <w:sz w:val="32"/>
          <w:szCs w:val="32"/>
        </w:rPr>
      </w:pPr>
      <w:r w:rsidRPr="00266D5C">
        <w:rPr>
          <w:b/>
          <w:bCs/>
          <w:sz w:val="32"/>
          <w:szCs w:val="32"/>
        </w:rPr>
        <w:lastRenderedPageBreak/>
        <w:t>Self-Reflection Journal Entry</w:t>
      </w:r>
    </w:p>
    <w:p w14:paraId="2528331A" w14:textId="32722C64" w:rsidR="00266D5C" w:rsidRDefault="00266D5C" w:rsidP="00266D5C">
      <w:pPr>
        <w:pStyle w:val="NormalWeb"/>
      </w:pPr>
      <w:r>
        <w:t xml:space="preserve">Using </w:t>
      </w:r>
      <w:r w:rsidRPr="00266D5C">
        <w:rPr>
          <w:rStyle w:val="Strong"/>
          <w:b w:val="0"/>
          <w:bCs w:val="0"/>
        </w:rPr>
        <w:t>Kolb’s Experiential Learning Cycle (1984)</w:t>
      </w:r>
      <w:r w:rsidRPr="00266D5C">
        <w:rPr>
          <w:b/>
          <w:bCs/>
        </w:rPr>
        <w:t>,</w:t>
      </w:r>
      <w:r>
        <w:t xml:space="preserve"> I reflected on how my understanding of creativity, innovation, and value creation has developed throughout this module. At the start, I viewed creativity as simply generating ideas, but the activities</w:t>
      </w:r>
      <w:r>
        <w:t xml:space="preserve"> </w:t>
      </w:r>
      <w:r>
        <w:t>especially the divergent and convergent thinking task</w:t>
      </w:r>
      <w:r>
        <w:t xml:space="preserve"> </w:t>
      </w:r>
      <w:r>
        <w:t>helped me realise it is a structured process that supports problem</w:t>
      </w:r>
      <w:r>
        <w:noBreakHyphen/>
        <w:t xml:space="preserve">solving in complex care situations. Through analysing real innovations, such as digital triage tools, I learned how creativity leads to practical improvements and how value creation focuses on achieving better outcomes with limited </w:t>
      </w:r>
      <w:r w:rsidR="001233E4">
        <w:t>resources. Applying</w:t>
      </w:r>
      <w:r>
        <w:t xml:space="preserve"> these concepts to health and social care made me more aware of how innovation can strengthen safeguarding, communication, and person</w:t>
      </w:r>
      <w:r>
        <w:noBreakHyphen/>
        <w:t>centred practice. In future placements, I will use creative thinking to adapt interventions and contribute ideas confidently during team discussions. The key concept I will carry forward is that small, well</w:t>
      </w:r>
      <w:r>
        <w:noBreakHyphen/>
        <w:t>designed innovations can create meaningful value for children, families, and practitioners.</w:t>
      </w:r>
    </w:p>
    <w:p w14:paraId="2A283EA5" w14:textId="77777777" w:rsidR="00266D5C" w:rsidRDefault="00266D5C" w:rsidP="005C28E8">
      <w:pPr>
        <w:spacing w:line="360" w:lineRule="auto"/>
        <w:rPr>
          <w:rFonts w:ascii="Times New Roman" w:hAnsi="Times New Roman"/>
          <w:b/>
          <w:bCs/>
          <w:sz w:val="32"/>
          <w:szCs w:val="32"/>
        </w:rPr>
      </w:pPr>
    </w:p>
    <w:p w14:paraId="4E7F3F87"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745CC1D9"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10365816"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52D2D819"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4303FA4A"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1517BA47"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447741D7"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77508499"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6925A159"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510D29E2"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5AF38679"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3DBC5E22"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436CC887"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59B45F52"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2A4568A0"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03E93C4D" w14:textId="72D52B5F"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r>
        <w:rPr>
          <w:rFonts w:ascii="Times New Roman" w:eastAsia="Times New Roman" w:hAnsi="Times New Roman"/>
          <w:b/>
          <w:bCs/>
          <w:kern w:val="0"/>
          <w:sz w:val="27"/>
          <w:szCs w:val="27"/>
          <w:lang w:eastAsia="en-GB"/>
        </w:rPr>
        <w:lastRenderedPageBreak/>
        <w:t>References:</w:t>
      </w:r>
    </w:p>
    <w:p w14:paraId="4BB77707" w14:textId="77777777" w:rsidR="001233E4" w:rsidRDefault="001233E4" w:rsidP="001233E4">
      <w:pPr>
        <w:pStyle w:val="NormalWeb"/>
      </w:pPr>
      <w:r>
        <w:rPr>
          <w:rStyle w:val="Strong"/>
        </w:rPr>
        <w:t>Amabile, T. (1996)</w:t>
      </w:r>
      <w:r>
        <w:t xml:space="preserve"> </w:t>
      </w:r>
      <w:r>
        <w:rPr>
          <w:rStyle w:val="Emphasis"/>
        </w:rPr>
        <w:t>Creativity in Context</w:t>
      </w:r>
      <w:r>
        <w:t xml:space="preserve">. Boulder, CO: Westview Press. Available at: </w:t>
      </w:r>
      <w:r>
        <w:rPr>
          <w:rStyle w:val="HTMLCode"/>
        </w:rPr>
        <w:t>https://www.westviewpress.com/creativity-in-context</w:t>
      </w:r>
      <w:r>
        <w:t xml:space="preserve"> </w:t>
      </w:r>
      <w:hyperlink r:id="rId15" w:tgtFrame="_blank" w:tooltip="www.bing.com" w:history="1">
        <w:r>
          <w:rPr>
            <w:rStyle w:val="Hyperlink"/>
          </w:rPr>
          <w:t>(westviewpress.com in Bing)</w:t>
        </w:r>
      </w:hyperlink>
      <w:r>
        <w:t xml:space="preserve"> Accessed: 30 July 2026.</w:t>
      </w:r>
    </w:p>
    <w:p w14:paraId="585E305E" w14:textId="77777777" w:rsidR="001233E4" w:rsidRDefault="001233E4" w:rsidP="001233E4">
      <w:pPr>
        <w:pStyle w:val="NormalWeb"/>
      </w:pPr>
      <w:r>
        <w:rPr>
          <w:rStyle w:val="Strong"/>
        </w:rPr>
        <w:t>Bass, B.M. and Avolio, B.J. (1994)</w:t>
      </w:r>
      <w:r>
        <w:t xml:space="preserve"> </w:t>
      </w:r>
      <w:r>
        <w:rPr>
          <w:rStyle w:val="Emphasis"/>
        </w:rPr>
        <w:t>Improving Organizational Effectiveness Through Transformational Leadership</w:t>
      </w:r>
      <w:r>
        <w:t xml:space="preserve">. Thousand Oaks: Sage. Available at: </w:t>
      </w:r>
      <w:r>
        <w:rPr>
          <w:rStyle w:val="HTMLCode"/>
        </w:rPr>
        <w:t>https://us.sagepub.com/en-us/nam/improving-organizational-effectiveness-through-transformational-leadership/book4431</w:t>
      </w:r>
      <w:r>
        <w:t xml:space="preserve"> </w:t>
      </w:r>
      <w:hyperlink r:id="rId16" w:tgtFrame="_blank" w:tooltip="www.bing.com" w:history="1">
        <w:r>
          <w:rPr>
            <w:rStyle w:val="Hyperlink"/>
          </w:rPr>
          <w:t>(us.sagepub.com in Bing)</w:t>
        </w:r>
      </w:hyperlink>
      <w:r>
        <w:t xml:space="preserve"> Accessed: 30 July 2026.</w:t>
      </w:r>
    </w:p>
    <w:p w14:paraId="30726469" w14:textId="77777777" w:rsidR="001233E4" w:rsidRDefault="001233E4" w:rsidP="001233E4">
      <w:pPr>
        <w:pStyle w:val="NormalWeb"/>
      </w:pPr>
      <w:r>
        <w:rPr>
          <w:rStyle w:val="Strong"/>
        </w:rPr>
        <w:t>Burnes, B. (2017)</w:t>
      </w:r>
      <w:r>
        <w:t xml:space="preserve"> ‘Kurt Lewin and the Harwood Studies: The Foundations of OD’, </w:t>
      </w:r>
      <w:r>
        <w:rPr>
          <w:rStyle w:val="Emphasis"/>
        </w:rPr>
        <w:t xml:space="preserve">Journal of Applied </w:t>
      </w:r>
      <w:proofErr w:type="spellStart"/>
      <w:r>
        <w:rPr>
          <w:rStyle w:val="Emphasis"/>
        </w:rPr>
        <w:t>Behavioral</w:t>
      </w:r>
      <w:proofErr w:type="spellEnd"/>
      <w:r>
        <w:rPr>
          <w:rStyle w:val="Emphasis"/>
        </w:rPr>
        <w:t xml:space="preserve"> Science</w:t>
      </w:r>
      <w:r>
        <w:t xml:space="preserve">, 53(3), pp. 1–20. Available at: </w:t>
      </w:r>
      <w:r>
        <w:rPr>
          <w:rStyle w:val="HTMLCode"/>
        </w:rPr>
        <w:t>https://doi.org/10.1177/0021886316681095</w:t>
      </w:r>
      <w:r>
        <w:t xml:space="preserve"> </w:t>
      </w:r>
      <w:hyperlink r:id="rId17" w:tgtFrame="_blank" w:tooltip="www.bing.com" w:history="1">
        <w:r>
          <w:rPr>
            <w:rStyle w:val="Hyperlink"/>
          </w:rPr>
          <w:t>(doi.org in Bing)</w:t>
        </w:r>
      </w:hyperlink>
      <w:r>
        <w:t xml:space="preserve"> Accessed: 30 July 2026.</w:t>
      </w:r>
    </w:p>
    <w:p w14:paraId="2F82D6F4" w14:textId="77777777" w:rsidR="001233E4" w:rsidRDefault="001233E4" w:rsidP="001233E4">
      <w:pPr>
        <w:pStyle w:val="NormalWeb"/>
      </w:pPr>
      <w:r>
        <w:rPr>
          <w:rStyle w:val="Strong"/>
        </w:rPr>
        <w:t>Davis, F.D. (1989)</w:t>
      </w:r>
      <w:r>
        <w:t xml:space="preserve"> ‘Perceived usefulness, perceived ease of use, and user acceptance of information technology’, </w:t>
      </w:r>
      <w:r>
        <w:rPr>
          <w:rStyle w:val="Emphasis"/>
        </w:rPr>
        <w:t>MIS Quarterly</w:t>
      </w:r>
      <w:r>
        <w:t xml:space="preserve">, 13(3), pp. 319–340. Available at: </w:t>
      </w:r>
      <w:hyperlink r:id="rId18" w:tgtFrame="_blank" w:tooltip="www.jstor.org" w:history="1">
        <w:r>
          <w:rPr>
            <w:rStyle w:val="Hyperlink"/>
          </w:rPr>
          <w:t>https://www.jstor.org/stable/249008</w:t>
        </w:r>
      </w:hyperlink>
      <w:r>
        <w:t xml:space="preserve"> Accessed: 30 July 2026.</w:t>
      </w:r>
    </w:p>
    <w:p w14:paraId="497D1B11" w14:textId="77777777" w:rsidR="001233E4" w:rsidRDefault="001233E4" w:rsidP="001233E4">
      <w:pPr>
        <w:pStyle w:val="NormalWeb"/>
      </w:pPr>
      <w:r>
        <w:rPr>
          <w:rStyle w:val="Strong"/>
        </w:rPr>
        <w:t>Hall, L.H. et al. (2016)</w:t>
      </w:r>
      <w:r>
        <w:t xml:space="preserve"> ‘Healthcare staff wellbeing, burnout and patient safety’, </w:t>
      </w:r>
      <w:proofErr w:type="spellStart"/>
      <w:r>
        <w:rPr>
          <w:rStyle w:val="Emphasis"/>
        </w:rPr>
        <w:t>PLoS</w:t>
      </w:r>
      <w:proofErr w:type="spellEnd"/>
      <w:r>
        <w:rPr>
          <w:rStyle w:val="Emphasis"/>
        </w:rPr>
        <w:t xml:space="preserve"> ONE</w:t>
      </w:r>
      <w:r>
        <w:t xml:space="preserve">, 11(7), pp. 1–12. Available at: </w:t>
      </w:r>
      <w:r>
        <w:rPr>
          <w:rStyle w:val="HTMLCode"/>
        </w:rPr>
        <w:t>https://journals.plos.org/plosone/article?id=10.1371/journal.pone.0159015</w:t>
      </w:r>
      <w:r>
        <w:t xml:space="preserve"> </w:t>
      </w:r>
      <w:hyperlink r:id="rId19" w:tgtFrame="_blank" w:tooltip="www.bing.com" w:history="1">
        <w:r>
          <w:rPr>
            <w:rStyle w:val="Hyperlink"/>
          </w:rPr>
          <w:t>(journals.plos.org in Bing)</w:t>
        </w:r>
      </w:hyperlink>
      <w:r>
        <w:t xml:space="preserve"> Accessed: 30 July 2026.</w:t>
      </w:r>
    </w:p>
    <w:p w14:paraId="5F843F81" w14:textId="77777777" w:rsidR="001233E4" w:rsidRDefault="001233E4" w:rsidP="001233E4">
      <w:pPr>
        <w:pStyle w:val="NormalWeb"/>
      </w:pPr>
      <w:r>
        <w:rPr>
          <w:rStyle w:val="Strong"/>
        </w:rPr>
        <w:t>HM Government (2023)</w:t>
      </w:r>
      <w:r>
        <w:t xml:space="preserve"> </w:t>
      </w:r>
      <w:r>
        <w:rPr>
          <w:rStyle w:val="Emphasis"/>
        </w:rPr>
        <w:t>Working Together to Safeguard Children</w:t>
      </w:r>
      <w:r>
        <w:t xml:space="preserve">. London: Department for Education. Available at: </w:t>
      </w:r>
      <w:r>
        <w:rPr>
          <w:rStyle w:val="HTMLCode"/>
        </w:rPr>
        <w:t>https://www.gov.uk/government/publications/working-together-to-safeguard-children-2023</w:t>
      </w:r>
      <w:r>
        <w:t xml:space="preserve"> </w:t>
      </w:r>
      <w:hyperlink r:id="rId20" w:tgtFrame="_blank" w:tooltip="www.bing.com" w:history="1">
        <w:r>
          <w:rPr>
            <w:rStyle w:val="Hyperlink"/>
          </w:rPr>
          <w:t>(gov.uk in Bing)</w:t>
        </w:r>
      </w:hyperlink>
      <w:r>
        <w:t xml:space="preserve"> Accessed: 30 July 2026.</w:t>
      </w:r>
    </w:p>
    <w:p w14:paraId="6F851A04" w14:textId="77777777" w:rsidR="001233E4" w:rsidRDefault="001233E4" w:rsidP="001233E4">
      <w:pPr>
        <w:pStyle w:val="NormalWeb"/>
      </w:pPr>
      <w:r>
        <w:rPr>
          <w:rStyle w:val="Strong"/>
        </w:rPr>
        <w:t>Kolb, D.A. (1984)</w:t>
      </w:r>
      <w:r>
        <w:t xml:space="preserve"> </w:t>
      </w:r>
      <w:r>
        <w:rPr>
          <w:rStyle w:val="Emphasis"/>
        </w:rPr>
        <w:t>Experiential Learning: Experience as the Source of Learning and Development</w:t>
      </w:r>
      <w:r>
        <w:t xml:space="preserve">. Englewood Cliffs: Prentice Hall. Available at: </w:t>
      </w:r>
      <w:r>
        <w:rPr>
          <w:rStyle w:val="HTMLCode"/>
        </w:rPr>
        <w:t>https://www.worldcat.org/title/experiential-learning/oclc/11539069</w:t>
      </w:r>
      <w:r>
        <w:t xml:space="preserve"> </w:t>
      </w:r>
      <w:hyperlink r:id="rId21" w:tgtFrame="_blank" w:tooltip="www.bing.com" w:history="1">
        <w:r>
          <w:rPr>
            <w:rStyle w:val="Hyperlink"/>
          </w:rPr>
          <w:t>(worldcat.org in Bing)</w:t>
        </w:r>
      </w:hyperlink>
      <w:r>
        <w:t xml:space="preserve"> Accessed: 30 July 2026.</w:t>
      </w:r>
    </w:p>
    <w:p w14:paraId="604409B5" w14:textId="77777777" w:rsidR="001233E4" w:rsidRDefault="001233E4" w:rsidP="001233E4">
      <w:pPr>
        <w:pStyle w:val="NormalWeb"/>
      </w:pPr>
      <w:r>
        <w:rPr>
          <w:rStyle w:val="Strong"/>
        </w:rPr>
        <w:t>Kruse, C.S. et al. (2018)</w:t>
      </w:r>
      <w:r>
        <w:t xml:space="preserve"> ‘Impact of EHRs on care quality’, </w:t>
      </w:r>
      <w:r>
        <w:rPr>
          <w:rStyle w:val="Emphasis"/>
        </w:rPr>
        <w:t>JMIR Medical Informatics</w:t>
      </w:r>
      <w:r>
        <w:t xml:space="preserve">, 6(2), pp. 1–10. Available at: </w:t>
      </w:r>
      <w:r>
        <w:rPr>
          <w:rStyle w:val="HTMLCode"/>
        </w:rPr>
        <w:t>https://medinform.jmir.org/2018/2/e19/</w:t>
      </w:r>
      <w:r>
        <w:t xml:space="preserve"> </w:t>
      </w:r>
      <w:hyperlink r:id="rId22" w:tgtFrame="_blank" w:tooltip="www.bing.com" w:history="1">
        <w:r>
          <w:rPr>
            <w:rStyle w:val="Hyperlink"/>
          </w:rPr>
          <w:t>(medinform.jmir.org in Bing)</w:t>
        </w:r>
      </w:hyperlink>
      <w:r>
        <w:t xml:space="preserve"> Accessed: 30 July 2026.</w:t>
      </w:r>
    </w:p>
    <w:p w14:paraId="2D354124" w14:textId="77777777" w:rsidR="001233E4" w:rsidRDefault="001233E4" w:rsidP="001233E4">
      <w:pPr>
        <w:pStyle w:val="NormalWeb"/>
      </w:pPr>
      <w:r>
        <w:rPr>
          <w:rStyle w:val="Strong"/>
        </w:rPr>
        <w:t>Maslach, C. and Leiter, M.P. (2016)</w:t>
      </w:r>
      <w:r>
        <w:t xml:space="preserve"> ‘Understanding burnout: New models’, </w:t>
      </w:r>
      <w:r>
        <w:rPr>
          <w:rStyle w:val="Emphasis"/>
        </w:rPr>
        <w:t>Current Opinion in Psychology</w:t>
      </w:r>
      <w:r>
        <w:t xml:space="preserve">, 5, pp. 103–107. Available at: </w:t>
      </w:r>
      <w:r>
        <w:rPr>
          <w:rStyle w:val="HTMLCode"/>
        </w:rPr>
        <w:t>https://www.sciencedirect.com/science/article/pii/S2352250X15002362</w:t>
      </w:r>
      <w:r>
        <w:t xml:space="preserve"> </w:t>
      </w:r>
      <w:hyperlink r:id="rId23" w:tgtFrame="_blank" w:tooltip="www.bing.com" w:history="1">
        <w:r>
          <w:rPr>
            <w:rStyle w:val="Hyperlink"/>
          </w:rPr>
          <w:t>(sciencedirect.com in Bing)</w:t>
        </w:r>
      </w:hyperlink>
      <w:r>
        <w:t xml:space="preserve"> Accessed: 30 July 2026.</w:t>
      </w:r>
    </w:p>
    <w:p w14:paraId="6F10DA7E" w14:textId="77777777" w:rsidR="001233E4" w:rsidRDefault="001233E4" w:rsidP="001233E4">
      <w:pPr>
        <w:pStyle w:val="NormalWeb"/>
      </w:pPr>
      <w:r>
        <w:rPr>
          <w:rStyle w:val="Strong"/>
        </w:rPr>
        <w:t>Meadows, D. (2008)</w:t>
      </w:r>
      <w:r>
        <w:t xml:space="preserve"> </w:t>
      </w:r>
      <w:r>
        <w:rPr>
          <w:rStyle w:val="Emphasis"/>
        </w:rPr>
        <w:t>Thinking in Systems: A Primer</w:t>
      </w:r>
      <w:r>
        <w:t xml:space="preserve">. White River Junction: Chelsea Green Publishing. Available at: </w:t>
      </w:r>
      <w:r>
        <w:rPr>
          <w:rStyle w:val="HTMLCode"/>
        </w:rPr>
        <w:t>https://www.chelseagreen.com/product/thinking-in-systems/</w:t>
      </w:r>
      <w:r>
        <w:t xml:space="preserve"> </w:t>
      </w:r>
      <w:hyperlink r:id="rId24" w:tgtFrame="_blank" w:tooltip="www.bing.com" w:history="1">
        <w:r>
          <w:rPr>
            <w:rStyle w:val="Hyperlink"/>
          </w:rPr>
          <w:t>(chelseagreen.com in Bing)</w:t>
        </w:r>
      </w:hyperlink>
      <w:r>
        <w:t xml:space="preserve"> Accessed: 30 July 2026.</w:t>
      </w:r>
    </w:p>
    <w:p w14:paraId="749AFA7F" w14:textId="77777777" w:rsidR="001233E4" w:rsidRDefault="001233E4" w:rsidP="001233E4">
      <w:pPr>
        <w:pStyle w:val="NormalWeb"/>
      </w:pPr>
      <w:r>
        <w:rPr>
          <w:rStyle w:val="Strong"/>
        </w:rPr>
        <w:t>Murray, E. et al. (2016)</w:t>
      </w:r>
      <w:r>
        <w:t xml:space="preserve"> ‘Digital interventions for health behaviour change’, </w:t>
      </w:r>
      <w:r>
        <w:rPr>
          <w:rStyle w:val="Emphasis"/>
        </w:rPr>
        <w:t>The Lancet</w:t>
      </w:r>
      <w:r>
        <w:t xml:space="preserve">, 388(10059), pp. 129–140. Available at: </w:t>
      </w:r>
      <w:r>
        <w:rPr>
          <w:rStyle w:val="HTMLCode"/>
        </w:rPr>
        <w:lastRenderedPageBreak/>
        <w:t>https://www.thelancet.com/journals/lancet/article/PIIS0140-6736(16)30720-5/fulltext</w:t>
      </w:r>
      <w:r>
        <w:t xml:space="preserve"> </w:t>
      </w:r>
      <w:hyperlink r:id="rId25" w:tgtFrame="_blank" w:tooltip="www.bing.com" w:history="1">
        <w:r>
          <w:rPr>
            <w:rStyle w:val="Hyperlink"/>
          </w:rPr>
          <w:t>(thelancet.com in Bing)</w:t>
        </w:r>
      </w:hyperlink>
      <w:r>
        <w:t xml:space="preserve"> Accessed: 30 July 2026.</w:t>
      </w:r>
    </w:p>
    <w:p w14:paraId="7888DB89" w14:textId="77777777" w:rsidR="001233E4" w:rsidRDefault="001233E4" w:rsidP="001233E4">
      <w:pPr>
        <w:pStyle w:val="NormalWeb"/>
      </w:pPr>
      <w:r>
        <w:rPr>
          <w:rStyle w:val="Strong"/>
        </w:rPr>
        <w:t>NHS England (2023)</w:t>
      </w:r>
      <w:r>
        <w:t xml:space="preserve"> </w:t>
      </w:r>
      <w:r>
        <w:rPr>
          <w:rStyle w:val="Emphasis"/>
        </w:rPr>
        <w:t>Digital triage in primary care: Evaluation report</w:t>
      </w:r>
      <w:r>
        <w:t xml:space="preserve">. Available at: </w:t>
      </w:r>
      <w:r>
        <w:rPr>
          <w:rStyle w:val="HTMLCode"/>
        </w:rPr>
        <w:t>https://www.england.nhs.uk/publication/digital-triage-evaluation</w:t>
      </w:r>
      <w:r>
        <w:t xml:space="preserve"> </w:t>
      </w:r>
      <w:hyperlink r:id="rId26" w:tgtFrame="_blank" w:tooltip="www.bing.com" w:history="1">
        <w:r>
          <w:rPr>
            <w:rStyle w:val="Hyperlink"/>
          </w:rPr>
          <w:t>(england.nhs.uk in Bing)</w:t>
        </w:r>
      </w:hyperlink>
      <w:r>
        <w:t xml:space="preserve"> Accessed: 30 July 2026.</w:t>
      </w:r>
    </w:p>
    <w:p w14:paraId="355B0B49" w14:textId="77777777" w:rsidR="001233E4" w:rsidRDefault="001233E4" w:rsidP="001233E4">
      <w:pPr>
        <w:pStyle w:val="NormalWeb"/>
      </w:pPr>
      <w:r>
        <w:rPr>
          <w:rStyle w:val="Strong"/>
        </w:rPr>
        <w:t>NHS England (2023)</w:t>
      </w:r>
      <w:r>
        <w:t xml:space="preserve"> </w:t>
      </w:r>
      <w:r>
        <w:rPr>
          <w:rStyle w:val="Emphasis"/>
        </w:rPr>
        <w:t>Remote monitoring evaluation report</w:t>
      </w:r>
      <w:r>
        <w:t xml:space="preserve">. Available at: </w:t>
      </w:r>
      <w:hyperlink r:id="rId27" w:tgtFrame="_blank" w:tooltip="www.england.nhs.uk" w:history="1">
        <w:r>
          <w:rPr>
            <w:rStyle w:val="Hyperlink"/>
          </w:rPr>
          <w:t>https://www.england.nhs.uk</w:t>
        </w:r>
      </w:hyperlink>
      <w:r>
        <w:t xml:space="preserve"> Accessed: 30 July 2026.</w:t>
      </w:r>
    </w:p>
    <w:p w14:paraId="00CCB462" w14:textId="77777777" w:rsidR="001233E4" w:rsidRDefault="001233E4" w:rsidP="001233E4">
      <w:pPr>
        <w:pStyle w:val="NormalWeb"/>
      </w:pPr>
      <w:r>
        <w:rPr>
          <w:rStyle w:val="Strong"/>
        </w:rPr>
        <w:t>Porter, M. (2010)</w:t>
      </w:r>
      <w:r>
        <w:t xml:space="preserve"> ‘What is value in health care?’, </w:t>
      </w:r>
      <w:r>
        <w:rPr>
          <w:rStyle w:val="Emphasis"/>
        </w:rPr>
        <w:t>New England Journal of Medicine</w:t>
      </w:r>
      <w:r>
        <w:t xml:space="preserve">, 363(26), pp. 2477–2481. Available at: </w:t>
      </w:r>
      <w:r>
        <w:rPr>
          <w:rStyle w:val="HTMLCode"/>
        </w:rPr>
        <w:t>https://www.nejm.org/doi/full/10.1056/NEJMp1011024</w:t>
      </w:r>
      <w:r>
        <w:t xml:space="preserve"> </w:t>
      </w:r>
      <w:hyperlink r:id="rId28" w:tgtFrame="_blank" w:tooltip="www.bing.com" w:history="1">
        <w:r>
          <w:rPr>
            <w:rStyle w:val="Hyperlink"/>
          </w:rPr>
          <w:t>(nejm.org in Bing)</w:t>
        </w:r>
      </w:hyperlink>
      <w:r>
        <w:t xml:space="preserve"> Accessed: 30 July 2026.</w:t>
      </w:r>
    </w:p>
    <w:p w14:paraId="4830C44E" w14:textId="77777777" w:rsidR="001233E4" w:rsidRDefault="001233E4" w:rsidP="001233E4">
      <w:pPr>
        <w:pStyle w:val="NormalWeb"/>
      </w:pPr>
      <w:r>
        <w:rPr>
          <w:rStyle w:val="Strong"/>
        </w:rPr>
        <w:t>Rogers, E.M. (2003)</w:t>
      </w:r>
      <w:r>
        <w:t xml:space="preserve"> </w:t>
      </w:r>
      <w:r>
        <w:rPr>
          <w:rStyle w:val="Emphasis"/>
        </w:rPr>
        <w:t>Diffusion of Innovations</w:t>
      </w:r>
      <w:r>
        <w:t xml:space="preserve">. 5th </w:t>
      </w:r>
      <w:proofErr w:type="spellStart"/>
      <w:r>
        <w:t>edn</w:t>
      </w:r>
      <w:proofErr w:type="spellEnd"/>
      <w:r>
        <w:t xml:space="preserve">. New York: Free Press. Available at: </w:t>
      </w:r>
      <w:r>
        <w:rPr>
          <w:rStyle w:val="HTMLCode"/>
        </w:rPr>
        <w:t>https://www.sup.org/books/title/?id=11232</w:t>
      </w:r>
      <w:r>
        <w:t xml:space="preserve"> </w:t>
      </w:r>
      <w:hyperlink r:id="rId29" w:tgtFrame="_blank" w:tooltip="www.bing.com" w:history="1">
        <w:r>
          <w:rPr>
            <w:rStyle w:val="Hyperlink"/>
          </w:rPr>
          <w:t>(sup.org in Bing)</w:t>
        </w:r>
      </w:hyperlink>
      <w:r>
        <w:t xml:space="preserve"> Accessed: 30 July 2026.</w:t>
      </w:r>
    </w:p>
    <w:p w14:paraId="11E7C0BA" w14:textId="77777777" w:rsidR="001233E4" w:rsidRDefault="001233E4" w:rsidP="001233E4">
      <w:pPr>
        <w:pStyle w:val="NormalWeb"/>
      </w:pPr>
      <w:r>
        <w:rPr>
          <w:rStyle w:val="Strong"/>
        </w:rPr>
        <w:t>Runco, M.A. (2014)</w:t>
      </w:r>
      <w:r>
        <w:t xml:space="preserve"> </w:t>
      </w:r>
      <w:r>
        <w:rPr>
          <w:rStyle w:val="Emphasis"/>
        </w:rPr>
        <w:t>Creativity: Theories and Themes</w:t>
      </w:r>
      <w:r>
        <w:t xml:space="preserve">. 2nd </w:t>
      </w:r>
      <w:proofErr w:type="spellStart"/>
      <w:r>
        <w:t>edn</w:t>
      </w:r>
      <w:proofErr w:type="spellEnd"/>
      <w:r>
        <w:t xml:space="preserve">. London: Academic Press. Available at: </w:t>
      </w:r>
      <w:r>
        <w:rPr>
          <w:rStyle w:val="HTMLCode"/>
        </w:rPr>
        <w:t>https://www.elsevier.com/books/creativity/runco/978-0-12-410512-6</w:t>
      </w:r>
      <w:r>
        <w:t xml:space="preserve"> </w:t>
      </w:r>
      <w:hyperlink r:id="rId30" w:tgtFrame="_blank" w:tooltip="www.bing.com" w:history="1">
        <w:r>
          <w:rPr>
            <w:rStyle w:val="Hyperlink"/>
          </w:rPr>
          <w:t>(elsevier.com in Bing)</w:t>
        </w:r>
      </w:hyperlink>
      <w:r>
        <w:t xml:space="preserve"> Accessed: 30 July 2026.</w:t>
      </w:r>
    </w:p>
    <w:p w14:paraId="1C04C4D2"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12BF99F4"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20B51717" w14:textId="77777777" w:rsidR="001233E4" w:rsidRDefault="001233E4" w:rsidP="00B864C4">
      <w:pPr>
        <w:spacing w:before="100" w:beforeAutospacing="1" w:after="100" w:afterAutospacing="1" w:line="240" w:lineRule="auto"/>
        <w:outlineLvl w:val="2"/>
        <w:rPr>
          <w:rFonts w:ascii="Times New Roman" w:eastAsia="Times New Roman" w:hAnsi="Times New Roman"/>
          <w:b/>
          <w:bCs/>
          <w:kern w:val="0"/>
          <w:sz w:val="27"/>
          <w:szCs w:val="27"/>
          <w:lang w:eastAsia="en-GB"/>
        </w:rPr>
      </w:pPr>
    </w:p>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81D42" w14:textId="77777777" w:rsidR="00DA2E75" w:rsidRDefault="00DA2E75" w:rsidP="00B53FF7">
      <w:pPr>
        <w:spacing w:after="0" w:line="240" w:lineRule="auto"/>
      </w:pPr>
      <w:r>
        <w:separator/>
      </w:r>
    </w:p>
  </w:endnote>
  <w:endnote w:type="continuationSeparator" w:id="0">
    <w:p w14:paraId="7670EAA1" w14:textId="77777777" w:rsidR="00DA2E75" w:rsidRDefault="00DA2E75" w:rsidP="00B53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11FC7" w14:textId="77777777" w:rsidR="00DA2E75" w:rsidRDefault="00DA2E75" w:rsidP="00B53FF7">
      <w:pPr>
        <w:spacing w:after="0" w:line="240" w:lineRule="auto"/>
      </w:pPr>
      <w:r>
        <w:separator/>
      </w:r>
    </w:p>
  </w:footnote>
  <w:footnote w:type="continuationSeparator" w:id="0">
    <w:p w14:paraId="1C558C3B" w14:textId="77777777" w:rsidR="00DA2E75" w:rsidRDefault="00DA2E75" w:rsidP="00B53F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F12B95"/>
    <w:multiLevelType w:val="hybridMultilevel"/>
    <w:tmpl w:val="FB326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3"/>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 w:numId="14" w16cid:durableId="185109610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33E70"/>
    <w:rsid w:val="000812B9"/>
    <w:rsid w:val="000B1AFC"/>
    <w:rsid w:val="000F3180"/>
    <w:rsid w:val="00114199"/>
    <w:rsid w:val="001233E4"/>
    <w:rsid w:val="00197FFE"/>
    <w:rsid w:val="00266D5C"/>
    <w:rsid w:val="003257FE"/>
    <w:rsid w:val="003971AF"/>
    <w:rsid w:val="00440B6A"/>
    <w:rsid w:val="00456A95"/>
    <w:rsid w:val="004A1AEA"/>
    <w:rsid w:val="005C28E8"/>
    <w:rsid w:val="007472D0"/>
    <w:rsid w:val="00780A57"/>
    <w:rsid w:val="00800CB1"/>
    <w:rsid w:val="00804E06"/>
    <w:rsid w:val="008E3B13"/>
    <w:rsid w:val="008F7CEC"/>
    <w:rsid w:val="009213F6"/>
    <w:rsid w:val="009C2E67"/>
    <w:rsid w:val="00A07DCF"/>
    <w:rsid w:val="00A96FFC"/>
    <w:rsid w:val="00B1678F"/>
    <w:rsid w:val="00B44499"/>
    <w:rsid w:val="00B53FF7"/>
    <w:rsid w:val="00B864C4"/>
    <w:rsid w:val="00BB2AEA"/>
    <w:rsid w:val="00C14204"/>
    <w:rsid w:val="00C628EC"/>
    <w:rsid w:val="00D46920"/>
    <w:rsid w:val="00D56D16"/>
    <w:rsid w:val="00DA2E75"/>
    <w:rsid w:val="00DC67D9"/>
    <w:rsid w:val="00E123C5"/>
    <w:rsid w:val="00E831D8"/>
    <w:rsid w:val="00FA5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837E1996-08BB-464D-82A1-BD9A6FC4E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B53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FF7"/>
    <w:rPr>
      <w:rFonts w:ascii="Aptos" w:eastAsia="Aptos" w:hAnsi="Aptos" w:cs="Times New Roman"/>
      <w14:ligatures w14:val="none"/>
    </w:rPr>
  </w:style>
  <w:style w:type="paragraph" w:styleId="Footer">
    <w:name w:val="footer"/>
    <w:basedOn w:val="Normal"/>
    <w:link w:val="FooterChar"/>
    <w:uiPriority w:val="99"/>
    <w:unhideWhenUsed/>
    <w:rsid w:val="00B53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FF7"/>
    <w:rPr>
      <w:rFonts w:ascii="Aptos" w:eastAsia="Aptos" w:hAnsi="Aptos" w:cs="Times New Roman"/>
      <w14:ligatures w14:val="none"/>
    </w:rPr>
  </w:style>
  <w:style w:type="character" w:styleId="Emphasis">
    <w:name w:val="Emphasis"/>
    <w:basedOn w:val="DefaultParagraphFont"/>
    <w:uiPriority w:val="20"/>
    <w:qFormat/>
    <w:rsid w:val="001233E4"/>
    <w:rPr>
      <w:i/>
      <w:iCs/>
    </w:rPr>
  </w:style>
  <w:style w:type="character" w:styleId="HTMLCode">
    <w:name w:val="HTML Code"/>
    <w:basedOn w:val="DefaultParagraphFont"/>
    <w:uiPriority w:val="99"/>
    <w:semiHidden/>
    <w:unhideWhenUsed/>
    <w:rsid w:val="001233E4"/>
    <w:rPr>
      <w:rFonts w:ascii="Courier New" w:eastAsia="Times New Roman" w:hAnsi="Courier New" w:cs="Courier New"/>
      <w:sz w:val="20"/>
      <w:szCs w:val="20"/>
    </w:rPr>
  </w:style>
  <w:style w:type="character" w:styleId="Hyperlink">
    <w:name w:val="Hyperlink"/>
    <w:basedOn w:val="DefaultParagraphFont"/>
    <w:uiPriority w:val="99"/>
    <w:semiHidden/>
    <w:unhideWhenUsed/>
    <w:rsid w:val="001233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jstor.org/stable/249008?utm_source=copilot.com" TargetMode="External"/><Relationship Id="rId26" Type="http://schemas.openxmlformats.org/officeDocument/2006/relationships/hyperlink" Target="https://www.bing.com/search?q=%22https%3A%2F%2Fwww.england.nhs.uk%2Fpublication%2Fdigital-triage-evaluation%22&amp;utm_source=copilot.com" TargetMode="External"/><Relationship Id="rId3" Type="http://schemas.openxmlformats.org/officeDocument/2006/relationships/customXml" Target="../customXml/item3.xml"/><Relationship Id="rId21" Type="http://schemas.openxmlformats.org/officeDocument/2006/relationships/hyperlink" Target="https://www.bing.com/search?q=%22https%3A%2F%2Fwww.worldcat.org%2Ftitle%2Fexperiential-learning%2Foclc%2F11539069%22&amp;utm_source=copilot.com"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bing.com/search?q=%22https%3A%2F%2Fdoi.org%2F10.1177%2F0021886316681095%22&amp;utm_source=copilot.com" TargetMode="External"/><Relationship Id="rId25" Type="http://schemas.openxmlformats.org/officeDocument/2006/relationships/hyperlink" Target="https://www.bing.com/search?q=%22https%3A%2F%2Fwww.thelancet.com%2Fjournals%2Flancet%2Farticle%2FPIIS0140-6736%2816%2930720-5%2Ffulltext%22&amp;utm_source=copilot.com" TargetMode="External"/><Relationship Id="rId2" Type="http://schemas.openxmlformats.org/officeDocument/2006/relationships/customXml" Target="../customXml/item2.xml"/><Relationship Id="rId16" Type="http://schemas.openxmlformats.org/officeDocument/2006/relationships/hyperlink" Target="https://www.bing.com/search?q=%22https%3A%2F%2Fus.sagepub.com%2Fen-us%2Fnam%2Fimproving-organizational-effectiveness-through-transformational-leadership%2Fbook4431%22&amp;utm_source=copilot.com" TargetMode="External"/><Relationship Id="rId20" Type="http://schemas.openxmlformats.org/officeDocument/2006/relationships/hyperlink" Target="https://www.bing.com/search?q=%22https%3A%2F%2Fwww.gov.uk%2Fgovernment%2Fpublications%2Fworking-together-to-safeguard-children-2023%22&amp;utm_source=copilot.com" TargetMode="External"/><Relationship Id="rId29" Type="http://schemas.openxmlformats.org/officeDocument/2006/relationships/hyperlink" Target="https://www.bing.com/search?q=%22https%3A%2F%2Fwww.sup.org%2Fbooks%2Ftitle%2F%3Fid%3D11232%22&amp;utm_source=copilo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bing.com/search?q=%22https%3A%2F%2Fwww.chelseagreen.com%2Fproduct%2Fthinking-in-systems%2F%22&amp;utm_source=copilot.com"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bing.com/search?q=%22https%3A%2F%2Fwww.westviewpress.com%2Fcreativity-in-context%22&amp;utm_source=copilot.com" TargetMode="External"/><Relationship Id="rId23" Type="http://schemas.openxmlformats.org/officeDocument/2006/relationships/hyperlink" Target="https://www.bing.com/search?q=%22https%3A%2F%2Fwww.sciencedirect.com%2Fscience%2Farticle%2Fpii%2FS2352250X15002362%22&amp;utm_source=copilot.com" TargetMode="External"/><Relationship Id="rId28" Type="http://schemas.openxmlformats.org/officeDocument/2006/relationships/hyperlink" Target="https://www.bing.com/search?q=%22https%3A%2F%2Fwww.nejm.org%2Fdoi%2Ffull%2F10.1056%2FNEJMp1011024%22&amp;utm_source=copilot.com" TargetMode="External"/><Relationship Id="rId10" Type="http://schemas.openxmlformats.org/officeDocument/2006/relationships/image" Target="media/image1.jpeg"/><Relationship Id="rId19" Type="http://schemas.openxmlformats.org/officeDocument/2006/relationships/hyperlink" Target="https://www.bing.com/search?q=%22https%3A%2F%2Fjournals.plos.org%2Fplosone%2Farticle%3Fid%3D10.1371%2Fjournal.pone.0159015%22&amp;utm_source=copilot.com"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bing.com/search?q=%22https%3A%2F%2Fmedinform.jmir.org%2F2018%2F2%2Fe19%2F%22&amp;utm_source=copilot.com" TargetMode="External"/><Relationship Id="rId27" Type="http://schemas.openxmlformats.org/officeDocument/2006/relationships/hyperlink" Target="https://www.england.nhs.uk/?utm_source=copilot.com" TargetMode="External"/><Relationship Id="rId30" Type="http://schemas.openxmlformats.org/officeDocument/2006/relationships/hyperlink" Target="https://www.bing.com/search?q=%22https%3A%2F%2Fwww.elsevier.com%2Fbooks%2Fcreativity%2Frunco%2F978-0-12-410512-6%22&amp;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6" ma:contentTypeDescription="Create a new document." ma:contentTypeScope="" ma:versionID="6ff66b7a9264bdd0fa1faad84c41b5e4">
  <xsd:schema xmlns:xsd="http://www.w3.org/2001/XMLSchema" xmlns:xs="http://www.w3.org/2001/XMLSchema" xmlns:p="http://schemas.microsoft.com/office/2006/metadata/properties" xmlns:ns3="58b591e8-e818-4825-9ded-2371f6ca824b" targetNamespace="http://schemas.microsoft.com/office/2006/metadata/properties" ma:root="true" ma:fieldsID="849dcbf1664fe2e2052e106e4f81fb65"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8b591e8-e818-4825-9ded-2371f6ca824b" xsi:nil="true"/>
  </documentManagement>
</p:properties>
</file>

<file path=customXml/itemProps1.xml><?xml version="1.0" encoding="utf-8"?>
<ds:datastoreItem xmlns:ds="http://schemas.openxmlformats.org/officeDocument/2006/customXml" ds:itemID="{27DB9F53-C080-4BA7-ADE0-F99612F939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04489D-6D11-4280-A5FF-C3650FE79FE7}">
  <ds:schemaRefs>
    <ds:schemaRef ds:uri="http://schemas.microsoft.com/sharepoint/v3/contenttype/forms"/>
  </ds:schemaRefs>
</ds:datastoreItem>
</file>

<file path=customXml/itemProps3.xml><?xml version="1.0" encoding="utf-8"?>
<ds:datastoreItem xmlns:ds="http://schemas.openxmlformats.org/officeDocument/2006/customXml" ds:itemID="{3219F057-2061-48B2-9A2B-4A321FF960A5}">
  <ds:schemaRefs>
    <ds:schemaRef ds:uri="http://schemas.microsoft.com/office/2006/metadata/properties"/>
    <ds:schemaRef ds:uri="http://schemas.microsoft.com/office/infopath/2007/PartnerControls"/>
    <ds:schemaRef ds:uri="58b591e8-e818-4825-9ded-2371f6ca824b"/>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3555</Words>
  <Characters>20265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Jujita Angog Cupatan (2424591)</cp:lastModifiedBy>
  <cp:revision>2</cp:revision>
  <dcterms:created xsi:type="dcterms:W3CDTF">2026-07-30T02:18:00Z</dcterms:created>
  <dcterms:modified xsi:type="dcterms:W3CDTF">2026-07-30T02:18:00Z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