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D52AA" w14:textId="2FA525C0" w:rsidR="00360702" w:rsidRPr="003145FE" w:rsidRDefault="003145FE" w:rsidP="00360702">
      <w:pPr>
        <w:pStyle w:val="BodyA"/>
        <w:jc w:val="center"/>
        <w:rPr>
          <w:rFonts w:ascii="Arial" w:hAnsi="Arial" w:cs="Arial"/>
        </w:rPr>
      </w:pPr>
      <w:r w:rsidRPr="003145FE">
        <w:rPr>
          <w:rFonts w:ascii="Arial" w:hAnsi="Arial" w:cs="Arial"/>
        </w:rPr>
        <w:t>ECAD6008</w:t>
      </w:r>
    </w:p>
    <w:p w14:paraId="16056BF9" w14:textId="45FC16AD" w:rsidR="003145FE" w:rsidRPr="003145FE" w:rsidRDefault="003145FE" w:rsidP="00360702">
      <w:pPr>
        <w:pStyle w:val="BodyA"/>
        <w:jc w:val="center"/>
        <w:rPr>
          <w:rFonts w:ascii="Arial" w:hAnsi="Arial" w:cs="Arial"/>
        </w:rPr>
      </w:pPr>
      <w:r w:rsidRPr="003145FE">
        <w:rPr>
          <w:rFonts w:ascii="Arial" w:hAnsi="Arial" w:cs="Arial"/>
        </w:rPr>
        <w:t xml:space="preserve">Name: Chloe Annie Thomas </w:t>
      </w:r>
    </w:p>
    <w:p w14:paraId="7ED3FF83" w14:textId="2288F3A2" w:rsidR="003145FE" w:rsidRPr="003145FE" w:rsidRDefault="003145FE" w:rsidP="00360702">
      <w:pPr>
        <w:pStyle w:val="BodyA"/>
        <w:jc w:val="center"/>
        <w:rPr>
          <w:rFonts w:ascii="Arial" w:hAnsi="Arial" w:cs="Arial"/>
        </w:rPr>
      </w:pPr>
      <w:r w:rsidRPr="003145FE">
        <w:rPr>
          <w:rFonts w:ascii="Arial" w:hAnsi="Arial" w:cs="Arial"/>
        </w:rPr>
        <w:t>Student Number: 1900854</w:t>
      </w:r>
    </w:p>
    <w:p w14:paraId="6FD09CD9" w14:textId="4AA68778" w:rsidR="003145FE" w:rsidRDefault="00655219" w:rsidP="00655219">
      <w:pPr>
        <w:pStyle w:val="BodyA"/>
        <w:jc w:val="center"/>
        <w:rPr>
          <w:rFonts w:ascii="Arial" w:hAnsi="Arial" w:cs="Arial"/>
          <w:b/>
          <w:bCs/>
          <w:sz w:val="36"/>
          <w:szCs w:val="36"/>
        </w:rPr>
      </w:pPr>
      <w:r w:rsidRPr="00655219">
        <w:rPr>
          <w:rFonts w:ascii="Arial" w:hAnsi="Arial" w:cs="Arial"/>
          <w:b/>
          <w:bCs/>
          <w:sz w:val="36"/>
          <w:szCs w:val="36"/>
        </w:rPr>
        <w:t xml:space="preserve">Critically reflect on your progress in planning, </w:t>
      </w:r>
      <w:proofErr w:type="gramStart"/>
      <w:r w:rsidRPr="00655219">
        <w:rPr>
          <w:rFonts w:ascii="Arial" w:hAnsi="Arial" w:cs="Arial"/>
          <w:b/>
          <w:bCs/>
          <w:sz w:val="36"/>
          <w:szCs w:val="36"/>
        </w:rPr>
        <w:t>preparing</w:t>
      </w:r>
      <w:proofErr w:type="gramEnd"/>
      <w:r w:rsidRPr="00655219">
        <w:rPr>
          <w:rFonts w:ascii="Arial" w:hAnsi="Arial" w:cs="Arial"/>
          <w:b/>
          <w:bCs/>
          <w:sz w:val="36"/>
          <w:szCs w:val="36"/>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3585"/>
        <w:gridCol w:w="3585"/>
      </w:tblGrid>
      <w:tr w:rsidR="00454A51" w:rsidRPr="00454A51" w14:paraId="0485A7C6" w14:textId="77777777" w:rsidTr="00454A51">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B75115"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proofErr w:type="spellStart"/>
            <w:r w:rsidRPr="00454A51">
              <w:rPr>
                <w:rFonts w:ascii="Arial" w:eastAsia="Times New Roman" w:hAnsi="Arial" w:cs="Arial"/>
                <w:b/>
                <w:bCs/>
                <w:sz w:val="20"/>
                <w:szCs w:val="20"/>
                <w:bdr w:val="none" w:sz="0" w:space="0" w:color="auto"/>
                <w:lang w:val="en-GB" w:eastAsia="en-GB"/>
              </w:rPr>
              <w:t>Targedau</w:t>
            </w:r>
            <w:proofErr w:type="spellEnd"/>
            <w:r w:rsidRPr="00454A51">
              <w:rPr>
                <w:rFonts w:ascii="Arial" w:eastAsia="Times New Roman" w:hAnsi="Arial" w:cs="Arial"/>
                <w:b/>
                <w:bCs/>
                <w:sz w:val="20"/>
                <w:szCs w:val="20"/>
                <w:bdr w:val="none" w:sz="0" w:space="0" w:color="auto"/>
                <w:lang w:val="en-GB" w:eastAsia="en-GB"/>
              </w:rPr>
              <w:t xml:space="preserve"> / Targets</w:t>
            </w:r>
            <w:r w:rsidRPr="00454A51">
              <w:rPr>
                <w:rFonts w:ascii="Arial" w:eastAsia="Times New Roman" w:hAnsi="Arial" w:cs="Arial"/>
                <w:sz w:val="20"/>
                <w:szCs w:val="20"/>
                <w:bdr w:val="none" w:sz="0" w:space="0" w:color="auto"/>
                <w:lang w:val="en-GB"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75AE80FF"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sidRPr="00454A51">
              <w:rPr>
                <w:rFonts w:ascii="Arial" w:eastAsia="Times New Roman" w:hAnsi="Arial" w:cs="Arial"/>
                <w:b/>
                <w:bCs/>
                <w:sz w:val="20"/>
                <w:szCs w:val="20"/>
                <w:bdr w:val="none" w:sz="0" w:space="0" w:color="auto"/>
                <w:lang w:val="en-GB" w:eastAsia="en-GB"/>
              </w:rPr>
              <w:t xml:space="preserve">Sut </w:t>
            </w:r>
            <w:proofErr w:type="spellStart"/>
            <w:r w:rsidRPr="00454A51">
              <w:rPr>
                <w:rFonts w:ascii="Arial" w:eastAsia="Times New Roman" w:hAnsi="Arial" w:cs="Arial"/>
                <w:b/>
                <w:bCs/>
                <w:sz w:val="20"/>
                <w:szCs w:val="20"/>
                <w:bdr w:val="none" w:sz="0" w:space="0" w:color="auto"/>
                <w:lang w:val="en-GB" w:eastAsia="en-GB"/>
              </w:rPr>
              <w:t>rydych</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wedi</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gweithio</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ar</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hwn</w:t>
            </w:r>
            <w:proofErr w:type="spellEnd"/>
            <w:r w:rsidRPr="00454A51">
              <w:rPr>
                <w:rFonts w:ascii="Arial" w:eastAsia="Times New Roman" w:hAnsi="Arial" w:cs="Arial"/>
                <w:b/>
                <w:bCs/>
                <w:sz w:val="20"/>
                <w:szCs w:val="20"/>
                <w:bdr w:val="none" w:sz="0" w:space="0" w:color="auto"/>
                <w:lang w:val="en-GB" w:eastAsia="en-GB"/>
              </w:rPr>
              <w:t xml:space="preserve"> /</w:t>
            </w:r>
            <w:r w:rsidRPr="00454A51">
              <w:rPr>
                <w:rFonts w:ascii="Arial" w:eastAsia="Times New Roman" w:hAnsi="Arial" w:cs="Arial"/>
                <w:sz w:val="20"/>
                <w:szCs w:val="20"/>
                <w:bdr w:val="none" w:sz="0" w:space="0" w:color="auto"/>
                <w:lang w:val="en-GB" w:eastAsia="en-GB"/>
              </w:rPr>
              <w:t> </w:t>
            </w:r>
          </w:p>
          <w:p w14:paraId="4297A5D5"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sidRPr="00454A51">
              <w:rPr>
                <w:rFonts w:ascii="Arial" w:eastAsia="Times New Roman" w:hAnsi="Arial" w:cs="Arial"/>
                <w:b/>
                <w:bCs/>
                <w:sz w:val="20"/>
                <w:szCs w:val="20"/>
                <w:bdr w:val="none" w:sz="0" w:space="0" w:color="auto"/>
                <w:lang w:val="en-GB" w:eastAsia="en-GB"/>
              </w:rPr>
              <w:t>How you have worked on this</w:t>
            </w:r>
            <w:r w:rsidRPr="00454A51">
              <w:rPr>
                <w:rFonts w:ascii="Arial" w:eastAsia="Times New Roman" w:hAnsi="Arial" w:cs="Arial"/>
                <w:sz w:val="20"/>
                <w:szCs w:val="20"/>
                <w:bdr w:val="none" w:sz="0" w:space="0" w:color="auto"/>
                <w:lang w:val="en-GB"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4EC1A522"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proofErr w:type="spellStart"/>
            <w:r w:rsidRPr="00454A51">
              <w:rPr>
                <w:rFonts w:ascii="Arial" w:eastAsia="Times New Roman" w:hAnsi="Arial" w:cs="Arial"/>
                <w:b/>
                <w:bCs/>
                <w:sz w:val="20"/>
                <w:szCs w:val="20"/>
                <w:bdr w:val="none" w:sz="0" w:space="0" w:color="auto"/>
                <w:lang w:val="en-GB" w:eastAsia="en-GB"/>
              </w:rPr>
              <w:t>Ceir</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enghraifft</w:t>
            </w:r>
            <w:proofErr w:type="spellEnd"/>
            <w:r w:rsidRPr="00454A51">
              <w:rPr>
                <w:rFonts w:ascii="Arial" w:eastAsia="Times New Roman" w:hAnsi="Arial" w:cs="Arial"/>
                <w:b/>
                <w:bCs/>
                <w:sz w:val="20"/>
                <w:szCs w:val="20"/>
                <w:bdr w:val="none" w:sz="0" w:space="0" w:color="auto"/>
                <w:lang w:val="en-GB" w:eastAsia="en-GB"/>
              </w:rPr>
              <w:t xml:space="preserve"> </w:t>
            </w:r>
            <w:proofErr w:type="spellStart"/>
            <w:r w:rsidRPr="00454A51">
              <w:rPr>
                <w:rFonts w:ascii="Arial" w:eastAsia="Times New Roman" w:hAnsi="Arial" w:cs="Arial"/>
                <w:b/>
                <w:bCs/>
                <w:sz w:val="20"/>
                <w:szCs w:val="20"/>
                <w:bdr w:val="none" w:sz="0" w:space="0" w:color="auto"/>
                <w:lang w:val="en-GB" w:eastAsia="en-GB"/>
              </w:rPr>
              <w:t>ar</w:t>
            </w:r>
            <w:proofErr w:type="spellEnd"/>
            <w:r w:rsidRPr="00454A51">
              <w:rPr>
                <w:rFonts w:ascii="Arial" w:eastAsia="Times New Roman" w:hAnsi="Arial" w:cs="Arial"/>
                <w:b/>
                <w:bCs/>
                <w:sz w:val="20"/>
                <w:szCs w:val="20"/>
                <w:bdr w:val="none" w:sz="0" w:space="0" w:color="auto"/>
                <w:lang w:val="en-GB" w:eastAsia="en-GB"/>
              </w:rPr>
              <w:t xml:space="preserve"> /</w:t>
            </w:r>
            <w:r w:rsidRPr="00454A51">
              <w:rPr>
                <w:rFonts w:ascii="Arial" w:eastAsia="Times New Roman" w:hAnsi="Arial" w:cs="Arial"/>
                <w:sz w:val="20"/>
                <w:szCs w:val="20"/>
                <w:bdr w:val="none" w:sz="0" w:space="0" w:color="auto"/>
                <w:lang w:val="en-GB" w:eastAsia="en-GB"/>
              </w:rPr>
              <w:t> </w:t>
            </w:r>
          </w:p>
          <w:p w14:paraId="75E8F180"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sidRPr="00454A51">
              <w:rPr>
                <w:rFonts w:ascii="Arial" w:eastAsia="Times New Roman" w:hAnsi="Arial" w:cs="Arial"/>
                <w:b/>
                <w:bCs/>
                <w:sz w:val="20"/>
                <w:szCs w:val="20"/>
                <w:bdr w:val="none" w:sz="0" w:space="0" w:color="auto"/>
                <w:lang w:val="en-GB" w:eastAsia="en-GB"/>
              </w:rPr>
              <w:t>An example can be found on</w:t>
            </w:r>
            <w:r w:rsidRPr="00454A51">
              <w:rPr>
                <w:rFonts w:ascii="Arial" w:eastAsia="Times New Roman" w:hAnsi="Arial" w:cs="Arial"/>
                <w:sz w:val="20"/>
                <w:szCs w:val="20"/>
                <w:bdr w:val="none" w:sz="0" w:space="0" w:color="auto"/>
                <w:lang w:val="en-GB" w:eastAsia="en-GB"/>
              </w:rPr>
              <w:t> </w:t>
            </w:r>
          </w:p>
        </w:tc>
      </w:tr>
      <w:tr w:rsidR="00454A51" w:rsidRPr="00454A51" w14:paraId="70B480B3" w14:textId="77777777" w:rsidTr="00454A51">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821C8A" w14:textId="4E88A3B6" w:rsidR="00454A51" w:rsidRPr="00454A51" w:rsidRDefault="00D5367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ascii="Roboto" w:hAnsi="Roboto"/>
                <w:color w:val="283041"/>
                <w:sz w:val="21"/>
                <w:szCs w:val="21"/>
                <w:shd w:val="clear" w:color="auto" w:fill="FFFFFF"/>
              </w:rPr>
              <w:t>When saying something such as four purposes is important, expand and clarify for the reader</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188DAA29" w14:textId="0ED1AD69" w:rsidR="00454A51" w:rsidRPr="00454A51" w:rsidRDefault="00D5367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eastAsia="Times New Roman"/>
                <w:bdr w:val="none" w:sz="0" w:space="0" w:color="auto"/>
                <w:lang w:val="en-GB" w:eastAsia="en-GB"/>
              </w:rPr>
              <w:t xml:space="preserve">When discussing the four purposes, I have ensured to provide the meaning behind them within text. I have ensured to </w:t>
            </w:r>
            <w:r w:rsidR="000A43C5">
              <w:rPr>
                <w:rFonts w:eastAsia="Times New Roman"/>
                <w:bdr w:val="none" w:sz="0" w:space="0" w:color="auto"/>
                <w:lang w:val="en-GB" w:eastAsia="en-GB"/>
              </w:rPr>
              <w:t xml:space="preserve">clarify and expand on all definitions.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0DC59A13" w14:textId="4FBA25E5" w:rsidR="00454A51" w:rsidRPr="00454A51" w:rsidRDefault="000A43C5"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eastAsia="Times New Roman"/>
                <w:bdr w:val="none" w:sz="0" w:space="0" w:color="auto"/>
                <w:lang w:val="en-GB" w:eastAsia="en-GB"/>
              </w:rPr>
              <w:t xml:space="preserve">Page 11 when mentioning the four purposes. </w:t>
            </w:r>
          </w:p>
        </w:tc>
      </w:tr>
      <w:tr w:rsidR="00454A51" w:rsidRPr="00454A51" w14:paraId="12E90139" w14:textId="77777777" w:rsidTr="00454A51">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7BA3CE6" w14:textId="2C8E8EC6" w:rsidR="00454A51" w:rsidRPr="00454A51" w:rsidRDefault="002B39CC"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ascii="Roboto" w:hAnsi="Roboto"/>
                <w:color w:val="283041"/>
                <w:sz w:val="21"/>
                <w:szCs w:val="21"/>
                <w:shd w:val="clear" w:color="auto" w:fill="FFFFFF"/>
              </w:rPr>
              <w:t>T</w:t>
            </w:r>
            <w:r>
              <w:rPr>
                <w:rFonts w:ascii="Roboto" w:hAnsi="Roboto"/>
                <w:color w:val="283041"/>
                <w:sz w:val="21"/>
                <w:szCs w:val="21"/>
                <w:shd w:val="clear" w:color="auto" w:fill="FFFFFF"/>
              </w:rPr>
              <w:t>ry not to overly use contractions if it does not aid the flow of reading</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1EBF36B9" w14:textId="4697F036" w:rsidR="00454A51" w:rsidRPr="00454A51" w:rsidRDefault="002B39CC"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eastAsia="Times New Roman"/>
                <w:bdr w:val="none" w:sz="0" w:space="0" w:color="auto"/>
                <w:lang w:val="en-GB" w:eastAsia="en-GB"/>
              </w:rPr>
              <w:t xml:space="preserve">I have proofread and asked a peer to </w:t>
            </w:r>
            <w:proofErr w:type="gramStart"/>
            <w:r>
              <w:rPr>
                <w:rFonts w:eastAsia="Times New Roman"/>
                <w:bdr w:val="none" w:sz="0" w:space="0" w:color="auto"/>
                <w:lang w:val="en-GB" w:eastAsia="en-GB"/>
              </w:rPr>
              <w:t>proof read</w:t>
            </w:r>
            <w:proofErr w:type="gramEnd"/>
            <w:r>
              <w:rPr>
                <w:rFonts w:eastAsia="Times New Roman"/>
                <w:bdr w:val="none" w:sz="0" w:space="0" w:color="auto"/>
                <w:lang w:val="en-GB" w:eastAsia="en-GB"/>
              </w:rPr>
              <w:t xml:space="preserve"> to ensure the writing flows.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28A311A7" w14:textId="506FF84D" w:rsidR="00454A51" w:rsidRPr="00454A51" w:rsidRDefault="002B39CC"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eastAsia="Times New Roman"/>
                <w:bdr w:val="none" w:sz="0" w:space="0" w:color="auto"/>
                <w:lang w:val="en-GB" w:eastAsia="en-GB"/>
              </w:rPr>
            </w:pPr>
            <w:r>
              <w:rPr>
                <w:rFonts w:eastAsia="Times New Roman"/>
                <w:bdr w:val="none" w:sz="0" w:space="0" w:color="auto"/>
                <w:lang w:val="en-GB" w:eastAsia="en-GB"/>
              </w:rPr>
              <w:t>Throughout the assignment.</w:t>
            </w:r>
          </w:p>
        </w:tc>
      </w:tr>
    </w:tbl>
    <w:p w14:paraId="0FE09B1C" w14:textId="77777777" w:rsidR="00454A51" w:rsidRPr="00454A51" w:rsidRDefault="00454A51" w:rsidP="00454A51">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Segoe UI" w:eastAsia="Times New Roman" w:hAnsi="Segoe UI" w:cs="Segoe UI"/>
          <w:sz w:val="18"/>
          <w:szCs w:val="18"/>
          <w:bdr w:val="none" w:sz="0" w:space="0" w:color="auto"/>
          <w:lang w:val="en-GB" w:eastAsia="en-GB"/>
        </w:rPr>
      </w:pPr>
      <w:r w:rsidRPr="00454A51">
        <w:rPr>
          <w:rFonts w:ascii="Arial" w:eastAsia="Times New Roman" w:hAnsi="Arial" w:cs="Arial"/>
          <w:sz w:val="22"/>
          <w:szCs w:val="22"/>
          <w:bdr w:val="none" w:sz="0" w:space="0" w:color="auto"/>
          <w:lang w:val="en-GB" w:eastAsia="en-GB"/>
        </w:rPr>
        <w:t> </w:t>
      </w:r>
    </w:p>
    <w:p w14:paraId="3D2DEF2F" w14:textId="77777777" w:rsidR="00FC26E5" w:rsidRPr="00655219" w:rsidRDefault="00FC26E5" w:rsidP="00655219">
      <w:pPr>
        <w:pStyle w:val="BodyA"/>
        <w:jc w:val="center"/>
        <w:rPr>
          <w:rFonts w:ascii="Arial" w:hAnsi="Arial" w:cs="Arial"/>
          <w:b/>
          <w:bCs/>
          <w:sz w:val="48"/>
          <w:szCs w:val="48"/>
        </w:rPr>
      </w:pPr>
    </w:p>
    <w:tbl>
      <w:tblPr>
        <w:tblW w:w="100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7371"/>
      </w:tblGrid>
      <w:tr w:rsidR="00C44B8C" w14:paraId="40F27AE7" w14:textId="77777777" w:rsidTr="002B39CC">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6BFF" w14:textId="2B9939FF" w:rsidR="00C44B8C" w:rsidRDefault="00B31674" w:rsidP="00C077F8">
            <w:pPr>
              <w:pStyle w:val="Heading2"/>
            </w:pPr>
            <w:r>
              <w:lastRenderedPageBreak/>
              <w:t>Professional Experience Template 1</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BD4E0" w14:textId="77777777" w:rsidR="00C44B8C" w:rsidRDefault="00C44B8C" w:rsidP="00C077F8"/>
        </w:tc>
      </w:tr>
      <w:tr w:rsidR="00C44B8C" w14:paraId="42A23F4E" w14:textId="77777777" w:rsidTr="002B39CC">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1CE7B" w14:textId="77777777" w:rsidR="00C44B8C" w:rsidRDefault="00B31674" w:rsidP="00C077F8">
            <w:pPr>
              <w:pStyle w:val="Heading2"/>
            </w:pPr>
            <w:r>
              <w:t>Pedagogy Standard</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B0101" w14:textId="77777777" w:rsidR="00C44B8C" w:rsidRDefault="00B31674" w:rsidP="00C077F8">
            <w:pPr>
              <w:pStyle w:val="BodyA"/>
              <w:spacing w:after="0" w:line="240" w:lineRule="auto"/>
            </w:pPr>
            <w:r>
              <w:rPr>
                <w:rFonts w:ascii="Carlito" w:eastAsia="Carlito" w:hAnsi="Carlito" w:cs="Carlito"/>
                <w:b/>
                <w:bCs/>
                <w:color w:val="2E74B5"/>
                <w:sz w:val="28"/>
                <w:szCs w:val="28"/>
                <w:u w:color="2E74B5"/>
              </w:rPr>
              <w:t>Assessment for Learning</w:t>
            </w:r>
          </w:p>
        </w:tc>
      </w:tr>
      <w:tr w:rsidR="00C44B8C" w14:paraId="1A14ACB7" w14:textId="77777777" w:rsidTr="002B39CC">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37929" w14:textId="77777777" w:rsidR="00C44B8C" w:rsidRDefault="00B31674" w:rsidP="00C077F8">
            <w:pPr>
              <w:pStyle w:val="Heading3"/>
            </w:pPr>
            <w:r>
              <w:t>What did you do and why?</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C1454" w14:textId="3AC8C80E" w:rsidR="00C44B8C" w:rsidRPr="00360702" w:rsidRDefault="00360702" w:rsidP="00C077F8">
            <w:pPr>
              <w:spacing w:line="360" w:lineRule="auto"/>
              <w:rPr>
                <w:rFonts w:ascii="Arial" w:hAnsi="Arial" w:cs="Arial"/>
                <w:sz w:val="22"/>
                <w:szCs w:val="22"/>
              </w:rPr>
            </w:pPr>
            <w:r w:rsidRPr="00360702">
              <w:rPr>
                <w:rFonts w:ascii="Arial" w:hAnsi="Arial" w:cs="Arial"/>
                <w:sz w:val="22"/>
                <w:szCs w:val="22"/>
              </w:rPr>
              <w:t>Upon discussion with my class mentor, we identified that Assessment for Learning (</w:t>
            </w:r>
            <w:proofErr w:type="spellStart"/>
            <w:r w:rsidRPr="00360702">
              <w:rPr>
                <w:rFonts w:ascii="Arial" w:hAnsi="Arial" w:cs="Arial"/>
                <w:sz w:val="22"/>
                <w:szCs w:val="22"/>
              </w:rPr>
              <w:t>AfL</w:t>
            </w:r>
            <w:proofErr w:type="spellEnd"/>
            <w:r w:rsidRPr="00360702">
              <w:rPr>
                <w:rFonts w:ascii="Arial" w:hAnsi="Arial" w:cs="Arial"/>
                <w:sz w:val="22"/>
                <w:szCs w:val="22"/>
              </w:rPr>
              <w:t xml:space="preserve">) was an area that I was struggling to implement as I was working with a young group of learners aged 3-5. My mentor suggested that creating a bank of strategies could be useful </w:t>
            </w:r>
            <w:proofErr w:type="gramStart"/>
            <w:r w:rsidRPr="00360702">
              <w:rPr>
                <w:rFonts w:ascii="Arial" w:hAnsi="Arial" w:cs="Arial"/>
                <w:sz w:val="22"/>
                <w:szCs w:val="22"/>
              </w:rPr>
              <w:t>in order to</w:t>
            </w:r>
            <w:proofErr w:type="gramEnd"/>
            <w:r w:rsidRPr="00360702">
              <w:rPr>
                <w:rFonts w:ascii="Arial" w:hAnsi="Arial" w:cs="Arial"/>
                <w:sz w:val="22"/>
                <w:szCs w:val="22"/>
              </w:rPr>
              <w:t xml:space="preserve"> effectively implement </w:t>
            </w:r>
            <w:proofErr w:type="spellStart"/>
            <w:r w:rsidRPr="00360702">
              <w:rPr>
                <w:rFonts w:ascii="Arial" w:hAnsi="Arial" w:cs="Arial"/>
                <w:sz w:val="22"/>
                <w:szCs w:val="22"/>
              </w:rPr>
              <w:t>AfL</w:t>
            </w:r>
            <w:proofErr w:type="spellEnd"/>
            <w:r w:rsidRPr="00360702">
              <w:rPr>
                <w:rFonts w:ascii="Arial" w:hAnsi="Arial" w:cs="Arial"/>
                <w:sz w:val="22"/>
                <w:szCs w:val="22"/>
              </w:rPr>
              <w:t xml:space="preserve"> throughout my lessons. After this discussion, I went away and researched a range of </w:t>
            </w:r>
            <w:proofErr w:type="spellStart"/>
            <w:r w:rsidRPr="00360702">
              <w:rPr>
                <w:rFonts w:ascii="Arial" w:hAnsi="Arial" w:cs="Arial"/>
                <w:sz w:val="22"/>
                <w:szCs w:val="22"/>
              </w:rPr>
              <w:t>AfL</w:t>
            </w:r>
            <w:proofErr w:type="spellEnd"/>
            <w:r w:rsidRPr="00360702">
              <w:rPr>
                <w:rFonts w:ascii="Arial" w:hAnsi="Arial" w:cs="Arial"/>
                <w:sz w:val="22"/>
                <w:szCs w:val="22"/>
              </w:rPr>
              <w:t xml:space="preserve"> strategies that were suitable for use with my young group of learners. I gained a bank of strategies such </w:t>
            </w:r>
            <w:proofErr w:type="gramStart"/>
            <w:r w:rsidRPr="00360702">
              <w:rPr>
                <w:rFonts w:ascii="Arial" w:hAnsi="Arial" w:cs="Arial"/>
                <w:sz w:val="22"/>
                <w:szCs w:val="22"/>
              </w:rPr>
              <w:t>as  thumbs</w:t>
            </w:r>
            <w:proofErr w:type="gramEnd"/>
            <w:r w:rsidRPr="00360702">
              <w:rPr>
                <w:rFonts w:ascii="Arial" w:hAnsi="Arial" w:cs="Arial"/>
                <w:sz w:val="22"/>
                <w:szCs w:val="22"/>
              </w:rPr>
              <w:t xml:space="preserve"> up/down, questioning and think, pair, share to encourage pupils to be active participants in their learning. After undertaking this research, I implemented these strategies in various lessons with my pupils. For example, during the plenary of a lesson on 2D shapes, I combined the ideas of peer assessment and thumbs up/down to gain a deeper understanding of what the pupils had learnt during the lesson. Using these strategies further assisted my use of assessment grids during lessons. Due to the young age of the pupils, </w:t>
            </w:r>
            <w:proofErr w:type="gramStart"/>
            <w:r w:rsidRPr="00360702">
              <w:rPr>
                <w:rFonts w:ascii="Arial" w:hAnsi="Arial" w:cs="Arial"/>
                <w:sz w:val="22"/>
                <w:szCs w:val="22"/>
              </w:rPr>
              <w:t>the majority of</w:t>
            </w:r>
            <w:proofErr w:type="gramEnd"/>
            <w:r w:rsidRPr="00360702">
              <w:rPr>
                <w:rFonts w:ascii="Arial" w:hAnsi="Arial" w:cs="Arial"/>
                <w:sz w:val="22"/>
                <w:szCs w:val="22"/>
              </w:rPr>
              <w:t xml:space="preserve"> the work that pupils completed is hands on and practical. Due to this, an assessment grid is filled out each lesson and combined with photo or video evidence which is subsequently uploaded to </w:t>
            </w:r>
            <w:proofErr w:type="spellStart"/>
            <w:r w:rsidRPr="00360702">
              <w:rPr>
                <w:rFonts w:ascii="Arial" w:hAnsi="Arial" w:cs="Arial"/>
                <w:sz w:val="22"/>
                <w:szCs w:val="22"/>
              </w:rPr>
              <w:t>SeeSaw</w:t>
            </w:r>
            <w:proofErr w:type="spellEnd"/>
            <w:r w:rsidRPr="00360702">
              <w:rPr>
                <w:rFonts w:ascii="Arial" w:hAnsi="Arial" w:cs="Arial"/>
                <w:sz w:val="22"/>
                <w:szCs w:val="22"/>
              </w:rPr>
              <w:t xml:space="preserve">. The assessment grids are used to make observations about how </w:t>
            </w:r>
            <w:proofErr w:type="gramStart"/>
            <w:r w:rsidRPr="00360702">
              <w:rPr>
                <w:rFonts w:ascii="Arial" w:hAnsi="Arial" w:cs="Arial"/>
                <w:sz w:val="22"/>
                <w:szCs w:val="22"/>
              </w:rPr>
              <w:t>each individual</w:t>
            </w:r>
            <w:proofErr w:type="gramEnd"/>
            <w:r w:rsidRPr="00360702">
              <w:rPr>
                <w:rFonts w:ascii="Arial" w:hAnsi="Arial" w:cs="Arial"/>
                <w:sz w:val="22"/>
                <w:szCs w:val="22"/>
              </w:rPr>
              <w:t xml:space="preserve"> has done against the learning objective of the lesson and provides deeper information to inform my future planning. </w:t>
            </w:r>
          </w:p>
        </w:tc>
      </w:tr>
      <w:tr w:rsidR="00C44B8C" w14:paraId="2014E4B3" w14:textId="77777777" w:rsidTr="002B39CC">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A5EC" w14:textId="77777777" w:rsidR="00C44B8C" w:rsidRDefault="00B31674" w:rsidP="00C077F8">
            <w:pPr>
              <w:pStyle w:val="Heading3"/>
            </w:pPr>
            <w:r>
              <w:lastRenderedPageBreak/>
              <w:t>What have you learned?</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41A65" w14:textId="77777777"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 xml:space="preserve">Through undertaking wider research, I have gained deeper insight </w:t>
            </w:r>
            <w:proofErr w:type="gramStart"/>
            <w:r w:rsidRPr="00360702">
              <w:rPr>
                <w:rFonts w:ascii="Arial" w:hAnsi="Arial" w:cs="Arial"/>
                <w:sz w:val="22"/>
                <w:szCs w:val="22"/>
              </w:rPr>
              <w:t>in to</w:t>
            </w:r>
            <w:proofErr w:type="gramEnd"/>
            <w:r w:rsidRPr="00360702">
              <w:rPr>
                <w:rFonts w:ascii="Arial" w:hAnsi="Arial" w:cs="Arial"/>
                <w:sz w:val="22"/>
                <w:szCs w:val="22"/>
              </w:rPr>
              <w:t xml:space="preserve"> the use of AfL through the work of Black and </w:t>
            </w:r>
            <w:proofErr w:type="spellStart"/>
            <w:r w:rsidRPr="00360702">
              <w:rPr>
                <w:rFonts w:ascii="Arial" w:hAnsi="Arial" w:cs="Arial"/>
                <w:sz w:val="22"/>
                <w:szCs w:val="22"/>
              </w:rPr>
              <w:t>Wiliam</w:t>
            </w:r>
            <w:proofErr w:type="spellEnd"/>
            <w:r w:rsidRPr="00360702">
              <w:rPr>
                <w:rFonts w:ascii="Arial" w:hAnsi="Arial" w:cs="Arial"/>
                <w:sz w:val="22"/>
                <w:szCs w:val="22"/>
              </w:rPr>
              <w:t xml:space="preserve"> (1998). As a result of my research, I have created a bank of AfL strategies that I can take forward into my teaching career and adapt as needed to suit the age of learners I am working with. Gaining experience with using AfL strategies has allowed me to develop how </w:t>
            </w:r>
            <w:proofErr w:type="spellStart"/>
            <w:r w:rsidRPr="00360702">
              <w:rPr>
                <w:rFonts w:ascii="Arial" w:hAnsi="Arial" w:cs="Arial"/>
                <w:sz w:val="22"/>
                <w:szCs w:val="22"/>
              </w:rPr>
              <w:t>i</w:t>
            </w:r>
            <w:proofErr w:type="spellEnd"/>
            <w:r w:rsidRPr="00360702">
              <w:rPr>
                <w:rFonts w:ascii="Arial" w:hAnsi="Arial" w:cs="Arial"/>
                <w:sz w:val="22"/>
                <w:szCs w:val="22"/>
              </w:rPr>
              <w:t xml:space="preserve"> assess pupil learning and adapt my planning to suit the current needs of the pupils. For example, during a session with the pupils I identified that while some pupils were achieving the learning objective, others were struggling so adapted my strategies within the session to suit the individual. This experience has developed me into a reflective practitioner, able to adapt my teaching strategies to suit each child. Through the continuous use of assessment grids, I have learnt how to assess pupil learning against the learning objective and adapt as needed. Keeping a record of pupil learning has also enabled me to see how pupils have progressed over a series of lessons and where next to take them in their learning. </w:t>
            </w:r>
          </w:p>
          <w:p w14:paraId="0E455C54" w14:textId="77777777" w:rsidR="00360702" w:rsidRPr="00360702" w:rsidRDefault="00360702" w:rsidP="00C077F8">
            <w:pPr>
              <w:pStyle w:val="NormalWeb"/>
              <w:spacing w:line="360" w:lineRule="auto"/>
              <w:rPr>
                <w:rFonts w:ascii="Arial" w:hAnsi="Arial" w:cs="Arial"/>
                <w:sz w:val="22"/>
                <w:szCs w:val="22"/>
              </w:rPr>
            </w:pPr>
          </w:p>
          <w:p w14:paraId="15F3A882" w14:textId="77777777"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 xml:space="preserve">Assessment grids were used by all members of staff in my placement classroom. As I was planning for myself and the support staff, I had to ensure my expectations of how to assess pupils was clearly outlined and communicated to the staff </w:t>
            </w:r>
            <w:proofErr w:type="gramStart"/>
            <w:r w:rsidRPr="00360702">
              <w:rPr>
                <w:rFonts w:ascii="Arial" w:hAnsi="Arial" w:cs="Arial"/>
                <w:sz w:val="22"/>
                <w:szCs w:val="22"/>
              </w:rPr>
              <w:t>through the use of</w:t>
            </w:r>
            <w:proofErr w:type="gramEnd"/>
            <w:r w:rsidRPr="00360702">
              <w:rPr>
                <w:rFonts w:ascii="Arial" w:hAnsi="Arial" w:cs="Arial"/>
                <w:sz w:val="22"/>
                <w:szCs w:val="22"/>
              </w:rPr>
              <w:t xml:space="preserve"> the grids. In doing this, I have also developed in communicating with my staff to ensure pupils are being individually aided in their progress. This has shown me the importance of effective communication for pupil progression. </w:t>
            </w:r>
          </w:p>
          <w:p w14:paraId="0014267B" w14:textId="77777777" w:rsidR="00C44B8C" w:rsidRPr="00360702" w:rsidRDefault="00C44B8C" w:rsidP="00C077F8">
            <w:pPr>
              <w:spacing w:line="360" w:lineRule="auto"/>
              <w:rPr>
                <w:rFonts w:ascii="Arial" w:hAnsi="Arial" w:cs="Arial"/>
                <w:sz w:val="22"/>
                <w:szCs w:val="22"/>
              </w:rPr>
            </w:pPr>
          </w:p>
        </w:tc>
      </w:tr>
      <w:tr w:rsidR="00C44B8C" w14:paraId="39702DD7" w14:textId="77777777" w:rsidTr="002B39CC">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65A5A" w14:textId="77777777" w:rsidR="00C44B8C" w:rsidRDefault="00B31674" w:rsidP="00C077F8">
            <w:pPr>
              <w:pStyle w:val="Heading3"/>
            </w:pPr>
            <w:r>
              <w:lastRenderedPageBreak/>
              <w:t>What next?</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11105" w14:textId="77777777"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 xml:space="preserve">In terms of future practice, as previously mentioned I now have a bank of AfL strategies I can use and adapt to suit any future learners I work with. I will continue to keep up to date with any developments </w:t>
            </w:r>
            <w:proofErr w:type="gramStart"/>
            <w:r w:rsidRPr="00360702">
              <w:rPr>
                <w:rFonts w:ascii="Arial" w:hAnsi="Arial" w:cs="Arial"/>
                <w:sz w:val="22"/>
                <w:szCs w:val="22"/>
              </w:rPr>
              <w:t>in the area of</w:t>
            </w:r>
            <w:proofErr w:type="gramEnd"/>
            <w:r w:rsidRPr="00360702">
              <w:rPr>
                <w:rFonts w:ascii="Arial" w:hAnsi="Arial" w:cs="Arial"/>
                <w:sz w:val="22"/>
                <w:szCs w:val="22"/>
              </w:rPr>
              <w:t xml:space="preserve"> AfL through research and share effective practice with other practitioners. </w:t>
            </w:r>
          </w:p>
          <w:p w14:paraId="4096EC0C" w14:textId="77777777"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Additionally, the use of assessment grids as a way of recording data can be implemented in my own future practice to track pupil progression. However, this would be dependent on the age of the learners I work with and could form a basis for me to create my own way of effectively assessing pupils.</w:t>
            </w:r>
          </w:p>
          <w:p w14:paraId="0F15266F" w14:textId="77777777" w:rsidR="00C44B8C" w:rsidRDefault="00C44B8C" w:rsidP="00C077F8"/>
        </w:tc>
      </w:tr>
    </w:tbl>
    <w:p w14:paraId="1F9B6FD1" w14:textId="77777777" w:rsidR="00C44B8C" w:rsidRDefault="00C44B8C" w:rsidP="00C077F8">
      <w:pPr>
        <w:pStyle w:val="BodyA"/>
        <w:widowControl w:val="0"/>
        <w:spacing w:line="240" w:lineRule="auto"/>
        <w:ind w:left="108" w:hanging="108"/>
        <w:rPr>
          <w:sz w:val="32"/>
          <w:szCs w:val="32"/>
        </w:rPr>
      </w:pPr>
    </w:p>
    <w:p w14:paraId="291D6F2E" w14:textId="77777777" w:rsidR="00C44B8C" w:rsidRDefault="00C44B8C" w:rsidP="00C077F8">
      <w:pPr>
        <w:pStyle w:val="BodyA"/>
        <w:spacing w:line="240" w:lineRule="auto"/>
        <w:rPr>
          <w:sz w:val="32"/>
          <w:szCs w:val="32"/>
        </w:rPr>
      </w:pPr>
    </w:p>
    <w:tbl>
      <w:tblPr>
        <w:tblW w:w="9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7229"/>
      </w:tblGrid>
      <w:tr w:rsidR="00C44B8C" w14:paraId="2C54AB41" w14:textId="77777777" w:rsidTr="002B39CC">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Default="00B31674" w:rsidP="00C077F8">
            <w:pPr>
              <w:pStyle w:val="Heading2"/>
            </w:pPr>
            <w:r>
              <w:lastRenderedPageBreak/>
              <w:t>Professional Experience Template 2</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77777777" w:rsidR="00C44B8C" w:rsidRDefault="00C44B8C" w:rsidP="00C077F8"/>
        </w:tc>
      </w:tr>
      <w:tr w:rsidR="00C44B8C" w14:paraId="1CBD8F7B" w14:textId="77777777" w:rsidTr="002B39CC">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Default="00B31674" w:rsidP="00C077F8">
            <w:pPr>
              <w:pStyle w:val="Heading2"/>
            </w:pPr>
            <w:r>
              <w:t>Pedagogy Standard</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Default="00B31674" w:rsidP="00C077F8">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31AB8943" w14:textId="77777777" w:rsidR="00C44B8C" w:rsidRDefault="00B31674" w:rsidP="00C077F8">
            <w:pPr>
              <w:pStyle w:val="BodyA"/>
              <w:spacing w:after="0" w:line="240" w:lineRule="auto"/>
            </w:pPr>
            <w:r>
              <w:rPr>
                <w:rFonts w:ascii="Carlito" w:eastAsia="Carlito" w:hAnsi="Carlito" w:cs="Carlito"/>
                <w:b/>
                <w:bCs/>
                <w:color w:val="2E74B5"/>
                <w:sz w:val="28"/>
                <w:szCs w:val="28"/>
                <w:u w:color="2E74B5"/>
              </w:rPr>
              <w:t>approaches</w:t>
            </w:r>
          </w:p>
        </w:tc>
      </w:tr>
      <w:tr w:rsidR="00C44B8C" w14:paraId="3FB803F3" w14:textId="77777777" w:rsidTr="002B39CC">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Default="00B31674" w:rsidP="00C077F8">
            <w:pPr>
              <w:pStyle w:val="Heading3"/>
            </w:pPr>
            <w:r>
              <w:t>What did you do and why?</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F777E" w14:textId="7499461F" w:rsidR="00C44B8C" w:rsidRPr="00360702" w:rsidRDefault="00360702" w:rsidP="00C077F8">
            <w:pPr>
              <w:spacing w:line="360" w:lineRule="auto"/>
              <w:rPr>
                <w:rFonts w:ascii="Arial" w:hAnsi="Arial" w:cs="Arial"/>
                <w:sz w:val="22"/>
                <w:szCs w:val="22"/>
              </w:rPr>
            </w:pPr>
            <w:r w:rsidRPr="00360702">
              <w:rPr>
                <w:rFonts w:ascii="Arial" w:hAnsi="Arial" w:cs="Arial"/>
                <w:sz w:val="22"/>
                <w:szCs w:val="22"/>
              </w:rPr>
              <w:t xml:space="preserve">During my final professional teaching experience, I assisted my teacher in creating the backward planning for the new topic. I planned a lesson for pupils to gain experience with sequencing under the Science and Technology </w:t>
            </w:r>
            <w:proofErr w:type="spellStart"/>
            <w:r w:rsidRPr="00360702">
              <w:rPr>
                <w:rFonts w:ascii="Arial" w:hAnsi="Arial" w:cs="Arial"/>
                <w:sz w:val="22"/>
                <w:szCs w:val="22"/>
              </w:rPr>
              <w:t>AoLE</w:t>
            </w:r>
            <w:proofErr w:type="spellEnd"/>
            <w:r w:rsidRPr="00360702">
              <w:rPr>
                <w:rFonts w:ascii="Arial" w:hAnsi="Arial" w:cs="Arial"/>
                <w:sz w:val="22"/>
                <w:szCs w:val="22"/>
              </w:rPr>
              <w:t xml:space="preserve">. During the learning episodes, pupils were able to sequence using both a </w:t>
            </w:r>
            <w:proofErr w:type="spellStart"/>
            <w:r w:rsidRPr="00360702">
              <w:rPr>
                <w:rFonts w:ascii="Arial" w:hAnsi="Arial" w:cs="Arial"/>
                <w:sz w:val="22"/>
                <w:szCs w:val="22"/>
              </w:rPr>
              <w:t>beebot</w:t>
            </w:r>
            <w:proofErr w:type="spellEnd"/>
            <w:r w:rsidRPr="00360702">
              <w:rPr>
                <w:rFonts w:ascii="Arial" w:hAnsi="Arial" w:cs="Arial"/>
                <w:sz w:val="22"/>
                <w:szCs w:val="22"/>
              </w:rPr>
              <w:t xml:space="preserve"> in class and digitally using the turtle feature on Jit. The planning of the lessons intended to </w:t>
            </w:r>
            <w:proofErr w:type="gramStart"/>
            <w:r w:rsidRPr="00360702">
              <w:rPr>
                <w:rFonts w:ascii="Arial" w:hAnsi="Arial" w:cs="Arial"/>
                <w:sz w:val="22"/>
                <w:szCs w:val="22"/>
              </w:rPr>
              <w:t>allows</w:t>
            </w:r>
            <w:proofErr w:type="gramEnd"/>
            <w:r w:rsidRPr="00360702">
              <w:rPr>
                <w:rFonts w:ascii="Arial" w:hAnsi="Arial" w:cs="Arial"/>
                <w:sz w:val="22"/>
                <w:szCs w:val="22"/>
              </w:rPr>
              <w:t xml:space="preserve"> pupils the opportunity to have hands on experience before transferring their knowledge digitally. During the ICT session, pupils were learning how to use sequencing to park different vehicles in spaces - a direct link to the topic theme. I planned this to ensure pupils had a purpose for why they were creating sequences online. </w:t>
            </w:r>
          </w:p>
        </w:tc>
      </w:tr>
      <w:tr w:rsidR="00C44B8C" w14:paraId="37E678C3" w14:textId="77777777" w:rsidTr="002B39CC">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Default="00B31674" w:rsidP="00C077F8">
            <w:pPr>
              <w:pStyle w:val="Heading3"/>
            </w:pPr>
            <w:r>
              <w:t>What have you learned?</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FB7AE" w14:textId="25D898A6" w:rsidR="00C44B8C" w:rsidRPr="00552C97" w:rsidRDefault="00552C97" w:rsidP="00C077F8">
            <w:pPr>
              <w:spacing w:line="360" w:lineRule="auto"/>
              <w:rPr>
                <w:rFonts w:ascii="Arial" w:hAnsi="Arial" w:cs="Arial"/>
                <w:sz w:val="22"/>
                <w:szCs w:val="22"/>
              </w:rPr>
            </w:pPr>
            <w:r w:rsidRPr="00552C97">
              <w:rPr>
                <w:rFonts w:ascii="Arial" w:hAnsi="Arial" w:cs="Arial"/>
                <w:sz w:val="22"/>
                <w:szCs w:val="22"/>
              </w:rPr>
              <w:t>Engaging within this experience showed me the importance of providing context to pupil's learning. Pupils were excited about engaging in the lesson and understood the reasoning for completing the work. By providing pupils with a blended learning experience both hands on and digitally, pupils were able to gain further experience on a new concept in a fun and engaging way. During the digital session, pupils were also able to solidify their previous learning. </w:t>
            </w:r>
          </w:p>
        </w:tc>
      </w:tr>
      <w:tr w:rsidR="00C44B8C" w14:paraId="09B51CDB" w14:textId="77777777" w:rsidTr="002B39CC">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Default="00B31674" w:rsidP="00C077F8">
            <w:pPr>
              <w:pStyle w:val="Heading3"/>
            </w:pPr>
            <w:r>
              <w:t>What next?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CD571" w14:textId="4DED2D2C" w:rsidR="00C44B8C" w:rsidRPr="00552C97" w:rsidRDefault="00552C97" w:rsidP="00C077F8">
            <w:pPr>
              <w:spacing w:line="360" w:lineRule="auto"/>
              <w:rPr>
                <w:rFonts w:ascii="Arial" w:hAnsi="Arial" w:cs="Arial"/>
                <w:sz w:val="22"/>
                <w:szCs w:val="22"/>
              </w:rPr>
            </w:pPr>
            <w:r w:rsidRPr="00552C97">
              <w:rPr>
                <w:rFonts w:ascii="Arial" w:hAnsi="Arial" w:cs="Arial"/>
                <w:sz w:val="22"/>
                <w:szCs w:val="22"/>
              </w:rPr>
              <w:t>In future, I would continue employing blended learning experiences in classes to solidify pupils learning. With older pupils I would like to offer the chance to use both digital and real-life content subsequently to provide a rich learning experience. For example, I could trial augmented or virtual reality to further enhance the learning experience. </w:t>
            </w:r>
          </w:p>
        </w:tc>
      </w:tr>
    </w:tbl>
    <w:p w14:paraId="0420B802" w14:textId="77777777" w:rsidR="00C44B8C" w:rsidRDefault="00C44B8C" w:rsidP="00C077F8">
      <w:pPr>
        <w:pStyle w:val="BodyA"/>
        <w:widowControl w:val="0"/>
        <w:spacing w:line="240" w:lineRule="auto"/>
        <w:ind w:left="108" w:hanging="108"/>
        <w:rPr>
          <w:sz w:val="32"/>
          <w:szCs w:val="32"/>
        </w:rPr>
      </w:pPr>
    </w:p>
    <w:p w14:paraId="763FCBE9" w14:textId="77777777" w:rsidR="00C44B8C" w:rsidRDefault="00C44B8C" w:rsidP="00C077F8">
      <w:pPr>
        <w:pStyle w:val="BodyA"/>
        <w:widowControl w:val="0"/>
        <w:spacing w:line="240" w:lineRule="auto"/>
        <w:rPr>
          <w:sz w:val="32"/>
          <w:szCs w:val="32"/>
        </w:rPr>
      </w:pPr>
    </w:p>
    <w:p w14:paraId="087EA9C7" w14:textId="77777777" w:rsidR="00C44B8C" w:rsidRDefault="00C44B8C" w:rsidP="00C077F8">
      <w:pPr>
        <w:pStyle w:val="BodyA"/>
      </w:pPr>
    </w:p>
    <w:p w14:paraId="7E43DBC8" w14:textId="77777777" w:rsidR="00C44B8C" w:rsidRDefault="00C44B8C" w:rsidP="00C077F8">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Default="00B31674" w:rsidP="00C077F8">
            <w:pPr>
              <w:pStyle w:val="Heading2"/>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77777777" w:rsidR="00C44B8C" w:rsidRDefault="00C44B8C" w:rsidP="00C077F8"/>
        </w:tc>
      </w:tr>
      <w:tr w:rsidR="00C44B8C"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Default="00B31674" w:rsidP="00C077F8">
            <w:pPr>
              <w:pStyle w:val="Heading2"/>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5143E" w14:textId="77777777" w:rsidR="00C44B8C" w:rsidRDefault="00B31674" w:rsidP="00C077F8">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C44B8C"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Default="00B31674" w:rsidP="00C077F8">
            <w:pPr>
              <w:pStyle w:val="Heading3"/>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F76FB" w14:textId="77777777"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 xml:space="preserve">During my final Professional Teaching Experience (PTE), </w:t>
            </w:r>
            <w:proofErr w:type="spellStart"/>
            <w:r w:rsidRPr="00360702">
              <w:rPr>
                <w:rFonts w:ascii="Arial" w:hAnsi="Arial" w:cs="Arial"/>
                <w:sz w:val="22"/>
                <w:szCs w:val="22"/>
              </w:rPr>
              <w:t>i</w:t>
            </w:r>
            <w:proofErr w:type="spellEnd"/>
            <w:r w:rsidRPr="00360702">
              <w:rPr>
                <w:rFonts w:ascii="Arial" w:hAnsi="Arial" w:cs="Arial"/>
                <w:sz w:val="22"/>
                <w:szCs w:val="22"/>
              </w:rPr>
              <w:t xml:space="preserve"> was working with learners aged three to five in a Nursery/Reception class. Due to their young age, the pupils find it difficult to understand abstract contexts. For example, during our topic of 'we like to move it move it...', pupils completed a sorting activity around past and present transport. To teach pupils about the past, in my introduction </w:t>
            </w:r>
            <w:proofErr w:type="spellStart"/>
            <w:r w:rsidRPr="00360702">
              <w:rPr>
                <w:rFonts w:ascii="Arial" w:hAnsi="Arial" w:cs="Arial"/>
                <w:sz w:val="22"/>
                <w:szCs w:val="22"/>
              </w:rPr>
              <w:t>i</w:t>
            </w:r>
            <w:proofErr w:type="spellEnd"/>
            <w:r w:rsidRPr="00360702">
              <w:rPr>
                <w:rFonts w:ascii="Arial" w:hAnsi="Arial" w:cs="Arial"/>
                <w:sz w:val="22"/>
                <w:szCs w:val="22"/>
              </w:rPr>
              <w:t xml:space="preserve"> included a photograph of a local cycle track that had been transformed from an old railway line. The pupils engaged in a discussion about where they have seen this before with some pupils identifying that it used to be for trains. Building on their knowledge of the local area, I was able to tell pupils about the old railway line and lead </w:t>
            </w:r>
            <w:proofErr w:type="gramStart"/>
            <w:r w:rsidRPr="00360702">
              <w:rPr>
                <w:rFonts w:ascii="Arial" w:hAnsi="Arial" w:cs="Arial"/>
                <w:sz w:val="22"/>
                <w:szCs w:val="22"/>
              </w:rPr>
              <w:t>in to</w:t>
            </w:r>
            <w:proofErr w:type="gramEnd"/>
            <w:r w:rsidRPr="00360702">
              <w:rPr>
                <w:rFonts w:ascii="Arial" w:hAnsi="Arial" w:cs="Arial"/>
                <w:sz w:val="22"/>
                <w:szCs w:val="22"/>
              </w:rPr>
              <w:t xml:space="preserve"> the history of transport.</w:t>
            </w:r>
          </w:p>
          <w:p w14:paraId="18B450E7" w14:textId="77777777" w:rsidR="00360702" w:rsidRDefault="00360702" w:rsidP="00C077F8"/>
          <w:p w14:paraId="75B91D94" w14:textId="77777777" w:rsidR="00C44B8C" w:rsidRDefault="00C44B8C" w:rsidP="00C077F8"/>
        </w:tc>
      </w:tr>
      <w:tr w:rsidR="00C44B8C"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Default="00B31674" w:rsidP="00C077F8">
            <w:pPr>
              <w:pStyle w:val="Heading3"/>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13732" w14:textId="412E12BD" w:rsidR="00360702" w:rsidRPr="00360702" w:rsidRDefault="00360702" w:rsidP="00C077F8">
            <w:pPr>
              <w:pStyle w:val="NormalWeb"/>
              <w:spacing w:line="360" w:lineRule="auto"/>
              <w:rPr>
                <w:rFonts w:ascii="Arial" w:hAnsi="Arial" w:cs="Arial"/>
                <w:sz w:val="22"/>
                <w:szCs w:val="22"/>
              </w:rPr>
            </w:pPr>
            <w:r w:rsidRPr="00360702">
              <w:rPr>
                <w:rFonts w:ascii="Arial" w:hAnsi="Arial" w:cs="Arial"/>
                <w:sz w:val="22"/>
                <w:szCs w:val="22"/>
              </w:rPr>
              <w:t xml:space="preserve">Providing pupils with a </w:t>
            </w:r>
            <w:proofErr w:type="gramStart"/>
            <w:r w:rsidRPr="00360702">
              <w:rPr>
                <w:rFonts w:ascii="Arial" w:hAnsi="Arial" w:cs="Arial"/>
                <w:sz w:val="22"/>
                <w:szCs w:val="22"/>
              </w:rPr>
              <w:t>real life</w:t>
            </w:r>
            <w:proofErr w:type="gramEnd"/>
            <w:r w:rsidRPr="00360702">
              <w:rPr>
                <w:rFonts w:ascii="Arial" w:hAnsi="Arial" w:cs="Arial"/>
                <w:sz w:val="22"/>
                <w:szCs w:val="22"/>
              </w:rPr>
              <w:t xml:space="preserve"> authentic context to aid their understanding of an abstract topic such as history enabled me to engage pupils within the activity from the offset. Due to their young age, pupils struggle to understand the concept of events that have happened before them. By providing them with the context of their local area, pupils were engaged throughout the session and engaged in discussion with myself and each other about similarities and differences about past and present transport.</w:t>
            </w:r>
            <w:r w:rsidRPr="00360702">
              <w:rPr>
                <w:rFonts w:ascii="Arial" w:hAnsi="Arial" w:cs="Arial"/>
                <w:sz w:val="22"/>
                <w:szCs w:val="22"/>
              </w:rPr>
              <w:t xml:space="preserve"> </w:t>
            </w:r>
            <w:r w:rsidRPr="00360702">
              <w:rPr>
                <w:rFonts w:ascii="Arial" w:hAnsi="Arial" w:cs="Arial"/>
                <w:sz w:val="22"/>
                <w:szCs w:val="22"/>
              </w:rPr>
              <w:t xml:space="preserve">Introducing this within a new concept for pupils proved useful as the information would not have fit into any of their schemas. Lombardi (2007) states that learners look for connections and any additional information on a </w:t>
            </w:r>
            <w:proofErr w:type="gramStart"/>
            <w:r w:rsidRPr="00360702">
              <w:rPr>
                <w:rFonts w:ascii="Arial" w:hAnsi="Arial" w:cs="Arial"/>
                <w:sz w:val="22"/>
                <w:szCs w:val="22"/>
              </w:rPr>
              <w:t>personal levels aids pupils</w:t>
            </w:r>
            <w:proofErr w:type="gramEnd"/>
            <w:r w:rsidRPr="00360702">
              <w:rPr>
                <w:rFonts w:ascii="Arial" w:hAnsi="Arial" w:cs="Arial"/>
                <w:sz w:val="22"/>
                <w:szCs w:val="22"/>
              </w:rPr>
              <w:t xml:space="preserve"> in understanding unfamiliar topics. </w:t>
            </w:r>
          </w:p>
          <w:p w14:paraId="279001FB" w14:textId="77777777" w:rsidR="00C44B8C" w:rsidRDefault="00C44B8C" w:rsidP="00C077F8"/>
        </w:tc>
      </w:tr>
      <w:tr w:rsidR="00C44B8C"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Default="00B31674" w:rsidP="00C077F8">
            <w:pPr>
              <w:pStyle w:val="Heading3"/>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35C4507E" w:rsidR="00C44B8C" w:rsidRPr="00360702" w:rsidRDefault="00360702" w:rsidP="00C077F8">
            <w:pPr>
              <w:spacing w:line="360" w:lineRule="auto"/>
              <w:rPr>
                <w:rFonts w:ascii="Arial" w:hAnsi="Arial" w:cs="Arial"/>
                <w:sz w:val="22"/>
                <w:szCs w:val="22"/>
              </w:rPr>
            </w:pPr>
            <w:r w:rsidRPr="00360702">
              <w:rPr>
                <w:rFonts w:ascii="Arial" w:hAnsi="Arial" w:cs="Arial"/>
                <w:sz w:val="22"/>
                <w:szCs w:val="22"/>
              </w:rPr>
              <w:t xml:space="preserve">If </w:t>
            </w:r>
            <w:r>
              <w:rPr>
                <w:rFonts w:ascii="Arial" w:hAnsi="Arial" w:cs="Arial"/>
                <w:sz w:val="22"/>
                <w:szCs w:val="22"/>
              </w:rPr>
              <w:t xml:space="preserve">I </w:t>
            </w:r>
            <w:r w:rsidRPr="00360702">
              <w:rPr>
                <w:rFonts w:ascii="Arial" w:hAnsi="Arial" w:cs="Arial"/>
                <w:sz w:val="22"/>
                <w:szCs w:val="22"/>
              </w:rPr>
              <w:t>were to do something similar within this topic in the future, to provide further context for pupils I would encourage pupils to speak to their parents/grandparents about what they remember from when they were young and if they were different. </w:t>
            </w:r>
          </w:p>
        </w:tc>
      </w:tr>
    </w:tbl>
    <w:p w14:paraId="17148C0F" w14:textId="77777777" w:rsidR="00C44B8C" w:rsidRDefault="00C44B8C" w:rsidP="00C077F8">
      <w:pPr>
        <w:pStyle w:val="BodyA"/>
        <w:widowControl w:val="0"/>
        <w:spacing w:line="240" w:lineRule="auto"/>
        <w:ind w:left="108" w:hanging="108"/>
      </w:pPr>
    </w:p>
    <w:p w14:paraId="0A4DCF9A" w14:textId="77777777" w:rsidR="00C44B8C" w:rsidRDefault="00C44B8C" w:rsidP="00C077F8">
      <w:pPr>
        <w:pStyle w:val="BodyA"/>
        <w:widowControl w:val="0"/>
        <w:spacing w:line="240" w:lineRule="auto"/>
      </w:pPr>
    </w:p>
    <w:p w14:paraId="66220A9B" w14:textId="77777777" w:rsidR="00C44B8C" w:rsidRDefault="00C44B8C" w:rsidP="00C077F8">
      <w:pPr>
        <w:pStyle w:val="BodyA"/>
      </w:pPr>
    </w:p>
    <w:p w14:paraId="42FDB6F9" w14:textId="77777777" w:rsidR="00C44B8C" w:rsidRDefault="00C44B8C" w:rsidP="00C077F8">
      <w:pPr>
        <w:pStyle w:val="BodyA"/>
      </w:pPr>
    </w:p>
    <w:tbl>
      <w:tblPr>
        <w:tblW w:w="10065"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194"/>
        <w:gridCol w:w="6871"/>
      </w:tblGrid>
      <w:tr w:rsidR="00C44B8C" w14:paraId="6908EC92" w14:textId="77777777" w:rsidTr="002B39CC">
        <w:trPr>
          <w:trHeight w:val="1370"/>
        </w:trPr>
        <w:tc>
          <w:tcPr>
            <w:tcW w:w="3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1400E" w14:textId="77777777" w:rsidR="00C44B8C" w:rsidRDefault="00B31674" w:rsidP="00C077F8">
            <w:pPr>
              <w:pStyle w:val="Heading2"/>
            </w:pPr>
            <w:r>
              <w:lastRenderedPageBreak/>
              <w:t>Professional Experience Template 4</w:t>
            </w:r>
          </w:p>
        </w:tc>
        <w:tc>
          <w:tcPr>
            <w:tcW w:w="6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32B82" w14:textId="77777777" w:rsidR="00C44B8C" w:rsidRDefault="00C44B8C" w:rsidP="00C077F8"/>
        </w:tc>
      </w:tr>
      <w:tr w:rsidR="00C44B8C" w14:paraId="0E3AF3A9" w14:textId="77777777" w:rsidTr="002B39CC">
        <w:trPr>
          <w:trHeight w:val="860"/>
        </w:trPr>
        <w:tc>
          <w:tcPr>
            <w:tcW w:w="3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88EC8" w14:textId="77777777" w:rsidR="00C44B8C" w:rsidRDefault="00B31674" w:rsidP="00C077F8">
            <w:pPr>
              <w:pStyle w:val="Heading2"/>
            </w:pPr>
            <w:r>
              <w:t>Pedagogy Standard</w:t>
            </w:r>
          </w:p>
        </w:tc>
        <w:tc>
          <w:tcPr>
            <w:tcW w:w="6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A5E28" w14:textId="77777777" w:rsidR="00C44B8C" w:rsidRDefault="00B31674" w:rsidP="00C077F8">
            <w:pPr>
              <w:pStyle w:val="BodyA"/>
              <w:spacing w:after="0" w:line="240" w:lineRule="auto"/>
            </w:pPr>
            <w:r>
              <w:rPr>
                <w:rFonts w:ascii="Carlito" w:eastAsia="Carlito" w:hAnsi="Carlito" w:cs="Carlito"/>
                <w:b/>
                <w:bCs/>
                <w:color w:val="2E74B5"/>
                <w:sz w:val="28"/>
                <w:szCs w:val="28"/>
                <w:u w:color="2E74B5"/>
              </w:rPr>
              <w:t>Cross-curricular themes</w:t>
            </w:r>
          </w:p>
        </w:tc>
      </w:tr>
      <w:tr w:rsidR="00C44B8C" w14:paraId="78BA9E75" w14:textId="77777777" w:rsidTr="002B39CC">
        <w:trPr>
          <w:trHeight w:val="1078"/>
        </w:trPr>
        <w:tc>
          <w:tcPr>
            <w:tcW w:w="3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246AE" w14:textId="77777777" w:rsidR="00C44B8C" w:rsidRDefault="00B31674" w:rsidP="00C077F8">
            <w:pPr>
              <w:pStyle w:val="Heading3"/>
            </w:pPr>
            <w:r>
              <w:t>What did you do and why?</w:t>
            </w:r>
          </w:p>
        </w:tc>
        <w:tc>
          <w:tcPr>
            <w:tcW w:w="6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E421A" w14:textId="681550CC" w:rsidR="00C44B8C" w:rsidRPr="00021B68" w:rsidRDefault="00BD5492" w:rsidP="00021B68">
            <w:pPr>
              <w:spacing w:line="360" w:lineRule="auto"/>
              <w:rPr>
                <w:rFonts w:ascii="Arial" w:hAnsi="Arial" w:cs="Arial"/>
                <w:sz w:val="22"/>
                <w:szCs w:val="22"/>
              </w:rPr>
            </w:pPr>
            <w:r w:rsidRPr="00021B68">
              <w:rPr>
                <w:rFonts w:ascii="Arial" w:hAnsi="Arial" w:cs="Arial"/>
                <w:sz w:val="22"/>
                <w:szCs w:val="22"/>
              </w:rPr>
              <w:t xml:space="preserve">During my final PTE, I decided to have pupils complete a sorting activity. During this activity pupils sorted different modes of transport in to past and present categories. This activity was cross-curricular as it hit three different </w:t>
            </w:r>
            <w:proofErr w:type="spellStart"/>
            <w:r w:rsidRPr="00021B68">
              <w:rPr>
                <w:rFonts w:ascii="Arial" w:hAnsi="Arial" w:cs="Arial"/>
                <w:sz w:val="22"/>
                <w:szCs w:val="22"/>
              </w:rPr>
              <w:t>AoLEs</w:t>
            </w:r>
            <w:proofErr w:type="spellEnd"/>
            <w:r w:rsidRPr="00021B68">
              <w:rPr>
                <w:rFonts w:ascii="Arial" w:hAnsi="Arial" w:cs="Arial"/>
                <w:sz w:val="22"/>
                <w:szCs w:val="22"/>
              </w:rPr>
              <w:t xml:space="preserve"> - Humanities, LLC and </w:t>
            </w:r>
            <w:proofErr w:type="spellStart"/>
            <w:r w:rsidRPr="00021B68">
              <w:rPr>
                <w:rFonts w:ascii="Arial" w:hAnsi="Arial" w:cs="Arial"/>
                <w:sz w:val="22"/>
                <w:szCs w:val="22"/>
              </w:rPr>
              <w:t>Maths</w:t>
            </w:r>
            <w:proofErr w:type="spellEnd"/>
            <w:r w:rsidRPr="00021B68">
              <w:rPr>
                <w:rFonts w:ascii="Arial" w:hAnsi="Arial" w:cs="Arial"/>
                <w:sz w:val="22"/>
                <w:szCs w:val="22"/>
              </w:rPr>
              <w:t xml:space="preserve"> and Numeracy. Completing this activity provided pupils with the opportunity to engage within rich discussion about the similarities and differences of each mode of transport. Additionally, as pupils were sorting groups of pictures this hits a skill within the LNF framework for </w:t>
            </w:r>
            <w:proofErr w:type="spellStart"/>
            <w:r w:rsidRPr="00021B68">
              <w:rPr>
                <w:rFonts w:ascii="Arial" w:hAnsi="Arial" w:cs="Arial"/>
                <w:sz w:val="22"/>
                <w:szCs w:val="22"/>
              </w:rPr>
              <w:t>Maths</w:t>
            </w:r>
            <w:proofErr w:type="spellEnd"/>
            <w:r w:rsidRPr="00021B68">
              <w:rPr>
                <w:rFonts w:ascii="Arial" w:hAnsi="Arial" w:cs="Arial"/>
                <w:sz w:val="22"/>
                <w:szCs w:val="22"/>
              </w:rPr>
              <w:t>. </w:t>
            </w:r>
          </w:p>
        </w:tc>
      </w:tr>
      <w:tr w:rsidR="00C44B8C" w14:paraId="1906B970" w14:textId="77777777" w:rsidTr="002B39CC">
        <w:trPr>
          <w:trHeight w:val="710"/>
        </w:trPr>
        <w:tc>
          <w:tcPr>
            <w:tcW w:w="3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DE57E" w14:textId="77777777" w:rsidR="00C44B8C" w:rsidRDefault="00B31674" w:rsidP="00C077F8">
            <w:pPr>
              <w:pStyle w:val="Heading3"/>
            </w:pPr>
            <w:r>
              <w:t>What have you learned?</w:t>
            </w:r>
          </w:p>
        </w:tc>
        <w:tc>
          <w:tcPr>
            <w:tcW w:w="6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9D755" w14:textId="57EA800E" w:rsidR="00C44B8C" w:rsidRPr="00021B68" w:rsidRDefault="00021B68" w:rsidP="00021B68">
            <w:pPr>
              <w:spacing w:line="360" w:lineRule="auto"/>
              <w:rPr>
                <w:rFonts w:ascii="Arial" w:hAnsi="Arial" w:cs="Arial"/>
                <w:sz w:val="22"/>
                <w:szCs w:val="22"/>
              </w:rPr>
            </w:pPr>
            <w:r w:rsidRPr="00021B68">
              <w:rPr>
                <w:rFonts w:ascii="Arial" w:hAnsi="Arial" w:cs="Arial"/>
                <w:sz w:val="22"/>
                <w:szCs w:val="22"/>
              </w:rPr>
              <w:t xml:space="preserve">Ensuring cross-curricular skills are included within </w:t>
            </w:r>
            <w:proofErr w:type="gramStart"/>
            <w:r w:rsidRPr="00021B68">
              <w:rPr>
                <w:rFonts w:ascii="Arial" w:hAnsi="Arial" w:cs="Arial"/>
                <w:sz w:val="22"/>
                <w:szCs w:val="22"/>
              </w:rPr>
              <w:t>pupils</w:t>
            </w:r>
            <w:proofErr w:type="gramEnd"/>
            <w:r w:rsidRPr="00021B68">
              <w:rPr>
                <w:rFonts w:ascii="Arial" w:hAnsi="Arial" w:cs="Arial"/>
                <w:sz w:val="22"/>
                <w:szCs w:val="22"/>
              </w:rPr>
              <w:t xml:space="preserve"> work has provided rich activities for pupils. Whereas if pupils had solely sorted pictures the activity would have been quickly completed and pupils would not have understood the purpose of the activity. Providing purpose to activities through cross curricular planning has ensured pupils are gaining purposeful skills through the activities. </w:t>
            </w:r>
          </w:p>
        </w:tc>
      </w:tr>
      <w:tr w:rsidR="00C44B8C" w14:paraId="590F8CDC" w14:textId="77777777" w:rsidTr="002B39CC">
        <w:trPr>
          <w:trHeight w:val="655"/>
        </w:trPr>
        <w:tc>
          <w:tcPr>
            <w:tcW w:w="3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4C459" w14:textId="77777777" w:rsidR="00C44B8C" w:rsidRDefault="00B31674" w:rsidP="00C077F8">
            <w:pPr>
              <w:pStyle w:val="Heading3"/>
            </w:pPr>
            <w:r>
              <w:t>What next?</w:t>
            </w:r>
          </w:p>
        </w:tc>
        <w:tc>
          <w:tcPr>
            <w:tcW w:w="6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D48D2" w14:textId="3969C95C" w:rsidR="00C44B8C" w:rsidRPr="00021B68" w:rsidRDefault="00021B68" w:rsidP="00021B68">
            <w:pPr>
              <w:spacing w:line="360" w:lineRule="auto"/>
              <w:rPr>
                <w:rFonts w:ascii="Arial" w:hAnsi="Arial" w:cs="Arial"/>
                <w:sz w:val="22"/>
                <w:szCs w:val="22"/>
              </w:rPr>
            </w:pPr>
            <w:r w:rsidRPr="00021B68">
              <w:rPr>
                <w:rFonts w:ascii="Arial" w:hAnsi="Arial" w:cs="Arial"/>
                <w:sz w:val="22"/>
                <w:szCs w:val="22"/>
              </w:rPr>
              <w:t xml:space="preserve">In future, I would like to include further cross-curricular skills to enhance learning experiences. For example, I would like to plan a rich experience for pupils such as a school fate to include each </w:t>
            </w:r>
            <w:proofErr w:type="spellStart"/>
            <w:r w:rsidRPr="00021B68">
              <w:rPr>
                <w:rFonts w:ascii="Arial" w:hAnsi="Arial" w:cs="Arial"/>
                <w:sz w:val="22"/>
                <w:szCs w:val="22"/>
              </w:rPr>
              <w:t>AoLE</w:t>
            </w:r>
            <w:proofErr w:type="spellEnd"/>
            <w:r w:rsidRPr="00021B68">
              <w:rPr>
                <w:rFonts w:ascii="Arial" w:hAnsi="Arial" w:cs="Arial"/>
                <w:sz w:val="22"/>
                <w:szCs w:val="22"/>
              </w:rPr>
              <w:t xml:space="preserve"> and enhance their learning through real-life, cross curricular experiences. </w:t>
            </w:r>
          </w:p>
        </w:tc>
      </w:tr>
    </w:tbl>
    <w:p w14:paraId="449BB567" w14:textId="77777777" w:rsidR="00C44B8C" w:rsidRDefault="00C44B8C" w:rsidP="00C077F8">
      <w:pPr>
        <w:pStyle w:val="BodyA"/>
        <w:widowControl w:val="0"/>
        <w:spacing w:line="240" w:lineRule="auto"/>
        <w:ind w:left="108" w:hanging="108"/>
      </w:pPr>
    </w:p>
    <w:p w14:paraId="0E47EF6D" w14:textId="39A1D344" w:rsidR="00021B68" w:rsidRDefault="00021B68" w:rsidP="00C077F8">
      <w:pPr>
        <w:pStyle w:val="BodyA"/>
        <w:widowControl w:val="0"/>
        <w:spacing w:line="240" w:lineRule="auto"/>
        <w:rPr>
          <w:b/>
          <w:bCs/>
        </w:rPr>
      </w:pPr>
      <w:r>
        <w:rPr>
          <w:b/>
          <w:bCs/>
        </w:rPr>
        <w:t>Part 1 – Approximately 2000 words</w:t>
      </w:r>
    </w:p>
    <w:p w14:paraId="248B1653" w14:textId="58FD7395" w:rsidR="00C44B8C" w:rsidRPr="00360702" w:rsidRDefault="00360702" w:rsidP="00C077F8">
      <w:pPr>
        <w:pStyle w:val="BodyA"/>
        <w:widowControl w:val="0"/>
        <w:spacing w:line="240" w:lineRule="auto"/>
        <w:rPr>
          <w:b/>
          <w:bCs/>
        </w:rPr>
      </w:pPr>
      <w:r w:rsidRPr="00360702">
        <w:rPr>
          <w:b/>
          <w:bCs/>
        </w:rPr>
        <w:t>Part 2</w:t>
      </w:r>
      <w:r w:rsidR="00552C97">
        <w:rPr>
          <w:b/>
          <w:bCs/>
        </w:rPr>
        <w:t xml:space="preserve"> – 2839 Words</w:t>
      </w:r>
    </w:p>
    <w:p w14:paraId="23BB891F"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For this assignment, the primary focus will be surrounding the area of Assessment for Learning (</w:t>
      </w:r>
      <w:proofErr w:type="spellStart"/>
      <w:r w:rsidRPr="00FA2529">
        <w:rPr>
          <w:rFonts w:ascii="Arial" w:hAnsi="Arial" w:cs="Arial"/>
          <w:sz w:val="22"/>
          <w:szCs w:val="22"/>
        </w:rPr>
        <w:t>AfL</w:t>
      </w:r>
      <w:proofErr w:type="spellEnd"/>
      <w:r w:rsidRPr="00FA2529">
        <w:rPr>
          <w:rFonts w:ascii="Arial" w:hAnsi="Arial" w:cs="Arial"/>
          <w:sz w:val="22"/>
          <w:szCs w:val="22"/>
        </w:rPr>
        <w:t>). The term ‘</w:t>
      </w:r>
      <w:proofErr w:type="spellStart"/>
      <w:r w:rsidRPr="00FA2529">
        <w:rPr>
          <w:rFonts w:ascii="Arial" w:hAnsi="Arial" w:cs="Arial"/>
          <w:sz w:val="22"/>
          <w:szCs w:val="22"/>
        </w:rPr>
        <w:t>AfL</w:t>
      </w:r>
      <w:proofErr w:type="spellEnd"/>
      <w:r w:rsidRPr="00FA2529">
        <w:rPr>
          <w:rFonts w:ascii="Arial" w:hAnsi="Arial" w:cs="Arial"/>
          <w:sz w:val="22"/>
          <w:szCs w:val="22"/>
        </w:rPr>
        <w:t xml:space="preserve">’ was first coined by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in 1998.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identify </w:t>
      </w:r>
      <w:proofErr w:type="spellStart"/>
      <w:r w:rsidRPr="00FA2529">
        <w:rPr>
          <w:rFonts w:ascii="Arial" w:hAnsi="Arial" w:cs="Arial"/>
          <w:sz w:val="22"/>
          <w:szCs w:val="22"/>
        </w:rPr>
        <w:t>AfL</w:t>
      </w:r>
      <w:proofErr w:type="spellEnd"/>
      <w:r w:rsidRPr="00FA2529">
        <w:rPr>
          <w:rFonts w:ascii="Arial" w:hAnsi="Arial" w:cs="Arial"/>
          <w:sz w:val="22"/>
          <w:szCs w:val="22"/>
        </w:rPr>
        <w:t xml:space="preserve"> as a type of formative assessment, with the terms occasionally being used </w:t>
      </w:r>
      <w:proofErr w:type="spellStart"/>
      <w:r w:rsidRPr="00FA2529">
        <w:rPr>
          <w:rFonts w:ascii="Arial" w:hAnsi="Arial" w:cs="Arial"/>
          <w:sz w:val="22"/>
          <w:szCs w:val="22"/>
        </w:rPr>
        <w:t>interchangably</w:t>
      </w:r>
      <w:proofErr w:type="spellEnd"/>
      <w:r w:rsidRPr="00FA2529">
        <w:rPr>
          <w:rFonts w:ascii="Arial" w:hAnsi="Arial" w:cs="Arial"/>
          <w:sz w:val="22"/>
          <w:szCs w:val="22"/>
        </w:rPr>
        <w:t xml:space="preserve">. Formative assessment focuses on the learning process rather than the outcomes of the learning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w:t>
      </w:r>
      <w:proofErr w:type="spellStart"/>
      <w:r w:rsidRPr="00FA2529">
        <w:rPr>
          <w:rFonts w:ascii="Arial" w:hAnsi="Arial" w:cs="Arial"/>
          <w:sz w:val="22"/>
          <w:szCs w:val="22"/>
        </w:rPr>
        <w:t>Schildkamp</w:t>
      </w:r>
      <w:proofErr w:type="spellEnd"/>
      <w:r w:rsidRPr="00FA2529">
        <w:rPr>
          <w:rFonts w:ascii="Arial" w:hAnsi="Arial" w:cs="Arial"/>
          <w:sz w:val="22"/>
          <w:szCs w:val="22"/>
        </w:rPr>
        <w:t xml:space="preserve">, 2020). The term </w:t>
      </w:r>
      <w:proofErr w:type="spellStart"/>
      <w:r w:rsidRPr="00FA2529">
        <w:rPr>
          <w:rFonts w:ascii="Arial" w:hAnsi="Arial" w:cs="Arial"/>
          <w:sz w:val="22"/>
          <w:szCs w:val="22"/>
        </w:rPr>
        <w:lastRenderedPageBreak/>
        <w:t>AfL</w:t>
      </w:r>
      <w:proofErr w:type="spellEnd"/>
      <w:r w:rsidRPr="00FA2529">
        <w:rPr>
          <w:rFonts w:ascii="Arial" w:hAnsi="Arial" w:cs="Arial"/>
          <w:sz w:val="22"/>
          <w:szCs w:val="22"/>
        </w:rPr>
        <w:t xml:space="preserve"> has been defined as “everyday practice by students, teachers and peers that seeks, reflects upon and responds to information from dialogue, demonstration and observation in ways that enhance ongoing learning” </w:t>
      </w:r>
      <w:r w:rsidRPr="00FA2529">
        <w:rPr>
          <w:rStyle w:val="normaltextrun"/>
          <w:rFonts w:ascii="Arial" w:hAnsi="Arial" w:cs="Arial"/>
          <w:color w:val="000000"/>
          <w:sz w:val="22"/>
          <w:szCs w:val="22"/>
          <w:shd w:val="clear" w:color="auto" w:fill="FFFFFF"/>
        </w:rPr>
        <w:t>(</w:t>
      </w:r>
      <w:proofErr w:type="spellStart"/>
      <w:r w:rsidRPr="00FA2529">
        <w:rPr>
          <w:rStyle w:val="normaltextrun"/>
          <w:rFonts w:ascii="Arial" w:hAnsi="Arial" w:cs="Arial"/>
          <w:color w:val="000000"/>
          <w:sz w:val="22"/>
          <w:szCs w:val="22"/>
          <w:shd w:val="clear" w:color="auto" w:fill="FFFFFF"/>
        </w:rPr>
        <w:t>Klenowski</w:t>
      </w:r>
      <w:proofErr w:type="spellEnd"/>
      <w:r w:rsidRPr="00FA2529">
        <w:rPr>
          <w:rStyle w:val="normaltextrun"/>
          <w:rFonts w:ascii="Arial" w:hAnsi="Arial" w:cs="Arial"/>
          <w:color w:val="000000"/>
          <w:sz w:val="22"/>
          <w:szCs w:val="22"/>
          <w:shd w:val="clear" w:color="auto" w:fill="FFFFFF"/>
        </w:rPr>
        <w:t>, 2009, p. 263).</w:t>
      </w:r>
      <w:r w:rsidRPr="00FA2529">
        <w:rPr>
          <w:rFonts w:ascii="Arial" w:hAnsi="Arial" w:cs="Arial"/>
          <w:sz w:val="22"/>
          <w:szCs w:val="22"/>
        </w:rPr>
        <w:t xml:space="preserve">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(2011) further defined the term </w:t>
      </w:r>
      <w:proofErr w:type="spellStart"/>
      <w:r w:rsidRPr="00FA2529">
        <w:rPr>
          <w:rFonts w:ascii="Arial" w:hAnsi="Arial" w:cs="Arial"/>
          <w:sz w:val="22"/>
          <w:szCs w:val="22"/>
        </w:rPr>
        <w:t>AfL</w:t>
      </w:r>
      <w:proofErr w:type="spellEnd"/>
      <w:r w:rsidRPr="00FA2529">
        <w:rPr>
          <w:rFonts w:ascii="Arial" w:hAnsi="Arial" w:cs="Arial"/>
          <w:sz w:val="22"/>
          <w:szCs w:val="22"/>
        </w:rPr>
        <w:t xml:space="preserve"> as a form of assessment in which the main priority is to aid pupil learning and progression. During my final Professional Teaching Experience (PTE), </w:t>
      </w:r>
      <w:proofErr w:type="spellStart"/>
      <w:r w:rsidRPr="00FA2529">
        <w:rPr>
          <w:rFonts w:ascii="Arial" w:hAnsi="Arial" w:cs="Arial"/>
          <w:sz w:val="22"/>
          <w:szCs w:val="22"/>
        </w:rPr>
        <w:t>AfL</w:t>
      </w:r>
      <w:proofErr w:type="spellEnd"/>
      <w:r w:rsidRPr="00FA2529">
        <w:rPr>
          <w:rFonts w:ascii="Arial" w:hAnsi="Arial" w:cs="Arial"/>
          <w:sz w:val="22"/>
          <w:szCs w:val="22"/>
        </w:rPr>
        <w:t xml:space="preserve"> is an area in which I strived to develop, implementing regularly with the pupils. My final PTE took place in a mixed-age Nursery/Reception class in a small school based within the Swansea Local Authority in South Wales. </w:t>
      </w:r>
    </w:p>
    <w:p w14:paraId="6C88217B" w14:textId="77777777" w:rsidR="00552C97" w:rsidRPr="00FA2529" w:rsidRDefault="00552C97" w:rsidP="005F0832">
      <w:pPr>
        <w:spacing w:line="360" w:lineRule="auto"/>
        <w:rPr>
          <w:rFonts w:ascii="Arial" w:hAnsi="Arial" w:cs="Arial"/>
          <w:sz w:val="22"/>
          <w:szCs w:val="22"/>
        </w:rPr>
      </w:pPr>
    </w:p>
    <w:p w14:paraId="3D7966DE" w14:textId="60F07B10" w:rsidR="00552C97" w:rsidRDefault="00552C97" w:rsidP="005F0832">
      <w:pPr>
        <w:spacing w:line="360" w:lineRule="auto"/>
        <w:rPr>
          <w:rFonts w:ascii="Arial" w:hAnsi="Arial" w:cs="Arial"/>
          <w:sz w:val="22"/>
          <w:szCs w:val="22"/>
        </w:rPr>
      </w:pPr>
      <w:r w:rsidRPr="00FA2529">
        <w:rPr>
          <w:rFonts w:ascii="Arial" w:hAnsi="Arial" w:cs="Arial"/>
          <w:sz w:val="22"/>
          <w:szCs w:val="22"/>
        </w:rPr>
        <w:t xml:space="preserve">Assessment is seen as a key part of enabling individual pupil progression (Welsh Government, 2022). Welsh Government (2019) have outlined a set of five Professional Standards for Teaching and Learning (PSTL) as drivers for practitioners who work with children. </w:t>
      </w:r>
      <w:r>
        <w:rPr>
          <w:rFonts w:ascii="Arial" w:hAnsi="Arial" w:cs="Arial"/>
          <w:sz w:val="22"/>
          <w:szCs w:val="22"/>
        </w:rPr>
        <w:t xml:space="preserve">The PTSL align with the twelve pedagogical principles of the </w:t>
      </w:r>
      <w:proofErr w:type="spellStart"/>
      <w:r>
        <w:rPr>
          <w:rFonts w:ascii="Arial" w:hAnsi="Arial" w:cs="Arial"/>
          <w:sz w:val="22"/>
          <w:szCs w:val="22"/>
        </w:rPr>
        <w:t>CfW</w:t>
      </w:r>
      <w:proofErr w:type="spellEnd"/>
      <w:r>
        <w:rPr>
          <w:rFonts w:ascii="Arial" w:hAnsi="Arial" w:cs="Arial"/>
          <w:sz w:val="22"/>
          <w:szCs w:val="22"/>
        </w:rPr>
        <w:t xml:space="preserve">. According to Welsh Government (2023), the pedagogical principles should be considered when aiding pupils towards </w:t>
      </w:r>
      <w:proofErr w:type="spellStart"/>
      <w:r>
        <w:rPr>
          <w:rFonts w:ascii="Arial" w:hAnsi="Arial" w:cs="Arial"/>
          <w:sz w:val="22"/>
          <w:szCs w:val="22"/>
        </w:rPr>
        <w:t>realising</w:t>
      </w:r>
      <w:proofErr w:type="spellEnd"/>
      <w:r>
        <w:rPr>
          <w:rFonts w:ascii="Arial" w:hAnsi="Arial" w:cs="Arial"/>
          <w:sz w:val="22"/>
          <w:szCs w:val="22"/>
        </w:rPr>
        <w:t xml:space="preserve"> the four purposes. </w:t>
      </w:r>
      <w:proofErr w:type="spellStart"/>
      <w:r>
        <w:rPr>
          <w:rFonts w:ascii="Arial" w:hAnsi="Arial" w:cs="Arial"/>
          <w:sz w:val="22"/>
          <w:szCs w:val="22"/>
        </w:rPr>
        <w:t>Realising</w:t>
      </w:r>
      <w:proofErr w:type="spellEnd"/>
      <w:r>
        <w:rPr>
          <w:rFonts w:ascii="Arial" w:hAnsi="Arial" w:cs="Arial"/>
          <w:sz w:val="22"/>
          <w:szCs w:val="22"/>
        </w:rPr>
        <w:t xml:space="preserve"> the four purposes </w:t>
      </w:r>
      <w:r w:rsidR="00D53671">
        <w:rPr>
          <w:rFonts w:ascii="Arial" w:hAnsi="Arial" w:cs="Arial"/>
          <w:sz w:val="22"/>
          <w:szCs w:val="22"/>
        </w:rPr>
        <w:t>is</w:t>
      </w:r>
      <w:r>
        <w:rPr>
          <w:rFonts w:ascii="Arial" w:hAnsi="Arial" w:cs="Arial"/>
          <w:sz w:val="22"/>
          <w:szCs w:val="22"/>
        </w:rPr>
        <w:t xml:space="preserve"> described as the aspiration for learners</w:t>
      </w:r>
      <w:r w:rsidRPr="00F57265">
        <w:rPr>
          <w:rFonts w:ascii="Arial" w:hAnsi="Arial" w:cs="Arial"/>
          <w:sz w:val="22"/>
          <w:szCs w:val="22"/>
        </w:rPr>
        <w:t xml:space="preserve"> </w:t>
      </w:r>
      <w:r>
        <w:rPr>
          <w:rFonts w:ascii="Arial" w:hAnsi="Arial" w:cs="Arial"/>
          <w:sz w:val="22"/>
          <w:szCs w:val="22"/>
        </w:rPr>
        <w:t xml:space="preserve">aged three to sixteen in Wales (Welsh Government, 2020).   </w:t>
      </w:r>
    </w:p>
    <w:p w14:paraId="756C1DCC" w14:textId="77777777" w:rsidR="00552C97" w:rsidRDefault="00552C97" w:rsidP="005F0832">
      <w:pPr>
        <w:spacing w:line="360" w:lineRule="auto"/>
        <w:rPr>
          <w:rFonts w:ascii="Arial" w:hAnsi="Arial" w:cs="Arial"/>
          <w:sz w:val="22"/>
          <w:szCs w:val="22"/>
        </w:rPr>
      </w:pPr>
    </w:p>
    <w:p w14:paraId="4FC0226E"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Assessment is a descriptor within the Pedagogy Strand outlined within the PTSL. The Qualified Teaching Standard (QTS) level of this descriptor states that the range of practices for assessment must be understood by the practitioner (Welsh Government, 2019). Engaging with this assignment should therefore allow me to further develop towards meeting this descriptor.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identified four basic elements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sharing success criteria, quality of questioning, quality of feedback and self/peer assessment. During my PTE, as I was working with young learners between ages three and five, delving deeply into each of these elements proved difficult. For this assignment, I have decided to focus on two elements in which I gained most experience during PTE: </w:t>
      </w:r>
      <w:r>
        <w:rPr>
          <w:rFonts w:ascii="Arial" w:hAnsi="Arial" w:cs="Arial"/>
          <w:sz w:val="22"/>
          <w:szCs w:val="22"/>
        </w:rPr>
        <w:t>questioning and peer-assessment</w:t>
      </w:r>
      <w:r w:rsidRPr="00FA2529">
        <w:rPr>
          <w:rFonts w:ascii="Arial" w:hAnsi="Arial" w:cs="Arial"/>
          <w:sz w:val="22"/>
          <w:szCs w:val="22"/>
        </w:rPr>
        <w:t>. Engaging with these aspects should further widen my breadth of knowledge around this subject.</w:t>
      </w:r>
    </w:p>
    <w:p w14:paraId="18F5B19A" w14:textId="77777777" w:rsidR="00552C97" w:rsidRPr="00FA2529" w:rsidRDefault="00552C97" w:rsidP="005F0832">
      <w:pPr>
        <w:spacing w:line="360" w:lineRule="auto"/>
        <w:rPr>
          <w:rFonts w:ascii="Arial" w:hAnsi="Arial" w:cs="Arial"/>
          <w:sz w:val="22"/>
          <w:szCs w:val="22"/>
        </w:rPr>
      </w:pPr>
    </w:p>
    <w:p w14:paraId="24AB1A0B"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Having defined what is meant by </w:t>
      </w:r>
      <w:proofErr w:type="spellStart"/>
      <w:r w:rsidRPr="00FA2529">
        <w:rPr>
          <w:rFonts w:ascii="Arial" w:hAnsi="Arial" w:cs="Arial"/>
          <w:sz w:val="22"/>
          <w:szCs w:val="22"/>
        </w:rPr>
        <w:t>AfL</w:t>
      </w:r>
      <w:proofErr w:type="spellEnd"/>
      <w:r w:rsidRPr="00FA2529">
        <w:rPr>
          <w:rFonts w:ascii="Arial" w:hAnsi="Arial" w:cs="Arial"/>
          <w:sz w:val="22"/>
          <w:szCs w:val="22"/>
        </w:rPr>
        <w:t xml:space="preserve"> and the subject of this assignment, I will now move on to discuss </w:t>
      </w:r>
      <w:proofErr w:type="spellStart"/>
      <w:r w:rsidRPr="00FA2529">
        <w:rPr>
          <w:rFonts w:ascii="Arial" w:hAnsi="Arial" w:cs="Arial"/>
          <w:sz w:val="22"/>
          <w:szCs w:val="22"/>
        </w:rPr>
        <w:t>AfL</w:t>
      </w:r>
      <w:proofErr w:type="spellEnd"/>
      <w:r w:rsidRPr="00FA2529">
        <w:rPr>
          <w:rFonts w:ascii="Arial" w:hAnsi="Arial" w:cs="Arial"/>
          <w:sz w:val="22"/>
          <w:szCs w:val="22"/>
        </w:rPr>
        <w:t xml:space="preserve"> in greater depth. Assessment is generally split in to two categories - formative and summative assessment. Generally, </w:t>
      </w:r>
      <w:proofErr w:type="spellStart"/>
      <w:r w:rsidRPr="00FA2529">
        <w:rPr>
          <w:rFonts w:ascii="Arial" w:hAnsi="Arial" w:cs="Arial"/>
          <w:sz w:val="22"/>
          <w:szCs w:val="22"/>
        </w:rPr>
        <w:t>AfL</w:t>
      </w:r>
      <w:proofErr w:type="spellEnd"/>
      <w:r w:rsidRPr="00FA2529">
        <w:rPr>
          <w:rFonts w:ascii="Arial" w:hAnsi="Arial" w:cs="Arial"/>
          <w:sz w:val="22"/>
          <w:szCs w:val="22"/>
        </w:rPr>
        <w:t xml:space="preserve"> is associated with formative assessment whilst assessment of learning (</w:t>
      </w:r>
      <w:proofErr w:type="spellStart"/>
      <w:r w:rsidRPr="00FA2529">
        <w:rPr>
          <w:rFonts w:ascii="Arial" w:hAnsi="Arial" w:cs="Arial"/>
          <w:sz w:val="22"/>
          <w:szCs w:val="22"/>
        </w:rPr>
        <w:t>AoL</w:t>
      </w:r>
      <w:proofErr w:type="spellEnd"/>
      <w:r w:rsidRPr="00FA2529">
        <w:rPr>
          <w:rFonts w:ascii="Arial" w:hAnsi="Arial" w:cs="Arial"/>
          <w:sz w:val="22"/>
          <w:szCs w:val="22"/>
        </w:rPr>
        <w:t xml:space="preserve">) is associated with summative assessment. </w:t>
      </w:r>
      <w:proofErr w:type="spellStart"/>
      <w:r w:rsidRPr="00FA2529">
        <w:rPr>
          <w:rFonts w:ascii="Arial" w:hAnsi="Arial" w:cs="Arial"/>
          <w:sz w:val="22"/>
          <w:szCs w:val="22"/>
        </w:rPr>
        <w:t>AfL</w:t>
      </w:r>
      <w:proofErr w:type="spellEnd"/>
      <w:r w:rsidRPr="00FA2529">
        <w:rPr>
          <w:rFonts w:ascii="Arial" w:hAnsi="Arial" w:cs="Arial"/>
          <w:sz w:val="22"/>
          <w:szCs w:val="22"/>
        </w:rPr>
        <w:t xml:space="preserve"> differs from the term </w:t>
      </w:r>
      <w:proofErr w:type="spellStart"/>
      <w:r w:rsidRPr="00FA2529">
        <w:rPr>
          <w:rFonts w:ascii="Arial" w:hAnsi="Arial" w:cs="Arial"/>
          <w:sz w:val="22"/>
          <w:szCs w:val="22"/>
        </w:rPr>
        <w:t>AoL</w:t>
      </w:r>
      <w:proofErr w:type="spellEnd"/>
      <w:r w:rsidRPr="00FA2529">
        <w:rPr>
          <w:rFonts w:ascii="Arial" w:hAnsi="Arial" w:cs="Arial"/>
          <w:sz w:val="22"/>
          <w:szCs w:val="22"/>
        </w:rPr>
        <w:t xml:space="preserve"> which focuses primarily on grading against a standard benchmark (</w:t>
      </w:r>
      <w:proofErr w:type="spellStart"/>
      <w:r w:rsidRPr="00FA2529">
        <w:rPr>
          <w:rFonts w:ascii="Arial" w:hAnsi="Arial" w:cs="Arial"/>
          <w:sz w:val="22"/>
          <w:szCs w:val="22"/>
        </w:rPr>
        <w:t>Broadfoot</w:t>
      </w:r>
      <w:proofErr w:type="spellEnd"/>
      <w:r w:rsidRPr="00FA2529">
        <w:rPr>
          <w:rFonts w:ascii="Arial" w:hAnsi="Arial" w:cs="Arial"/>
          <w:sz w:val="22"/>
          <w:szCs w:val="22"/>
        </w:rPr>
        <w:t xml:space="preserve"> et al., 2002; Harlen, 2007). The Curriculum for Wales (</w:t>
      </w:r>
      <w:proofErr w:type="spellStart"/>
      <w:r w:rsidRPr="00FA2529">
        <w:rPr>
          <w:rFonts w:ascii="Arial" w:hAnsi="Arial" w:cs="Arial"/>
          <w:sz w:val="22"/>
          <w:szCs w:val="22"/>
        </w:rPr>
        <w:t>CfW</w:t>
      </w:r>
      <w:proofErr w:type="spellEnd"/>
      <w:r w:rsidRPr="00FA2529">
        <w:rPr>
          <w:rFonts w:ascii="Arial" w:hAnsi="Arial" w:cs="Arial"/>
          <w:sz w:val="22"/>
          <w:szCs w:val="22"/>
        </w:rPr>
        <w:t xml:space="preserve">) states that the purpose of assessment is to aid individual learners in progressing at an appropriate pace, being challenged accordingly (Welsh Government, 2022a). </w:t>
      </w:r>
      <w:proofErr w:type="spellStart"/>
      <w:r w:rsidRPr="00FA2529">
        <w:rPr>
          <w:rFonts w:ascii="Arial" w:hAnsi="Arial" w:cs="Arial"/>
          <w:sz w:val="22"/>
          <w:szCs w:val="22"/>
        </w:rPr>
        <w:t>Broadfoot</w:t>
      </w:r>
      <w:proofErr w:type="spellEnd"/>
      <w:r w:rsidRPr="00FA2529">
        <w:rPr>
          <w:rFonts w:ascii="Arial" w:hAnsi="Arial" w:cs="Arial"/>
          <w:sz w:val="22"/>
          <w:szCs w:val="22"/>
        </w:rPr>
        <w:t xml:space="preserve"> et al (2002) suggests that </w:t>
      </w:r>
      <w:r w:rsidRPr="00FA2529">
        <w:rPr>
          <w:rFonts w:ascii="Arial" w:hAnsi="Arial" w:cs="Arial"/>
          <w:sz w:val="22"/>
          <w:szCs w:val="22"/>
        </w:rPr>
        <w:lastRenderedPageBreak/>
        <w:t xml:space="preserve">using </w:t>
      </w:r>
      <w:proofErr w:type="spellStart"/>
      <w:r w:rsidRPr="00FA2529">
        <w:rPr>
          <w:rFonts w:ascii="Arial" w:hAnsi="Arial" w:cs="Arial"/>
          <w:sz w:val="22"/>
          <w:szCs w:val="22"/>
        </w:rPr>
        <w:t>AfL</w:t>
      </w:r>
      <w:proofErr w:type="spellEnd"/>
      <w:r w:rsidRPr="00FA2529">
        <w:rPr>
          <w:rFonts w:ascii="Arial" w:hAnsi="Arial" w:cs="Arial"/>
          <w:sz w:val="22"/>
          <w:szCs w:val="22"/>
        </w:rPr>
        <w:t xml:space="preserve"> in the classroom can inform practitioners of what stage a pupil is at in their learning, the next steps and how to aid them in achieving those steps. This suggests that using </w:t>
      </w:r>
      <w:proofErr w:type="spellStart"/>
      <w:r w:rsidRPr="00FA2529">
        <w:rPr>
          <w:rFonts w:ascii="Arial" w:hAnsi="Arial" w:cs="Arial"/>
          <w:sz w:val="22"/>
          <w:szCs w:val="22"/>
        </w:rPr>
        <w:t>AfL</w:t>
      </w:r>
      <w:proofErr w:type="spellEnd"/>
      <w:r w:rsidRPr="00FA2529">
        <w:rPr>
          <w:rFonts w:ascii="Arial" w:hAnsi="Arial" w:cs="Arial"/>
          <w:sz w:val="22"/>
          <w:szCs w:val="22"/>
        </w:rPr>
        <w:t xml:space="preserve"> aids the </w:t>
      </w:r>
      <w:proofErr w:type="spellStart"/>
      <w:r w:rsidRPr="00FA2529">
        <w:rPr>
          <w:rFonts w:ascii="Arial" w:hAnsi="Arial" w:cs="Arial"/>
          <w:sz w:val="22"/>
          <w:szCs w:val="22"/>
        </w:rPr>
        <w:t>CfW</w:t>
      </w:r>
      <w:proofErr w:type="spellEnd"/>
      <w:r w:rsidRPr="00FA2529">
        <w:rPr>
          <w:rFonts w:ascii="Arial" w:hAnsi="Arial" w:cs="Arial"/>
          <w:sz w:val="22"/>
          <w:szCs w:val="22"/>
        </w:rPr>
        <w:t xml:space="preserve"> view on how assessment should be used. Previously, the Welsh Government acknowledged weaknesses in its assessment framework (Donaldson, 2015). Donaldson (2015) stated that the Welsh Government </w:t>
      </w:r>
      <w:proofErr w:type="spellStart"/>
      <w:r w:rsidRPr="00FA2529">
        <w:rPr>
          <w:rFonts w:ascii="Arial" w:hAnsi="Arial" w:cs="Arial"/>
          <w:sz w:val="22"/>
          <w:szCs w:val="22"/>
        </w:rPr>
        <w:t>recognised</w:t>
      </w:r>
      <w:proofErr w:type="spellEnd"/>
      <w:r w:rsidRPr="00FA2529">
        <w:rPr>
          <w:rFonts w:ascii="Arial" w:hAnsi="Arial" w:cs="Arial"/>
          <w:sz w:val="22"/>
          <w:szCs w:val="22"/>
        </w:rPr>
        <w:t xml:space="preserve"> the need for use of good formative assessment. Welsh Government (2022b) state that although the curriculum has shifted toward using the term pupil progression over </w:t>
      </w:r>
      <w:proofErr w:type="spellStart"/>
      <w:r w:rsidRPr="00FA2529">
        <w:rPr>
          <w:rFonts w:ascii="Arial" w:hAnsi="Arial" w:cs="Arial"/>
          <w:sz w:val="22"/>
          <w:szCs w:val="22"/>
        </w:rPr>
        <w:t>AfL</w:t>
      </w:r>
      <w:proofErr w:type="spellEnd"/>
      <w:r w:rsidRPr="00FA2529">
        <w:rPr>
          <w:rFonts w:ascii="Arial" w:hAnsi="Arial" w:cs="Arial"/>
          <w:sz w:val="22"/>
          <w:szCs w:val="22"/>
        </w:rPr>
        <w:t xml:space="preserve">, the principles outlined in their assessment arrangement are underpinned by </w:t>
      </w:r>
      <w:proofErr w:type="spellStart"/>
      <w:r w:rsidRPr="00FA2529">
        <w:rPr>
          <w:rFonts w:ascii="Arial" w:hAnsi="Arial" w:cs="Arial"/>
          <w:sz w:val="22"/>
          <w:szCs w:val="22"/>
        </w:rPr>
        <w:t>AfL</w:t>
      </w:r>
      <w:proofErr w:type="spellEnd"/>
      <w:r w:rsidRPr="00FA2529">
        <w:rPr>
          <w:rFonts w:ascii="Arial" w:hAnsi="Arial" w:cs="Arial"/>
          <w:sz w:val="22"/>
          <w:szCs w:val="22"/>
        </w:rPr>
        <w:t xml:space="preserve">. </w:t>
      </w:r>
    </w:p>
    <w:p w14:paraId="5312DB35" w14:textId="77777777" w:rsidR="00552C97" w:rsidRPr="00D53671" w:rsidRDefault="00552C97" w:rsidP="005F0832">
      <w:pPr>
        <w:spacing w:line="360" w:lineRule="auto"/>
        <w:rPr>
          <w:rFonts w:ascii="Arial" w:hAnsi="Arial" w:cs="Arial"/>
          <w:sz w:val="22"/>
          <w:szCs w:val="22"/>
          <w:lang w:val="en-GB"/>
        </w:rPr>
      </w:pPr>
    </w:p>
    <w:p w14:paraId="15705779"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Although </w:t>
      </w:r>
      <w:proofErr w:type="spellStart"/>
      <w:r w:rsidRPr="00FA2529">
        <w:rPr>
          <w:rFonts w:ascii="Arial" w:hAnsi="Arial" w:cs="Arial"/>
          <w:sz w:val="22"/>
          <w:szCs w:val="22"/>
        </w:rPr>
        <w:t>AfL</w:t>
      </w:r>
      <w:proofErr w:type="spellEnd"/>
      <w:r w:rsidRPr="00FA2529">
        <w:rPr>
          <w:rFonts w:ascii="Arial" w:hAnsi="Arial" w:cs="Arial"/>
          <w:sz w:val="22"/>
          <w:szCs w:val="22"/>
        </w:rPr>
        <w:t xml:space="preserve"> is based extensively on empirical evidence (Stobart, 2008), </w:t>
      </w:r>
      <w:proofErr w:type="spellStart"/>
      <w:r w:rsidRPr="00FA2529">
        <w:rPr>
          <w:rFonts w:ascii="Arial" w:hAnsi="Arial" w:cs="Arial"/>
          <w:sz w:val="22"/>
          <w:szCs w:val="22"/>
        </w:rPr>
        <w:t>Taras</w:t>
      </w:r>
      <w:proofErr w:type="spellEnd"/>
      <w:r w:rsidRPr="00FA2529">
        <w:rPr>
          <w:rFonts w:ascii="Arial" w:hAnsi="Arial" w:cs="Arial"/>
          <w:sz w:val="22"/>
          <w:szCs w:val="22"/>
        </w:rPr>
        <w:t xml:space="preserve"> (2010) suggests that there is scarce theoretical underpinning. Whilst there are no specific theories relating to </w:t>
      </w:r>
      <w:proofErr w:type="spellStart"/>
      <w:r w:rsidRPr="00FA2529">
        <w:rPr>
          <w:rFonts w:ascii="Arial" w:hAnsi="Arial" w:cs="Arial"/>
          <w:sz w:val="22"/>
          <w:szCs w:val="22"/>
        </w:rPr>
        <w:t>AfL</w:t>
      </w:r>
      <w:proofErr w:type="spellEnd"/>
      <w:r w:rsidRPr="00FA2529">
        <w:rPr>
          <w:rFonts w:ascii="Arial" w:hAnsi="Arial" w:cs="Arial"/>
          <w:sz w:val="22"/>
          <w:szCs w:val="22"/>
        </w:rPr>
        <w:t xml:space="preserve">, there is a wide variety of accepted theories related to the elements. Vygotsky’s (1978) sociocultural theory discusses the importance of both feedback and peer-assessment in aiding a child’s cognitive development. Humanistic learning approaches developed notably by theorists Maslow (1943) and Rogers (1942) also underpins </w:t>
      </w:r>
      <w:proofErr w:type="spellStart"/>
      <w:r w:rsidRPr="00FA2529">
        <w:rPr>
          <w:rFonts w:ascii="Arial" w:hAnsi="Arial" w:cs="Arial"/>
          <w:sz w:val="22"/>
          <w:szCs w:val="22"/>
        </w:rPr>
        <w:t>AfL</w:t>
      </w:r>
      <w:proofErr w:type="spellEnd"/>
      <w:r w:rsidRPr="00FA2529">
        <w:rPr>
          <w:rFonts w:ascii="Arial" w:hAnsi="Arial" w:cs="Arial"/>
          <w:sz w:val="22"/>
          <w:szCs w:val="22"/>
        </w:rPr>
        <w:t xml:space="preserve"> in the sense that </w:t>
      </w:r>
      <w:proofErr w:type="gramStart"/>
      <w:r w:rsidRPr="00FA2529">
        <w:rPr>
          <w:rFonts w:ascii="Arial" w:hAnsi="Arial" w:cs="Arial"/>
          <w:sz w:val="22"/>
          <w:szCs w:val="22"/>
        </w:rPr>
        <w:t>each individual’s</w:t>
      </w:r>
      <w:proofErr w:type="gramEnd"/>
      <w:r w:rsidRPr="00FA2529">
        <w:rPr>
          <w:rFonts w:ascii="Arial" w:hAnsi="Arial" w:cs="Arial"/>
          <w:sz w:val="22"/>
          <w:szCs w:val="22"/>
        </w:rPr>
        <w:t xml:space="preserve"> personal development and progression is of utmost importance. However, Maslow’s (1943) Hierarchy of Needs theory has been widely critiqued (Wahba and Bridwell, 1976; King-Hill, 2015; </w:t>
      </w:r>
      <w:proofErr w:type="spellStart"/>
      <w:r w:rsidRPr="00FA2529">
        <w:rPr>
          <w:rFonts w:ascii="Arial" w:hAnsi="Arial" w:cs="Arial"/>
          <w:sz w:val="22"/>
          <w:szCs w:val="22"/>
        </w:rPr>
        <w:t>Bouzenita</w:t>
      </w:r>
      <w:proofErr w:type="spellEnd"/>
      <w:r w:rsidRPr="00FA2529">
        <w:rPr>
          <w:rFonts w:ascii="Arial" w:hAnsi="Arial" w:cs="Arial"/>
          <w:sz w:val="22"/>
          <w:szCs w:val="22"/>
        </w:rPr>
        <w:t xml:space="preserve"> and </w:t>
      </w:r>
      <w:proofErr w:type="spellStart"/>
      <w:r w:rsidRPr="00FA2529">
        <w:rPr>
          <w:rFonts w:ascii="Arial" w:hAnsi="Arial" w:cs="Arial"/>
          <w:sz w:val="22"/>
          <w:szCs w:val="22"/>
          <w:shd w:val="clear" w:color="auto" w:fill="FFFFFF"/>
        </w:rPr>
        <w:t>Boulanouar</w:t>
      </w:r>
      <w:proofErr w:type="spellEnd"/>
      <w:r w:rsidRPr="00FA2529">
        <w:rPr>
          <w:rFonts w:ascii="Arial" w:hAnsi="Arial" w:cs="Arial"/>
          <w:sz w:val="22"/>
          <w:szCs w:val="22"/>
          <w:shd w:val="clear" w:color="auto" w:fill="FFFFFF"/>
        </w:rPr>
        <w:t>, 2016</w:t>
      </w:r>
      <w:r w:rsidRPr="00FA2529">
        <w:rPr>
          <w:rFonts w:ascii="Arial" w:hAnsi="Arial" w:cs="Arial"/>
          <w:sz w:val="22"/>
          <w:szCs w:val="22"/>
        </w:rPr>
        <w:t xml:space="preserve">). The critiques of the theory usually refer to the lack of empirical evidence and cultural considerations made by Maslow. However, the child’s needs being central to the theory is unarguably important in education so whilst the theory itself can be critiqued, the basis cannot. The </w:t>
      </w:r>
      <w:proofErr w:type="spellStart"/>
      <w:r w:rsidRPr="00FA2529">
        <w:rPr>
          <w:rFonts w:ascii="Arial" w:hAnsi="Arial" w:cs="Arial"/>
          <w:sz w:val="22"/>
          <w:szCs w:val="22"/>
        </w:rPr>
        <w:t>CfW</w:t>
      </w:r>
      <w:proofErr w:type="spellEnd"/>
      <w:r w:rsidRPr="00FA2529">
        <w:rPr>
          <w:rFonts w:ascii="Arial" w:hAnsi="Arial" w:cs="Arial"/>
          <w:sz w:val="22"/>
          <w:szCs w:val="22"/>
        </w:rPr>
        <w:t xml:space="preserve"> and its learner-</w:t>
      </w:r>
      <w:proofErr w:type="spellStart"/>
      <w:r w:rsidRPr="00FA2529">
        <w:rPr>
          <w:rFonts w:ascii="Arial" w:hAnsi="Arial" w:cs="Arial"/>
          <w:sz w:val="22"/>
          <w:szCs w:val="22"/>
        </w:rPr>
        <w:t>centred</w:t>
      </w:r>
      <w:proofErr w:type="spellEnd"/>
      <w:r w:rsidRPr="00FA2529">
        <w:rPr>
          <w:rFonts w:ascii="Arial" w:hAnsi="Arial" w:cs="Arial"/>
          <w:sz w:val="22"/>
          <w:szCs w:val="22"/>
        </w:rPr>
        <w:t xml:space="preserve"> view of education is similarly linked to the humanistic learning theory in this sense. </w:t>
      </w:r>
    </w:p>
    <w:p w14:paraId="11D880EC" w14:textId="77777777" w:rsidR="00552C97" w:rsidRPr="00FA2529" w:rsidRDefault="00552C97" w:rsidP="005F0832">
      <w:pPr>
        <w:spacing w:line="360" w:lineRule="auto"/>
        <w:rPr>
          <w:rFonts w:ascii="Arial" w:hAnsi="Arial" w:cs="Arial"/>
          <w:sz w:val="22"/>
          <w:szCs w:val="22"/>
        </w:rPr>
      </w:pPr>
    </w:p>
    <w:p w14:paraId="39D6878C"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 </w:t>
      </w:r>
      <w:proofErr w:type="spellStart"/>
      <w:r w:rsidRPr="00FA2529">
        <w:rPr>
          <w:rFonts w:ascii="Arial" w:hAnsi="Arial" w:cs="Arial"/>
          <w:sz w:val="22"/>
          <w:szCs w:val="22"/>
        </w:rPr>
        <w:t>Taras</w:t>
      </w:r>
      <w:proofErr w:type="spellEnd"/>
      <w:r w:rsidRPr="00FA2529">
        <w:rPr>
          <w:rFonts w:ascii="Arial" w:hAnsi="Arial" w:cs="Arial"/>
          <w:sz w:val="22"/>
          <w:szCs w:val="22"/>
        </w:rPr>
        <w:t xml:space="preserve"> (2010) also states that there is a lack of clarity around the definition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Bennett (2011) supports </w:t>
      </w:r>
      <w:proofErr w:type="spellStart"/>
      <w:r w:rsidRPr="00FA2529">
        <w:rPr>
          <w:rFonts w:ascii="Arial" w:hAnsi="Arial" w:cs="Arial"/>
          <w:sz w:val="22"/>
          <w:szCs w:val="22"/>
        </w:rPr>
        <w:t>Taras</w:t>
      </w:r>
      <w:proofErr w:type="spellEnd"/>
      <w:r w:rsidRPr="00FA2529">
        <w:rPr>
          <w:rFonts w:ascii="Arial" w:hAnsi="Arial" w:cs="Arial"/>
          <w:sz w:val="22"/>
          <w:szCs w:val="22"/>
        </w:rPr>
        <w:t xml:space="preserve">’ suggestion by further discussing the definitional issue surrounding </w:t>
      </w:r>
      <w:proofErr w:type="spellStart"/>
      <w:r w:rsidRPr="00FA2529">
        <w:rPr>
          <w:rFonts w:ascii="Arial" w:hAnsi="Arial" w:cs="Arial"/>
          <w:sz w:val="22"/>
          <w:szCs w:val="22"/>
        </w:rPr>
        <w:t>AfL</w:t>
      </w:r>
      <w:proofErr w:type="spellEnd"/>
      <w:r w:rsidRPr="00FA2529">
        <w:rPr>
          <w:rFonts w:ascii="Arial" w:hAnsi="Arial" w:cs="Arial"/>
          <w:sz w:val="22"/>
          <w:szCs w:val="22"/>
        </w:rPr>
        <w:t xml:space="preserve">. Whilst I do agree with </w:t>
      </w:r>
      <w:proofErr w:type="spellStart"/>
      <w:r w:rsidRPr="00FA2529">
        <w:rPr>
          <w:rFonts w:ascii="Arial" w:hAnsi="Arial" w:cs="Arial"/>
          <w:sz w:val="22"/>
          <w:szCs w:val="22"/>
        </w:rPr>
        <w:t>Taras</w:t>
      </w:r>
      <w:proofErr w:type="spellEnd"/>
      <w:r w:rsidRPr="00FA2529">
        <w:rPr>
          <w:rFonts w:ascii="Arial" w:hAnsi="Arial" w:cs="Arial"/>
          <w:sz w:val="22"/>
          <w:szCs w:val="22"/>
        </w:rPr>
        <w:t xml:space="preserve"> (2010) and Bennett (2011) to some extent, from further personal research I do believe that the basis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(to improve pupil progression) is clear and consistent across a range of definitions (</w:t>
      </w:r>
      <w:proofErr w:type="spellStart"/>
      <w:r w:rsidRPr="00FA2529">
        <w:rPr>
          <w:rFonts w:ascii="Arial" w:hAnsi="Arial" w:cs="Arial"/>
          <w:sz w:val="22"/>
          <w:szCs w:val="22"/>
        </w:rPr>
        <w:t>Broadfoot</w:t>
      </w:r>
      <w:proofErr w:type="spellEnd"/>
      <w:r w:rsidRPr="00FA2529">
        <w:rPr>
          <w:rFonts w:ascii="Arial" w:hAnsi="Arial" w:cs="Arial"/>
          <w:sz w:val="22"/>
          <w:szCs w:val="22"/>
        </w:rPr>
        <w:t xml:space="preserve"> et al., 2002; </w:t>
      </w:r>
      <w:proofErr w:type="spellStart"/>
      <w:r w:rsidRPr="00FA2529">
        <w:rPr>
          <w:rFonts w:ascii="Arial" w:hAnsi="Arial" w:cs="Arial"/>
          <w:sz w:val="22"/>
          <w:szCs w:val="22"/>
        </w:rPr>
        <w:t>Klenowski</w:t>
      </w:r>
      <w:proofErr w:type="spellEnd"/>
      <w:r w:rsidRPr="00FA2529">
        <w:rPr>
          <w:rFonts w:ascii="Arial" w:hAnsi="Arial" w:cs="Arial"/>
          <w:sz w:val="22"/>
          <w:szCs w:val="22"/>
        </w:rPr>
        <w:t xml:space="preserve">, 2009;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2011). As previously mentioned, the terms ‘formative assessment’ and ‘</w:t>
      </w:r>
      <w:proofErr w:type="spellStart"/>
      <w:r w:rsidRPr="00FA2529">
        <w:rPr>
          <w:rFonts w:ascii="Arial" w:hAnsi="Arial" w:cs="Arial"/>
          <w:sz w:val="22"/>
          <w:szCs w:val="22"/>
        </w:rPr>
        <w:t>AfL</w:t>
      </w:r>
      <w:proofErr w:type="spellEnd"/>
      <w:r w:rsidRPr="00FA2529">
        <w:rPr>
          <w:rFonts w:ascii="Arial" w:hAnsi="Arial" w:cs="Arial"/>
          <w:sz w:val="22"/>
          <w:szCs w:val="22"/>
        </w:rPr>
        <w:t xml:space="preserve">’ are occasionally used interchangeably. Bennett (2011) highlights issues associated with this stating it may worsen the definitional issue. In this case, I agree with Bennett’s critique of interchanging definitions as formative assessment encompasses more elements than </w:t>
      </w:r>
      <w:proofErr w:type="spellStart"/>
      <w:r w:rsidRPr="00FA2529">
        <w:rPr>
          <w:rFonts w:ascii="Arial" w:hAnsi="Arial" w:cs="Arial"/>
          <w:sz w:val="22"/>
          <w:szCs w:val="22"/>
        </w:rPr>
        <w:t>AfL</w:t>
      </w:r>
      <w:proofErr w:type="spellEnd"/>
      <w:r w:rsidRPr="00FA2529">
        <w:rPr>
          <w:rFonts w:ascii="Arial" w:hAnsi="Arial" w:cs="Arial"/>
          <w:sz w:val="22"/>
          <w:szCs w:val="22"/>
        </w:rPr>
        <w:t xml:space="preserve"> alone. Homework, for example, is another type of formative assessment although disregarded within the four main elements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(Northern Illinois University Centre for Innovative Teaching and Learning, 2012). </w:t>
      </w:r>
    </w:p>
    <w:p w14:paraId="761AC6F8" w14:textId="77777777" w:rsidR="00552C97" w:rsidRPr="00FA2529" w:rsidRDefault="00552C97" w:rsidP="005F0832">
      <w:pPr>
        <w:spacing w:line="360" w:lineRule="auto"/>
        <w:rPr>
          <w:rFonts w:ascii="Arial" w:hAnsi="Arial" w:cs="Arial"/>
          <w:sz w:val="22"/>
          <w:szCs w:val="22"/>
        </w:rPr>
      </w:pPr>
    </w:p>
    <w:p w14:paraId="7C501260" w14:textId="77777777" w:rsidR="00552C97" w:rsidRPr="00FA2529" w:rsidRDefault="00552C97" w:rsidP="005F0832">
      <w:pPr>
        <w:spacing w:line="360" w:lineRule="auto"/>
        <w:rPr>
          <w:rFonts w:ascii="Arial" w:hAnsi="Arial" w:cs="Arial"/>
          <w:sz w:val="22"/>
          <w:szCs w:val="22"/>
        </w:rPr>
      </w:pPr>
      <w:proofErr w:type="spellStart"/>
      <w:r w:rsidRPr="00FA2529">
        <w:rPr>
          <w:rFonts w:ascii="Arial" w:hAnsi="Arial" w:cs="Arial"/>
          <w:sz w:val="22"/>
          <w:szCs w:val="22"/>
        </w:rPr>
        <w:lastRenderedPageBreak/>
        <w:t>Estyn</w:t>
      </w:r>
      <w:proofErr w:type="spellEnd"/>
      <w:r w:rsidRPr="00FA2529">
        <w:rPr>
          <w:rFonts w:ascii="Arial" w:hAnsi="Arial" w:cs="Arial"/>
          <w:sz w:val="22"/>
          <w:szCs w:val="22"/>
        </w:rPr>
        <w:t xml:space="preserve"> (2018) state that the processes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have a significant impact on learning outcomes with pupils learning at almost double the rate. This further substantiates the original claims of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who also suggested that the rate of learning is doubled </w:t>
      </w:r>
      <w:proofErr w:type="gramStart"/>
      <w:r w:rsidRPr="00FA2529">
        <w:rPr>
          <w:rFonts w:ascii="Arial" w:hAnsi="Arial" w:cs="Arial"/>
          <w:sz w:val="22"/>
          <w:szCs w:val="22"/>
        </w:rPr>
        <w:t>through the use of</w:t>
      </w:r>
      <w:proofErr w:type="gramEnd"/>
      <w:r w:rsidRPr="00FA2529">
        <w:rPr>
          <w:rFonts w:ascii="Arial" w:hAnsi="Arial" w:cs="Arial"/>
          <w:sz w:val="22"/>
          <w:szCs w:val="22"/>
        </w:rPr>
        <w:t xml:space="preserve"> </w:t>
      </w:r>
      <w:proofErr w:type="spellStart"/>
      <w:r w:rsidRPr="00FA2529">
        <w:rPr>
          <w:rFonts w:ascii="Arial" w:hAnsi="Arial" w:cs="Arial"/>
          <w:sz w:val="22"/>
          <w:szCs w:val="22"/>
        </w:rPr>
        <w:t>AfL</w:t>
      </w:r>
      <w:proofErr w:type="spellEnd"/>
      <w:r w:rsidRPr="00FA2529">
        <w:rPr>
          <w:rFonts w:ascii="Arial" w:hAnsi="Arial" w:cs="Arial"/>
          <w:sz w:val="22"/>
          <w:szCs w:val="22"/>
        </w:rPr>
        <w:t xml:space="preserve">. Hattie (2009) states that in his synthesis of possible influences on achievement, feedback was among most influential across 134 meta-analyses. This would suggest that the claims of </w:t>
      </w:r>
      <w:proofErr w:type="spellStart"/>
      <w:r w:rsidRPr="00FA2529">
        <w:rPr>
          <w:rFonts w:ascii="Arial" w:hAnsi="Arial" w:cs="Arial"/>
          <w:sz w:val="22"/>
          <w:szCs w:val="22"/>
        </w:rPr>
        <w:t>Estyn</w:t>
      </w:r>
      <w:proofErr w:type="spellEnd"/>
      <w:r w:rsidRPr="00FA2529">
        <w:rPr>
          <w:rFonts w:ascii="Arial" w:hAnsi="Arial" w:cs="Arial"/>
          <w:sz w:val="22"/>
          <w:szCs w:val="22"/>
        </w:rPr>
        <w:t xml:space="preserve"> (2018) and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ring true. </w:t>
      </w:r>
    </w:p>
    <w:p w14:paraId="26DDD780" w14:textId="77777777" w:rsidR="00552C97" w:rsidRPr="00FA2529" w:rsidRDefault="00552C97" w:rsidP="005F0832">
      <w:pPr>
        <w:spacing w:line="360" w:lineRule="auto"/>
        <w:rPr>
          <w:rFonts w:ascii="Arial" w:hAnsi="Arial" w:cs="Arial"/>
          <w:sz w:val="22"/>
          <w:szCs w:val="22"/>
        </w:rPr>
      </w:pPr>
    </w:p>
    <w:p w14:paraId="27A10F43" w14:textId="77777777" w:rsidR="00552C97" w:rsidRPr="00FA2529" w:rsidRDefault="00552C97" w:rsidP="005F0832">
      <w:pPr>
        <w:spacing w:line="360" w:lineRule="auto"/>
        <w:rPr>
          <w:rFonts w:ascii="Arial" w:hAnsi="Arial" w:cs="Arial"/>
          <w:b/>
          <w:bCs/>
          <w:sz w:val="22"/>
          <w:szCs w:val="22"/>
          <w:u w:val="single"/>
        </w:rPr>
      </w:pPr>
      <w:r w:rsidRPr="00FA2529">
        <w:rPr>
          <w:rFonts w:ascii="Arial" w:hAnsi="Arial" w:cs="Arial"/>
          <w:b/>
          <w:bCs/>
          <w:sz w:val="22"/>
          <w:szCs w:val="22"/>
          <w:u w:val="single"/>
        </w:rPr>
        <w:t>Questioning</w:t>
      </w:r>
    </w:p>
    <w:p w14:paraId="68D334EF"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During my PTE, questioning was an </w:t>
      </w:r>
      <w:proofErr w:type="spellStart"/>
      <w:r w:rsidRPr="00FA2529">
        <w:rPr>
          <w:rFonts w:ascii="Arial" w:hAnsi="Arial" w:cs="Arial"/>
          <w:sz w:val="22"/>
          <w:szCs w:val="22"/>
        </w:rPr>
        <w:t>AfL</w:t>
      </w:r>
      <w:proofErr w:type="spellEnd"/>
      <w:r w:rsidRPr="00FA2529">
        <w:rPr>
          <w:rFonts w:ascii="Arial" w:hAnsi="Arial" w:cs="Arial"/>
          <w:sz w:val="22"/>
          <w:szCs w:val="22"/>
        </w:rPr>
        <w:t xml:space="preserve"> strategy I used regularly to understand where the pupils were currently at in their learning, a key component of </w:t>
      </w:r>
      <w:proofErr w:type="spellStart"/>
      <w:r w:rsidRPr="00FA2529">
        <w:rPr>
          <w:rFonts w:ascii="Arial" w:hAnsi="Arial" w:cs="Arial"/>
          <w:sz w:val="22"/>
          <w:szCs w:val="22"/>
        </w:rPr>
        <w:t>AfL</w:t>
      </w:r>
      <w:proofErr w:type="spellEnd"/>
      <w:r w:rsidRPr="00FA2529">
        <w:rPr>
          <w:rFonts w:ascii="Arial" w:hAnsi="Arial" w:cs="Arial"/>
          <w:sz w:val="22"/>
          <w:szCs w:val="22"/>
        </w:rPr>
        <w:t xml:space="preserve"> (</w:t>
      </w:r>
      <w:proofErr w:type="spellStart"/>
      <w:r w:rsidRPr="00FA2529">
        <w:rPr>
          <w:rFonts w:ascii="Arial" w:hAnsi="Arial" w:cs="Arial"/>
          <w:sz w:val="22"/>
          <w:szCs w:val="22"/>
        </w:rPr>
        <w:t>Broadfoot</w:t>
      </w:r>
      <w:proofErr w:type="spellEnd"/>
      <w:r w:rsidRPr="00FA2529">
        <w:rPr>
          <w:rFonts w:ascii="Arial" w:hAnsi="Arial" w:cs="Arial"/>
          <w:sz w:val="22"/>
          <w:szCs w:val="22"/>
        </w:rPr>
        <w:t xml:space="preserve"> et al., 2002). </w:t>
      </w:r>
    </w:p>
    <w:p w14:paraId="09A2AC7D"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Discussions within a classroom can encourage a collaborative culture (Marshall and Drummond, 2007). Within their study, </w:t>
      </w:r>
      <w:proofErr w:type="gramStart"/>
      <w:r w:rsidRPr="00FA2529">
        <w:rPr>
          <w:rFonts w:ascii="Arial" w:hAnsi="Arial" w:cs="Arial"/>
          <w:sz w:val="22"/>
          <w:szCs w:val="22"/>
        </w:rPr>
        <w:t>Marshall</w:t>
      </w:r>
      <w:proofErr w:type="gramEnd"/>
      <w:r w:rsidRPr="00FA2529">
        <w:rPr>
          <w:rFonts w:ascii="Arial" w:hAnsi="Arial" w:cs="Arial"/>
          <w:sz w:val="22"/>
          <w:szCs w:val="22"/>
        </w:rPr>
        <w:t xml:space="preserve"> and Drummond (2007) concluded that talking at pupils with little questioning suggests that there is little learning happening. </w:t>
      </w:r>
      <w:proofErr w:type="spellStart"/>
      <w:r w:rsidRPr="00FA2529">
        <w:rPr>
          <w:rFonts w:ascii="Arial" w:hAnsi="Arial" w:cs="Arial"/>
          <w:sz w:val="22"/>
          <w:szCs w:val="22"/>
        </w:rPr>
        <w:t>Sedova</w:t>
      </w:r>
      <w:proofErr w:type="spellEnd"/>
      <w:r w:rsidRPr="00FA2529">
        <w:rPr>
          <w:rFonts w:ascii="Arial" w:hAnsi="Arial" w:cs="Arial"/>
          <w:sz w:val="22"/>
          <w:szCs w:val="22"/>
        </w:rPr>
        <w:t xml:space="preserve"> et al (2019) conducted a study which claimed there is a relationship between pupil participation in classroom discussions and pupil achievement. This further supports the conclusions made in the study conducted by Marshall and Drummond (2007). In their study, </w:t>
      </w:r>
      <w:proofErr w:type="spellStart"/>
      <w:r w:rsidRPr="00FA2529">
        <w:rPr>
          <w:rFonts w:ascii="Arial" w:hAnsi="Arial" w:cs="Arial"/>
          <w:sz w:val="22"/>
          <w:szCs w:val="22"/>
        </w:rPr>
        <w:t>Sedova</w:t>
      </w:r>
      <w:proofErr w:type="spellEnd"/>
      <w:r w:rsidRPr="00FA2529">
        <w:rPr>
          <w:rFonts w:ascii="Arial" w:hAnsi="Arial" w:cs="Arial"/>
          <w:sz w:val="22"/>
          <w:szCs w:val="22"/>
        </w:rPr>
        <w:t xml:space="preserve"> et al (2019) </w:t>
      </w:r>
      <w:proofErr w:type="spellStart"/>
      <w:r w:rsidRPr="00FA2529">
        <w:rPr>
          <w:rFonts w:ascii="Arial" w:hAnsi="Arial" w:cs="Arial"/>
          <w:sz w:val="22"/>
          <w:szCs w:val="22"/>
        </w:rPr>
        <w:t>recognise</w:t>
      </w:r>
      <w:proofErr w:type="spellEnd"/>
      <w:r w:rsidRPr="00FA2529">
        <w:rPr>
          <w:rFonts w:ascii="Arial" w:hAnsi="Arial" w:cs="Arial"/>
          <w:sz w:val="22"/>
          <w:szCs w:val="22"/>
        </w:rPr>
        <w:t xml:space="preserve"> the limitation that the coding was completed by a single coder in real time which can be prone to error. It is also important to consider that this study was undertaken with Czech students so although an important, current piece of literature may not be relevant in South Wales. </w:t>
      </w:r>
    </w:p>
    <w:p w14:paraId="40BFEDF5" w14:textId="77777777" w:rsidR="00552C97" w:rsidRPr="00FA2529" w:rsidRDefault="00552C97" w:rsidP="005F0832">
      <w:pPr>
        <w:spacing w:line="360" w:lineRule="auto"/>
        <w:rPr>
          <w:rFonts w:ascii="Arial" w:hAnsi="Arial" w:cs="Arial"/>
          <w:sz w:val="22"/>
          <w:szCs w:val="22"/>
        </w:rPr>
      </w:pPr>
    </w:p>
    <w:p w14:paraId="1E18B2D6" w14:textId="77777777" w:rsidR="00552C97" w:rsidRPr="00FA2529" w:rsidRDefault="00552C97" w:rsidP="005F0832">
      <w:pPr>
        <w:spacing w:line="360" w:lineRule="auto"/>
        <w:rPr>
          <w:rFonts w:ascii="Arial" w:hAnsi="Arial" w:cs="Arial"/>
          <w:sz w:val="22"/>
          <w:szCs w:val="22"/>
        </w:rPr>
      </w:pPr>
      <w:r w:rsidRPr="00FA2529">
        <w:rPr>
          <w:rFonts w:ascii="Arial" w:hAnsi="Arial" w:cs="Arial"/>
          <w:sz w:val="22"/>
          <w:szCs w:val="22"/>
        </w:rPr>
        <w:t xml:space="preserve">Welsh Assembly Government (2010) suggest that both practitioners and pupils must understand the demands of the questioning </w:t>
      </w:r>
      <w:proofErr w:type="gramStart"/>
      <w:r w:rsidRPr="00FA2529">
        <w:rPr>
          <w:rFonts w:ascii="Arial" w:hAnsi="Arial" w:cs="Arial"/>
          <w:sz w:val="22"/>
          <w:szCs w:val="22"/>
        </w:rPr>
        <w:t>in order to</w:t>
      </w:r>
      <w:proofErr w:type="gramEnd"/>
      <w:r w:rsidRPr="00FA2529">
        <w:rPr>
          <w:rFonts w:ascii="Arial" w:hAnsi="Arial" w:cs="Arial"/>
          <w:sz w:val="22"/>
          <w:szCs w:val="22"/>
        </w:rPr>
        <w:t xml:space="preserve"> gain effective responses. </w:t>
      </w:r>
      <w:proofErr w:type="spellStart"/>
      <w:r w:rsidRPr="00FA2529">
        <w:rPr>
          <w:rFonts w:ascii="Arial" w:hAnsi="Arial" w:cs="Arial"/>
          <w:sz w:val="22"/>
          <w:szCs w:val="22"/>
        </w:rPr>
        <w:t>Es</w:t>
      </w:r>
      <w:r w:rsidRPr="00FA2529">
        <w:rPr>
          <w:rStyle w:val="normaltextrun"/>
          <w:rFonts w:ascii="Arial" w:hAnsi="Arial" w:cs="Arial"/>
          <w:color w:val="000000"/>
          <w:sz w:val="22"/>
          <w:szCs w:val="22"/>
          <w:shd w:val="clear" w:color="auto" w:fill="FFFFFF"/>
        </w:rPr>
        <w:t>tyn</w:t>
      </w:r>
      <w:proofErr w:type="spellEnd"/>
      <w:r w:rsidRPr="00FA2529">
        <w:rPr>
          <w:rStyle w:val="normaltextrun"/>
          <w:rFonts w:ascii="Arial" w:hAnsi="Arial" w:cs="Arial"/>
          <w:color w:val="000000"/>
          <w:sz w:val="22"/>
          <w:szCs w:val="22"/>
          <w:shd w:val="clear" w:color="auto" w:fill="FFFFFF"/>
        </w:rPr>
        <w:t xml:space="preserve"> (2022) implies that the use of questioning as an assessment strategy is effective when used </w:t>
      </w:r>
      <w:proofErr w:type="spellStart"/>
      <w:r w:rsidRPr="00FA2529">
        <w:rPr>
          <w:rStyle w:val="normaltextrun"/>
          <w:rFonts w:ascii="Arial" w:hAnsi="Arial" w:cs="Arial"/>
          <w:color w:val="000000"/>
          <w:sz w:val="22"/>
          <w:szCs w:val="22"/>
          <w:shd w:val="clear" w:color="auto" w:fill="FFFFFF"/>
        </w:rPr>
        <w:t>skilfully</w:t>
      </w:r>
      <w:proofErr w:type="spellEnd"/>
      <w:r w:rsidRPr="00FA2529">
        <w:rPr>
          <w:rStyle w:val="normaltextrun"/>
          <w:rFonts w:ascii="Arial" w:hAnsi="Arial" w:cs="Arial"/>
          <w:color w:val="000000"/>
          <w:sz w:val="22"/>
          <w:szCs w:val="22"/>
          <w:shd w:val="clear" w:color="auto" w:fill="FFFFFF"/>
        </w:rPr>
        <w:t xml:space="preserve"> to assess pupil understanding with the lesson being adjusted as required to suit the needs of the learners.</w:t>
      </w:r>
      <w:r w:rsidRPr="00FA2529">
        <w:rPr>
          <w:rFonts w:ascii="Arial" w:hAnsi="Arial" w:cs="Arial"/>
          <w:sz w:val="22"/>
          <w:szCs w:val="22"/>
        </w:rPr>
        <w:t xml:space="preserve"> Bloom’s taxonomy is a hierarchal pyramid used to aid practitioners in ensuring progression through questioning. Bloom’s taxonomy (</w:t>
      </w:r>
      <w:r>
        <w:rPr>
          <w:rFonts w:ascii="Arial" w:hAnsi="Arial" w:cs="Arial"/>
          <w:sz w:val="22"/>
          <w:szCs w:val="22"/>
        </w:rPr>
        <w:t>Appendix One</w:t>
      </w:r>
      <w:r w:rsidRPr="00FA2529">
        <w:rPr>
          <w:rFonts w:ascii="Arial" w:hAnsi="Arial" w:cs="Arial"/>
          <w:sz w:val="22"/>
          <w:szCs w:val="22"/>
        </w:rPr>
        <w:t xml:space="preserve">) was originally created by Benjamin Bloom in 1956 alongside a group of educational psychologists to </w:t>
      </w:r>
      <w:proofErr w:type="spellStart"/>
      <w:r w:rsidRPr="00FA2529">
        <w:rPr>
          <w:rFonts w:ascii="Arial" w:hAnsi="Arial" w:cs="Arial"/>
          <w:sz w:val="22"/>
          <w:szCs w:val="22"/>
        </w:rPr>
        <w:t>organise</w:t>
      </w:r>
      <w:proofErr w:type="spellEnd"/>
      <w:r w:rsidRPr="00FA2529">
        <w:rPr>
          <w:rFonts w:ascii="Arial" w:hAnsi="Arial" w:cs="Arial"/>
          <w:sz w:val="22"/>
          <w:szCs w:val="22"/>
        </w:rPr>
        <w:t xml:space="preserve"> cognition levels (Delta Kappa Gamma Society International, 2017). However, the taxonomy was further revised in 2001. Despite the revision of the taxonomy, both versions have been subject of criticism within literature. Mohammad, </w:t>
      </w:r>
      <w:proofErr w:type="spellStart"/>
      <w:r w:rsidRPr="00FA2529">
        <w:rPr>
          <w:rFonts w:ascii="Arial" w:hAnsi="Arial" w:cs="Arial"/>
          <w:sz w:val="22"/>
          <w:szCs w:val="22"/>
        </w:rPr>
        <w:t>Soozandehfar</w:t>
      </w:r>
      <w:proofErr w:type="spellEnd"/>
      <w:r w:rsidRPr="00FA2529">
        <w:rPr>
          <w:rFonts w:ascii="Arial" w:hAnsi="Arial" w:cs="Arial"/>
          <w:sz w:val="22"/>
          <w:szCs w:val="22"/>
        </w:rPr>
        <w:t xml:space="preserve"> and </w:t>
      </w:r>
      <w:proofErr w:type="spellStart"/>
      <w:r w:rsidRPr="00FA2529">
        <w:rPr>
          <w:rFonts w:ascii="Arial" w:hAnsi="Arial" w:cs="Arial"/>
          <w:sz w:val="22"/>
          <w:szCs w:val="22"/>
        </w:rPr>
        <w:t>Adeli</w:t>
      </w:r>
      <w:proofErr w:type="spellEnd"/>
      <w:r w:rsidRPr="00FA2529">
        <w:rPr>
          <w:rFonts w:ascii="Arial" w:hAnsi="Arial" w:cs="Arial"/>
          <w:sz w:val="22"/>
          <w:szCs w:val="22"/>
        </w:rPr>
        <w:t xml:space="preserve"> (2016) suggest that teaching and learning has evolved since the original taxonomy was published. Due to the hierarchal layout of the taxonomy, it could be assumed that each level must be achieved before moving up (Mohammad, </w:t>
      </w:r>
      <w:proofErr w:type="spellStart"/>
      <w:r w:rsidRPr="00FA2529">
        <w:rPr>
          <w:rFonts w:ascii="Arial" w:hAnsi="Arial" w:cs="Arial"/>
          <w:sz w:val="22"/>
          <w:szCs w:val="22"/>
        </w:rPr>
        <w:t>Soozandehfar</w:t>
      </w:r>
      <w:proofErr w:type="spellEnd"/>
      <w:r w:rsidRPr="00FA2529">
        <w:rPr>
          <w:rFonts w:ascii="Arial" w:hAnsi="Arial" w:cs="Arial"/>
          <w:sz w:val="22"/>
          <w:szCs w:val="22"/>
        </w:rPr>
        <w:t xml:space="preserve"> and </w:t>
      </w:r>
      <w:proofErr w:type="spellStart"/>
      <w:r w:rsidRPr="00FA2529">
        <w:rPr>
          <w:rFonts w:ascii="Arial" w:hAnsi="Arial" w:cs="Arial"/>
          <w:sz w:val="22"/>
          <w:szCs w:val="22"/>
        </w:rPr>
        <w:t>Adeli</w:t>
      </w:r>
      <w:proofErr w:type="spellEnd"/>
      <w:r w:rsidRPr="00FA2529">
        <w:rPr>
          <w:rFonts w:ascii="Arial" w:hAnsi="Arial" w:cs="Arial"/>
          <w:sz w:val="22"/>
          <w:szCs w:val="22"/>
        </w:rPr>
        <w:t xml:space="preserve">, 2016). Although used as an aid to practitioners, it is possible that the hierarchy could cause confusion therefore resulting in lessened opportunities for progression in the classroom. Welsh Assembly Government (2010) state it is vital that practitioners do not exclude young learners from </w:t>
      </w:r>
      <w:r w:rsidRPr="00FA2529">
        <w:rPr>
          <w:rFonts w:ascii="Arial" w:hAnsi="Arial" w:cs="Arial"/>
          <w:sz w:val="22"/>
          <w:szCs w:val="22"/>
        </w:rPr>
        <w:lastRenderedPageBreak/>
        <w:t xml:space="preserve">accessing questioning further up the hierarchy. During PTE this was an important personal consideration due to the young age of learners in my class. A further criticism of Bloom’s taxonomy highlights that the structure is not supported by literature (Marzano, 2000; Mohammad, </w:t>
      </w:r>
      <w:proofErr w:type="spellStart"/>
      <w:r w:rsidRPr="00FA2529">
        <w:rPr>
          <w:rFonts w:ascii="Arial" w:hAnsi="Arial" w:cs="Arial"/>
          <w:sz w:val="22"/>
          <w:szCs w:val="22"/>
        </w:rPr>
        <w:t>Soozandehfar</w:t>
      </w:r>
      <w:proofErr w:type="spellEnd"/>
      <w:r w:rsidRPr="00FA2529">
        <w:rPr>
          <w:rFonts w:ascii="Arial" w:hAnsi="Arial" w:cs="Arial"/>
          <w:sz w:val="22"/>
          <w:szCs w:val="22"/>
        </w:rPr>
        <w:t xml:space="preserve"> and </w:t>
      </w:r>
      <w:proofErr w:type="spellStart"/>
      <w:r w:rsidRPr="00FA2529">
        <w:rPr>
          <w:rFonts w:ascii="Arial" w:hAnsi="Arial" w:cs="Arial"/>
          <w:sz w:val="22"/>
          <w:szCs w:val="22"/>
        </w:rPr>
        <w:t>Adeli</w:t>
      </w:r>
      <w:proofErr w:type="spellEnd"/>
      <w:r w:rsidRPr="00FA2529">
        <w:rPr>
          <w:rFonts w:ascii="Arial" w:hAnsi="Arial" w:cs="Arial"/>
          <w:sz w:val="22"/>
          <w:szCs w:val="22"/>
        </w:rPr>
        <w:t xml:space="preserve">, 2016). </w:t>
      </w:r>
      <w:r w:rsidRPr="004A7131">
        <w:rPr>
          <w:rFonts w:ascii="Arial" w:hAnsi="Arial" w:cs="Arial"/>
          <w:sz w:val="22"/>
          <w:szCs w:val="22"/>
        </w:rPr>
        <w:t>It should be considered however that research within education has grown substantially since the original taxonomy was published</w:t>
      </w:r>
      <w:r>
        <w:rPr>
          <w:rFonts w:ascii="Arial" w:hAnsi="Arial" w:cs="Arial"/>
          <w:sz w:val="22"/>
          <w:szCs w:val="22"/>
        </w:rPr>
        <w:t xml:space="preserve"> therefore Bloom (1956) did not have the same access to literature as his critics. </w:t>
      </w:r>
    </w:p>
    <w:p w14:paraId="3491859F" w14:textId="77777777" w:rsidR="00552C97" w:rsidRPr="00FA2529" w:rsidRDefault="00552C97" w:rsidP="005F0832">
      <w:pPr>
        <w:spacing w:line="360" w:lineRule="auto"/>
        <w:rPr>
          <w:rFonts w:ascii="Arial" w:hAnsi="Arial" w:cs="Arial"/>
          <w:sz w:val="22"/>
          <w:szCs w:val="22"/>
        </w:rPr>
      </w:pPr>
    </w:p>
    <w:p w14:paraId="4DC00259" w14:textId="77777777" w:rsidR="00552C97" w:rsidRPr="00FA2529" w:rsidRDefault="00552C97" w:rsidP="005F0832">
      <w:pPr>
        <w:spacing w:line="360" w:lineRule="auto"/>
        <w:rPr>
          <w:rStyle w:val="normaltextrun"/>
          <w:rFonts w:ascii="Arial" w:hAnsi="Arial" w:cs="Arial"/>
          <w:color w:val="000000"/>
          <w:sz w:val="22"/>
          <w:szCs w:val="22"/>
          <w:shd w:val="clear" w:color="auto" w:fill="FFFFFF"/>
        </w:rPr>
      </w:pPr>
      <w:r w:rsidRPr="00FA2529">
        <w:rPr>
          <w:rFonts w:ascii="Arial" w:hAnsi="Arial" w:cs="Arial"/>
          <w:sz w:val="22"/>
          <w:szCs w:val="22"/>
        </w:rPr>
        <w:t xml:space="preserve">Walsh and </w:t>
      </w:r>
      <w:proofErr w:type="spellStart"/>
      <w:r w:rsidRPr="00FA2529">
        <w:rPr>
          <w:rFonts w:ascii="Arial" w:hAnsi="Arial" w:cs="Arial"/>
          <w:sz w:val="22"/>
          <w:szCs w:val="22"/>
        </w:rPr>
        <w:t>Sattes</w:t>
      </w:r>
      <w:proofErr w:type="spellEnd"/>
      <w:r w:rsidRPr="00FA2529">
        <w:rPr>
          <w:rFonts w:ascii="Arial" w:hAnsi="Arial" w:cs="Arial"/>
          <w:sz w:val="22"/>
          <w:szCs w:val="22"/>
        </w:rPr>
        <w:t xml:space="preserve"> (2017) imply that questioning can be used as a way of moving learning forward through promoting interest and engagement within a topic. On the other hand, </w:t>
      </w:r>
      <w:r w:rsidRPr="00FA2529">
        <w:rPr>
          <w:rStyle w:val="normaltextrun"/>
          <w:rFonts w:ascii="Arial" w:hAnsi="Arial" w:cs="Arial"/>
          <w:color w:val="000000"/>
          <w:sz w:val="22"/>
          <w:szCs w:val="22"/>
          <w:shd w:val="clear" w:color="auto" w:fill="FFFFFF"/>
        </w:rPr>
        <w:t xml:space="preserve">Gall (1981) regards questioning as a less effective alternative to direct instruction. However, this literature could be considered outdated. More recently, </w:t>
      </w:r>
      <w:proofErr w:type="spellStart"/>
      <w:r w:rsidRPr="00FA2529">
        <w:rPr>
          <w:rStyle w:val="normaltextrun"/>
          <w:rFonts w:ascii="Arial" w:hAnsi="Arial" w:cs="Arial"/>
          <w:color w:val="000000"/>
          <w:sz w:val="22"/>
          <w:szCs w:val="22"/>
          <w:shd w:val="clear" w:color="auto" w:fill="FFFFFF"/>
        </w:rPr>
        <w:t>Shanmugavelu</w:t>
      </w:r>
      <w:proofErr w:type="spellEnd"/>
      <w:r w:rsidRPr="00FA2529">
        <w:rPr>
          <w:rStyle w:val="normaltextrun"/>
          <w:rFonts w:ascii="Arial" w:hAnsi="Arial" w:cs="Arial"/>
          <w:color w:val="000000"/>
          <w:sz w:val="22"/>
          <w:szCs w:val="22"/>
          <w:shd w:val="clear" w:color="auto" w:fill="FFFFFF"/>
        </w:rPr>
        <w:t xml:space="preserve"> et al (2020) suggest that high quality questioning is key in s</w:t>
      </w:r>
      <w:r>
        <w:rPr>
          <w:rStyle w:val="normaltextrun"/>
          <w:rFonts w:ascii="Arial" w:hAnsi="Arial" w:cs="Arial"/>
          <w:color w:val="000000"/>
          <w:sz w:val="22"/>
          <w:szCs w:val="22"/>
          <w:shd w:val="clear" w:color="auto" w:fill="FFFFFF"/>
        </w:rPr>
        <w:t>upporting</w:t>
      </w:r>
      <w:r w:rsidRPr="00FA2529">
        <w:rPr>
          <w:rStyle w:val="normaltextrun"/>
          <w:rFonts w:ascii="Arial" w:hAnsi="Arial" w:cs="Arial"/>
          <w:color w:val="000000"/>
          <w:sz w:val="22"/>
          <w:szCs w:val="22"/>
          <w:shd w:val="clear" w:color="auto" w:fill="FFFFFF"/>
        </w:rPr>
        <w:t xml:space="preserve"> pupils to achieve higher levels of thinking. It is important to regard that evidence of questioning being effective in aiding pupil progression is when the questioning is of high quality (Black and </w:t>
      </w:r>
      <w:proofErr w:type="spellStart"/>
      <w:r w:rsidRPr="00FA2529">
        <w:rPr>
          <w:rStyle w:val="normaltextrun"/>
          <w:rFonts w:ascii="Arial" w:hAnsi="Arial" w:cs="Arial"/>
          <w:color w:val="000000"/>
          <w:sz w:val="22"/>
          <w:szCs w:val="22"/>
          <w:shd w:val="clear" w:color="auto" w:fill="FFFFFF"/>
        </w:rPr>
        <w:t>Wiliam</w:t>
      </w:r>
      <w:proofErr w:type="spellEnd"/>
      <w:r w:rsidRPr="00FA2529">
        <w:rPr>
          <w:rStyle w:val="normaltextrun"/>
          <w:rFonts w:ascii="Arial" w:hAnsi="Arial" w:cs="Arial"/>
          <w:color w:val="000000"/>
          <w:sz w:val="22"/>
          <w:szCs w:val="22"/>
          <w:shd w:val="clear" w:color="auto" w:fill="FFFFFF"/>
        </w:rPr>
        <w:t xml:space="preserve">, 1998; </w:t>
      </w:r>
      <w:proofErr w:type="spellStart"/>
      <w:r w:rsidRPr="00FA2529">
        <w:rPr>
          <w:rStyle w:val="normaltextrun"/>
          <w:rFonts w:ascii="Arial" w:hAnsi="Arial" w:cs="Arial"/>
          <w:color w:val="000000"/>
          <w:sz w:val="22"/>
          <w:szCs w:val="22"/>
          <w:shd w:val="clear" w:color="auto" w:fill="FFFFFF"/>
        </w:rPr>
        <w:t>Shanmugavelu</w:t>
      </w:r>
      <w:proofErr w:type="spellEnd"/>
      <w:r w:rsidRPr="00FA2529">
        <w:rPr>
          <w:rStyle w:val="normaltextrun"/>
          <w:rFonts w:ascii="Arial" w:hAnsi="Arial" w:cs="Arial"/>
          <w:color w:val="000000"/>
          <w:sz w:val="22"/>
          <w:szCs w:val="22"/>
          <w:shd w:val="clear" w:color="auto" w:fill="FFFFFF"/>
        </w:rPr>
        <w:t xml:space="preserve"> et al., 2020; </w:t>
      </w:r>
      <w:proofErr w:type="spellStart"/>
      <w:r w:rsidRPr="00FA2529">
        <w:rPr>
          <w:rStyle w:val="normaltextrun"/>
          <w:rFonts w:ascii="Arial" w:hAnsi="Arial" w:cs="Arial"/>
          <w:color w:val="000000"/>
          <w:sz w:val="22"/>
          <w:szCs w:val="22"/>
          <w:shd w:val="clear" w:color="auto" w:fill="FFFFFF"/>
        </w:rPr>
        <w:t>Estyn</w:t>
      </w:r>
      <w:proofErr w:type="spellEnd"/>
      <w:r w:rsidRPr="00FA2529">
        <w:rPr>
          <w:rStyle w:val="normaltextrun"/>
          <w:rFonts w:ascii="Arial" w:hAnsi="Arial" w:cs="Arial"/>
          <w:color w:val="000000"/>
          <w:sz w:val="22"/>
          <w:szCs w:val="22"/>
          <w:shd w:val="clear" w:color="auto" w:fill="FFFFFF"/>
        </w:rPr>
        <w:t xml:space="preserve">, 2022). </w:t>
      </w:r>
      <w:r>
        <w:rPr>
          <w:rStyle w:val="normaltextrun"/>
          <w:rFonts w:ascii="Arial" w:hAnsi="Arial" w:cs="Arial"/>
          <w:color w:val="000000"/>
          <w:sz w:val="22"/>
          <w:szCs w:val="22"/>
          <w:shd w:val="clear" w:color="auto" w:fill="FFFFFF"/>
        </w:rPr>
        <w:t xml:space="preserve">Within my personal practice, questioning was differentiated to suit the understanding of the pupil. As outlined in part one, my questioning to understand where the pupil was at in their learning, informed future planning. Engaging with and implementing </w:t>
      </w:r>
      <w:proofErr w:type="spellStart"/>
      <w:r>
        <w:rPr>
          <w:rStyle w:val="normaltextrun"/>
          <w:rFonts w:ascii="Arial" w:hAnsi="Arial" w:cs="Arial"/>
          <w:color w:val="000000"/>
          <w:sz w:val="22"/>
          <w:szCs w:val="22"/>
          <w:shd w:val="clear" w:color="auto" w:fill="FFFFFF"/>
        </w:rPr>
        <w:t>AfL</w:t>
      </w:r>
      <w:proofErr w:type="spellEnd"/>
      <w:r>
        <w:rPr>
          <w:rStyle w:val="normaltextrun"/>
          <w:rFonts w:ascii="Arial" w:hAnsi="Arial" w:cs="Arial"/>
          <w:color w:val="000000"/>
          <w:sz w:val="22"/>
          <w:szCs w:val="22"/>
          <w:shd w:val="clear" w:color="auto" w:fill="FFFFFF"/>
        </w:rPr>
        <w:t xml:space="preserve"> in this manner allowed me to progress towards meeting the assessment descriptor within the PTSL. </w:t>
      </w:r>
    </w:p>
    <w:p w14:paraId="5A26E526" w14:textId="77777777" w:rsidR="00552C97" w:rsidRPr="00FA2529" w:rsidRDefault="00552C97" w:rsidP="005F0832">
      <w:pPr>
        <w:spacing w:line="360" w:lineRule="auto"/>
        <w:rPr>
          <w:rFonts w:ascii="Arial" w:hAnsi="Arial" w:cs="Arial"/>
          <w:sz w:val="22"/>
          <w:szCs w:val="22"/>
        </w:rPr>
      </w:pPr>
    </w:p>
    <w:p w14:paraId="2131D453" w14:textId="77777777" w:rsidR="00552C97" w:rsidRPr="00FA2529" w:rsidRDefault="00552C97" w:rsidP="005F0832">
      <w:pPr>
        <w:spacing w:line="360" w:lineRule="auto"/>
        <w:rPr>
          <w:rFonts w:ascii="Arial" w:hAnsi="Arial" w:cs="Arial"/>
          <w:b/>
          <w:bCs/>
          <w:sz w:val="22"/>
          <w:szCs w:val="22"/>
          <w:u w:val="single"/>
        </w:rPr>
      </w:pPr>
      <w:r w:rsidRPr="00FA2529">
        <w:rPr>
          <w:rFonts w:ascii="Arial" w:hAnsi="Arial" w:cs="Arial"/>
          <w:b/>
          <w:bCs/>
          <w:sz w:val="22"/>
          <w:szCs w:val="22"/>
          <w:u w:val="single"/>
        </w:rPr>
        <w:t>Peer-assessment</w:t>
      </w:r>
    </w:p>
    <w:p w14:paraId="0FAB2EC0" w14:textId="77777777" w:rsidR="00552C97" w:rsidRDefault="00552C97" w:rsidP="005F0832">
      <w:pPr>
        <w:spacing w:line="360" w:lineRule="auto"/>
        <w:rPr>
          <w:rFonts w:ascii="Arial" w:hAnsi="Arial" w:cs="Arial"/>
          <w:sz w:val="22"/>
          <w:szCs w:val="22"/>
        </w:rPr>
      </w:pPr>
      <w:r w:rsidRPr="00FA2529">
        <w:rPr>
          <w:rFonts w:ascii="Arial" w:hAnsi="Arial" w:cs="Arial"/>
          <w:sz w:val="22"/>
          <w:szCs w:val="22"/>
        </w:rPr>
        <w:t xml:space="preserve">In literature, there are a variety of terms to describe the use of peers to provide feedback within a classroom setting such as peer-assessment or peer feedback (Double, McGrane and </w:t>
      </w:r>
      <w:proofErr w:type="spellStart"/>
      <w:r w:rsidRPr="00FA2529">
        <w:rPr>
          <w:rFonts w:ascii="Arial" w:hAnsi="Arial" w:cs="Arial"/>
          <w:sz w:val="22"/>
          <w:szCs w:val="22"/>
        </w:rPr>
        <w:t>Hopfenbeck</w:t>
      </w:r>
      <w:proofErr w:type="spellEnd"/>
      <w:r w:rsidRPr="00FA2529">
        <w:rPr>
          <w:rFonts w:ascii="Arial" w:hAnsi="Arial" w:cs="Arial"/>
          <w:sz w:val="22"/>
          <w:szCs w:val="22"/>
        </w:rPr>
        <w:t>, 2020). Within this assignment, the term peer-assessment is used, defined as</w:t>
      </w:r>
      <w:r>
        <w:rPr>
          <w:rFonts w:ascii="Arial" w:hAnsi="Arial" w:cs="Arial"/>
          <w:sz w:val="22"/>
          <w:szCs w:val="22"/>
        </w:rPr>
        <w:t xml:space="preserve"> a</w:t>
      </w:r>
      <w:r w:rsidRPr="00FA2529">
        <w:rPr>
          <w:rFonts w:ascii="Arial" w:hAnsi="Arial" w:cs="Arial"/>
          <w:sz w:val="22"/>
          <w:szCs w:val="22"/>
        </w:rPr>
        <w:t xml:space="preserve"> method of pupils assessing or being assessed by their peers (Topping, 2009). Double, McGrane and </w:t>
      </w:r>
      <w:proofErr w:type="spellStart"/>
      <w:r w:rsidRPr="00FA2529">
        <w:rPr>
          <w:rFonts w:ascii="Arial" w:hAnsi="Arial" w:cs="Arial"/>
          <w:sz w:val="22"/>
          <w:szCs w:val="22"/>
        </w:rPr>
        <w:t>Hopfenbeck</w:t>
      </w:r>
      <w:proofErr w:type="spellEnd"/>
      <w:r w:rsidRPr="00FA2529">
        <w:rPr>
          <w:rFonts w:ascii="Arial" w:hAnsi="Arial" w:cs="Arial"/>
          <w:sz w:val="22"/>
          <w:szCs w:val="22"/>
        </w:rPr>
        <w:t xml:space="preserve"> (2020) regard peer-assessment as an effective method in delivering feedback to pupils. This supports previous claims by various writers such as Black and </w:t>
      </w:r>
      <w:proofErr w:type="spellStart"/>
      <w:r w:rsidRPr="00FA2529">
        <w:rPr>
          <w:rFonts w:ascii="Arial" w:hAnsi="Arial" w:cs="Arial"/>
          <w:sz w:val="22"/>
          <w:szCs w:val="22"/>
        </w:rPr>
        <w:t>Wiliam</w:t>
      </w:r>
      <w:proofErr w:type="spellEnd"/>
      <w:r w:rsidRPr="00FA2529">
        <w:rPr>
          <w:rFonts w:ascii="Arial" w:hAnsi="Arial" w:cs="Arial"/>
          <w:sz w:val="22"/>
          <w:szCs w:val="22"/>
        </w:rPr>
        <w:t xml:space="preserve"> (1998) and Topping (2009) regarding the efficacy of peer-assessment as a method of formative assessment. Building upon these reviews of peer-assessment, Double, McGrane and </w:t>
      </w:r>
      <w:proofErr w:type="spellStart"/>
      <w:r w:rsidRPr="00FA2529">
        <w:rPr>
          <w:rFonts w:ascii="Arial" w:hAnsi="Arial" w:cs="Arial"/>
          <w:sz w:val="22"/>
          <w:szCs w:val="22"/>
        </w:rPr>
        <w:t>Hopfenbeck</w:t>
      </w:r>
      <w:proofErr w:type="spellEnd"/>
      <w:r w:rsidRPr="00FA2529">
        <w:rPr>
          <w:rFonts w:ascii="Arial" w:hAnsi="Arial" w:cs="Arial"/>
          <w:sz w:val="22"/>
          <w:szCs w:val="22"/>
        </w:rPr>
        <w:t xml:space="preserve"> (2020) conducted a synthesis of available data surrounding peer-assessment due to the sharp increase in research over recent decades. The use of peers to further a pupil’s learning is central to Vygotsky’s (1978) sociocultural theory which outlines the importance of social interaction to facilitate further learning. </w:t>
      </w:r>
      <w:proofErr w:type="gramStart"/>
      <w:r w:rsidRPr="00FA2529">
        <w:rPr>
          <w:rFonts w:ascii="Arial" w:hAnsi="Arial" w:cs="Arial"/>
          <w:sz w:val="22"/>
          <w:szCs w:val="22"/>
        </w:rPr>
        <w:t>Through the use of</w:t>
      </w:r>
      <w:proofErr w:type="gramEnd"/>
      <w:r w:rsidRPr="00FA2529">
        <w:rPr>
          <w:rFonts w:ascii="Arial" w:hAnsi="Arial" w:cs="Arial"/>
          <w:sz w:val="22"/>
          <w:szCs w:val="22"/>
        </w:rPr>
        <w:t xml:space="preserve"> peer-assessment, pupils are encouraged to become active participants in their own learning (Liu and Carless, 2006). This idea links closely to the </w:t>
      </w:r>
      <w:proofErr w:type="spellStart"/>
      <w:r w:rsidRPr="00FA2529">
        <w:rPr>
          <w:rFonts w:ascii="Arial" w:hAnsi="Arial" w:cs="Arial"/>
          <w:sz w:val="22"/>
          <w:szCs w:val="22"/>
        </w:rPr>
        <w:t>CfW</w:t>
      </w:r>
      <w:proofErr w:type="spellEnd"/>
      <w:r w:rsidRPr="00FA2529">
        <w:rPr>
          <w:rFonts w:ascii="Arial" w:hAnsi="Arial" w:cs="Arial"/>
          <w:sz w:val="22"/>
          <w:szCs w:val="22"/>
        </w:rPr>
        <w:t xml:space="preserve"> learner-</w:t>
      </w:r>
      <w:proofErr w:type="spellStart"/>
      <w:r w:rsidRPr="00FA2529">
        <w:rPr>
          <w:rFonts w:ascii="Arial" w:hAnsi="Arial" w:cs="Arial"/>
          <w:sz w:val="22"/>
          <w:szCs w:val="22"/>
        </w:rPr>
        <w:t>centred</w:t>
      </w:r>
      <w:proofErr w:type="spellEnd"/>
      <w:r w:rsidRPr="00FA2529">
        <w:rPr>
          <w:rFonts w:ascii="Arial" w:hAnsi="Arial" w:cs="Arial"/>
          <w:sz w:val="22"/>
          <w:szCs w:val="22"/>
        </w:rPr>
        <w:t xml:space="preserve"> approach to pupil progression. </w:t>
      </w:r>
      <w:proofErr w:type="spellStart"/>
      <w:r w:rsidRPr="00FA2529">
        <w:rPr>
          <w:rFonts w:ascii="Arial" w:hAnsi="Arial" w:cs="Arial"/>
          <w:sz w:val="22"/>
          <w:szCs w:val="22"/>
        </w:rPr>
        <w:t>Broadfoot</w:t>
      </w:r>
      <w:proofErr w:type="spellEnd"/>
      <w:r w:rsidRPr="00FA2529">
        <w:rPr>
          <w:rFonts w:ascii="Arial" w:hAnsi="Arial" w:cs="Arial"/>
          <w:sz w:val="22"/>
          <w:szCs w:val="22"/>
        </w:rPr>
        <w:t xml:space="preserve"> et al (2002) further supports this, stating that learners are responsible for their own progression in learning.</w:t>
      </w:r>
    </w:p>
    <w:p w14:paraId="572228FF" w14:textId="77777777" w:rsidR="005F0832" w:rsidRDefault="005F0832" w:rsidP="005F0832">
      <w:pPr>
        <w:spacing w:line="360" w:lineRule="auto"/>
        <w:rPr>
          <w:rFonts w:ascii="Arial" w:hAnsi="Arial" w:cs="Arial"/>
          <w:sz w:val="22"/>
          <w:szCs w:val="22"/>
        </w:rPr>
      </w:pPr>
    </w:p>
    <w:p w14:paraId="352D30E0" w14:textId="77777777" w:rsidR="00552C97" w:rsidRPr="0023229F" w:rsidRDefault="00552C97" w:rsidP="005F0832">
      <w:pPr>
        <w:spacing w:line="360" w:lineRule="auto"/>
        <w:rPr>
          <w:rStyle w:val="normaltextrun"/>
          <w:rFonts w:ascii="Arial" w:hAnsi="Arial" w:cs="Arial"/>
          <w:sz w:val="22"/>
          <w:szCs w:val="22"/>
        </w:rPr>
      </w:pPr>
      <w:r w:rsidRPr="00FA2529">
        <w:rPr>
          <w:rFonts w:ascii="Arial" w:hAnsi="Arial" w:cs="Arial"/>
          <w:sz w:val="22"/>
          <w:szCs w:val="22"/>
        </w:rPr>
        <w:t xml:space="preserve">As the use of peer-assessment places pupils in control of the learning, it is vital that pupils understand the work </w:t>
      </w:r>
      <w:proofErr w:type="gramStart"/>
      <w:r w:rsidRPr="00FA2529">
        <w:rPr>
          <w:rFonts w:ascii="Arial" w:hAnsi="Arial" w:cs="Arial"/>
          <w:sz w:val="22"/>
          <w:szCs w:val="22"/>
        </w:rPr>
        <w:t>in order to</w:t>
      </w:r>
      <w:proofErr w:type="gramEnd"/>
      <w:r w:rsidRPr="00FA2529">
        <w:rPr>
          <w:rFonts w:ascii="Arial" w:hAnsi="Arial" w:cs="Arial"/>
          <w:sz w:val="22"/>
          <w:szCs w:val="22"/>
        </w:rPr>
        <w:t xml:space="preserve"> assess effectively</w:t>
      </w:r>
      <w:r>
        <w:rPr>
          <w:rFonts w:ascii="Arial" w:hAnsi="Arial" w:cs="Arial"/>
          <w:sz w:val="22"/>
          <w:szCs w:val="22"/>
        </w:rPr>
        <w:t xml:space="preserve"> </w:t>
      </w:r>
      <w:r w:rsidRPr="00FA2529">
        <w:rPr>
          <w:rFonts w:ascii="Arial" w:hAnsi="Arial" w:cs="Arial"/>
          <w:sz w:val="22"/>
          <w:szCs w:val="22"/>
        </w:rPr>
        <w:t>(Liu and Carless, 2006; Welsh Assembly Government, 2010</w:t>
      </w:r>
      <w:r>
        <w:rPr>
          <w:rFonts w:ascii="Arial" w:hAnsi="Arial" w:cs="Arial"/>
          <w:sz w:val="22"/>
          <w:szCs w:val="22"/>
        </w:rPr>
        <w:t>)</w:t>
      </w:r>
      <w:r w:rsidRPr="00FA2529">
        <w:rPr>
          <w:rFonts w:ascii="Arial" w:hAnsi="Arial" w:cs="Arial"/>
          <w:sz w:val="22"/>
          <w:szCs w:val="22"/>
        </w:rPr>
        <w:t xml:space="preserve">. This could be an implication of this strategy as there are usually misconceptions amongst learners, specifically those of a younger age. </w:t>
      </w:r>
      <w:r>
        <w:rPr>
          <w:rFonts w:ascii="Arial" w:hAnsi="Arial" w:cs="Arial"/>
          <w:sz w:val="22"/>
          <w:szCs w:val="22"/>
        </w:rPr>
        <w:t xml:space="preserve">Within my personal experience with young learners, I adapted peer-assessment methods to suit the level of work being completed. For example, I would usually ask questions about correct answers to gage their understanding of the topic. </w:t>
      </w:r>
      <w:r w:rsidRPr="00FA2529">
        <w:rPr>
          <w:rFonts w:ascii="Arial" w:hAnsi="Arial" w:cs="Arial"/>
          <w:sz w:val="22"/>
          <w:szCs w:val="22"/>
        </w:rPr>
        <w:t xml:space="preserve">However, </w:t>
      </w:r>
      <w:r w:rsidRPr="00FA2529">
        <w:rPr>
          <w:rStyle w:val="normaltextrun"/>
          <w:rFonts w:ascii="Arial" w:hAnsi="Arial" w:cs="Arial"/>
          <w:color w:val="000000"/>
          <w:sz w:val="22"/>
          <w:szCs w:val="22"/>
          <w:shd w:val="clear" w:color="auto" w:fill="FFFFFF"/>
        </w:rPr>
        <w:t xml:space="preserve">Peters, </w:t>
      </w:r>
      <w:proofErr w:type="spellStart"/>
      <w:r w:rsidRPr="00FA2529">
        <w:rPr>
          <w:rStyle w:val="normaltextrun"/>
          <w:rFonts w:ascii="Arial" w:hAnsi="Arial" w:cs="Arial"/>
          <w:color w:val="000000"/>
          <w:sz w:val="22"/>
          <w:szCs w:val="22"/>
          <w:shd w:val="clear" w:color="auto" w:fill="FFFFFF"/>
        </w:rPr>
        <w:t>Körndle</w:t>
      </w:r>
      <w:proofErr w:type="spellEnd"/>
      <w:r w:rsidRPr="00FA2529">
        <w:rPr>
          <w:rStyle w:val="normaltextrun"/>
          <w:rFonts w:ascii="Arial" w:hAnsi="Arial" w:cs="Arial"/>
          <w:color w:val="000000"/>
          <w:sz w:val="22"/>
          <w:szCs w:val="22"/>
          <w:shd w:val="clear" w:color="auto" w:fill="FFFFFF"/>
        </w:rPr>
        <w:t xml:space="preserve"> and </w:t>
      </w:r>
      <w:proofErr w:type="spellStart"/>
      <w:r w:rsidRPr="00FA2529">
        <w:rPr>
          <w:rStyle w:val="normaltextrun"/>
          <w:rFonts w:ascii="Arial" w:hAnsi="Arial" w:cs="Arial"/>
          <w:color w:val="000000"/>
          <w:sz w:val="22"/>
          <w:szCs w:val="22"/>
          <w:shd w:val="clear" w:color="auto" w:fill="FFFFFF"/>
        </w:rPr>
        <w:t>Narciss</w:t>
      </w:r>
      <w:proofErr w:type="spellEnd"/>
      <w:r w:rsidRPr="00FA2529">
        <w:rPr>
          <w:rStyle w:val="normaltextrun"/>
          <w:rFonts w:ascii="Arial" w:hAnsi="Arial" w:cs="Arial"/>
          <w:color w:val="000000"/>
          <w:sz w:val="22"/>
          <w:szCs w:val="22"/>
          <w:shd w:val="clear" w:color="auto" w:fill="FFFFFF"/>
        </w:rPr>
        <w:t xml:space="preserve"> (2018) suggest that in these circumstances, scaffolding can improve the quality of the strategy. The term ‘scaffolding’ can be traced back to Vygotsky (1978), expanded </w:t>
      </w:r>
      <w:r>
        <w:rPr>
          <w:rStyle w:val="normaltextrun"/>
          <w:rFonts w:ascii="Arial" w:hAnsi="Arial" w:cs="Arial"/>
          <w:color w:val="000000"/>
          <w:sz w:val="22"/>
          <w:szCs w:val="22"/>
          <w:shd w:val="clear" w:color="auto" w:fill="FFFFFF"/>
        </w:rPr>
        <w:t>upon</w:t>
      </w:r>
      <w:r w:rsidRPr="00FA2529">
        <w:rPr>
          <w:rStyle w:val="normaltextrun"/>
          <w:rFonts w:ascii="Arial" w:hAnsi="Arial" w:cs="Arial"/>
          <w:color w:val="000000"/>
          <w:sz w:val="22"/>
          <w:szCs w:val="22"/>
          <w:shd w:val="clear" w:color="auto" w:fill="FFFFFF"/>
        </w:rPr>
        <w:t xml:space="preserve"> by Bruner (1978) to refer to an aid designed to </w:t>
      </w:r>
      <w:proofErr w:type="gramStart"/>
      <w:r w:rsidRPr="00FA2529">
        <w:rPr>
          <w:rStyle w:val="normaltextrun"/>
          <w:rFonts w:ascii="Arial" w:hAnsi="Arial" w:cs="Arial"/>
          <w:color w:val="000000"/>
          <w:sz w:val="22"/>
          <w:szCs w:val="22"/>
          <w:shd w:val="clear" w:color="auto" w:fill="FFFFFF"/>
        </w:rPr>
        <w:t>provide assistance for</w:t>
      </w:r>
      <w:proofErr w:type="gramEnd"/>
      <w:r w:rsidRPr="00FA2529">
        <w:rPr>
          <w:rStyle w:val="normaltextrun"/>
          <w:rFonts w:ascii="Arial" w:hAnsi="Arial" w:cs="Arial"/>
          <w:color w:val="000000"/>
          <w:sz w:val="22"/>
          <w:szCs w:val="22"/>
          <w:shd w:val="clear" w:color="auto" w:fill="FFFFFF"/>
        </w:rPr>
        <w:t xml:space="preserve"> learners to develop understanding they cannot develop independently. Scaffolding using aids such as rubrics </w:t>
      </w:r>
      <w:r w:rsidRPr="00FA2529">
        <w:rPr>
          <w:rFonts w:ascii="Arial" w:hAnsi="Arial" w:cs="Arial"/>
          <w:sz w:val="22"/>
          <w:szCs w:val="22"/>
        </w:rPr>
        <w:t xml:space="preserve">have been effective in improving the accuracy of peer-assessment in schools (Double, McGrane and </w:t>
      </w:r>
      <w:proofErr w:type="spellStart"/>
      <w:r w:rsidRPr="00FA2529">
        <w:rPr>
          <w:rFonts w:ascii="Arial" w:hAnsi="Arial" w:cs="Arial"/>
          <w:sz w:val="22"/>
          <w:szCs w:val="22"/>
        </w:rPr>
        <w:t>Hopfenbeck</w:t>
      </w:r>
      <w:proofErr w:type="spellEnd"/>
      <w:r w:rsidRPr="00FA2529">
        <w:rPr>
          <w:rFonts w:ascii="Arial" w:hAnsi="Arial" w:cs="Arial"/>
          <w:sz w:val="22"/>
          <w:szCs w:val="22"/>
        </w:rPr>
        <w:t>, 2020).</w:t>
      </w:r>
      <w:r w:rsidRPr="00FA2529">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However, </w:t>
      </w:r>
      <w:proofErr w:type="spellStart"/>
      <w:r w:rsidRPr="00FA2529">
        <w:rPr>
          <w:rFonts w:ascii="Arial" w:hAnsi="Arial" w:cs="Arial"/>
          <w:sz w:val="22"/>
          <w:szCs w:val="22"/>
        </w:rPr>
        <w:t>Dochy</w:t>
      </w:r>
      <w:proofErr w:type="spellEnd"/>
      <w:r w:rsidRPr="00FA2529">
        <w:rPr>
          <w:rFonts w:ascii="Arial" w:hAnsi="Arial" w:cs="Arial"/>
          <w:sz w:val="22"/>
          <w:szCs w:val="22"/>
        </w:rPr>
        <w:t xml:space="preserve"> et al (1999) suggests that social factors such as friendships or collusion may hamper the positive effects of peer-assessment on pupil learning. However, Panadero, Romero and </w:t>
      </w:r>
      <w:proofErr w:type="spellStart"/>
      <w:r w:rsidRPr="00FA2529">
        <w:rPr>
          <w:rFonts w:ascii="Arial" w:hAnsi="Arial" w:cs="Arial"/>
          <w:sz w:val="22"/>
          <w:szCs w:val="22"/>
        </w:rPr>
        <w:t>Strijbos</w:t>
      </w:r>
      <w:proofErr w:type="spellEnd"/>
      <w:r w:rsidRPr="00FA2529">
        <w:rPr>
          <w:rFonts w:ascii="Arial" w:hAnsi="Arial" w:cs="Arial"/>
          <w:sz w:val="22"/>
          <w:szCs w:val="22"/>
        </w:rPr>
        <w:t xml:space="preserve"> (2013) suggest </w:t>
      </w:r>
      <w:r>
        <w:rPr>
          <w:rFonts w:ascii="Arial" w:hAnsi="Arial" w:cs="Arial"/>
          <w:sz w:val="22"/>
          <w:szCs w:val="22"/>
        </w:rPr>
        <w:t xml:space="preserve">that </w:t>
      </w:r>
      <w:r w:rsidRPr="00FA2529">
        <w:rPr>
          <w:rFonts w:ascii="Arial" w:hAnsi="Arial" w:cs="Arial"/>
          <w:sz w:val="22"/>
          <w:szCs w:val="22"/>
        </w:rPr>
        <w:t>rubrics can also be used to eliminate pupil bias towards friends when conducting peer-assessment.</w:t>
      </w:r>
    </w:p>
    <w:p w14:paraId="21B8D2E6" w14:textId="77777777" w:rsidR="00552C97" w:rsidRPr="00FA2529" w:rsidRDefault="00552C97" w:rsidP="005F0832">
      <w:pPr>
        <w:spacing w:line="360" w:lineRule="auto"/>
        <w:rPr>
          <w:rStyle w:val="normaltextrun"/>
          <w:rFonts w:ascii="Arial" w:hAnsi="Arial" w:cs="Arial"/>
          <w:color w:val="000000"/>
          <w:sz w:val="22"/>
          <w:szCs w:val="22"/>
          <w:shd w:val="clear" w:color="auto" w:fill="FFFFFF"/>
        </w:rPr>
      </w:pPr>
    </w:p>
    <w:p w14:paraId="4A7F8D02" w14:textId="77777777" w:rsidR="00552C97" w:rsidRDefault="00552C97" w:rsidP="005F0832">
      <w:pPr>
        <w:spacing w:line="360" w:lineRule="auto"/>
        <w:rPr>
          <w:rFonts w:ascii="Arial" w:hAnsi="Arial" w:cs="Arial"/>
          <w:color w:val="333333"/>
          <w:sz w:val="22"/>
          <w:szCs w:val="22"/>
          <w:shd w:val="clear" w:color="auto" w:fill="FFFFFF"/>
        </w:rPr>
      </w:pPr>
      <w:r w:rsidRPr="00FA2529">
        <w:rPr>
          <w:rFonts w:ascii="Arial" w:hAnsi="Arial" w:cs="Arial"/>
          <w:sz w:val="22"/>
          <w:szCs w:val="22"/>
        </w:rPr>
        <w:t xml:space="preserve">Other researchers have suggested anonymity when peer assessing can be advantageous by allowing pupils to be honest when providing feedback without fear of negative impacts on friendships </w:t>
      </w:r>
      <w:r w:rsidRPr="00FA2529">
        <w:rPr>
          <w:rFonts w:ascii="Arial" w:hAnsi="Arial" w:cs="Arial"/>
          <w:color w:val="333333"/>
          <w:sz w:val="22"/>
          <w:szCs w:val="22"/>
          <w:shd w:val="clear" w:color="auto" w:fill="FCFCFC"/>
        </w:rPr>
        <w:t>(</w:t>
      </w:r>
      <w:proofErr w:type="spellStart"/>
      <w:r w:rsidRPr="00FA2529">
        <w:rPr>
          <w:rFonts w:ascii="Arial" w:hAnsi="Arial" w:cs="Arial"/>
          <w:color w:val="333333"/>
          <w:sz w:val="22"/>
          <w:szCs w:val="22"/>
          <w:shd w:val="clear" w:color="auto" w:fill="FCFCFC"/>
        </w:rPr>
        <w:t>Rotsaert</w:t>
      </w:r>
      <w:proofErr w:type="spellEnd"/>
      <w:r w:rsidRPr="00FA2529">
        <w:rPr>
          <w:rFonts w:ascii="Arial" w:hAnsi="Arial" w:cs="Arial"/>
          <w:color w:val="333333"/>
          <w:sz w:val="22"/>
          <w:szCs w:val="22"/>
          <w:shd w:val="clear" w:color="auto" w:fill="FCFCFC"/>
        </w:rPr>
        <w:t xml:space="preserve"> et al., 2018). </w:t>
      </w:r>
      <w:proofErr w:type="spellStart"/>
      <w:r w:rsidRPr="00FA2529">
        <w:rPr>
          <w:rFonts w:ascii="Arial" w:hAnsi="Arial" w:cs="Arial"/>
          <w:color w:val="333333"/>
          <w:sz w:val="22"/>
          <w:szCs w:val="22"/>
          <w:shd w:val="clear" w:color="auto" w:fill="FCFCFC"/>
        </w:rPr>
        <w:t>Panedero</w:t>
      </w:r>
      <w:proofErr w:type="spellEnd"/>
      <w:r w:rsidRPr="00FA2529">
        <w:rPr>
          <w:rFonts w:ascii="Arial" w:hAnsi="Arial" w:cs="Arial"/>
          <w:color w:val="333333"/>
          <w:sz w:val="22"/>
          <w:szCs w:val="22"/>
          <w:shd w:val="clear" w:color="auto" w:fill="FCFCFC"/>
        </w:rPr>
        <w:t xml:space="preserve"> and </w:t>
      </w:r>
      <w:proofErr w:type="spellStart"/>
      <w:r w:rsidRPr="00FA2529">
        <w:rPr>
          <w:rFonts w:ascii="Arial" w:hAnsi="Arial" w:cs="Arial"/>
          <w:color w:val="333333"/>
          <w:sz w:val="22"/>
          <w:szCs w:val="22"/>
          <w:shd w:val="clear" w:color="auto" w:fill="FCFCFC"/>
        </w:rPr>
        <w:t>Alqassab</w:t>
      </w:r>
      <w:proofErr w:type="spellEnd"/>
      <w:r w:rsidRPr="00FA2529">
        <w:rPr>
          <w:rFonts w:ascii="Arial" w:hAnsi="Arial" w:cs="Arial"/>
          <w:color w:val="333333"/>
          <w:sz w:val="22"/>
          <w:szCs w:val="22"/>
          <w:shd w:val="clear" w:color="auto" w:fill="FCFCFC"/>
        </w:rPr>
        <w:t xml:space="preserve"> (2019) conducted a review on three studies which compared anonymous peer-assessment with learning outcomes. According to </w:t>
      </w:r>
      <w:proofErr w:type="spellStart"/>
      <w:r w:rsidRPr="00FA2529">
        <w:rPr>
          <w:rFonts w:ascii="Arial" w:hAnsi="Arial" w:cs="Arial"/>
          <w:color w:val="333333"/>
          <w:sz w:val="22"/>
          <w:szCs w:val="22"/>
          <w:shd w:val="clear" w:color="auto" w:fill="FCFCFC"/>
        </w:rPr>
        <w:t>Panedero</w:t>
      </w:r>
      <w:proofErr w:type="spellEnd"/>
      <w:r w:rsidRPr="00FA2529">
        <w:rPr>
          <w:rFonts w:ascii="Arial" w:hAnsi="Arial" w:cs="Arial"/>
          <w:color w:val="333333"/>
          <w:sz w:val="22"/>
          <w:szCs w:val="22"/>
          <w:shd w:val="clear" w:color="auto" w:fill="FCFCFC"/>
        </w:rPr>
        <w:t xml:space="preserve"> and </w:t>
      </w:r>
      <w:proofErr w:type="spellStart"/>
      <w:r w:rsidRPr="00FA2529">
        <w:rPr>
          <w:rFonts w:ascii="Arial" w:hAnsi="Arial" w:cs="Arial"/>
          <w:color w:val="333333"/>
          <w:sz w:val="22"/>
          <w:szCs w:val="22"/>
          <w:shd w:val="clear" w:color="auto" w:fill="FCFCFC"/>
        </w:rPr>
        <w:t>Alqassab</w:t>
      </w:r>
      <w:proofErr w:type="spellEnd"/>
      <w:r w:rsidRPr="00FA2529">
        <w:rPr>
          <w:rFonts w:ascii="Arial" w:hAnsi="Arial" w:cs="Arial"/>
          <w:color w:val="333333"/>
          <w:sz w:val="22"/>
          <w:szCs w:val="22"/>
          <w:shd w:val="clear" w:color="auto" w:fill="FCFCFC"/>
        </w:rPr>
        <w:t xml:space="preserve"> (2019), two of three studies found minimal benefits of anonymous peer-assessment. </w:t>
      </w:r>
      <w:proofErr w:type="spellStart"/>
      <w:r w:rsidRPr="00FA2529">
        <w:rPr>
          <w:rFonts w:ascii="Arial" w:hAnsi="Arial" w:cs="Arial"/>
          <w:color w:val="333333"/>
          <w:sz w:val="22"/>
          <w:szCs w:val="22"/>
          <w:shd w:val="clear" w:color="auto" w:fill="FCFCFC"/>
        </w:rPr>
        <w:t>Strijbos</w:t>
      </w:r>
      <w:proofErr w:type="spellEnd"/>
      <w:r w:rsidRPr="00FA2529">
        <w:rPr>
          <w:rFonts w:ascii="Arial" w:hAnsi="Arial" w:cs="Arial"/>
          <w:color w:val="333333"/>
          <w:sz w:val="22"/>
          <w:szCs w:val="22"/>
          <w:shd w:val="clear" w:color="auto" w:fill="FCFCFC"/>
        </w:rPr>
        <w:t xml:space="preserve"> and Wichmann (2018) further support these findings suggesting that anonymity limits the collaboration element</w:t>
      </w:r>
      <w:r>
        <w:rPr>
          <w:rFonts w:ascii="Arial" w:hAnsi="Arial" w:cs="Arial"/>
          <w:color w:val="333333"/>
          <w:sz w:val="22"/>
          <w:szCs w:val="22"/>
          <w:shd w:val="clear" w:color="auto" w:fill="FCFCFC"/>
        </w:rPr>
        <w:t xml:space="preserve"> </w:t>
      </w:r>
      <w:r w:rsidRPr="00FA2529">
        <w:rPr>
          <w:rFonts w:ascii="Arial" w:hAnsi="Arial" w:cs="Arial"/>
          <w:color w:val="333333"/>
          <w:sz w:val="22"/>
          <w:szCs w:val="22"/>
          <w:shd w:val="clear" w:color="auto" w:fill="FCFCFC"/>
        </w:rPr>
        <w:t>– a key component of peer-assessment (</w:t>
      </w:r>
      <w:proofErr w:type="spellStart"/>
      <w:r w:rsidRPr="00FA2529">
        <w:rPr>
          <w:rFonts w:ascii="Arial" w:hAnsi="Arial" w:cs="Arial"/>
          <w:color w:val="333333"/>
          <w:sz w:val="22"/>
          <w:szCs w:val="22"/>
          <w:shd w:val="clear" w:color="auto" w:fill="FCFCFC"/>
        </w:rPr>
        <w:t>Kollar</w:t>
      </w:r>
      <w:proofErr w:type="spellEnd"/>
      <w:r w:rsidRPr="00FA2529">
        <w:rPr>
          <w:rFonts w:ascii="Arial" w:hAnsi="Arial" w:cs="Arial"/>
          <w:color w:val="333333"/>
          <w:sz w:val="22"/>
          <w:szCs w:val="22"/>
          <w:shd w:val="clear" w:color="auto" w:fill="FCFCFC"/>
        </w:rPr>
        <w:t xml:space="preserve"> and Fischer, 2012). </w:t>
      </w:r>
      <w:r>
        <w:rPr>
          <w:rFonts w:ascii="Arial" w:hAnsi="Arial" w:cs="Arial"/>
          <w:color w:val="333333"/>
          <w:sz w:val="22"/>
          <w:szCs w:val="22"/>
          <w:shd w:val="clear" w:color="auto" w:fill="FFFFFF"/>
        </w:rPr>
        <w:t xml:space="preserve">The </w:t>
      </w:r>
      <w:proofErr w:type="spellStart"/>
      <w:r>
        <w:rPr>
          <w:rFonts w:ascii="Arial" w:hAnsi="Arial" w:cs="Arial"/>
          <w:color w:val="333333"/>
          <w:sz w:val="22"/>
          <w:szCs w:val="22"/>
          <w:shd w:val="clear" w:color="auto" w:fill="FFFFFF"/>
        </w:rPr>
        <w:t>CfW</w:t>
      </w:r>
      <w:proofErr w:type="spellEnd"/>
      <w:r>
        <w:rPr>
          <w:rFonts w:ascii="Arial" w:hAnsi="Arial" w:cs="Arial"/>
          <w:color w:val="333333"/>
          <w:sz w:val="22"/>
          <w:szCs w:val="22"/>
          <w:shd w:val="clear" w:color="auto" w:fill="FFFFFF"/>
        </w:rPr>
        <w:t xml:space="preserve"> outlines twelve pedagogical principles which underpin curriculum design. Within the principles, encouraging collaboration is viewed as an element of good teaching (Welsh Government, 2023).</w:t>
      </w:r>
      <w:r>
        <w:rPr>
          <w:rFonts w:ascii="Arial" w:hAnsi="Arial" w:cs="Arial"/>
          <w:sz w:val="22"/>
          <w:szCs w:val="22"/>
        </w:rPr>
        <w:t xml:space="preserve"> Due to this, d</w:t>
      </w:r>
      <w:r>
        <w:rPr>
          <w:rFonts w:ascii="Arial" w:hAnsi="Arial" w:cs="Arial"/>
          <w:color w:val="333333"/>
          <w:sz w:val="22"/>
          <w:szCs w:val="22"/>
          <w:shd w:val="clear" w:color="auto" w:fill="FFFFFF"/>
        </w:rPr>
        <w:t xml:space="preserve">uring PTE I did not use anonymity when using peer-assessment with learners. Although the conclusion aligns with the </w:t>
      </w:r>
      <w:proofErr w:type="spellStart"/>
      <w:r>
        <w:rPr>
          <w:rFonts w:ascii="Arial" w:hAnsi="Arial" w:cs="Arial"/>
          <w:color w:val="333333"/>
          <w:sz w:val="22"/>
          <w:szCs w:val="22"/>
          <w:shd w:val="clear" w:color="auto" w:fill="FFFFFF"/>
        </w:rPr>
        <w:t>CfW</w:t>
      </w:r>
      <w:proofErr w:type="spellEnd"/>
      <w:r>
        <w:rPr>
          <w:rFonts w:ascii="Arial" w:hAnsi="Arial" w:cs="Arial"/>
          <w:color w:val="333333"/>
          <w:sz w:val="22"/>
          <w:szCs w:val="22"/>
          <w:shd w:val="clear" w:color="auto" w:fill="FFFFFF"/>
        </w:rPr>
        <w:t xml:space="preserve"> </w:t>
      </w:r>
      <w:r>
        <w:rPr>
          <w:rFonts w:ascii="Arial" w:hAnsi="Arial" w:cs="Arial"/>
          <w:color w:val="333333"/>
          <w:sz w:val="22"/>
          <w:szCs w:val="22"/>
          <w:shd w:val="clear" w:color="auto" w:fill="FCFCFC"/>
        </w:rPr>
        <w:t>t</w:t>
      </w:r>
      <w:r w:rsidRPr="00FA2529">
        <w:rPr>
          <w:rFonts w:ascii="Arial" w:hAnsi="Arial" w:cs="Arial"/>
          <w:color w:val="333333"/>
          <w:sz w:val="22"/>
          <w:szCs w:val="22"/>
          <w:shd w:val="clear" w:color="auto" w:fill="FCFCFC"/>
        </w:rPr>
        <w:t xml:space="preserve">he research undertaken by Panadero and </w:t>
      </w:r>
      <w:proofErr w:type="spellStart"/>
      <w:r w:rsidRPr="00FA2529">
        <w:rPr>
          <w:rFonts w:ascii="Arial" w:hAnsi="Arial" w:cs="Arial"/>
          <w:color w:val="333333"/>
          <w:sz w:val="22"/>
          <w:szCs w:val="22"/>
          <w:shd w:val="clear" w:color="auto" w:fill="FCFCFC"/>
        </w:rPr>
        <w:t>Alqassab</w:t>
      </w:r>
      <w:proofErr w:type="spellEnd"/>
      <w:r w:rsidRPr="00FA2529">
        <w:rPr>
          <w:rFonts w:ascii="Arial" w:hAnsi="Arial" w:cs="Arial"/>
          <w:color w:val="333333"/>
          <w:sz w:val="22"/>
          <w:szCs w:val="22"/>
          <w:shd w:val="clear" w:color="auto" w:fill="FCFCFC"/>
        </w:rPr>
        <w:t xml:space="preserve"> (2019) could be considered more reliable </w:t>
      </w:r>
      <w:r w:rsidRPr="00FA2529">
        <w:rPr>
          <w:rFonts w:ascii="Arial" w:hAnsi="Arial" w:cs="Arial"/>
          <w:color w:val="333333"/>
          <w:sz w:val="22"/>
          <w:szCs w:val="22"/>
          <w:shd w:val="clear" w:color="auto" w:fill="FFFFFF"/>
        </w:rPr>
        <w:t>if a wider range of studies had been explored to further corroborate the claims.</w:t>
      </w:r>
    </w:p>
    <w:p w14:paraId="1A515C32" w14:textId="77777777" w:rsidR="00552C97" w:rsidRDefault="00552C97" w:rsidP="005F0832">
      <w:pPr>
        <w:spacing w:line="360" w:lineRule="auto"/>
        <w:rPr>
          <w:rFonts w:ascii="Arial" w:hAnsi="Arial" w:cs="Arial"/>
          <w:color w:val="333333"/>
          <w:sz w:val="22"/>
          <w:szCs w:val="22"/>
          <w:shd w:val="clear" w:color="auto" w:fill="FFFFFF"/>
        </w:rPr>
      </w:pPr>
    </w:p>
    <w:p w14:paraId="3E4AB52B" w14:textId="77777777" w:rsidR="00552C97" w:rsidRPr="008D452F" w:rsidRDefault="00552C97" w:rsidP="005F0832">
      <w:pPr>
        <w:spacing w:line="360" w:lineRule="auto"/>
        <w:rPr>
          <w:rFonts w:ascii="Arial" w:hAnsi="Arial" w:cs="Arial"/>
          <w:color w:val="333333"/>
          <w:sz w:val="22"/>
          <w:szCs w:val="22"/>
          <w:shd w:val="clear" w:color="auto" w:fill="FFFFFF"/>
        </w:rPr>
      </w:pPr>
    </w:p>
    <w:p w14:paraId="531505A4" w14:textId="77777777" w:rsidR="00552C97" w:rsidRPr="00910C6F" w:rsidRDefault="00552C97" w:rsidP="005F0832">
      <w:pPr>
        <w:spacing w:line="360" w:lineRule="auto"/>
        <w:rPr>
          <w:rFonts w:ascii="Arial" w:hAnsi="Arial" w:cs="Arial"/>
          <w:b/>
          <w:bCs/>
          <w:sz w:val="22"/>
          <w:szCs w:val="22"/>
        </w:rPr>
      </w:pPr>
      <w:r w:rsidRPr="00FA2529">
        <w:rPr>
          <w:rFonts w:ascii="Arial" w:hAnsi="Arial" w:cs="Arial"/>
          <w:b/>
          <w:bCs/>
          <w:sz w:val="22"/>
          <w:szCs w:val="22"/>
        </w:rPr>
        <w:t>Conclusion</w:t>
      </w:r>
    </w:p>
    <w:p w14:paraId="6886484E" w14:textId="77777777" w:rsidR="00552C97" w:rsidRDefault="00552C97" w:rsidP="005F0832">
      <w:pPr>
        <w:spacing w:line="360" w:lineRule="auto"/>
        <w:rPr>
          <w:rFonts w:ascii="Arial" w:hAnsi="Arial" w:cs="Arial"/>
          <w:sz w:val="22"/>
          <w:szCs w:val="22"/>
        </w:rPr>
      </w:pPr>
      <w:r w:rsidRPr="00FA2529">
        <w:rPr>
          <w:rFonts w:ascii="Arial" w:hAnsi="Arial" w:cs="Arial"/>
          <w:sz w:val="22"/>
          <w:szCs w:val="22"/>
        </w:rPr>
        <w:t xml:space="preserve">Exploring the </w:t>
      </w:r>
      <w:proofErr w:type="spellStart"/>
      <w:r w:rsidRPr="00FA2529">
        <w:rPr>
          <w:rFonts w:ascii="Arial" w:hAnsi="Arial" w:cs="Arial"/>
          <w:sz w:val="22"/>
          <w:szCs w:val="22"/>
        </w:rPr>
        <w:t>AfL</w:t>
      </w:r>
      <w:proofErr w:type="spellEnd"/>
      <w:r w:rsidRPr="00FA2529">
        <w:rPr>
          <w:rFonts w:ascii="Arial" w:hAnsi="Arial" w:cs="Arial"/>
          <w:sz w:val="22"/>
          <w:szCs w:val="22"/>
        </w:rPr>
        <w:t xml:space="preserve"> strategies of questioning and peer-assessment throughout this assignment has allowed me to broaden my knowledge on these elements. Engagement with literature </w:t>
      </w:r>
      <w:r w:rsidRPr="00FA2529">
        <w:rPr>
          <w:rFonts w:ascii="Arial" w:hAnsi="Arial" w:cs="Arial"/>
          <w:sz w:val="22"/>
          <w:szCs w:val="22"/>
        </w:rPr>
        <w:lastRenderedPageBreak/>
        <w:t>throughout this assignment has enabled me to further understand both positive aspects and implications of each strategy</w:t>
      </w:r>
      <w:r>
        <w:rPr>
          <w:rFonts w:ascii="Arial" w:hAnsi="Arial" w:cs="Arial"/>
          <w:sz w:val="22"/>
          <w:szCs w:val="22"/>
        </w:rPr>
        <w:t xml:space="preserve"> relating to my personal experience where appropriate.</w:t>
      </w:r>
      <w:r w:rsidRPr="00FA2529">
        <w:rPr>
          <w:rFonts w:ascii="Arial" w:hAnsi="Arial" w:cs="Arial"/>
          <w:sz w:val="22"/>
          <w:szCs w:val="22"/>
        </w:rPr>
        <w:t xml:space="preserve"> Effective practice published by </w:t>
      </w:r>
      <w:proofErr w:type="spellStart"/>
      <w:r w:rsidRPr="00FA2529">
        <w:rPr>
          <w:rFonts w:ascii="Arial" w:hAnsi="Arial" w:cs="Arial"/>
          <w:sz w:val="22"/>
          <w:szCs w:val="22"/>
        </w:rPr>
        <w:t>Estyn</w:t>
      </w:r>
      <w:proofErr w:type="spellEnd"/>
      <w:r w:rsidRPr="00FA2529">
        <w:rPr>
          <w:rFonts w:ascii="Arial" w:hAnsi="Arial" w:cs="Arial"/>
          <w:sz w:val="22"/>
          <w:szCs w:val="22"/>
        </w:rPr>
        <w:t xml:space="preserve"> (2018) has outlined the positive impact of implementing </w:t>
      </w:r>
      <w:proofErr w:type="spellStart"/>
      <w:r w:rsidRPr="00FA2529">
        <w:rPr>
          <w:rFonts w:ascii="Arial" w:hAnsi="Arial" w:cs="Arial"/>
          <w:sz w:val="22"/>
          <w:szCs w:val="22"/>
        </w:rPr>
        <w:t>AfL</w:t>
      </w:r>
      <w:proofErr w:type="spellEnd"/>
      <w:r w:rsidRPr="00FA2529">
        <w:rPr>
          <w:rFonts w:ascii="Arial" w:hAnsi="Arial" w:cs="Arial"/>
          <w:sz w:val="22"/>
          <w:szCs w:val="22"/>
        </w:rPr>
        <w:t xml:space="preserve"> in schools. As a Welsh education inspectorate, all practitioners in Wales should consider implementation of practice deemed as effective by </w:t>
      </w:r>
      <w:proofErr w:type="spellStart"/>
      <w:r w:rsidRPr="00FA2529">
        <w:rPr>
          <w:rFonts w:ascii="Arial" w:hAnsi="Arial" w:cs="Arial"/>
          <w:sz w:val="22"/>
          <w:szCs w:val="22"/>
        </w:rPr>
        <w:t>Estyn</w:t>
      </w:r>
      <w:proofErr w:type="spellEnd"/>
      <w:r w:rsidRPr="00FA2529">
        <w:rPr>
          <w:rFonts w:ascii="Arial" w:hAnsi="Arial" w:cs="Arial"/>
          <w:sz w:val="22"/>
          <w:szCs w:val="22"/>
        </w:rPr>
        <w:t xml:space="preserve">. Within literature, it is evident that questioning has been widely accepted as an effective strategy to aid pupil progression. When used </w:t>
      </w:r>
      <w:proofErr w:type="spellStart"/>
      <w:r w:rsidRPr="00FA2529">
        <w:rPr>
          <w:rFonts w:ascii="Arial" w:hAnsi="Arial" w:cs="Arial"/>
          <w:sz w:val="22"/>
          <w:szCs w:val="22"/>
        </w:rPr>
        <w:t>skilfully</w:t>
      </w:r>
      <w:proofErr w:type="spellEnd"/>
      <w:r w:rsidRPr="00FA2529">
        <w:rPr>
          <w:rFonts w:ascii="Arial" w:hAnsi="Arial" w:cs="Arial"/>
          <w:sz w:val="22"/>
          <w:szCs w:val="22"/>
        </w:rPr>
        <w:t xml:space="preserve">, questioning provides the practitioner with the ability to differentiate according to each pupil’s needs. In this sense, </w:t>
      </w:r>
      <w:proofErr w:type="spellStart"/>
      <w:r w:rsidRPr="00FA2529">
        <w:rPr>
          <w:rFonts w:ascii="Arial" w:hAnsi="Arial" w:cs="Arial"/>
          <w:sz w:val="22"/>
          <w:szCs w:val="22"/>
        </w:rPr>
        <w:t>skilful</w:t>
      </w:r>
      <w:proofErr w:type="spellEnd"/>
      <w:r w:rsidRPr="00FA2529">
        <w:rPr>
          <w:rFonts w:ascii="Arial" w:hAnsi="Arial" w:cs="Arial"/>
          <w:sz w:val="22"/>
          <w:szCs w:val="22"/>
        </w:rPr>
        <w:t xml:space="preserve"> questioning aligns with encouraging individual pupil progression </w:t>
      </w:r>
      <w:r>
        <w:rPr>
          <w:rFonts w:ascii="Arial" w:hAnsi="Arial" w:cs="Arial"/>
          <w:sz w:val="22"/>
          <w:szCs w:val="22"/>
        </w:rPr>
        <w:t xml:space="preserve">- </w:t>
      </w:r>
      <w:r w:rsidRPr="00FA2529">
        <w:rPr>
          <w:rFonts w:ascii="Arial" w:hAnsi="Arial" w:cs="Arial"/>
          <w:sz w:val="22"/>
          <w:szCs w:val="22"/>
        </w:rPr>
        <w:t>the key component of assessment in Wales (Welsh Government, 2022a). As previously mentioned, I used questioning as a way of collecting information on where pupils were at in their learning</w:t>
      </w:r>
      <w:r>
        <w:rPr>
          <w:rFonts w:ascii="Arial" w:hAnsi="Arial" w:cs="Arial"/>
          <w:sz w:val="22"/>
          <w:szCs w:val="22"/>
        </w:rPr>
        <w:t>, allowing me to further identify next steps</w:t>
      </w:r>
      <w:r w:rsidRPr="00FA2529">
        <w:rPr>
          <w:rFonts w:ascii="Arial" w:hAnsi="Arial" w:cs="Arial"/>
          <w:sz w:val="22"/>
          <w:szCs w:val="22"/>
        </w:rPr>
        <w:t xml:space="preserve">. </w:t>
      </w:r>
      <w:r>
        <w:rPr>
          <w:rFonts w:ascii="Arial" w:hAnsi="Arial" w:cs="Arial"/>
          <w:sz w:val="22"/>
          <w:szCs w:val="22"/>
        </w:rPr>
        <w:t xml:space="preserve">The use of Bloom’s taxonomy is an aid identified to support practitioners in developing questioning skills. Despite the criticisms of the taxonomy, I believe it can be an effective aid, providing practitioners are aware of the possible implications. Ensuring they do not exclude young learners from accessing higher level questioning is vital in supporting pupil progression when using this aid (Welsh Assembly Government, 2010). Additionally, literature has also identified peer-assessment as an effective </w:t>
      </w:r>
      <w:proofErr w:type="spellStart"/>
      <w:r>
        <w:rPr>
          <w:rFonts w:ascii="Arial" w:hAnsi="Arial" w:cs="Arial"/>
          <w:sz w:val="22"/>
          <w:szCs w:val="22"/>
        </w:rPr>
        <w:t>AfL</w:t>
      </w:r>
      <w:proofErr w:type="spellEnd"/>
      <w:r>
        <w:rPr>
          <w:rFonts w:ascii="Arial" w:hAnsi="Arial" w:cs="Arial"/>
          <w:sz w:val="22"/>
          <w:szCs w:val="22"/>
        </w:rPr>
        <w:t xml:space="preserve"> strategy (Black and Wiliam,1998; Topping, 2009; </w:t>
      </w:r>
      <w:r w:rsidRPr="00FA2529">
        <w:rPr>
          <w:rFonts w:ascii="Arial" w:hAnsi="Arial" w:cs="Arial"/>
          <w:sz w:val="22"/>
          <w:szCs w:val="22"/>
        </w:rPr>
        <w:t xml:space="preserve">Double, McGrane and </w:t>
      </w:r>
      <w:proofErr w:type="spellStart"/>
      <w:r w:rsidRPr="00FA2529">
        <w:rPr>
          <w:rFonts w:ascii="Arial" w:hAnsi="Arial" w:cs="Arial"/>
          <w:sz w:val="22"/>
          <w:szCs w:val="22"/>
        </w:rPr>
        <w:t>Hopfenbeck</w:t>
      </w:r>
      <w:proofErr w:type="spellEnd"/>
      <w:r>
        <w:rPr>
          <w:rFonts w:ascii="Arial" w:hAnsi="Arial" w:cs="Arial"/>
          <w:sz w:val="22"/>
          <w:szCs w:val="22"/>
        </w:rPr>
        <w:t xml:space="preserve">, </w:t>
      </w:r>
      <w:r w:rsidRPr="00FA2529">
        <w:rPr>
          <w:rFonts w:ascii="Arial" w:hAnsi="Arial" w:cs="Arial"/>
          <w:sz w:val="22"/>
          <w:szCs w:val="22"/>
        </w:rPr>
        <w:t>2020)</w:t>
      </w:r>
      <w:r>
        <w:rPr>
          <w:rFonts w:ascii="Arial" w:hAnsi="Arial" w:cs="Arial"/>
          <w:sz w:val="22"/>
          <w:szCs w:val="22"/>
        </w:rPr>
        <w:t>. Possible implications of peer-assessment are provided with simple solutions within other pieces of literature. The efficacy of peer-assessment is seemingly improved through use of scaffolds such as rubrics (</w:t>
      </w:r>
      <w:r w:rsidRPr="00FA2529">
        <w:rPr>
          <w:rFonts w:ascii="Arial" w:hAnsi="Arial" w:cs="Arial"/>
          <w:sz w:val="22"/>
          <w:szCs w:val="22"/>
        </w:rPr>
        <w:t xml:space="preserve">Romero and </w:t>
      </w:r>
      <w:proofErr w:type="spellStart"/>
      <w:r w:rsidRPr="00FA2529">
        <w:rPr>
          <w:rFonts w:ascii="Arial" w:hAnsi="Arial" w:cs="Arial"/>
          <w:sz w:val="22"/>
          <w:szCs w:val="22"/>
        </w:rPr>
        <w:t>Strijbos</w:t>
      </w:r>
      <w:proofErr w:type="spellEnd"/>
      <w:r>
        <w:rPr>
          <w:rFonts w:ascii="Arial" w:hAnsi="Arial" w:cs="Arial"/>
          <w:sz w:val="22"/>
          <w:szCs w:val="22"/>
        </w:rPr>
        <w:t xml:space="preserve">, </w:t>
      </w:r>
      <w:r w:rsidRPr="00FA2529">
        <w:rPr>
          <w:rFonts w:ascii="Arial" w:hAnsi="Arial" w:cs="Arial"/>
          <w:sz w:val="22"/>
          <w:szCs w:val="22"/>
        </w:rPr>
        <w:t>201</w:t>
      </w:r>
      <w:r>
        <w:rPr>
          <w:rFonts w:ascii="Arial" w:hAnsi="Arial" w:cs="Arial"/>
          <w:sz w:val="22"/>
          <w:szCs w:val="22"/>
        </w:rPr>
        <w:t xml:space="preserve">3; </w:t>
      </w:r>
      <w:r w:rsidRPr="00FA2529">
        <w:rPr>
          <w:rStyle w:val="normaltextrun"/>
          <w:rFonts w:ascii="Arial" w:hAnsi="Arial" w:cs="Arial"/>
          <w:color w:val="000000"/>
          <w:sz w:val="22"/>
          <w:szCs w:val="22"/>
          <w:shd w:val="clear" w:color="auto" w:fill="FFFFFF"/>
        </w:rPr>
        <w:t xml:space="preserve">Peters, </w:t>
      </w:r>
      <w:proofErr w:type="spellStart"/>
      <w:r w:rsidRPr="00FA2529">
        <w:rPr>
          <w:rStyle w:val="normaltextrun"/>
          <w:rFonts w:ascii="Arial" w:hAnsi="Arial" w:cs="Arial"/>
          <w:color w:val="000000"/>
          <w:sz w:val="22"/>
          <w:szCs w:val="22"/>
          <w:shd w:val="clear" w:color="auto" w:fill="FFFFFF"/>
        </w:rPr>
        <w:t>Körndle</w:t>
      </w:r>
      <w:proofErr w:type="spellEnd"/>
      <w:r w:rsidRPr="00FA2529">
        <w:rPr>
          <w:rStyle w:val="normaltextrun"/>
          <w:rFonts w:ascii="Arial" w:hAnsi="Arial" w:cs="Arial"/>
          <w:color w:val="000000"/>
          <w:sz w:val="22"/>
          <w:szCs w:val="22"/>
          <w:shd w:val="clear" w:color="auto" w:fill="FFFFFF"/>
        </w:rPr>
        <w:t xml:space="preserve"> and </w:t>
      </w:r>
      <w:proofErr w:type="spellStart"/>
      <w:r w:rsidRPr="00FA2529">
        <w:rPr>
          <w:rStyle w:val="normaltextrun"/>
          <w:rFonts w:ascii="Arial" w:hAnsi="Arial" w:cs="Arial"/>
          <w:color w:val="000000"/>
          <w:sz w:val="22"/>
          <w:szCs w:val="22"/>
          <w:shd w:val="clear" w:color="auto" w:fill="FFFFFF"/>
        </w:rPr>
        <w:t>Narciss</w:t>
      </w:r>
      <w:proofErr w:type="spellEnd"/>
      <w:r>
        <w:rPr>
          <w:rStyle w:val="normaltextrun"/>
          <w:rFonts w:ascii="Arial" w:hAnsi="Arial" w:cs="Arial"/>
          <w:color w:val="000000"/>
          <w:sz w:val="22"/>
          <w:szCs w:val="22"/>
          <w:shd w:val="clear" w:color="auto" w:fill="FFFFFF"/>
        </w:rPr>
        <w:t>, 2018). To further increase efficacy of peer-assessment, misconceptions amongst pupils should be addressed by practitioners. However, scaffolds are also an option to address misconceptions (</w:t>
      </w:r>
      <w:r w:rsidRPr="00FA2529">
        <w:rPr>
          <w:rFonts w:ascii="Arial" w:hAnsi="Arial" w:cs="Arial"/>
          <w:sz w:val="22"/>
          <w:szCs w:val="22"/>
        </w:rPr>
        <w:t xml:space="preserve">Double, McGrane and </w:t>
      </w:r>
      <w:proofErr w:type="spellStart"/>
      <w:r w:rsidRPr="00FA2529">
        <w:rPr>
          <w:rFonts w:ascii="Arial" w:hAnsi="Arial" w:cs="Arial"/>
          <w:sz w:val="22"/>
          <w:szCs w:val="22"/>
        </w:rPr>
        <w:t>Hopfenbeck</w:t>
      </w:r>
      <w:proofErr w:type="spellEnd"/>
      <w:r w:rsidRPr="00FA2529">
        <w:rPr>
          <w:rFonts w:ascii="Arial" w:hAnsi="Arial" w:cs="Arial"/>
          <w:sz w:val="22"/>
          <w:szCs w:val="22"/>
        </w:rPr>
        <w:t>, 2020</w:t>
      </w:r>
      <w:r>
        <w:rPr>
          <w:rFonts w:ascii="Arial" w:hAnsi="Arial" w:cs="Arial"/>
          <w:sz w:val="22"/>
          <w:szCs w:val="22"/>
        </w:rPr>
        <w:t xml:space="preserve">). </w:t>
      </w:r>
    </w:p>
    <w:p w14:paraId="0290CF7A" w14:textId="77777777" w:rsidR="00552C97" w:rsidRDefault="00552C97" w:rsidP="005F0832">
      <w:pPr>
        <w:spacing w:line="360" w:lineRule="auto"/>
        <w:rPr>
          <w:rFonts w:ascii="Arial" w:hAnsi="Arial" w:cs="Arial"/>
          <w:sz w:val="22"/>
          <w:szCs w:val="22"/>
        </w:rPr>
      </w:pPr>
    </w:p>
    <w:p w14:paraId="2807457B" w14:textId="77777777" w:rsidR="00EE5CF4" w:rsidRDefault="00552C97" w:rsidP="005F0832">
      <w:pPr>
        <w:spacing w:line="360" w:lineRule="auto"/>
        <w:rPr>
          <w:rFonts w:ascii="Arial" w:hAnsi="Arial" w:cs="Arial"/>
          <w:sz w:val="22"/>
          <w:szCs w:val="22"/>
        </w:rPr>
      </w:pPr>
      <w:r>
        <w:rPr>
          <w:rFonts w:ascii="Arial" w:hAnsi="Arial" w:cs="Arial"/>
          <w:sz w:val="22"/>
          <w:szCs w:val="22"/>
        </w:rPr>
        <w:t xml:space="preserve">Coe et al (2014) define great teaching as practice leading to pupil progression. </w:t>
      </w:r>
    </w:p>
    <w:p w14:paraId="08742775" w14:textId="7735DFBF" w:rsidR="00552C97" w:rsidRDefault="00552C97" w:rsidP="005F0832">
      <w:pPr>
        <w:spacing w:line="360" w:lineRule="auto"/>
        <w:rPr>
          <w:rFonts w:ascii="Arial" w:hAnsi="Arial" w:cs="Arial"/>
          <w:sz w:val="22"/>
          <w:szCs w:val="22"/>
        </w:rPr>
      </w:pPr>
      <w:r>
        <w:rPr>
          <w:rFonts w:ascii="Arial" w:hAnsi="Arial" w:cs="Arial"/>
          <w:sz w:val="22"/>
          <w:szCs w:val="22"/>
        </w:rPr>
        <w:t xml:space="preserve">Implementation of </w:t>
      </w:r>
      <w:proofErr w:type="spellStart"/>
      <w:r>
        <w:rPr>
          <w:rFonts w:ascii="Arial" w:hAnsi="Arial" w:cs="Arial"/>
          <w:sz w:val="22"/>
          <w:szCs w:val="22"/>
        </w:rPr>
        <w:t>AfL</w:t>
      </w:r>
      <w:proofErr w:type="spellEnd"/>
      <w:r>
        <w:rPr>
          <w:rFonts w:ascii="Arial" w:hAnsi="Arial" w:cs="Arial"/>
          <w:sz w:val="22"/>
          <w:szCs w:val="22"/>
        </w:rPr>
        <w:t xml:space="preserve"> strategies has been identified as effective practice (Black and </w:t>
      </w:r>
      <w:proofErr w:type="spellStart"/>
      <w:r>
        <w:rPr>
          <w:rFonts w:ascii="Arial" w:hAnsi="Arial" w:cs="Arial"/>
          <w:sz w:val="22"/>
          <w:szCs w:val="22"/>
        </w:rPr>
        <w:t>Wiliam</w:t>
      </w:r>
      <w:proofErr w:type="spellEnd"/>
      <w:r>
        <w:rPr>
          <w:rFonts w:ascii="Arial" w:hAnsi="Arial" w:cs="Arial"/>
          <w:sz w:val="22"/>
          <w:szCs w:val="22"/>
        </w:rPr>
        <w:t xml:space="preserve">, 1998; </w:t>
      </w:r>
      <w:proofErr w:type="spellStart"/>
      <w:r>
        <w:rPr>
          <w:rFonts w:ascii="Arial" w:hAnsi="Arial" w:cs="Arial"/>
          <w:sz w:val="22"/>
          <w:szCs w:val="22"/>
        </w:rPr>
        <w:t>Estyn</w:t>
      </w:r>
      <w:proofErr w:type="spellEnd"/>
      <w:r>
        <w:rPr>
          <w:rFonts w:ascii="Arial" w:hAnsi="Arial" w:cs="Arial"/>
          <w:sz w:val="22"/>
          <w:szCs w:val="22"/>
        </w:rPr>
        <w:t xml:space="preserve">, 2018;2022). To further ensure I provide great teaching, self-reflection against the PTSL is vital. Coe et al (2014) further supports the idea of reflective practitioners </w:t>
      </w:r>
      <w:proofErr w:type="gramStart"/>
      <w:r>
        <w:rPr>
          <w:rFonts w:ascii="Arial" w:hAnsi="Arial" w:cs="Arial"/>
          <w:sz w:val="22"/>
          <w:szCs w:val="22"/>
        </w:rPr>
        <w:t>in order to</w:t>
      </w:r>
      <w:proofErr w:type="gramEnd"/>
      <w:r>
        <w:rPr>
          <w:rFonts w:ascii="Arial" w:hAnsi="Arial" w:cs="Arial"/>
          <w:sz w:val="22"/>
          <w:szCs w:val="22"/>
        </w:rPr>
        <w:t xml:space="preserve"> teach effectively. The Great Teaching Toolkit has been published </w:t>
      </w:r>
      <w:proofErr w:type="gramStart"/>
      <w:r>
        <w:rPr>
          <w:rFonts w:ascii="Arial" w:hAnsi="Arial" w:cs="Arial"/>
          <w:sz w:val="22"/>
          <w:szCs w:val="22"/>
        </w:rPr>
        <w:t>in order to</w:t>
      </w:r>
      <w:proofErr w:type="gramEnd"/>
      <w:r>
        <w:rPr>
          <w:rFonts w:ascii="Arial" w:hAnsi="Arial" w:cs="Arial"/>
          <w:sz w:val="22"/>
          <w:szCs w:val="22"/>
        </w:rPr>
        <w:t xml:space="preserve"> highlight forms of professional learning that can lead to improvements in practice (Coe et al., 2020). Four broad areas have been identified as elements of great teaching each supported by literature (Coe et al., 2020). The elements are as follows: content knowledge and understanding, effective classroom management, activating pupil’s thinking and creating a supportive learning environment (Coe et al., 2020). </w:t>
      </w:r>
      <w:r w:rsidR="00543F7E">
        <w:rPr>
          <w:rFonts w:ascii="Arial" w:hAnsi="Arial" w:cs="Arial"/>
          <w:sz w:val="22"/>
          <w:szCs w:val="22"/>
        </w:rPr>
        <w:t xml:space="preserve">The elements within the Great Teaching Toolkit resemble the </w:t>
      </w:r>
      <w:r w:rsidR="0026309A">
        <w:rPr>
          <w:rFonts w:ascii="Arial" w:hAnsi="Arial" w:cs="Arial"/>
          <w:sz w:val="22"/>
          <w:szCs w:val="22"/>
        </w:rPr>
        <w:t xml:space="preserve">twelve pedagogical principles outlined in the </w:t>
      </w:r>
      <w:proofErr w:type="spellStart"/>
      <w:r w:rsidR="0026309A">
        <w:rPr>
          <w:rFonts w:ascii="Arial" w:hAnsi="Arial" w:cs="Arial"/>
          <w:sz w:val="22"/>
          <w:szCs w:val="22"/>
        </w:rPr>
        <w:t>CfW</w:t>
      </w:r>
      <w:proofErr w:type="spellEnd"/>
      <w:r w:rsidR="0026309A">
        <w:rPr>
          <w:rFonts w:ascii="Arial" w:hAnsi="Arial" w:cs="Arial"/>
          <w:sz w:val="22"/>
          <w:szCs w:val="22"/>
        </w:rPr>
        <w:t xml:space="preserve">. </w:t>
      </w:r>
      <w:r>
        <w:rPr>
          <w:rFonts w:ascii="Arial" w:hAnsi="Arial" w:cs="Arial"/>
          <w:sz w:val="22"/>
          <w:szCs w:val="22"/>
        </w:rPr>
        <w:t xml:space="preserve">From personal experience, </w:t>
      </w:r>
      <w:proofErr w:type="spellStart"/>
      <w:r>
        <w:rPr>
          <w:rFonts w:ascii="Arial" w:hAnsi="Arial" w:cs="Arial"/>
          <w:sz w:val="22"/>
          <w:szCs w:val="22"/>
        </w:rPr>
        <w:t>trialling</w:t>
      </w:r>
      <w:proofErr w:type="spellEnd"/>
      <w:r>
        <w:rPr>
          <w:rFonts w:ascii="Arial" w:hAnsi="Arial" w:cs="Arial"/>
          <w:sz w:val="22"/>
          <w:szCs w:val="22"/>
        </w:rPr>
        <w:t xml:space="preserve"> different strategies within the classroom environment is key in meeting </w:t>
      </w:r>
      <w:r>
        <w:rPr>
          <w:rFonts w:ascii="Arial" w:hAnsi="Arial" w:cs="Arial"/>
          <w:sz w:val="22"/>
          <w:szCs w:val="22"/>
        </w:rPr>
        <w:lastRenderedPageBreak/>
        <w:t xml:space="preserve">the elements. Self-reflection upon the strategies is therefore key in ensuring great teaching and learning. </w:t>
      </w:r>
    </w:p>
    <w:p w14:paraId="702A92E1" w14:textId="77777777" w:rsidR="00B82144" w:rsidRDefault="00B82144" w:rsidP="005F0832">
      <w:pPr>
        <w:spacing w:line="360" w:lineRule="auto"/>
        <w:rPr>
          <w:rFonts w:ascii="Arial" w:hAnsi="Arial" w:cs="Arial"/>
          <w:sz w:val="22"/>
          <w:szCs w:val="22"/>
        </w:rPr>
      </w:pPr>
    </w:p>
    <w:p w14:paraId="6B1A6675" w14:textId="46A62D74" w:rsidR="00552C97" w:rsidRDefault="00552C97" w:rsidP="005F0832">
      <w:pPr>
        <w:spacing w:line="360" w:lineRule="auto"/>
        <w:rPr>
          <w:rFonts w:ascii="Arial" w:hAnsi="Arial" w:cs="Arial"/>
          <w:sz w:val="22"/>
          <w:szCs w:val="22"/>
        </w:rPr>
      </w:pPr>
      <w:r>
        <w:rPr>
          <w:rFonts w:ascii="Arial" w:hAnsi="Arial" w:cs="Arial"/>
          <w:sz w:val="22"/>
          <w:szCs w:val="22"/>
        </w:rPr>
        <w:t xml:space="preserve">Currently, as a student teacher I am working towards achieving QTS level of the PTSL. To qualify, I must reflect on each standard providing evidence of the professional experience. Once achieved, a newly qualified teacher (NQT) will move on to the induction level of descriptors. As mentioned in my introduction, </w:t>
      </w:r>
      <w:proofErr w:type="spellStart"/>
      <w:r>
        <w:rPr>
          <w:rFonts w:ascii="Arial" w:hAnsi="Arial" w:cs="Arial"/>
          <w:sz w:val="22"/>
          <w:szCs w:val="22"/>
        </w:rPr>
        <w:t>AfL</w:t>
      </w:r>
      <w:proofErr w:type="spellEnd"/>
      <w:r>
        <w:rPr>
          <w:rFonts w:ascii="Arial" w:hAnsi="Arial" w:cs="Arial"/>
          <w:sz w:val="22"/>
          <w:szCs w:val="22"/>
        </w:rPr>
        <w:t xml:space="preserve"> links directly to the assessment descriptor within the PTSL. Engaging with wider research around the subject of </w:t>
      </w:r>
      <w:proofErr w:type="spellStart"/>
      <w:r>
        <w:rPr>
          <w:rFonts w:ascii="Arial" w:hAnsi="Arial" w:cs="Arial"/>
          <w:sz w:val="22"/>
          <w:szCs w:val="22"/>
        </w:rPr>
        <w:t>AfL</w:t>
      </w:r>
      <w:proofErr w:type="spellEnd"/>
      <w:r>
        <w:rPr>
          <w:rFonts w:ascii="Arial" w:hAnsi="Arial" w:cs="Arial"/>
          <w:sz w:val="22"/>
          <w:szCs w:val="22"/>
        </w:rPr>
        <w:t xml:space="preserve"> has enabled me to understand</w:t>
      </w:r>
      <w:r w:rsidRPr="00FA2529">
        <w:rPr>
          <w:rFonts w:ascii="Arial" w:hAnsi="Arial" w:cs="Arial"/>
          <w:sz w:val="22"/>
          <w:szCs w:val="22"/>
        </w:rPr>
        <w:t xml:space="preserve"> the range of practices for assessment </w:t>
      </w:r>
      <w:r>
        <w:rPr>
          <w:rFonts w:ascii="Arial" w:hAnsi="Arial" w:cs="Arial"/>
          <w:sz w:val="22"/>
          <w:szCs w:val="22"/>
        </w:rPr>
        <w:t xml:space="preserve">as outlined in the PTSL. Through undertaking wider research around questioning and peer-assessment, I have further enhanced my professional learning also meeting the wider research and findings descriptor of the PTSL. </w:t>
      </w:r>
    </w:p>
    <w:p w14:paraId="6ED974C0" w14:textId="77777777" w:rsidR="00552C97" w:rsidRDefault="00552C97" w:rsidP="005F0832">
      <w:pPr>
        <w:spacing w:line="360" w:lineRule="auto"/>
        <w:rPr>
          <w:rFonts w:ascii="Arial" w:hAnsi="Arial" w:cs="Arial"/>
          <w:sz w:val="22"/>
          <w:szCs w:val="22"/>
        </w:rPr>
      </w:pPr>
    </w:p>
    <w:p w14:paraId="2760EE26" w14:textId="77777777" w:rsidR="00552C97" w:rsidRDefault="00552C97" w:rsidP="005F0832">
      <w:pPr>
        <w:spacing w:line="360" w:lineRule="auto"/>
        <w:rPr>
          <w:rFonts w:ascii="Arial" w:hAnsi="Arial" w:cs="Arial"/>
          <w:sz w:val="22"/>
          <w:szCs w:val="22"/>
        </w:rPr>
      </w:pPr>
      <w:r>
        <w:rPr>
          <w:rFonts w:ascii="Arial" w:hAnsi="Arial" w:cs="Arial"/>
          <w:sz w:val="22"/>
          <w:szCs w:val="22"/>
        </w:rPr>
        <w:t xml:space="preserve">In conclusion, the critical analysis of my chosen </w:t>
      </w:r>
      <w:proofErr w:type="spellStart"/>
      <w:r>
        <w:rPr>
          <w:rFonts w:ascii="Arial" w:hAnsi="Arial" w:cs="Arial"/>
          <w:sz w:val="22"/>
          <w:szCs w:val="22"/>
        </w:rPr>
        <w:t>AfL</w:t>
      </w:r>
      <w:proofErr w:type="spellEnd"/>
      <w:r>
        <w:rPr>
          <w:rFonts w:ascii="Arial" w:hAnsi="Arial" w:cs="Arial"/>
          <w:sz w:val="22"/>
          <w:szCs w:val="22"/>
        </w:rPr>
        <w:t xml:space="preserve"> strategies has proved beneficial in broadening my knowledge on the subject. Comparing both benefits and limitations enables informed decisions around implementations of strategies in future practice. On reflection, the next steps for my development include progressing onto induction level of the PTSL as an NQT.</w:t>
      </w:r>
    </w:p>
    <w:p w14:paraId="4C9D0025" w14:textId="77777777" w:rsidR="00552C97" w:rsidRDefault="00552C97" w:rsidP="00AB0471">
      <w:pPr>
        <w:spacing w:line="360" w:lineRule="auto"/>
        <w:jc w:val="both"/>
        <w:rPr>
          <w:rFonts w:ascii="Arial" w:hAnsi="Arial" w:cs="Arial"/>
          <w:sz w:val="22"/>
          <w:szCs w:val="22"/>
        </w:rPr>
      </w:pPr>
    </w:p>
    <w:p w14:paraId="3E1B6B33" w14:textId="77777777" w:rsidR="00552C97" w:rsidRDefault="00552C97" w:rsidP="00AB0471">
      <w:pPr>
        <w:spacing w:line="360" w:lineRule="auto"/>
        <w:jc w:val="both"/>
        <w:rPr>
          <w:rFonts w:ascii="Arial" w:hAnsi="Arial" w:cs="Arial"/>
          <w:sz w:val="22"/>
          <w:szCs w:val="22"/>
        </w:rPr>
      </w:pPr>
    </w:p>
    <w:p w14:paraId="48CEA6CF" w14:textId="77777777" w:rsidR="00C113DA" w:rsidRPr="00C113DA" w:rsidRDefault="00C113DA" w:rsidP="00C113DA">
      <w:pPr>
        <w:pStyle w:val="NormalWeb"/>
        <w:spacing w:before="0" w:beforeAutospacing="0" w:after="240" w:afterAutospacing="0" w:line="360" w:lineRule="auto"/>
        <w:rPr>
          <w:rFonts w:ascii="Arial" w:hAnsi="Arial" w:cs="Arial"/>
          <w:b/>
          <w:bCs/>
          <w:sz w:val="22"/>
          <w:szCs w:val="22"/>
        </w:rPr>
      </w:pPr>
      <w:r w:rsidRPr="00C113DA">
        <w:rPr>
          <w:rFonts w:ascii="Arial" w:hAnsi="Arial" w:cs="Arial"/>
          <w:b/>
          <w:bCs/>
          <w:sz w:val="22"/>
          <w:szCs w:val="22"/>
        </w:rPr>
        <w:t>Reference list</w:t>
      </w:r>
    </w:p>
    <w:p w14:paraId="3AE22CBD"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Black, P.J. and </w:t>
      </w:r>
      <w:proofErr w:type="spellStart"/>
      <w:r w:rsidRPr="00C113DA">
        <w:rPr>
          <w:rFonts w:ascii="Arial" w:hAnsi="Arial" w:cs="Arial"/>
          <w:sz w:val="22"/>
          <w:szCs w:val="22"/>
        </w:rPr>
        <w:t>Wiliam</w:t>
      </w:r>
      <w:proofErr w:type="spellEnd"/>
      <w:r w:rsidRPr="00C113DA">
        <w:rPr>
          <w:rFonts w:ascii="Arial" w:hAnsi="Arial" w:cs="Arial"/>
          <w:sz w:val="22"/>
          <w:szCs w:val="22"/>
        </w:rPr>
        <w:t xml:space="preserve">, D. (1998). </w:t>
      </w:r>
      <w:r w:rsidRPr="00C113DA">
        <w:rPr>
          <w:rFonts w:ascii="Arial" w:hAnsi="Arial" w:cs="Arial"/>
          <w:i/>
          <w:iCs/>
          <w:sz w:val="22"/>
          <w:szCs w:val="22"/>
        </w:rPr>
        <w:t xml:space="preserve">Inside the Black </w:t>
      </w:r>
      <w:proofErr w:type="gramStart"/>
      <w:r w:rsidRPr="00C113DA">
        <w:rPr>
          <w:rFonts w:ascii="Arial" w:hAnsi="Arial" w:cs="Arial"/>
          <w:i/>
          <w:iCs/>
          <w:sz w:val="22"/>
          <w:szCs w:val="22"/>
        </w:rPr>
        <w:t>Box :</w:t>
      </w:r>
      <w:proofErr w:type="gramEnd"/>
      <w:r w:rsidRPr="00C113DA">
        <w:rPr>
          <w:rFonts w:ascii="Arial" w:hAnsi="Arial" w:cs="Arial"/>
          <w:i/>
          <w:iCs/>
          <w:sz w:val="22"/>
          <w:szCs w:val="22"/>
        </w:rPr>
        <w:t xml:space="preserve"> Raising Standards through Classroom Assessment</w:t>
      </w:r>
      <w:r w:rsidRPr="00C113DA">
        <w:rPr>
          <w:rFonts w:ascii="Arial" w:hAnsi="Arial" w:cs="Arial"/>
          <w:sz w:val="22"/>
          <w:szCs w:val="22"/>
        </w:rPr>
        <w:t>. Cheltenham, Vic.: Hawker Brownlow Education.</w:t>
      </w:r>
    </w:p>
    <w:p w14:paraId="11DB2AD3"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Bouzenita</w:t>
      </w:r>
      <w:proofErr w:type="spellEnd"/>
      <w:r w:rsidRPr="00C113DA">
        <w:rPr>
          <w:rFonts w:ascii="Arial" w:hAnsi="Arial" w:cs="Arial"/>
          <w:sz w:val="22"/>
          <w:szCs w:val="22"/>
        </w:rPr>
        <w:t xml:space="preserve">, A.I. and </w:t>
      </w:r>
      <w:proofErr w:type="spellStart"/>
      <w:r w:rsidRPr="00C113DA">
        <w:rPr>
          <w:rFonts w:ascii="Arial" w:hAnsi="Arial" w:cs="Arial"/>
          <w:sz w:val="22"/>
          <w:szCs w:val="22"/>
        </w:rPr>
        <w:t>Boulanouar</w:t>
      </w:r>
      <w:proofErr w:type="spellEnd"/>
      <w:r w:rsidRPr="00C113DA">
        <w:rPr>
          <w:rFonts w:ascii="Arial" w:hAnsi="Arial" w:cs="Arial"/>
          <w:sz w:val="22"/>
          <w:szCs w:val="22"/>
        </w:rPr>
        <w:t xml:space="preserve">, A.W. (2016). Maslow’s Hierarchy of Needs: </w:t>
      </w:r>
      <w:proofErr w:type="gramStart"/>
      <w:r w:rsidRPr="00C113DA">
        <w:rPr>
          <w:rFonts w:ascii="Arial" w:hAnsi="Arial" w:cs="Arial"/>
          <w:sz w:val="22"/>
          <w:szCs w:val="22"/>
        </w:rPr>
        <w:t>an</w:t>
      </w:r>
      <w:proofErr w:type="gramEnd"/>
      <w:r w:rsidRPr="00C113DA">
        <w:rPr>
          <w:rFonts w:ascii="Arial" w:hAnsi="Arial" w:cs="Arial"/>
          <w:sz w:val="22"/>
          <w:szCs w:val="22"/>
        </w:rPr>
        <w:t xml:space="preserve"> Islamic critique. </w:t>
      </w:r>
      <w:r w:rsidRPr="00C113DA">
        <w:rPr>
          <w:rFonts w:ascii="Arial" w:hAnsi="Arial" w:cs="Arial"/>
          <w:i/>
          <w:iCs/>
          <w:sz w:val="22"/>
          <w:szCs w:val="22"/>
        </w:rPr>
        <w:t>Intellectual Discourse</w:t>
      </w:r>
      <w:r w:rsidRPr="00C113DA">
        <w:rPr>
          <w:rFonts w:ascii="Arial" w:hAnsi="Arial" w:cs="Arial"/>
          <w:sz w:val="22"/>
          <w:szCs w:val="22"/>
        </w:rPr>
        <w:t>, [online] 24(1). Available at: https://journals.iium.edu.my/intdiscourse/index.php/id/article/view/749 [Accessed 30 Mar. 2023].</w:t>
      </w:r>
    </w:p>
    <w:p w14:paraId="2006A42A"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Delta Kappa Gamma Society International (2017). Generational Issues for Educators the Delta Kappa Gamma Bulletin International Journal for Professional Educators. </w:t>
      </w:r>
      <w:r w:rsidRPr="00C113DA">
        <w:rPr>
          <w:rFonts w:ascii="Arial" w:hAnsi="Arial" w:cs="Arial"/>
          <w:i/>
          <w:iCs/>
          <w:sz w:val="22"/>
          <w:szCs w:val="22"/>
        </w:rPr>
        <w:t>International Journal for Professional Educators</w:t>
      </w:r>
      <w:r w:rsidRPr="00C113DA">
        <w:rPr>
          <w:rFonts w:ascii="Arial" w:hAnsi="Arial" w:cs="Arial"/>
          <w:sz w:val="22"/>
          <w:szCs w:val="22"/>
        </w:rPr>
        <w:t>, [online] 84(1). Available at: https://www.dkg.is/static/files/skjol_landsamband/bulletin_grein_jona.pdf#page=30 [Accessed 31 Mar. 2023].</w:t>
      </w:r>
    </w:p>
    <w:p w14:paraId="39D4ABFC"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lastRenderedPageBreak/>
        <w:t xml:space="preserve">Double, K.S., McGrane, J.A. and </w:t>
      </w:r>
      <w:proofErr w:type="spellStart"/>
      <w:r w:rsidRPr="00C113DA">
        <w:rPr>
          <w:rFonts w:ascii="Arial" w:hAnsi="Arial" w:cs="Arial"/>
          <w:sz w:val="22"/>
          <w:szCs w:val="22"/>
        </w:rPr>
        <w:t>Hopfenbeck</w:t>
      </w:r>
      <w:proofErr w:type="spellEnd"/>
      <w:r w:rsidRPr="00C113DA">
        <w:rPr>
          <w:rFonts w:ascii="Arial" w:hAnsi="Arial" w:cs="Arial"/>
          <w:sz w:val="22"/>
          <w:szCs w:val="22"/>
        </w:rPr>
        <w:t xml:space="preserve">, T.N. (2019). The Impact of Peer Assessment on Academic Performance: </w:t>
      </w:r>
      <w:proofErr w:type="gramStart"/>
      <w:r w:rsidRPr="00C113DA">
        <w:rPr>
          <w:rFonts w:ascii="Arial" w:hAnsi="Arial" w:cs="Arial"/>
          <w:sz w:val="22"/>
          <w:szCs w:val="22"/>
        </w:rPr>
        <w:t>a</w:t>
      </w:r>
      <w:proofErr w:type="gramEnd"/>
      <w:r w:rsidRPr="00C113DA">
        <w:rPr>
          <w:rFonts w:ascii="Arial" w:hAnsi="Arial" w:cs="Arial"/>
          <w:sz w:val="22"/>
          <w:szCs w:val="22"/>
        </w:rPr>
        <w:t xml:space="preserve"> Meta-analysis of Control Group Studies. </w:t>
      </w:r>
      <w:r w:rsidRPr="00C113DA">
        <w:rPr>
          <w:rFonts w:ascii="Arial" w:hAnsi="Arial" w:cs="Arial"/>
          <w:i/>
          <w:iCs/>
          <w:sz w:val="22"/>
          <w:szCs w:val="22"/>
        </w:rPr>
        <w:t>Educational Psychology Review</w:t>
      </w:r>
      <w:r w:rsidRPr="00C113DA">
        <w:rPr>
          <w:rFonts w:ascii="Arial" w:hAnsi="Arial" w:cs="Arial"/>
          <w:sz w:val="22"/>
          <w:szCs w:val="22"/>
        </w:rPr>
        <w:t xml:space="preserve">, [online] 32(32).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://doi.org/10.1007/s10648-019-09510-3</w:t>
      </w:r>
      <w:proofErr w:type="gramEnd"/>
      <w:r w:rsidRPr="00C113DA">
        <w:rPr>
          <w:rFonts w:ascii="Arial" w:hAnsi="Arial" w:cs="Arial"/>
          <w:sz w:val="22"/>
          <w:szCs w:val="22"/>
        </w:rPr>
        <w:t>.</w:t>
      </w:r>
    </w:p>
    <w:p w14:paraId="2ED6BC63"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Estyn (2018). Assessment for Learning and Thinking Skills. Available at: https://www.estyn.gov.wales/effective-practice/assessment-learning-and-thinking-skills [Accessed 30 Mar. 2023].</w:t>
      </w:r>
    </w:p>
    <w:p w14:paraId="7F05F3A2"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Estyn (2022). </w:t>
      </w:r>
      <w:r w:rsidRPr="00C113DA">
        <w:rPr>
          <w:rFonts w:ascii="Arial" w:hAnsi="Arial" w:cs="Arial"/>
          <w:i/>
          <w:iCs/>
          <w:sz w:val="22"/>
          <w:szCs w:val="22"/>
        </w:rPr>
        <w:t>Effective Approaches to Assessment That Improve Teaching and Learning</w:t>
      </w:r>
      <w:r w:rsidRPr="00C113DA">
        <w:rPr>
          <w:rFonts w:ascii="Arial" w:hAnsi="Arial" w:cs="Arial"/>
          <w:sz w:val="22"/>
          <w:szCs w:val="22"/>
        </w:rPr>
        <w:t>. [online] Available at: https://www.estyn.gov.wales/system/files/2022-10/Effective%20approaches%20to%20assessment%20that%20improve%20teaching%20and%20learning.pdf [Accessed 31 Mar. 2023].</w:t>
      </w:r>
    </w:p>
    <w:p w14:paraId="22608D9B"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Hattie, J. (2009). </w:t>
      </w:r>
      <w:r w:rsidRPr="00C113DA">
        <w:rPr>
          <w:rFonts w:ascii="Arial" w:hAnsi="Arial" w:cs="Arial"/>
          <w:i/>
          <w:iCs/>
          <w:sz w:val="22"/>
          <w:szCs w:val="22"/>
        </w:rPr>
        <w:t xml:space="preserve">The Black Box of Tertiary Assessment: </w:t>
      </w:r>
      <w:proofErr w:type="gramStart"/>
      <w:r w:rsidRPr="00C113DA">
        <w:rPr>
          <w:rFonts w:ascii="Arial" w:hAnsi="Arial" w:cs="Arial"/>
          <w:i/>
          <w:iCs/>
          <w:sz w:val="22"/>
          <w:szCs w:val="22"/>
        </w:rPr>
        <w:t>an</w:t>
      </w:r>
      <w:proofErr w:type="gramEnd"/>
      <w:r w:rsidRPr="00C113DA">
        <w:rPr>
          <w:rFonts w:ascii="Arial" w:hAnsi="Arial" w:cs="Arial"/>
          <w:i/>
          <w:iCs/>
          <w:sz w:val="22"/>
          <w:szCs w:val="22"/>
        </w:rPr>
        <w:t xml:space="preserve"> Impending Revolution</w:t>
      </w:r>
      <w:r w:rsidRPr="00C113DA">
        <w:rPr>
          <w:rFonts w:ascii="Arial" w:hAnsi="Arial" w:cs="Arial"/>
          <w:sz w:val="22"/>
          <w:szCs w:val="22"/>
        </w:rPr>
        <w:t>. [online] Available at: https://citeseerx.ist.psu.edu/document?repid=rep1&amp;type=pdf&amp;doi=ef18bd57b49bf1cb99b4b7fd150c893e607c6b6b [Accessed 30 Mar. 2023].</w:t>
      </w:r>
    </w:p>
    <w:p w14:paraId="6D25419B"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King-Hill, S. (2015). </w:t>
      </w:r>
      <w:r w:rsidRPr="00C113DA">
        <w:rPr>
          <w:rFonts w:ascii="Arial" w:hAnsi="Arial" w:cs="Arial"/>
          <w:i/>
          <w:iCs/>
          <w:sz w:val="22"/>
          <w:szCs w:val="22"/>
        </w:rPr>
        <w:t>Critical Analysis of Maslow’s Hierarchy of Need</w:t>
      </w:r>
      <w:r w:rsidRPr="00C113DA">
        <w:rPr>
          <w:rFonts w:ascii="Arial" w:hAnsi="Arial" w:cs="Arial"/>
          <w:sz w:val="22"/>
          <w:szCs w:val="22"/>
        </w:rPr>
        <w:t>. [online] Available at: https://eprints.worc.ac.uk/4061/3/King-Hill%2520Final%2520HON-1.pdf [Accessed 30 Mar. 2023].</w:t>
      </w:r>
    </w:p>
    <w:p w14:paraId="4952D064"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Klenowski</w:t>
      </w:r>
      <w:proofErr w:type="spellEnd"/>
      <w:r w:rsidRPr="00C113DA">
        <w:rPr>
          <w:rFonts w:ascii="Arial" w:hAnsi="Arial" w:cs="Arial"/>
          <w:sz w:val="22"/>
          <w:szCs w:val="22"/>
        </w:rPr>
        <w:t xml:space="preserve">, V. (2009). Assessment for Learning revisited: an Asia-Pacific perspective. Assessment in Education: Principles, Policy &amp; Practice, 16(3), pp.263–268. </w:t>
      </w:r>
    </w:p>
    <w:p w14:paraId="09117A8D"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Kollar</w:t>
      </w:r>
      <w:proofErr w:type="spellEnd"/>
      <w:r w:rsidRPr="00C113DA">
        <w:rPr>
          <w:rFonts w:ascii="Arial" w:hAnsi="Arial" w:cs="Arial"/>
          <w:sz w:val="22"/>
          <w:szCs w:val="22"/>
        </w:rPr>
        <w:t xml:space="preserve">, I. and Fischer, F. (2012). Peer Assessment as Collaborative learning: a Cognitive Perspective. </w:t>
      </w:r>
      <w:r w:rsidRPr="00C113DA">
        <w:rPr>
          <w:rFonts w:ascii="Arial" w:hAnsi="Arial" w:cs="Arial"/>
          <w:i/>
          <w:iCs/>
          <w:sz w:val="22"/>
          <w:szCs w:val="22"/>
        </w:rPr>
        <w:t>Learning and Instruction</w:t>
      </w:r>
      <w:r w:rsidRPr="00C113DA">
        <w:rPr>
          <w:rFonts w:ascii="Arial" w:hAnsi="Arial" w:cs="Arial"/>
          <w:sz w:val="22"/>
          <w:szCs w:val="22"/>
        </w:rPr>
        <w:t>, [online] 20(4)(4), p.344. Available at: https://hal.science/hal-00703943 [Accessed 1 Apr. 2023].</w:t>
      </w:r>
    </w:p>
    <w:p w14:paraId="7E972E1D"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Liu, N.-F. and Carless, D. (2006). Peer feedback: the Learning Element of Peer Assessment. </w:t>
      </w:r>
      <w:r w:rsidRPr="00C113DA">
        <w:rPr>
          <w:rFonts w:ascii="Arial" w:hAnsi="Arial" w:cs="Arial"/>
          <w:i/>
          <w:iCs/>
          <w:sz w:val="22"/>
          <w:szCs w:val="22"/>
        </w:rPr>
        <w:t>Teaching in Higher Education</w:t>
      </w:r>
      <w:r w:rsidRPr="00C113DA">
        <w:rPr>
          <w:rFonts w:ascii="Arial" w:hAnsi="Arial" w:cs="Arial"/>
          <w:sz w:val="22"/>
          <w:szCs w:val="22"/>
        </w:rPr>
        <w:t xml:space="preserve">, [online] 11(3), pp.279–290.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://doi.org/10.1080/13562510600680582</w:t>
      </w:r>
      <w:proofErr w:type="gramEnd"/>
      <w:r w:rsidRPr="00C113DA">
        <w:rPr>
          <w:rFonts w:ascii="Arial" w:hAnsi="Arial" w:cs="Arial"/>
          <w:sz w:val="22"/>
          <w:szCs w:val="22"/>
        </w:rPr>
        <w:t>.</w:t>
      </w:r>
    </w:p>
    <w:p w14:paraId="08D105E6"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Mohammad, S., </w:t>
      </w:r>
      <w:proofErr w:type="spellStart"/>
      <w:r w:rsidRPr="00C113DA">
        <w:rPr>
          <w:rFonts w:ascii="Arial" w:hAnsi="Arial" w:cs="Arial"/>
          <w:sz w:val="22"/>
          <w:szCs w:val="22"/>
        </w:rPr>
        <w:t>Soozandehfar</w:t>
      </w:r>
      <w:proofErr w:type="spellEnd"/>
      <w:r w:rsidRPr="00C113DA">
        <w:rPr>
          <w:rFonts w:ascii="Arial" w:hAnsi="Arial" w:cs="Arial"/>
          <w:sz w:val="22"/>
          <w:szCs w:val="22"/>
        </w:rPr>
        <w:t xml:space="preserve">, A. and </w:t>
      </w:r>
      <w:proofErr w:type="spellStart"/>
      <w:r w:rsidRPr="00C113DA">
        <w:rPr>
          <w:rFonts w:ascii="Arial" w:hAnsi="Arial" w:cs="Arial"/>
          <w:sz w:val="22"/>
          <w:szCs w:val="22"/>
        </w:rPr>
        <w:t>Adeli</w:t>
      </w:r>
      <w:proofErr w:type="spellEnd"/>
      <w:r w:rsidRPr="00C113DA">
        <w:rPr>
          <w:rFonts w:ascii="Arial" w:hAnsi="Arial" w:cs="Arial"/>
          <w:sz w:val="22"/>
          <w:szCs w:val="22"/>
        </w:rPr>
        <w:t xml:space="preserve">, M. (2016). </w:t>
      </w:r>
      <w:r w:rsidRPr="00C113DA">
        <w:rPr>
          <w:rFonts w:ascii="Arial" w:hAnsi="Arial" w:cs="Arial"/>
          <w:i/>
          <w:iCs/>
          <w:sz w:val="22"/>
          <w:szCs w:val="22"/>
        </w:rPr>
        <w:t>A Critical Appraisal of Bloom’s Taxonomy</w:t>
      </w:r>
      <w:r w:rsidRPr="00C113DA">
        <w:rPr>
          <w:rFonts w:ascii="Arial" w:hAnsi="Arial" w:cs="Arial"/>
          <w:sz w:val="22"/>
          <w:szCs w:val="22"/>
        </w:rPr>
        <w:t xml:space="preserve">. [online] </w:t>
      </w:r>
      <w:r w:rsidRPr="00C113DA">
        <w:rPr>
          <w:rFonts w:ascii="Arial" w:hAnsi="Arial" w:cs="Arial"/>
          <w:i/>
          <w:iCs/>
          <w:sz w:val="22"/>
          <w:szCs w:val="22"/>
        </w:rPr>
        <w:t>American Research Journal of English and Literature</w:t>
      </w:r>
      <w:r w:rsidRPr="00C113DA">
        <w:rPr>
          <w:rFonts w:ascii="Arial" w:hAnsi="Arial" w:cs="Arial"/>
          <w:sz w:val="22"/>
          <w:szCs w:val="22"/>
        </w:rPr>
        <w:t>. ARJEL. Available at: https://www.arjonline.org/papers/arjel/v2-i1/14.pdf [Accessed 31 Mar. 2023].</w:t>
      </w:r>
    </w:p>
    <w:p w14:paraId="55DC09AB"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Northern Illinois University </w:t>
      </w:r>
      <w:proofErr w:type="spellStart"/>
      <w:r w:rsidRPr="00C113DA">
        <w:rPr>
          <w:rFonts w:ascii="Arial" w:hAnsi="Arial" w:cs="Arial"/>
          <w:sz w:val="22"/>
          <w:szCs w:val="22"/>
        </w:rPr>
        <w:t>Center</w:t>
      </w:r>
      <w:proofErr w:type="spellEnd"/>
      <w:r w:rsidRPr="00C113DA">
        <w:rPr>
          <w:rFonts w:ascii="Arial" w:hAnsi="Arial" w:cs="Arial"/>
          <w:sz w:val="22"/>
          <w:szCs w:val="22"/>
        </w:rPr>
        <w:t xml:space="preserve"> for Innovative Teaching and Learning (2012). </w:t>
      </w:r>
      <w:r w:rsidRPr="00C113DA">
        <w:rPr>
          <w:rFonts w:ascii="Arial" w:hAnsi="Arial" w:cs="Arial"/>
          <w:i/>
          <w:iCs/>
          <w:sz w:val="22"/>
          <w:szCs w:val="22"/>
        </w:rPr>
        <w:t xml:space="preserve">Instructional Guide - NIU - </w:t>
      </w:r>
      <w:proofErr w:type="spellStart"/>
      <w:r w:rsidRPr="00C113DA">
        <w:rPr>
          <w:rFonts w:ascii="Arial" w:hAnsi="Arial" w:cs="Arial"/>
          <w:i/>
          <w:iCs/>
          <w:sz w:val="22"/>
          <w:szCs w:val="22"/>
        </w:rPr>
        <w:t>Center</w:t>
      </w:r>
      <w:proofErr w:type="spellEnd"/>
      <w:r w:rsidRPr="00C113DA">
        <w:rPr>
          <w:rFonts w:ascii="Arial" w:hAnsi="Arial" w:cs="Arial"/>
          <w:i/>
          <w:iCs/>
          <w:sz w:val="22"/>
          <w:szCs w:val="22"/>
        </w:rPr>
        <w:t xml:space="preserve"> for Innovative Teaching and Learning</w:t>
      </w:r>
      <w:r w:rsidRPr="00C113DA">
        <w:rPr>
          <w:rFonts w:ascii="Arial" w:hAnsi="Arial" w:cs="Arial"/>
          <w:sz w:val="22"/>
          <w:szCs w:val="22"/>
        </w:rPr>
        <w:t xml:space="preserve">. [online] Northern Illinois </w:t>
      </w:r>
      <w:r w:rsidRPr="00C113DA">
        <w:rPr>
          <w:rFonts w:ascii="Arial" w:hAnsi="Arial" w:cs="Arial"/>
          <w:sz w:val="22"/>
          <w:szCs w:val="22"/>
        </w:rPr>
        <w:lastRenderedPageBreak/>
        <w:t>University. Available at: https://www.niu.edu/citl/resources/guides/instructional-guide [Accessed 30 Mar. 2023].</w:t>
      </w:r>
    </w:p>
    <w:p w14:paraId="756BB90A"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Panadero, E., &amp; </w:t>
      </w:r>
      <w:proofErr w:type="spellStart"/>
      <w:r w:rsidRPr="00C113DA">
        <w:rPr>
          <w:rFonts w:ascii="Arial" w:hAnsi="Arial" w:cs="Arial"/>
          <w:sz w:val="22"/>
          <w:szCs w:val="22"/>
        </w:rPr>
        <w:t>Alqassab</w:t>
      </w:r>
      <w:proofErr w:type="spellEnd"/>
      <w:r w:rsidRPr="00C113DA">
        <w:rPr>
          <w:rFonts w:ascii="Arial" w:hAnsi="Arial" w:cs="Arial"/>
          <w:sz w:val="22"/>
          <w:szCs w:val="22"/>
        </w:rPr>
        <w:t>, M. (2019). An empirical review of anonymity effects in peer assessment, peer feedback, peer review, peer evaluation and peer grading. </w:t>
      </w:r>
      <w:r w:rsidRPr="00C113DA">
        <w:rPr>
          <w:rFonts w:ascii="Arial" w:hAnsi="Arial" w:cs="Arial"/>
          <w:i/>
          <w:iCs/>
          <w:sz w:val="22"/>
          <w:szCs w:val="22"/>
        </w:rPr>
        <w:t>Assessment &amp; Evaluation in Higher Education</w:t>
      </w:r>
      <w:r w:rsidRPr="00C113DA">
        <w:rPr>
          <w:rFonts w:ascii="Arial" w:hAnsi="Arial" w:cs="Arial"/>
          <w:sz w:val="22"/>
          <w:szCs w:val="22"/>
        </w:rPr>
        <w:t xml:space="preserve">, 1–26. </w:t>
      </w:r>
    </w:p>
    <w:p w14:paraId="40A69F42"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Panadero, E., Romero, M. and </w:t>
      </w:r>
      <w:proofErr w:type="spellStart"/>
      <w:r w:rsidRPr="00C113DA">
        <w:rPr>
          <w:rFonts w:ascii="Arial" w:hAnsi="Arial" w:cs="Arial"/>
          <w:sz w:val="22"/>
          <w:szCs w:val="22"/>
        </w:rPr>
        <w:t>Strijbos</w:t>
      </w:r>
      <w:proofErr w:type="spellEnd"/>
      <w:r w:rsidRPr="00C113DA">
        <w:rPr>
          <w:rFonts w:ascii="Arial" w:hAnsi="Arial" w:cs="Arial"/>
          <w:sz w:val="22"/>
          <w:szCs w:val="22"/>
        </w:rPr>
        <w:t xml:space="preserve">, J.-W. (2013). The Impact of a Rubric and Friendship on Peer assessment: Effects on Construct validity, performance, and Perceptions of Fairness and Comfort. </w:t>
      </w:r>
      <w:r w:rsidRPr="00C113DA">
        <w:rPr>
          <w:rFonts w:ascii="Arial" w:hAnsi="Arial" w:cs="Arial"/>
          <w:i/>
          <w:iCs/>
          <w:sz w:val="22"/>
          <w:szCs w:val="22"/>
        </w:rPr>
        <w:t>Studies in Educational Evaluation</w:t>
      </w:r>
      <w:r w:rsidRPr="00C113DA">
        <w:rPr>
          <w:rFonts w:ascii="Arial" w:hAnsi="Arial" w:cs="Arial"/>
          <w:sz w:val="22"/>
          <w:szCs w:val="22"/>
        </w:rPr>
        <w:t xml:space="preserve">, [online] 39(4), pp.195–203.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://doi.org/10.1016/j.stueduc.2013.10.005</w:t>
      </w:r>
      <w:proofErr w:type="gramEnd"/>
      <w:r w:rsidRPr="00C113DA">
        <w:rPr>
          <w:rFonts w:ascii="Arial" w:hAnsi="Arial" w:cs="Arial"/>
          <w:sz w:val="22"/>
          <w:szCs w:val="22"/>
        </w:rPr>
        <w:t>.</w:t>
      </w:r>
    </w:p>
    <w:p w14:paraId="53386CBC"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Rotsaert</w:t>
      </w:r>
      <w:proofErr w:type="spellEnd"/>
      <w:r w:rsidRPr="00C113DA">
        <w:rPr>
          <w:rFonts w:ascii="Arial" w:hAnsi="Arial" w:cs="Arial"/>
          <w:sz w:val="22"/>
          <w:szCs w:val="22"/>
        </w:rPr>
        <w:t xml:space="preserve">, T., Panadero, E. and </w:t>
      </w:r>
      <w:proofErr w:type="spellStart"/>
      <w:r w:rsidRPr="00C113DA">
        <w:rPr>
          <w:rFonts w:ascii="Arial" w:hAnsi="Arial" w:cs="Arial"/>
          <w:sz w:val="22"/>
          <w:szCs w:val="22"/>
        </w:rPr>
        <w:t>Schellens</w:t>
      </w:r>
      <w:proofErr w:type="spellEnd"/>
      <w:r w:rsidRPr="00C113DA">
        <w:rPr>
          <w:rFonts w:ascii="Arial" w:hAnsi="Arial" w:cs="Arial"/>
          <w:sz w:val="22"/>
          <w:szCs w:val="22"/>
        </w:rPr>
        <w:t xml:space="preserve">, T. (2018). Anonymity as an Instructional Scaffold in Peer assessment: Its Effects on Peer Feedback Quality and Evolution in Students’ Perceptions about Peer Assessment Skills. </w:t>
      </w:r>
      <w:r w:rsidRPr="00C113DA">
        <w:rPr>
          <w:rFonts w:ascii="Arial" w:hAnsi="Arial" w:cs="Arial"/>
          <w:i/>
          <w:iCs/>
          <w:sz w:val="22"/>
          <w:szCs w:val="22"/>
        </w:rPr>
        <w:t>European Journal of Psychology of Education</w:t>
      </w:r>
      <w:r w:rsidRPr="00C113DA">
        <w:rPr>
          <w:rFonts w:ascii="Arial" w:hAnsi="Arial" w:cs="Arial"/>
          <w:sz w:val="22"/>
          <w:szCs w:val="22"/>
        </w:rPr>
        <w:t xml:space="preserve">, [online] 33(1), pp.75–99.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://doi.org/10.1007/s10212-017-0339-8</w:t>
      </w:r>
      <w:proofErr w:type="gramEnd"/>
      <w:r w:rsidRPr="00C113DA">
        <w:rPr>
          <w:rFonts w:ascii="Arial" w:hAnsi="Arial" w:cs="Arial"/>
          <w:sz w:val="22"/>
          <w:szCs w:val="22"/>
        </w:rPr>
        <w:t>.</w:t>
      </w:r>
    </w:p>
    <w:p w14:paraId="36B04642"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Schildkamp</w:t>
      </w:r>
      <w:proofErr w:type="spellEnd"/>
      <w:r w:rsidRPr="00C113DA">
        <w:rPr>
          <w:rFonts w:ascii="Arial" w:hAnsi="Arial" w:cs="Arial"/>
          <w:sz w:val="22"/>
          <w:szCs w:val="22"/>
        </w:rPr>
        <w:t xml:space="preserve">, K. (2020). Formative assessment: a Systematic Review of Critical Teacher Prerequisites for Classroom Practice. </w:t>
      </w:r>
      <w:r w:rsidRPr="00C113DA">
        <w:rPr>
          <w:rFonts w:ascii="Arial" w:hAnsi="Arial" w:cs="Arial"/>
          <w:i/>
          <w:iCs/>
          <w:sz w:val="22"/>
          <w:szCs w:val="22"/>
        </w:rPr>
        <w:t>International Journal of Educational Research</w:t>
      </w:r>
      <w:r w:rsidRPr="00C113DA">
        <w:rPr>
          <w:rFonts w:ascii="Arial" w:hAnsi="Arial" w:cs="Arial"/>
          <w:sz w:val="22"/>
          <w:szCs w:val="22"/>
        </w:rPr>
        <w:t xml:space="preserve">, [online] 103(101602), p.101602.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://doi.org/10.1016/j.ijer.2020.101602</w:t>
      </w:r>
      <w:proofErr w:type="gramEnd"/>
      <w:r w:rsidRPr="00C113DA">
        <w:rPr>
          <w:rFonts w:ascii="Arial" w:hAnsi="Arial" w:cs="Arial"/>
          <w:sz w:val="22"/>
          <w:szCs w:val="22"/>
        </w:rPr>
        <w:t>.</w:t>
      </w:r>
    </w:p>
    <w:p w14:paraId="23842347"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Sedova</w:t>
      </w:r>
      <w:proofErr w:type="spellEnd"/>
      <w:r w:rsidRPr="00C113DA">
        <w:rPr>
          <w:rFonts w:ascii="Arial" w:hAnsi="Arial" w:cs="Arial"/>
          <w:sz w:val="22"/>
          <w:szCs w:val="22"/>
        </w:rPr>
        <w:t xml:space="preserve">, K., </w:t>
      </w:r>
      <w:proofErr w:type="spellStart"/>
      <w:r w:rsidRPr="00C113DA">
        <w:rPr>
          <w:rFonts w:ascii="Arial" w:hAnsi="Arial" w:cs="Arial"/>
          <w:sz w:val="22"/>
          <w:szCs w:val="22"/>
        </w:rPr>
        <w:t>Sedlacek</w:t>
      </w:r>
      <w:proofErr w:type="spellEnd"/>
      <w:r w:rsidRPr="00C113DA">
        <w:rPr>
          <w:rFonts w:ascii="Arial" w:hAnsi="Arial" w:cs="Arial"/>
          <w:sz w:val="22"/>
          <w:szCs w:val="22"/>
        </w:rPr>
        <w:t xml:space="preserve">, M., </w:t>
      </w:r>
      <w:proofErr w:type="spellStart"/>
      <w:r w:rsidRPr="00C113DA">
        <w:rPr>
          <w:rFonts w:ascii="Arial" w:hAnsi="Arial" w:cs="Arial"/>
          <w:sz w:val="22"/>
          <w:szCs w:val="22"/>
        </w:rPr>
        <w:t>Svaricek</w:t>
      </w:r>
      <w:proofErr w:type="spellEnd"/>
      <w:r w:rsidRPr="00C113DA">
        <w:rPr>
          <w:rFonts w:ascii="Arial" w:hAnsi="Arial" w:cs="Arial"/>
          <w:sz w:val="22"/>
          <w:szCs w:val="22"/>
        </w:rPr>
        <w:t xml:space="preserve">, R., </w:t>
      </w:r>
      <w:proofErr w:type="spellStart"/>
      <w:r w:rsidRPr="00C113DA">
        <w:rPr>
          <w:rFonts w:ascii="Arial" w:hAnsi="Arial" w:cs="Arial"/>
          <w:sz w:val="22"/>
          <w:szCs w:val="22"/>
        </w:rPr>
        <w:t>Majcik</w:t>
      </w:r>
      <w:proofErr w:type="spellEnd"/>
      <w:r w:rsidRPr="00C113DA">
        <w:rPr>
          <w:rFonts w:ascii="Arial" w:hAnsi="Arial" w:cs="Arial"/>
          <w:sz w:val="22"/>
          <w:szCs w:val="22"/>
        </w:rPr>
        <w:t xml:space="preserve">, M., Navratilova, J., </w:t>
      </w:r>
      <w:proofErr w:type="spellStart"/>
      <w:r w:rsidRPr="00C113DA">
        <w:rPr>
          <w:rFonts w:ascii="Arial" w:hAnsi="Arial" w:cs="Arial"/>
          <w:sz w:val="22"/>
          <w:szCs w:val="22"/>
        </w:rPr>
        <w:t>Drexlerova</w:t>
      </w:r>
      <w:proofErr w:type="spellEnd"/>
      <w:r w:rsidRPr="00C113DA">
        <w:rPr>
          <w:rFonts w:ascii="Arial" w:hAnsi="Arial" w:cs="Arial"/>
          <w:sz w:val="22"/>
          <w:szCs w:val="22"/>
        </w:rPr>
        <w:t xml:space="preserve">, A., </w:t>
      </w:r>
      <w:proofErr w:type="spellStart"/>
      <w:r w:rsidRPr="00C113DA">
        <w:rPr>
          <w:rFonts w:ascii="Arial" w:hAnsi="Arial" w:cs="Arial"/>
          <w:sz w:val="22"/>
          <w:szCs w:val="22"/>
        </w:rPr>
        <w:t>Kychler</w:t>
      </w:r>
      <w:proofErr w:type="spellEnd"/>
      <w:r w:rsidRPr="00C113DA">
        <w:rPr>
          <w:rFonts w:ascii="Arial" w:hAnsi="Arial" w:cs="Arial"/>
          <w:sz w:val="22"/>
          <w:szCs w:val="22"/>
        </w:rPr>
        <w:t xml:space="preserve">, J. and </w:t>
      </w:r>
      <w:proofErr w:type="spellStart"/>
      <w:r w:rsidRPr="00C113DA">
        <w:rPr>
          <w:rFonts w:ascii="Arial" w:hAnsi="Arial" w:cs="Arial"/>
          <w:sz w:val="22"/>
          <w:szCs w:val="22"/>
        </w:rPr>
        <w:t>Salamounova</w:t>
      </w:r>
      <w:proofErr w:type="spellEnd"/>
      <w:r w:rsidRPr="00C113DA">
        <w:rPr>
          <w:rFonts w:ascii="Arial" w:hAnsi="Arial" w:cs="Arial"/>
          <w:sz w:val="22"/>
          <w:szCs w:val="22"/>
        </w:rPr>
        <w:t xml:space="preserve">, Z. (2019). Do those who talk more learn more? The relationship between student classroom </w:t>
      </w:r>
      <w:proofErr w:type="gramStart"/>
      <w:r w:rsidRPr="00C113DA">
        <w:rPr>
          <w:rFonts w:ascii="Arial" w:hAnsi="Arial" w:cs="Arial"/>
          <w:sz w:val="22"/>
          <w:szCs w:val="22"/>
        </w:rPr>
        <w:t>talk</w:t>
      </w:r>
      <w:proofErr w:type="gramEnd"/>
      <w:r w:rsidRPr="00C113DA">
        <w:rPr>
          <w:rFonts w:ascii="Arial" w:hAnsi="Arial" w:cs="Arial"/>
          <w:sz w:val="22"/>
          <w:szCs w:val="22"/>
        </w:rPr>
        <w:t xml:space="preserve"> and student achievement. </w:t>
      </w:r>
      <w:r w:rsidRPr="00C113DA">
        <w:rPr>
          <w:rFonts w:ascii="Arial" w:hAnsi="Arial" w:cs="Arial"/>
          <w:i/>
          <w:iCs/>
          <w:sz w:val="22"/>
          <w:szCs w:val="22"/>
        </w:rPr>
        <w:t>Learning and Instruction</w:t>
      </w:r>
      <w:r w:rsidRPr="00C113DA">
        <w:rPr>
          <w:rFonts w:ascii="Arial" w:hAnsi="Arial" w:cs="Arial"/>
          <w:sz w:val="22"/>
          <w:szCs w:val="22"/>
        </w:rPr>
        <w:t xml:space="preserve">, [online] 63, p.101217.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://doi.org/10.1016/j.learninstruc.2019.101217</w:t>
      </w:r>
      <w:proofErr w:type="gramEnd"/>
      <w:r w:rsidRPr="00C113DA">
        <w:rPr>
          <w:rFonts w:ascii="Arial" w:hAnsi="Arial" w:cs="Arial"/>
          <w:sz w:val="22"/>
          <w:szCs w:val="22"/>
        </w:rPr>
        <w:t>.</w:t>
      </w:r>
    </w:p>
    <w:p w14:paraId="1F4A1158"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Shanmugavelu</w:t>
      </w:r>
      <w:proofErr w:type="spellEnd"/>
      <w:r w:rsidRPr="00C113DA">
        <w:rPr>
          <w:rFonts w:ascii="Arial" w:hAnsi="Arial" w:cs="Arial"/>
          <w:sz w:val="22"/>
          <w:szCs w:val="22"/>
        </w:rPr>
        <w:t xml:space="preserve">, G., </w:t>
      </w:r>
      <w:proofErr w:type="spellStart"/>
      <w:r w:rsidRPr="00C113DA">
        <w:rPr>
          <w:rFonts w:ascii="Arial" w:hAnsi="Arial" w:cs="Arial"/>
          <w:sz w:val="22"/>
          <w:szCs w:val="22"/>
        </w:rPr>
        <w:t>Ariffin</w:t>
      </w:r>
      <w:proofErr w:type="spellEnd"/>
      <w:r w:rsidRPr="00C113DA">
        <w:rPr>
          <w:rFonts w:ascii="Arial" w:hAnsi="Arial" w:cs="Arial"/>
          <w:sz w:val="22"/>
          <w:szCs w:val="22"/>
        </w:rPr>
        <w:t xml:space="preserve">, K., </w:t>
      </w:r>
      <w:proofErr w:type="spellStart"/>
      <w:r w:rsidRPr="00C113DA">
        <w:rPr>
          <w:rFonts w:ascii="Arial" w:hAnsi="Arial" w:cs="Arial"/>
          <w:sz w:val="22"/>
          <w:szCs w:val="22"/>
        </w:rPr>
        <w:t>Vadivelu</w:t>
      </w:r>
      <w:proofErr w:type="spellEnd"/>
      <w:r w:rsidRPr="00C113DA">
        <w:rPr>
          <w:rFonts w:ascii="Arial" w:hAnsi="Arial" w:cs="Arial"/>
          <w:sz w:val="22"/>
          <w:szCs w:val="22"/>
        </w:rPr>
        <w:t xml:space="preserve">, M., </w:t>
      </w:r>
      <w:proofErr w:type="spellStart"/>
      <w:r w:rsidRPr="00C113DA">
        <w:rPr>
          <w:rFonts w:ascii="Arial" w:hAnsi="Arial" w:cs="Arial"/>
          <w:sz w:val="22"/>
          <w:szCs w:val="22"/>
        </w:rPr>
        <w:t>Mahayudin</w:t>
      </w:r>
      <w:proofErr w:type="spellEnd"/>
      <w:r w:rsidRPr="00C113DA">
        <w:rPr>
          <w:rFonts w:ascii="Arial" w:hAnsi="Arial" w:cs="Arial"/>
          <w:sz w:val="22"/>
          <w:szCs w:val="22"/>
        </w:rPr>
        <w:t>, Z. and Sundaram, M.A.R.K. (2020). Questioning Techniques and Teachers’ Role in the Classroom. </w:t>
      </w:r>
      <w:proofErr w:type="spellStart"/>
      <w:r w:rsidRPr="00C113DA">
        <w:rPr>
          <w:rFonts w:ascii="Arial" w:hAnsi="Arial" w:cs="Arial"/>
          <w:sz w:val="22"/>
          <w:szCs w:val="22"/>
        </w:rPr>
        <w:t>Shanlax</w:t>
      </w:r>
      <w:proofErr w:type="spellEnd"/>
      <w:r w:rsidRPr="00C113DA">
        <w:rPr>
          <w:rFonts w:ascii="Arial" w:hAnsi="Arial" w:cs="Arial"/>
          <w:sz w:val="22"/>
          <w:szCs w:val="22"/>
        </w:rPr>
        <w:t xml:space="preserve"> International Journal of Education, [online] 8(4). Available at: https://doi.org/10.34293/ education. v8i4.3260 [Accessed 30 Mar. 2023]. </w:t>
      </w:r>
    </w:p>
    <w:p w14:paraId="7788196F" w14:textId="35AFBDC9"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Stobart, G. (2008) Testing times: The Uses and Abuses of Assessment, New York/London: Routledge</w:t>
      </w:r>
      <w:r>
        <w:rPr>
          <w:rFonts w:ascii="Arial" w:hAnsi="Arial" w:cs="Arial"/>
          <w:sz w:val="22"/>
          <w:szCs w:val="22"/>
        </w:rPr>
        <w:t>.</w:t>
      </w:r>
    </w:p>
    <w:p w14:paraId="3B44A791"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t>Strijbos</w:t>
      </w:r>
      <w:proofErr w:type="spellEnd"/>
      <w:r w:rsidRPr="00C113DA">
        <w:rPr>
          <w:rFonts w:ascii="Arial" w:hAnsi="Arial" w:cs="Arial"/>
          <w:sz w:val="22"/>
          <w:szCs w:val="22"/>
        </w:rPr>
        <w:t xml:space="preserve">, J.-W. and Wichmann, A. (2018). Promoting Learning by Leveraging the Collaborative Nature of Formative Peer Assessment with Instructional Scaffolds. </w:t>
      </w:r>
      <w:r w:rsidRPr="00C113DA">
        <w:rPr>
          <w:rFonts w:ascii="Arial" w:hAnsi="Arial" w:cs="Arial"/>
          <w:i/>
          <w:iCs/>
          <w:sz w:val="22"/>
          <w:szCs w:val="22"/>
        </w:rPr>
        <w:t>European Journal of Psychology of Education</w:t>
      </w:r>
      <w:r w:rsidRPr="00C113DA">
        <w:rPr>
          <w:rFonts w:ascii="Arial" w:hAnsi="Arial" w:cs="Arial"/>
          <w:sz w:val="22"/>
          <w:szCs w:val="22"/>
        </w:rPr>
        <w:t xml:space="preserve">, [online] 33(1), pp.1–9.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://doi.org/10.1007/s10212-017-0353-x</w:t>
      </w:r>
      <w:proofErr w:type="gramEnd"/>
      <w:r w:rsidRPr="00C113DA">
        <w:rPr>
          <w:rFonts w:ascii="Arial" w:hAnsi="Arial" w:cs="Arial"/>
          <w:sz w:val="22"/>
          <w:szCs w:val="22"/>
        </w:rPr>
        <w:t>.</w:t>
      </w:r>
    </w:p>
    <w:p w14:paraId="53DD4369"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proofErr w:type="spellStart"/>
      <w:r w:rsidRPr="00C113DA">
        <w:rPr>
          <w:rFonts w:ascii="Arial" w:hAnsi="Arial" w:cs="Arial"/>
          <w:sz w:val="22"/>
          <w:szCs w:val="22"/>
        </w:rPr>
        <w:lastRenderedPageBreak/>
        <w:t>Taras</w:t>
      </w:r>
      <w:proofErr w:type="spellEnd"/>
      <w:r w:rsidRPr="00C113DA">
        <w:rPr>
          <w:rFonts w:ascii="Arial" w:hAnsi="Arial" w:cs="Arial"/>
          <w:sz w:val="22"/>
          <w:szCs w:val="22"/>
        </w:rPr>
        <w:t xml:space="preserve">, M. (2010). Assessment for learning: Assessing the Theory and Evidence. </w:t>
      </w:r>
      <w:r w:rsidRPr="00C113DA">
        <w:rPr>
          <w:rFonts w:ascii="Arial" w:hAnsi="Arial" w:cs="Arial"/>
          <w:i/>
          <w:iCs/>
          <w:sz w:val="22"/>
          <w:szCs w:val="22"/>
        </w:rPr>
        <w:t xml:space="preserve">Procedia - Social and </w:t>
      </w:r>
      <w:proofErr w:type="spellStart"/>
      <w:r w:rsidRPr="00C113DA">
        <w:rPr>
          <w:rFonts w:ascii="Arial" w:hAnsi="Arial" w:cs="Arial"/>
          <w:i/>
          <w:iCs/>
          <w:sz w:val="22"/>
          <w:szCs w:val="22"/>
        </w:rPr>
        <w:t>Behavioral</w:t>
      </w:r>
      <w:proofErr w:type="spellEnd"/>
      <w:r w:rsidRPr="00C113DA">
        <w:rPr>
          <w:rFonts w:ascii="Arial" w:hAnsi="Arial" w:cs="Arial"/>
          <w:i/>
          <w:iCs/>
          <w:sz w:val="22"/>
          <w:szCs w:val="22"/>
        </w:rPr>
        <w:t xml:space="preserve"> Sciences</w:t>
      </w:r>
      <w:r w:rsidRPr="00C113DA">
        <w:rPr>
          <w:rFonts w:ascii="Arial" w:hAnsi="Arial" w:cs="Arial"/>
          <w:sz w:val="22"/>
          <w:szCs w:val="22"/>
        </w:rPr>
        <w:t xml:space="preserve">, [online] 2(2), pp.3015–3022.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://doi.org/10.1016/j.sbspro.2010.03.457</w:t>
      </w:r>
      <w:proofErr w:type="gramEnd"/>
      <w:r w:rsidRPr="00C113DA">
        <w:rPr>
          <w:rFonts w:ascii="Arial" w:hAnsi="Arial" w:cs="Arial"/>
          <w:sz w:val="22"/>
          <w:szCs w:val="22"/>
        </w:rPr>
        <w:t>.</w:t>
      </w:r>
    </w:p>
    <w:p w14:paraId="6A6FF5E6"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Wahba, M.A. and Bridwell, L.G. (1976). Maslow reconsidered: a Review of Research on the Need Hierarchy Theory. </w:t>
      </w:r>
      <w:r w:rsidRPr="00C113DA">
        <w:rPr>
          <w:rFonts w:ascii="Arial" w:hAnsi="Arial" w:cs="Arial"/>
          <w:i/>
          <w:iCs/>
          <w:sz w:val="22"/>
          <w:szCs w:val="22"/>
        </w:rPr>
        <w:t xml:space="preserve">Organizational </w:t>
      </w:r>
      <w:proofErr w:type="spellStart"/>
      <w:r w:rsidRPr="00C113DA">
        <w:rPr>
          <w:rFonts w:ascii="Arial" w:hAnsi="Arial" w:cs="Arial"/>
          <w:i/>
          <w:iCs/>
          <w:sz w:val="22"/>
          <w:szCs w:val="22"/>
        </w:rPr>
        <w:t>Behavior</w:t>
      </w:r>
      <w:proofErr w:type="spellEnd"/>
      <w:r w:rsidRPr="00C113DA">
        <w:rPr>
          <w:rFonts w:ascii="Arial" w:hAnsi="Arial" w:cs="Arial"/>
          <w:i/>
          <w:iCs/>
          <w:sz w:val="22"/>
          <w:szCs w:val="22"/>
        </w:rPr>
        <w:t xml:space="preserve"> and Human Performance</w:t>
      </w:r>
      <w:r w:rsidRPr="00C113DA">
        <w:rPr>
          <w:rFonts w:ascii="Arial" w:hAnsi="Arial" w:cs="Arial"/>
          <w:sz w:val="22"/>
          <w:szCs w:val="22"/>
        </w:rPr>
        <w:t xml:space="preserve">, [online] 15(2), pp.212–240. </w:t>
      </w:r>
      <w:proofErr w:type="spellStart"/>
      <w:proofErr w:type="gramStart"/>
      <w:r w:rsidRPr="00C113DA">
        <w:rPr>
          <w:rFonts w:ascii="Arial" w:hAnsi="Arial" w:cs="Arial"/>
          <w:sz w:val="22"/>
          <w:szCs w:val="22"/>
        </w:rPr>
        <w:t>doi:https</w:t>
      </w:r>
      <w:proofErr w:type="spellEnd"/>
      <w:r w:rsidRPr="00C113DA">
        <w:rPr>
          <w:rFonts w:ascii="Arial" w:hAnsi="Arial" w:cs="Arial"/>
          <w:sz w:val="22"/>
          <w:szCs w:val="22"/>
        </w:rPr>
        <w:t>://doi.org/10.1016/0030-5073(76)90038-6</w:t>
      </w:r>
      <w:proofErr w:type="gramEnd"/>
      <w:r w:rsidRPr="00C113DA">
        <w:rPr>
          <w:rFonts w:ascii="Arial" w:hAnsi="Arial" w:cs="Arial"/>
          <w:sz w:val="22"/>
          <w:szCs w:val="22"/>
        </w:rPr>
        <w:t>.</w:t>
      </w:r>
    </w:p>
    <w:p w14:paraId="643961D4"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Walsh, J.A. and </w:t>
      </w:r>
      <w:proofErr w:type="spellStart"/>
      <w:r w:rsidRPr="00C113DA">
        <w:rPr>
          <w:rFonts w:ascii="Arial" w:hAnsi="Arial" w:cs="Arial"/>
          <w:sz w:val="22"/>
          <w:szCs w:val="22"/>
        </w:rPr>
        <w:t>Sattes</w:t>
      </w:r>
      <w:proofErr w:type="spellEnd"/>
      <w:r w:rsidRPr="00C113DA">
        <w:rPr>
          <w:rFonts w:ascii="Arial" w:hAnsi="Arial" w:cs="Arial"/>
          <w:sz w:val="22"/>
          <w:szCs w:val="22"/>
        </w:rPr>
        <w:t xml:space="preserve">, B.D. (2017). Quality questioning: research-based practice to engage every learner. 2nd ed. Thousand Oaks, California: Corwin. </w:t>
      </w:r>
    </w:p>
    <w:p w14:paraId="086AE3BA"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Welsh Government (2019). </w:t>
      </w:r>
      <w:r w:rsidRPr="00C113DA">
        <w:rPr>
          <w:rFonts w:ascii="Arial" w:hAnsi="Arial" w:cs="Arial"/>
          <w:i/>
          <w:iCs/>
          <w:sz w:val="22"/>
          <w:szCs w:val="22"/>
        </w:rPr>
        <w:t>Professional Standards for Teaching and Leadership</w:t>
      </w:r>
      <w:r w:rsidRPr="00C113DA">
        <w:rPr>
          <w:rFonts w:ascii="Arial" w:hAnsi="Arial" w:cs="Arial"/>
          <w:sz w:val="22"/>
          <w:szCs w:val="22"/>
        </w:rPr>
        <w:t>. [online] Available at: https://hwb.gov.wales/api/storage/19bc948b-8a3f-41e0-944a-7bf2cadf7d18/professional-standards-for-teaching-and-leadership-interactive-pdf-for-pc.pdf [Accessed 29 Mar. 2023].</w:t>
      </w:r>
    </w:p>
    <w:p w14:paraId="07AF04A8"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Welsh Government (2020). </w:t>
      </w:r>
      <w:r w:rsidRPr="00C113DA">
        <w:rPr>
          <w:rFonts w:ascii="Arial" w:hAnsi="Arial" w:cs="Arial"/>
          <w:i/>
          <w:iCs/>
          <w:sz w:val="22"/>
          <w:szCs w:val="22"/>
        </w:rPr>
        <w:t>Developing a Vision for Curriculum Design - Hwb</w:t>
      </w:r>
      <w:r w:rsidRPr="00C113DA">
        <w:rPr>
          <w:rFonts w:ascii="Arial" w:hAnsi="Arial" w:cs="Arial"/>
          <w:sz w:val="22"/>
          <w:szCs w:val="22"/>
        </w:rPr>
        <w:t xml:space="preserve">. [online] </w:t>
      </w:r>
      <w:proofErr w:type="spellStart"/>
      <w:proofErr w:type="gramStart"/>
      <w:r w:rsidRPr="00C113DA">
        <w:rPr>
          <w:rFonts w:ascii="Arial" w:hAnsi="Arial" w:cs="Arial"/>
          <w:sz w:val="22"/>
          <w:szCs w:val="22"/>
        </w:rPr>
        <w:t>hwb.gov.wales</w:t>
      </w:r>
      <w:proofErr w:type="spellEnd"/>
      <w:proofErr w:type="gramEnd"/>
      <w:r w:rsidRPr="00C113DA">
        <w:rPr>
          <w:rFonts w:ascii="Arial" w:hAnsi="Arial" w:cs="Arial"/>
          <w:sz w:val="22"/>
          <w:szCs w:val="22"/>
        </w:rPr>
        <w:t>. Available at: https://hwb.gov.wales/curriculum-for-wales/designing-your-curriculum/developing-a-vision-for-curriculum-design/#curriculum-design-and-the-four-purposes [Accessed 1 Apr. 2023].</w:t>
      </w:r>
    </w:p>
    <w:p w14:paraId="60524957"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Welsh Government (2022a). </w:t>
      </w:r>
      <w:r w:rsidRPr="00C113DA">
        <w:rPr>
          <w:rFonts w:ascii="Arial" w:hAnsi="Arial" w:cs="Arial"/>
          <w:i/>
          <w:iCs/>
          <w:sz w:val="22"/>
          <w:szCs w:val="22"/>
        </w:rPr>
        <w:t>Supporting Learner Progression Assessment Guidance - Hwb</w:t>
      </w:r>
      <w:r w:rsidRPr="00C113DA">
        <w:rPr>
          <w:rFonts w:ascii="Arial" w:hAnsi="Arial" w:cs="Arial"/>
          <w:sz w:val="22"/>
          <w:szCs w:val="22"/>
        </w:rPr>
        <w:t xml:space="preserve">. [online] </w:t>
      </w:r>
      <w:proofErr w:type="spellStart"/>
      <w:proofErr w:type="gramStart"/>
      <w:r w:rsidRPr="00C113DA">
        <w:rPr>
          <w:rFonts w:ascii="Arial" w:hAnsi="Arial" w:cs="Arial"/>
          <w:sz w:val="22"/>
          <w:szCs w:val="22"/>
        </w:rPr>
        <w:t>hwb.gov.wales</w:t>
      </w:r>
      <w:proofErr w:type="spellEnd"/>
      <w:proofErr w:type="gramEnd"/>
      <w:r w:rsidRPr="00C113DA">
        <w:rPr>
          <w:rFonts w:ascii="Arial" w:hAnsi="Arial" w:cs="Arial"/>
          <w:sz w:val="22"/>
          <w:szCs w:val="22"/>
        </w:rPr>
        <w:t>. Available at: https://hwb.gov.wales/curriculum-for-wales/assessment-arrangements/supporting-learner-progression-assessment-guidance [Accessed 29 Mar. 2023].</w:t>
      </w:r>
    </w:p>
    <w:p w14:paraId="4FD4842B"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Welsh Government (2022b). </w:t>
      </w:r>
      <w:r w:rsidRPr="00C113DA">
        <w:rPr>
          <w:rFonts w:ascii="Arial" w:hAnsi="Arial" w:cs="Arial"/>
          <w:i/>
          <w:iCs/>
          <w:sz w:val="22"/>
          <w:szCs w:val="22"/>
        </w:rPr>
        <w:t>Supporting Progression in Language learning: Assessment in the Curriculum for Wales (summary)</w:t>
      </w:r>
      <w:r w:rsidRPr="00C113DA">
        <w:rPr>
          <w:rFonts w:ascii="Arial" w:hAnsi="Arial" w:cs="Arial"/>
          <w:sz w:val="22"/>
          <w:szCs w:val="22"/>
        </w:rPr>
        <w:t>. [online] GOV.WALES. Available at: https://www.gov.wales/supporting-progression-language-learning-assessment-curriculum-wales-summary-html#97570 [Accessed 31 Mar. 2023].</w:t>
      </w:r>
    </w:p>
    <w:p w14:paraId="26DF3F3D"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Welsh Government (2023). </w:t>
      </w:r>
      <w:r w:rsidRPr="00C113DA">
        <w:rPr>
          <w:rFonts w:ascii="Arial" w:hAnsi="Arial" w:cs="Arial"/>
          <w:i/>
          <w:iCs/>
          <w:sz w:val="22"/>
          <w:szCs w:val="22"/>
        </w:rPr>
        <w:t>Pedagogy - Hwb</w:t>
      </w:r>
      <w:r w:rsidRPr="00C113DA">
        <w:rPr>
          <w:rFonts w:ascii="Arial" w:hAnsi="Arial" w:cs="Arial"/>
          <w:sz w:val="22"/>
          <w:szCs w:val="22"/>
        </w:rPr>
        <w:t xml:space="preserve">. [online] </w:t>
      </w:r>
      <w:proofErr w:type="spellStart"/>
      <w:proofErr w:type="gramStart"/>
      <w:r w:rsidRPr="00C113DA">
        <w:rPr>
          <w:rFonts w:ascii="Arial" w:hAnsi="Arial" w:cs="Arial"/>
          <w:sz w:val="22"/>
          <w:szCs w:val="22"/>
        </w:rPr>
        <w:t>hwb.gov.wales</w:t>
      </w:r>
      <w:proofErr w:type="spellEnd"/>
      <w:proofErr w:type="gramEnd"/>
      <w:r w:rsidRPr="00C113DA">
        <w:rPr>
          <w:rFonts w:ascii="Arial" w:hAnsi="Arial" w:cs="Arial"/>
          <w:sz w:val="22"/>
          <w:szCs w:val="22"/>
        </w:rPr>
        <w:t>. Available at: https://hwb.gov.wales/curriculum-for-wales/designing-your-curriculum/pedagogy [Accessed 1 Apr. 2023].</w:t>
      </w:r>
    </w:p>
    <w:p w14:paraId="5D89C3ED" w14:textId="77777777" w:rsidR="00C113DA" w:rsidRPr="00C113DA" w:rsidRDefault="00C113DA" w:rsidP="00C113DA">
      <w:pPr>
        <w:pStyle w:val="NormalWeb"/>
        <w:spacing w:before="0" w:beforeAutospacing="0" w:after="240" w:afterAutospacing="0" w:line="360" w:lineRule="auto"/>
        <w:rPr>
          <w:rFonts w:ascii="Arial" w:hAnsi="Arial" w:cs="Arial"/>
          <w:sz w:val="22"/>
          <w:szCs w:val="22"/>
        </w:rPr>
      </w:pPr>
      <w:r w:rsidRPr="00C113DA">
        <w:rPr>
          <w:rFonts w:ascii="Arial" w:hAnsi="Arial" w:cs="Arial"/>
          <w:sz w:val="22"/>
          <w:szCs w:val="22"/>
        </w:rPr>
        <w:t xml:space="preserve">Wynne Harlen (2007). </w:t>
      </w:r>
      <w:r w:rsidRPr="00C113DA">
        <w:rPr>
          <w:rFonts w:ascii="Arial" w:hAnsi="Arial" w:cs="Arial"/>
          <w:i/>
          <w:iCs/>
          <w:sz w:val="22"/>
          <w:szCs w:val="22"/>
        </w:rPr>
        <w:t>Assessment of Learning</w:t>
      </w:r>
      <w:r w:rsidRPr="00C113DA">
        <w:rPr>
          <w:rFonts w:ascii="Arial" w:hAnsi="Arial" w:cs="Arial"/>
          <w:sz w:val="22"/>
          <w:szCs w:val="22"/>
        </w:rPr>
        <w:t>. [online] Los Angeles, California</w:t>
      </w:r>
      <w:proofErr w:type="gramStart"/>
      <w:r w:rsidRPr="00C113DA">
        <w:rPr>
          <w:rFonts w:ascii="Arial" w:hAnsi="Arial" w:cs="Arial"/>
          <w:sz w:val="22"/>
          <w:szCs w:val="22"/>
        </w:rPr>
        <w:t>. ;</w:t>
      </w:r>
      <w:proofErr w:type="gramEnd"/>
      <w:r w:rsidRPr="00C113DA">
        <w:rPr>
          <w:rFonts w:ascii="Arial" w:hAnsi="Arial" w:cs="Arial"/>
          <w:sz w:val="22"/>
          <w:szCs w:val="22"/>
        </w:rPr>
        <w:t xml:space="preserve"> London: Sage. Available at: https://books.google.co.uk/books?hl=en&amp;lr=&amp;id=I4PA3O3u244C&amp;oi=fnd&amp;pg=PP2&amp;dq=assessment+of+learning&amp;ots=mq8gYsdusD&amp;sig=BYd5IGepsqsxKXWIJa1pSkPNIJk#v=onepage&amp;q=assessment%20of%20learning&amp;f=false [Accessed 30 Mar. 2023].</w:t>
      </w:r>
    </w:p>
    <w:p w14:paraId="06E422D5" w14:textId="77777777" w:rsidR="00C44B8C" w:rsidRPr="00C113DA" w:rsidRDefault="00C44B8C" w:rsidP="00C113DA">
      <w:pPr>
        <w:pStyle w:val="BodyA"/>
        <w:spacing w:line="360" w:lineRule="auto"/>
        <w:jc w:val="both"/>
        <w:rPr>
          <w:rFonts w:ascii="Arial" w:hAnsi="Arial" w:cs="Arial"/>
        </w:rPr>
      </w:pPr>
    </w:p>
    <w:p w14:paraId="7918ED16" w14:textId="77777777" w:rsidR="00C44B8C" w:rsidRPr="00C113DA" w:rsidRDefault="00C44B8C" w:rsidP="00C113DA">
      <w:pPr>
        <w:pStyle w:val="BodyA"/>
        <w:spacing w:line="360" w:lineRule="auto"/>
        <w:jc w:val="both"/>
        <w:rPr>
          <w:rFonts w:ascii="Arial" w:hAnsi="Arial" w:cs="Arial"/>
        </w:rPr>
      </w:pPr>
    </w:p>
    <w:p w14:paraId="4C4C6F89" w14:textId="77777777" w:rsidR="00C44B8C" w:rsidRPr="00C113DA" w:rsidRDefault="00C44B8C" w:rsidP="00C113DA">
      <w:pPr>
        <w:pStyle w:val="BodyA"/>
        <w:spacing w:line="360" w:lineRule="auto"/>
        <w:jc w:val="both"/>
        <w:rPr>
          <w:rFonts w:ascii="Arial" w:hAnsi="Arial" w:cs="Arial"/>
        </w:rPr>
      </w:pPr>
    </w:p>
    <w:p w14:paraId="2B5FAF11" w14:textId="27281C0C" w:rsidR="00C44B8C" w:rsidRPr="00C113DA" w:rsidRDefault="00C44B8C" w:rsidP="00C113DA">
      <w:pPr>
        <w:pStyle w:val="BodyA"/>
        <w:spacing w:line="360" w:lineRule="auto"/>
        <w:rPr>
          <w:rFonts w:ascii="Arial" w:hAnsi="Arial" w:cs="Arial"/>
        </w:rPr>
      </w:pPr>
    </w:p>
    <w:sectPr w:rsidR="00C44B8C" w:rsidRPr="00C113DA">
      <w:footerReference w:type="even" r:id="rId6"/>
      <w:footerReference w:type="default" r:id="rId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D5DEE" w14:textId="77777777" w:rsidR="006F21F7" w:rsidRDefault="006F21F7">
      <w:r>
        <w:separator/>
      </w:r>
    </w:p>
  </w:endnote>
  <w:endnote w:type="continuationSeparator" w:id="0">
    <w:p w14:paraId="68563060" w14:textId="77777777" w:rsidR="006F21F7" w:rsidRDefault="006F2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altName w:val="Arial"/>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663723"/>
      <w:docPartObj>
        <w:docPartGallery w:val="Page Numbers (Bottom of Page)"/>
        <w:docPartUnique/>
      </w:docPartObj>
    </w:sdtPr>
    <w:sdtContent>
      <w:p w14:paraId="3299F674" w14:textId="6283F770" w:rsidR="003145FE" w:rsidRDefault="003145FE" w:rsidP="00496B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28E9B0" w14:textId="77777777" w:rsidR="003145FE" w:rsidRDefault="003145FE" w:rsidP="003145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950827"/>
      <w:docPartObj>
        <w:docPartGallery w:val="Page Numbers (Bottom of Page)"/>
        <w:docPartUnique/>
      </w:docPartObj>
    </w:sdtPr>
    <w:sdtContent>
      <w:p w14:paraId="613FF074" w14:textId="6BA6C541" w:rsidR="003145FE" w:rsidRDefault="003145FE" w:rsidP="00496B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41ED78" w14:textId="77777777" w:rsidR="003145FE" w:rsidRDefault="003145FE" w:rsidP="003145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CFEDD" w14:textId="77777777" w:rsidR="006F21F7" w:rsidRDefault="006F21F7">
      <w:r>
        <w:separator/>
      </w:r>
    </w:p>
  </w:footnote>
  <w:footnote w:type="continuationSeparator" w:id="0">
    <w:p w14:paraId="519B9A72" w14:textId="77777777" w:rsidR="006F21F7" w:rsidRDefault="006F21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21B68"/>
    <w:rsid w:val="000A43C5"/>
    <w:rsid w:val="0021107A"/>
    <w:rsid w:val="0026309A"/>
    <w:rsid w:val="002B39CC"/>
    <w:rsid w:val="003145FE"/>
    <w:rsid w:val="00360702"/>
    <w:rsid w:val="00454A51"/>
    <w:rsid w:val="005131F6"/>
    <w:rsid w:val="0053019C"/>
    <w:rsid w:val="00543F7E"/>
    <w:rsid w:val="00552C97"/>
    <w:rsid w:val="005F0832"/>
    <w:rsid w:val="00655219"/>
    <w:rsid w:val="006F21F7"/>
    <w:rsid w:val="00AB0471"/>
    <w:rsid w:val="00B31674"/>
    <w:rsid w:val="00B57F27"/>
    <w:rsid w:val="00B82144"/>
    <w:rsid w:val="00BD5492"/>
    <w:rsid w:val="00C077F8"/>
    <w:rsid w:val="00C113DA"/>
    <w:rsid w:val="00C44B8C"/>
    <w:rsid w:val="00D53671"/>
    <w:rsid w:val="00EE5CF4"/>
    <w:rsid w:val="00F81FBD"/>
    <w:rsid w:val="00F8416C"/>
    <w:rsid w:val="00FC26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NormalWeb">
    <w:name w:val="Normal (Web)"/>
    <w:basedOn w:val="Normal"/>
    <w:uiPriority w:val="99"/>
    <w:semiHidden/>
    <w:unhideWhenUsed/>
    <w:rsid w:val="0036070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Header">
    <w:name w:val="header"/>
    <w:basedOn w:val="Normal"/>
    <w:link w:val="HeaderChar"/>
    <w:uiPriority w:val="99"/>
    <w:unhideWhenUsed/>
    <w:rsid w:val="00360702"/>
    <w:pPr>
      <w:tabs>
        <w:tab w:val="center" w:pos="4513"/>
        <w:tab w:val="right" w:pos="9026"/>
      </w:tabs>
    </w:pPr>
  </w:style>
  <w:style w:type="character" w:customStyle="1" w:styleId="HeaderChar">
    <w:name w:val="Header Char"/>
    <w:basedOn w:val="DefaultParagraphFont"/>
    <w:link w:val="Header"/>
    <w:uiPriority w:val="99"/>
    <w:rsid w:val="00360702"/>
    <w:rPr>
      <w:sz w:val="24"/>
      <w:szCs w:val="24"/>
      <w:lang w:val="en-US" w:eastAsia="en-US"/>
    </w:rPr>
  </w:style>
  <w:style w:type="paragraph" w:styleId="Footer">
    <w:name w:val="footer"/>
    <w:basedOn w:val="Normal"/>
    <w:link w:val="FooterChar"/>
    <w:uiPriority w:val="99"/>
    <w:unhideWhenUsed/>
    <w:rsid w:val="00360702"/>
    <w:pPr>
      <w:tabs>
        <w:tab w:val="center" w:pos="4513"/>
        <w:tab w:val="right" w:pos="9026"/>
      </w:tabs>
    </w:pPr>
  </w:style>
  <w:style w:type="character" w:customStyle="1" w:styleId="FooterChar">
    <w:name w:val="Footer Char"/>
    <w:basedOn w:val="DefaultParagraphFont"/>
    <w:link w:val="Footer"/>
    <w:uiPriority w:val="99"/>
    <w:rsid w:val="00360702"/>
    <w:rPr>
      <w:sz w:val="24"/>
      <w:szCs w:val="24"/>
      <w:lang w:val="en-US" w:eastAsia="en-US"/>
    </w:rPr>
  </w:style>
  <w:style w:type="character" w:customStyle="1" w:styleId="normaltextrun">
    <w:name w:val="normaltextrun"/>
    <w:basedOn w:val="DefaultParagraphFont"/>
    <w:rsid w:val="00552C97"/>
  </w:style>
  <w:style w:type="character" w:styleId="PageNumber">
    <w:name w:val="page number"/>
    <w:basedOn w:val="DefaultParagraphFont"/>
    <w:uiPriority w:val="99"/>
    <w:semiHidden/>
    <w:unhideWhenUsed/>
    <w:rsid w:val="003145FE"/>
  </w:style>
  <w:style w:type="paragraph" w:customStyle="1" w:styleId="paragraph">
    <w:name w:val="paragraph"/>
    <w:basedOn w:val="Normal"/>
    <w:rsid w:val="00454A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eop">
    <w:name w:val="eop"/>
    <w:basedOn w:val="DefaultParagraphFont"/>
    <w:rsid w:val="00454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67412">
      <w:bodyDiv w:val="1"/>
      <w:marLeft w:val="0"/>
      <w:marRight w:val="0"/>
      <w:marTop w:val="0"/>
      <w:marBottom w:val="0"/>
      <w:divBdr>
        <w:top w:val="none" w:sz="0" w:space="0" w:color="auto"/>
        <w:left w:val="none" w:sz="0" w:space="0" w:color="auto"/>
        <w:bottom w:val="none" w:sz="0" w:space="0" w:color="auto"/>
        <w:right w:val="none" w:sz="0" w:space="0" w:color="auto"/>
      </w:divBdr>
    </w:div>
    <w:div w:id="425688576">
      <w:bodyDiv w:val="1"/>
      <w:marLeft w:val="0"/>
      <w:marRight w:val="0"/>
      <w:marTop w:val="0"/>
      <w:marBottom w:val="0"/>
      <w:divBdr>
        <w:top w:val="none" w:sz="0" w:space="0" w:color="auto"/>
        <w:left w:val="none" w:sz="0" w:space="0" w:color="auto"/>
        <w:bottom w:val="none" w:sz="0" w:space="0" w:color="auto"/>
        <w:right w:val="none" w:sz="0" w:space="0" w:color="auto"/>
      </w:divBdr>
      <w:divsChild>
        <w:div w:id="1905722124">
          <w:marLeft w:val="0"/>
          <w:marRight w:val="0"/>
          <w:marTop w:val="0"/>
          <w:marBottom w:val="0"/>
          <w:divBdr>
            <w:top w:val="none" w:sz="0" w:space="0" w:color="auto"/>
            <w:left w:val="none" w:sz="0" w:space="0" w:color="auto"/>
            <w:bottom w:val="none" w:sz="0" w:space="0" w:color="auto"/>
            <w:right w:val="none" w:sz="0" w:space="0" w:color="auto"/>
          </w:divBdr>
          <w:divsChild>
            <w:div w:id="1970041063">
              <w:marLeft w:val="0"/>
              <w:marRight w:val="0"/>
              <w:marTop w:val="30"/>
              <w:marBottom w:val="30"/>
              <w:divBdr>
                <w:top w:val="none" w:sz="0" w:space="0" w:color="auto"/>
                <w:left w:val="none" w:sz="0" w:space="0" w:color="auto"/>
                <w:bottom w:val="none" w:sz="0" w:space="0" w:color="auto"/>
                <w:right w:val="none" w:sz="0" w:space="0" w:color="auto"/>
              </w:divBdr>
              <w:divsChild>
                <w:div w:id="844594113">
                  <w:marLeft w:val="0"/>
                  <w:marRight w:val="0"/>
                  <w:marTop w:val="0"/>
                  <w:marBottom w:val="0"/>
                  <w:divBdr>
                    <w:top w:val="none" w:sz="0" w:space="0" w:color="auto"/>
                    <w:left w:val="none" w:sz="0" w:space="0" w:color="auto"/>
                    <w:bottom w:val="none" w:sz="0" w:space="0" w:color="auto"/>
                    <w:right w:val="none" w:sz="0" w:space="0" w:color="auto"/>
                  </w:divBdr>
                  <w:divsChild>
                    <w:div w:id="144979653">
                      <w:marLeft w:val="0"/>
                      <w:marRight w:val="0"/>
                      <w:marTop w:val="0"/>
                      <w:marBottom w:val="0"/>
                      <w:divBdr>
                        <w:top w:val="none" w:sz="0" w:space="0" w:color="auto"/>
                        <w:left w:val="none" w:sz="0" w:space="0" w:color="auto"/>
                        <w:bottom w:val="none" w:sz="0" w:space="0" w:color="auto"/>
                        <w:right w:val="none" w:sz="0" w:space="0" w:color="auto"/>
                      </w:divBdr>
                    </w:div>
                  </w:divsChild>
                </w:div>
                <w:div w:id="1641762776">
                  <w:marLeft w:val="0"/>
                  <w:marRight w:val="0"/>
                  <w:marTop w:val="0"/>
                  <w:marBottom w:val="0"/>
                  <w:divBdr>
                    <w:top w:val="none" w:sz="0" w:space="0" w:color="auto"/>
                    <w:left w:val="none" w:sz="0" w:space="0" w:color="auto"/>
                    <w:bottom w:val="none" w:sz="0" w:space="0" w:color="auto"/>
                    <w:right w:val="none" w:sz="0" w:space="0" w:color="auto"/>
                  </w:divBdr>
                  <w:divsChild>
                    <w:div w:id="1238250286">
                      <w:marLeft w:val="0"/>
                      <w:marRight w:val="0"/>
                      <w:marTop w:val="0"/>
                      <w:marBottom w:val="0"/>
                      <w:divBdr>
                        <w:top w:val="none" w:sz="0" w:space="0" w:color="auto"/>
                        <w:left w:val="none" w:sz="0" w:space="0" w:color="auto"/>
                        <w:bottom w:val="none" w:sz="0" w:space="0" w:color="auto"/>
                        <w:right w:val="none" w:sz="0" w:space="0" w:color="auto"/>
                      </w:divBdr>
                    </w:div>
                    <w:div w:id="4551253">
                      <w:marLeft w:val="0"/>
                      <w:marRight w:val="0"/>
                      <w:marTop w:val="0"/>
                      <w:marBottom w:val="0"/>
                      <w:divBdr>
                        <w:top w:val="none" w:sz="0" w:space="0" w:color="auto"/>
                        <w:left w:val="none" w:sz="0" w:space="0" w:color="auto"/>
                        <w:bottom w:val="none" w:sz="0" w:space="0" w:color="auto"/>
                        <w:right w:val="none" w:sz="0" w:space="0" w:color="auto"/>
                      </w:divBdr>
                    </w:div>
                  </w:divsChild>
                </w:div>
                <w:div w:id="1232618959">
                  <w:marLeft w:val="0"/>
                  <w:marRight w:val="0"/>
                  <w:marTop w:val="0"/>
                  <w:marBottom w:val="0"/>
                  <w:divBdr>
                    <w:top w:val="none" w:sz="0" w:space="0" w:color="auto"/>
                    <w:left w:val="none" w:sz="0" w:space="0" w:color="auto"/>
                    <w:bottom w:val="none" w:sz="0" w:space="0" w:color="auto"/>
                    <w:right w:val="none" w:sz="0" w:space="0" w:color="auto"/>
                  </w:divBdr>
                  <w:divsChild>
                    <w:div w:id="595134038">
                      <w:marLeft w:val="0"/>
                      <w:marRight w:val="0"/>
                      <w:marTop w:val="0"/>
                      <w:marBottom w:val="0"/>
                      <w:divBdr>
                        <w:top w:val="none" w:sz="0" w:space="0" w:color="auto"/>
                        <w:left w:val="none" w:sz="0" w:space="0" w:color="auto"/>
                        <w:bottom w:val="none" w:sz="0" w:space="0" w:color="auto"/>
                        <w:right w:val="none" w:sz="0" w:space="0" w:color="auto"/>
                      </w:divBdr>
                    </w:div>
                    <w:div w:id="304509061">
                      <w:marLeft w:val="0"/>
                      <w:marRight w:val="0"/>
                      <w:marTop w:val="0"/>
                      <w:marBottom w:val="0"/>
                      <w:divBdr>
                        <w:top w:val="none" w:sz="0" w:space="0" w:color="auto"/>
                        <w:left w:val="none" w:sz="0" w:space="0" w:color="auto"/>
                        <w:bottom w:val="none" w:sz="0" w:space="0" w:color="auto"/>
                        <w:right w:val="none" w:sz="0" w:space="0" w:color="auto"/>
                      </w:divBdr>
                    </w:div>
                  </w:divsChild>
                </w:div>
                <w:div w:id="1086150754">
                  <w:marLeft w:val="0"/>
                  <w:marRight w:val="0"/>
                  <w:marTop w:val="0"/>
                  <w:marBottom w:val="0"/>
                  <w:divBdr>
                    <w:top w:val="none" w:sz="0" w:space="0" w:color="auto"/>
                    <w:left w:val="none" w:sz="0" w:space="0" w:color="auto"/>
                    <w:bottom w:val="none" w:sz="0" w:space="0" w:color="auto"/>
                    <w:right w:val="none" w:sz="0" w:space="0" w:color="auto"/>
                  </w:divBdr>
                  <w:divsChild>
                    <w:div w:id="690304275">
                      <w:marLeft w:val="0"/>
                      <w:marRight w:val="0"/>
                      <w:marTop w:val="0"/>
                      <w:marBottom w:val="0"/>
                      <w:divBdr>
                        <w:top w:val="none" w:sz="0" w:space="0" w:color="auto"/>
                        <w:left w:val="none" w:sz="0" w:space="0" w:color="auto"/>
                        <w:bottom w:val="none" w:sz="0" w:space="0" w:color="auto"/>
                        <w:right w:val="none" w:sz="0" w:space="0" w:color="auto"/>
                      </w:divBdr>
                    </w:div>
                  </w:divsChild>
                </w:div>
                <w:div w:id="1840538228">
                  <w:marLeft w:val="0"/>
                  <w:marRight w:val="0"/>
                  <w:marTop w:val="0"/>
                  <w:marBottom w:val="0"/>
                  <w:divBdr>
                    <w:top w:val="none" w:sz="0" w:space="0" w:color="auto"/>
                    <w:left w:val="none" w:sz="0" w:space="0" w:color="auto"/>
                    <w:bottom w:val="none" w:sz="0" w:space="0" w:color="auto"/>
                    <w:right w:val="none" w:sz="0" w:space="0" w:color="auto"/>
                  </w:divBdr>
                  <w:divsChild>
                    <w:div w:id="1272711338">
                      <w:marLeft w:val="0"/>
                      <w:marRight w:val="0"/>
                      <w:marTop w:val="0"/>
                      <w:marBottom w:val="0"/>
                      <w:divBdr>
                        <w:top w:val="none" w:sz="0" w:space="0" w:color="auto"/>
                        <w:left w:val="none" w:sz="0" w:space="0" w:color="auto"/>
                        <w:bottom w:val="none" w:sz="0" w:space="0" w:color="auto"/>
                        <w:right w:val="none" w:sz="0" w:space="0" w:color="auto"/>
                      </w:divBdr>
                    </w:div>
                  </w:divsChild>
                </w:div>
                <w:div w:id="1570849459">
                  <w:marLeft w:val="0"/>
                  <w:marRight w:val="0"/>
                  <w:marTop w:val="0"/>
                  <w:marBottom w:val="0"/>
                  <w:divBdr>
                    <w:top w:val="none" w:sz="0" w:space="0" w:color="auto"/>
                    <w:left w:val="none" w:sz="0" w:space="0" w:color="auto"/>
                    <w:bottom w:val="none" w:sz="0" w:space="0" w:color="auto"/>
                    <w:right w:val="none" w:sz="0" w:space="0" w:color="auto"/>
                  </w:divBdr>
                  <w:divsChild>
                    <w:div w:id="406267766">
                      <w:marLeft w:val="0"/>
                      <w:marRight w:val="0"/>
                      <w:marTop w:val="0"/>
                      <w:marBottom w:val="0"/>
                      <w:divBdr>
                        <w:top w:val="none" w:sz="0" w:space="0" w:color="auto"/>
                        <w:left w:val="none" w:sz="0" w:space="0" w:color="auto"/>
                        <w:bottom w:val="none" w:sz="0" w:space="0" w:color="auto"/>
                        <w:right w:val="none" w:sz="0" w:space="0" w:color="auto"/>
                      </w:divBdr>
                    </w:div>
                  </w:divsChild>
                </w:div>
                <w:div w:id="44108865">
                  <w:marLeft w:val="0"/>
                  <w:marRight w:val="0"/>
                  <w:marTop w:val="0"/>
                  <w:marBottom w:val="0"/>
                  <w:divBdr>
                    <w:top w:val="none" w:sz="0" w:space="0" w:color="auto"/>
                    <w:left w:val="none" w:sz="0" w:space="0" w:color="auto"/>
                    <w:bottom w:val="none" w:sz="0" w:space="0" w:color="auto"/>
                    <w:right w:val="none" w:sz="0" w:space="0" w:color="auto"/>
                  </w:divBdr>
                  <w:divsChild>
                    <w:div w:id="1714113775">
                      <w:marLeft w:val="0"/>
                      <w:marRight w:val="0"/>
                      <w:marTop w:val="0"/>
                      <w:marBottom w:val="0"/>
                      <w:divBdr>
                        <w:top w:val="none" w:sz="0" w:space="0" w:color="auto"/>
                        <w:left w:val="none" w:sz="0" w:space="0" w:color="auto"/>
                        <w:bottom w:val="none" w:sz="0" w:space="0" w:color="auto"/>
                        <w:right w:val="none" w:sz="0" w:space="0" w:color="auto"/>
                      </w:divBdr>
                    </w:div>
                  </w:divsChild>
                </w:div>
                <w:div w:id="1670788677">
                  <w:marLeft w:val="0"/>
                  <w:marRight w:val="0"/>
                  <w:marTop w:val="0"/>
                  <w:marBottom w:val="0"/>
                  <w:divBdr>
                    <w:top w:val="none" w:sz="0" w:space="0" w:color="auto"/>
                    <w:left w:val="none" w:sz="0" w:space="0" w:color="auto"/>
                    <w:bottom w:val="none" w:sz="0" w:space="0" w:color="auto"/>
                    <w:right w:val="none" w:sz="0" w:space="0" w:color="auto"/>
                  </w:divBdr>
                  <w:divsChild>
                    <w:div w:id="788669488">
                      <w:marLeft w:val="0"/>
                      <w:marRight w:val="0"/>
                      <w:marTop w:val="0"/>
                      <w:marBottom w:val="0"/>
                      <w:divBdr>
                        <w:top w:val="none" w:sz="0" w:space="0" w:color="auto"/>
                        <w:left w:val="none" w:sz="0" w:space="0" w:color="auto"/>
                        <w:bottom w:val="none" w:sz="0" w:space="0" w:color="auto"/>
                        <w:right w:val="none" w:sz="0" w:space="0" w:color="auto"/>
                      </w:divBdr>
                    </w:div>
                  </w:divsChild>
                </w:div>
                <w:div w:id="1227493518">
                  <w:marLeft w:val="0"/>
                  <w:marRight w:val="0"/>
                  <w:marTop w:val="0"/>
                  <w:marBottom w:val="0"/>
                  <w:divBdr>
                    <w:top w:val="none" w:sz="0" w:space="0" w:color="auto"/>
                    <w:left w:val="none" w:sz="0" w:space="0" w:color="auto"/>
                    <w:bottom w:val="none" w:sz="0" w:space="0" w:color="auto"/>
                    <w:right w:val="none" w:sz="0" w:space="0" w:color="auto"/>
                  </w:divBdr>
                  <w:divsChild>
                    <w:div w:id="16340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93743">
          <w:marLeft w:val="0"/>
          <w:marRight w:val="0"/>
          <w:marTop w:val="0"/>
          <w:marBottom w:val="0"/>
          <w:divBdr>
            <w:top w:val="none" w:sz="0" w:space="0" w:color="auto"/>
            <w:left w:val="none" w:sz="0" w:space="0" w:color="auto"/>
            <w:bottom w:val="none" w:sz="0" w:space="0" w:color="auto"/>
            <w:right w:val="none" w:sz="0" w:space="0" w:color="auto"/>
          </w:divBdr>
        </w:div>
      </w:divsChild>
    </w:div>
    <w:div w:id="1247610276">
      <w:bodyDiv w:val="1"/>
      <w:marLeft w:val="0"/>
      <w:marRight w:val="0"/>
      <w:marTop w:val="0"/>
      <w:marBottom w:val="0"/>
      <w:divBdr>
        <w:top w:val="none" w:sz="0" w:space="0" w:color="auto"/>
        <w:left w:val="none" w:sz="0" w:space="0" w:color="auto"/>
        <w:bottom w:val="none" w:sz="0" w:space="0" w:color="auto"/>
        <w:right w:val="none" w:sz="0" w:space="0" w:color="auto"/>
      </w:divBdr>
    </w:div>
    <w:div w:id="1335525003">
      <w:bodyDiv w:val="1"/>
      <w:marLeft w:val="0"/>
      <w:marRight w:val="0"/>
      <w:marTop w:val="0"/>
      <w:marBottom w:val="0"/>
      <w:divBdr>
        <w:top w:val="none" w:sz="0" w:space="0" w:color="auto"/>
        <w:left w:val="none" w:sz="0" w:space="0" w:color="auto"/>
        <w:bottom w:val="none" w:sz="0" w:space="0" w:color="auto"/>
        <w:right w:val="none" w:sz="0" w:space="0" w:color="auto"/>
      </w:divBdr>
    </w:div>
    <w:div w:id="1657495444">
      <w:bodyDiv w:val="1"/>
      <w:marLeft w:val="0"/>
      <w:marRight w:val="0"/>
      <w:marTop w:val="0"/>
      <w:marBottom w:val="0"/>
      <w:divBdr>
        <w:top w:val="none" w:sz="0" w:space="0" w:color="auto"/>
        <w:left w:val="none" w:sz="0" w:space="0" w:color="auto"/>
        <w:bottom w:val="none" w:sz="0" w:space="0" w:color="auto"/>
        <w:right w:val="none" w:sz="0" w:space="0" w:color="auto"/>
      </w:divBdr>
      <w:divsChild>
        <w:div w:id="1906984060">
          <w:marLeft w:val="0"/>
          <w:marRight w:val="0"/>
          <w:marTop w:val="0"/>
          <w:marBottom w:val="0"/>
          <w:divBdr>
            <w:top w:val="none" w:sz="0" w:space="0" w:color="auto"/>
            <w:left w:val="none" w:sz="0" w:space="0" w:color="auto"/>
            <w:bottom w:val="none" w:sz="0" w:space="0" w:color="auto"/>
            <w:right w:val="none" w:sz="0" w:space="0" w:color="auto"/>
          </w:divBdr>
        </w:div>
      </w:divsChild>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19</Pages>
  <Words>5444</Words>
  <Characters>31033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Chloe Thomas (1900854)</cp:lastModifiedBy>
  <cp:revision>24</cp:revision>
  <dcterms:created xsi:type="dcterms:W3CDTF">2023-04-01T23:46:00Z</dcterms:created>
  <dcterms:modified xsi:type="dcterms:W3CDTF">2023-04-02T10:57:00Z</dcterms:modified>
</cp:coreProperties>
</file>