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Recent change in the debate regarding women’s participation in politics - with case study in the UK</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After swearing in as Canada’s 23rd prime minister, Justin Trudeau presented a cabinet comprising 15 women and 15 men and explained amusingly “Because it’s 2015” (Murphy, 2015). By doing so, he fulfilled his promise on gender parity and that was the first time in Canada’s history to have an equal number of men and women in its ministerial team (Palmer and Ljunggren, 2015). In addition, the then female ministers were assigned to major positions such as trade and reform (Murphy, 2015). Abrams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(2005, p. 161) remarked that Western societies have been known historically to keep certain groups of people from being full-fledged</w:t>
      </w:r>
      <w:r w:rsidR="00786EBB">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members of the society and having legal rights. According to The Charity Commission (2001), the term ‘social inclusion’ is frequently used to define the opposite effect to ‘social exclusion’. Many people believe it stems from ‘positive action taken to change the circumstances and habits that lead, or have led, to social exclusion’ (The Charity Commission, 2001). The Commission stated that, in other words, social inclusion is about making it possible for individuals or groups to ‘fully participate in society’. Abrams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(2005, p. 1) noted that ‘social life is developed on the grounds of connections with others, where people long for ‘inclusion and belongingness’, adding that in many cases, excluded parties may seek ways to reverse the situation, with an aim of creating ‘a positive outcome for themselves’ (2005, p. 3). </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Meanwhile, ‘social exclusion’ describes the phenomenon where a group of people ‘have no recognition’ or are excluded by the society, for instance due to discrimination or disability (The Charity Commission, 2001). Abrams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(2005) held that ‘being and feeling excluded’ takes a toll on people’s mind and material. They warn that exclusion has an adverse impact on the communities as well as prompts conditions leading to ‘conflicts, increased inequality and mistrust’ (Abrams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2005, p. 4). Furthermore, social exclusion is thought to keep stakeholders from earning necessary ‘resources for participation in social, economic and political activity’ and gaining ‘access for support and opportunity’ (Pierson, 2010, p. 23). Kendall (2016) held a view that inclusion takes into account ‘matters of identity and participation’, as well as ‘subject matter and scholarly approach’. It is projected to generate ‘a more informed and reflexive field of knowledge’, Kendall (2016) added, warning that a politics of inclusion ‘harbours its own risks’. </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Some people hold a strong belief in ‘an appropriate gender balance’ in politics, arguing the situation that one sex can exert control over ‘the near-exclusion of the other’ would be unsettling (Bryson, 1999, p. 112). For their part, many feminists reiterated that this exclusion is politically significant, for reflecting and maintaining ‘discrimination and oppression’. Women across the world were only given the right to vote </w:t>
      </w:r>
      <w:r>
        <w:rPr>
          <w:rFonts w:ascii="Times New Roman" w:eastAsia="Times New Roman" w:hAnsi="Times New Roman" w:cs="Times New Roman"/>
          <w:sz w:val="24"/>
          <w:szCs w:val="24"/>
        </w:rPr>
        <w:t>starting</w:t>
      </w:r>
      <w:r>
        <w:rPr>
          <w:rFonts w:ascii="Times New Roman" w:eastAsia="Times New Roman" w:hAnsi="Times New Roman" w:cs="Times New Roman"/>
          <w:color w:val="000000"/>
          <w:sz w:val="24"/>
          <w:szCs w:val="24"/>
        </w:rPr>
        <w:t xml:space="preserve"> the 19th century. The first country to allow women to do so was New Zealand in 1894, followed by Australia, Finland and Norway in the next 20 years (Bryson, 1999). Since then, a number of women have become high-ranking leaders of their respective nations (TIME, no date), namely Angela Merkel of Germany and Jacinda Ardern of New Zealand. However, it is pointed out by the UN Women (no date) that only 28 countries worldwide having 30 women served as ‘Heads of State and/or Government’ as of September 2022. In retrospect, the roads to foster women’s participation in politics have been littered with thorns in many countries, including the UK, where feminists struggled for over 50 years to obtain votes for women (Kent, 1986, p. 184).</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Women in late 19th and early 20th century in the UK who formed part of the ‘campaign for women’s parliamentary enfranchisement’ were called ‘suffragist’, while ‘suffragette’ included women holding the belief that the only legal method to overturn ‘women’s exclusion from the franchise’ was ‘resistance’ - or ‘use of militancy’ to existing government (Nym Mayhall, 2001). Although they held different vi</w:t>
      </w:r>
      <w:r w:rsidR="00786EBB">
        <w:rPr>
          <w:rFonts w:ascii="Times New Roman" w:eastAsia="Times New Roman" w:hAnsi="Times New Roman" w:cs="Times New Roman"/>
          <w:color w:val="000000"/>
          <w:sz w:val="24"/>
          <w:szCs w:val="24"/>
        </w:rPr>
        <w:t>ewpoints on methods of</w:t>
      </w:r>
      <w:r>
        <w:rPr>
          <w:rFonts w:ascii="Times New Roman" w:eastAsia="Times New Roman" w:hAnsi="Times New Roman" w:cs="Times New Roman"/>
          <w:color w:val="000000"/>
          <w:sz w:val="24"/>
          <w:szCs w:val="24"/>
        </w:rPr>
        <w:t xml:space="preserve"> </w:t>
      </w:r>
      <w:r w:rsidR="00786EBB">
        <w:rPr>
          <w:rFonts w:ascii="Times New Roman" w:eastAsia="Times New Roman" w:hAnsi="Times New Roman" w:cs="Times New Roman"/>
          <w:color w:val="000000"/>
          <w:sz w:val="24"/>
          <w:szCs w:val="24"/>
        </w:rPr>
        <w:t>achieving</w:t>
      </w:r>
      <w:r>
        <w:rPr>
          <w:rFonts w:ascii="Times New Roman" w:eastAsia="Times New Roman" w:hAnsi="Times New Roman" w:cs="Times New Roman"/>
          <w:color w:val="000000"/>
          <w:sz w:val="24"/>
          <w:szCs w:val="24"/>
        </w:rPr>
        <w:t xml:space="preserve"> what they hoped for, both demanded votes for women ‘on the same terms as it was or should be granted for men’ (Kent, 1986, p. 207).</w:t>
      </w:r>
      <w:r w:rsidR="00786EBB">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Bryson (1999) observed that only men can legislate to vote on issues related to ‘reproduction or sexual violence’ without consulting women’s opinions, was believed to be wrong. In the eyes of feminists, as ‘the primary carers’ of many, including children and senior citizens, and as workers who are underpaid and underappreciated, women have concerns and interests in fields closely related to them, as well as other ‘gender-neutral’ sectors (Bryson, 1999, p. 113). In the 19th century, British suffragists were restricted by ‘a liberal political discourse’ </w:t>
      </w:r>
    </w:p>
    <w:p w:rsidR="00CB02C4" w:rsidRDefault="00D3054B">
      <w:pPr>
        <w:pStyle w:val="normal0"/>
        <w:spacing w:after="0" w:line="360" w:lineRule="auto"/>
        <w:ind w:left="720" w:right="54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gave women no claim to political enfranchisement on the grounds of natural right, but their relation to their oppressors, as wives, mothers, daughters, of the (white) men to whom they appealed, offered them different possibilities for resolution (Nym Mayhall, 2001).</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ind w:right="54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At that time, in the public eye, the sole economic security source for middle-class women was to find a husband and reality was less important than beliefs about </w:t>
      </w:r>
      <w:r>
        <w:rPr>
          <w:rFonts w:ascii="Times New Roman" w:eastAsia="Times New Roman" w:hAnsi="Times New Roman" w:cs="Times New Roman"/>
          <w:color w:val="000000"/>
          <w:sz w:val="24"/>
          <w:szCs w:val="24"/>
        </w:rPr>
        <w:lastRenderedPageBreak/>
        <w:t xml:space="preserve">appropriate gender roles (Bryson, 1992, p. 51-52). This ideology set unmarried and working women </w:t>
      </w:r>
      <w:r w:rsidR="00786EBB">
        <w:rPr>
          <w:rFonts w:ascii="Times New Roman" w:eastAsia="Times New Roman" w:hAnsi="Times New Roman" w:cs="Times New Roman"/>
          <w:color w:val="000000"/>
          <w:sz w:val="24"/>
          <w:szCs w:val="24"/>
        </w:rPr>
        <w:t>aside</w:t>
      </w:r>
      <w:r>
        <w:rPr>
          <w:rFonts w:ascii="Times New Roman" w:eastAsia="Times New Roman" w:hAnsi="Times New Roman" w:cs="Times New Roman"/>
          <w:color w:val="000000"/>
          <w:sz w:val="24"/>
          <w:szCs w:val="24"/>
        </w:rPr>
        <w:t xml:space="preserve"> and even viewed them as failures. British suffragettes were viewed, by the courts, as ‘political prisoners rather than common criminals’ (Kent, 1986, p. 198). Some </w:t>
      </w:r>
      <w:r>
        <w:rPr>
          <w:rFonts w:ascii="Times New Roman" w:eastAsia="Times New Roman" w:hAnsi="Times New Roman" w:cs="Times New Roman"/>
          <w:sz w:val="24"/>
          <w:szCs w:val="24"/>
        </w:rPr>
        <w:t>of them</w:t>
      </w:r>
      <w:r>
        <w:rPr>
          <w:rFonts w:ascii="Times New Roman" w:eastAsia="Times New Roman" w:hAnsi="Times New Roman" w:cs="Times New Roman"/>
          <w:color w:val="000000"/>
          <w:sz w:val="24"/>
          <w:szCs w:val="24"/>
        </w:rPr>
        <w:t xml:space="preserve"> were attacked and sexually harassed by police and male bystanders. Furthermore, </w:t>
      </w:r>
      <w:r>
        <w:rPr>
          <w:rFonts w:ascii="Times New Roman" w:eastAsia="Times New Roman" w:hAnsi="Times New Roman" w:cs="Times New Roman"/>
          <w:sz w:val="24"/>
          <w:szCs w:val="24"/>
        </w:rPr>
        <w:t>many</w:t>
      </w:r>
      <w:r>
        <w:rPr>
          <w:rFonts w:ascii="Times New Roman" w:eastAsia="Times New Roman" w:hAnsi="Times New Roman" w:cs="Times New Roman"/>
          <w:color w:val="000000"/>
          <w:sz w:val="24"/>
          <w:szCs w:val="24"/>
        </w:rPr>
        <w:t xml:space="preserve"> people even equated the women’s presence in public with prostitution and commented: </w:t>
      </w:r>
    </w:p>
    <w:p w:rsidR="00CB02C4" w:rsidRDefault="00D3054B">
      <w:pPr>
        <w:pStyle w:val="normal0"/>
        <w:spacing w:after="0" w:line="360" w:lineRule="auto"/>
        <w:ind w:left="720" w:right="9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Those who stepped out of the God-given realm of their sexual and reproductive functions were regarded as sexual malaise or incompleteness (Kent, 1986, p. 200).</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ind w:right="-90"/>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Nym Mayhall (2001) also underlined that the suffragettes made a connection between ‘state and family’ and worked to change their ‘exclusion from the duties of citizenship’ in opposition to anti-suffragist opinions of keeping women out of political life.</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rsidP="00786EBB">
      <w:pPr>
        <w:pStyle w:val="normal0"/>
        <w:spacing w:after="0" w:line="360" w:lineRule="auto"/>
        <w:ind w:right="-9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 the ‘Representation of the People Act’ being passed in 1918, women candidates in the UK could be elected to the parliament a year after the success of the suffragettes to ensure women’s right to vote (Pugh, 2000, p. 52; UK Parliament, no date). Nancy Ashton described the first five years in the House of Commons as ‘hell’ and ‘some members of the House, including previous friends’ showed signs of disapproval (Finn, 2019). In post-1918, Britain women contributed significantly in the operation of the Conservative Party, and became conference debates’ speakers (Pugh, 2000, p. 126), although their ‘impacts on the party’s overall strategy was limited’. Bryson (1999, p. 104) noted that the women’s committee has an important role to play in some Labour authorities, including influencing policy and linking the authority and the voluntary sector, together with progress in the fight against domestic violence. Nevertheless, there were criticisms regarding the failure of the female parliament members to create changes in the 1930s (Pugh, 2000, p. 199). Following the achievements of the suffragists and suffragettes and World War II, however, the percentage of </w:t>
      </w:r>
      <w:r w:rsidR="00170FF9">
        <w:rPr>
          <w:rFonts w:ascii="Times New Roman" w:eastAsia="Times New Roman" w:hAnsi="Times New Roman" w:cs="Times New Roman"/>
          <w:color w:val="000000"/>
          <w:sz w:val="24"/>
          <w:szCs w:val="24"/>
        </w:rPr>
        <w:t>members of Parliament who were women</w:t>
      </w:r>
      <w:r>
        <w:rPr>
          <w:rFonts w:ascii="Times New Roman" w:eastAsia="Times New Roman" w:hAnsi="Times New Roman" w:cs="Times New Roman"/>
          <w:color w:val="000000"/>
          <w:sz w:val="24"/>
          <w:szCs w:val="24"/>
        </w:rPr>
        <w:t xml:space="preserve"> in the House of Commons stayed low at 3-4 per cent and hovered around that figure in the late 1980s, making the UK earn the title of ‘unfriendly’ toward female politicians (Ribberink, 2010). </w:t>
      </w:r>
    </w:p>
    <w:p w:rsidR="00786EBB" w:rsidRDefault="00786EBB" w:rsidP="00786EBB">
      <w:pPr>
        <w:pStyle w:val="normal0"/>
        <w:spacing w:after="0" w:line="360" w:lineRule="auto"/>
        <w:ind w:right="-90"/>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Margaret Thatcher’s emergence as leader of the Conservative Party in 1975 and as prime minister four years later represented the climax of female advance in Britain in the 20th century (Pugh, 2000, p. 335), while for some members of her party, her premiership was </w:t>
      </w:r>
      <w:r>
        <w:rPr>
          <w:rFonts w:ascii="Times New Roman" w:eastAsia="Times New Roman" w:hAnsi="Times New Roman" w:cs="Times New Roman"/>
          <w:color w:val="000000"/>
          <w:sz w:val="24"/>
          <w:szCs w:val="24"/>
        </w:rPr>
        <w:lastRenderedPageBreak/>
        <w:t>believed to cause difficulties (Clark, 2012, p. 60). Thatcher began her political career in the 1950s when hardly any women held ‘parliamentary or government posts in the UK or any other country in Western societies’ (Ribberink, 2010). Furthermore, a number of studies showed that voters’ hospitality towards women candidates had become ‘limited’ (Pugh, 2000, p. 170). Apparently, upon her election, there were surprises, ‘mixed feelings and resistance’. In her Party, high-ranking members, all of them men, had difficulties dealing with ‘the thought of being led by a woman’,</w:t>
      </w:r>
      <w:r>
        <w:rPr>
          <w:rFonts w:ascii="Times New Roman" w:eastAsia="Times New Roman" w:hAnsi="Times New Roman" w:cs="Times New Roman"/>
          <w:sz w:val="24"/>
          <w:szCs w:val="24"/>
        </w:rPr>
        <w:t xml:space="preserve"> Ribberink</w:t>
      </w:r>
      <w:r>
        <w:rPr>
          <w:rFonts w:ascii="Times New Roman" w:eastAsia="Times New Roman" w:hAnsi="Times New Roman" w:cs="Times New Roman"/>
          <w:color w:val="000000"/>
          <w:sz w:val="24"/>
          <w:szCs w:val="24"/>
        </w:rPr>
        <w:t xml:space="preserve"> (2010) cited what Thatcher’s daughter wrote in a 2008 memoir. Many people at this time believed that women could not fulfil the role of ‘competent politicians’ as they did not possess the required set of qualities, compared to their male counterparts, </w:t>
      </w:r>
      <w:r>
        <w:rPr>
          <w:rFonts w:ascii="Times New Roman" w:eastAsia="Times New Roman" w:hAnsi="Times New Roman" w:cs="Times New Roman"/>
          <w:sz w:val="24"/>
          <w:szCs w:val="24"/>
        </w:rPr>
        <w:t xml:space="preserve">the researcher </w:t>
      </w:r>
      <w:r>
        <w:rPr>
          <w:rFonts w:ascii="Times New Roman" w:eastAsia="Times New Roman" w:hAnsi="Times New Roman" w:cs="Times New Roman"/>
          <w:color w:val="000000"/>
          <w:sz w:val="24"/>
          <w:szCs w:val="24"/>
        </w:rPr>
        <w:t>continued. Thatcher appeared to be a controversial female politician among women and the country’s history as her government introduced some policies that ran counter to women’s benefits while others boosted employment for women, for instance (Pugh, 2000, p. 336; Ribberink, 2010). She won elections in 1983 and 1987 and strengthened various women’s belief in the 1990s that women could take over leadership roles. And in the decade, scores of women in the UK were appointed to high positions across various sectors and agencies (Pugh, 2000, p. 337). </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Nym Mayhall (2001) pointed out that since the early days of the suffrage campaign, some people have linked ‘the subordination of women to custom and a lack of education’. In addition, the low number of women in political activities could be attributable to their responsibility for ‘domestic work’, which usually puts them at a disadvantage in terms of employment and discrimination (Bryson, 1999). In his book </w:t>
      </w:r>
      <w:r>
        <w:rPr>
          <w:rFonts w:ascii="Times New Roman" w:eastAsia="Times New Roman" w:hAnsi="Times New Roman" w:cs="Times New Roman"/>
          <w:i/>
          <w:sz w:val="24"/>
          <w:szCs w:val="24"/>
        </w:rPr>
        <w:t>The Subjection of Women (1869)</w:t>
      </w:r>
      <w:r>
        <w:rPr>
          <w:rFonts w:ascii="Times New Roman" w:eastAsia="Times New Roman" w:hAnsi="Times New Roman" w:cs="Times New Roman"/>
          <w:sz w:val="24"/>
          <w:szCs w:val="24"/>
        </w:rPr>
        <w:t>, John Stuart Mill argued that ‘family is the nation’ and ‘tyranny exists in the state mirrors the tyranny enacted in the family’ (Nym Mayhall, 2001), seeking a way to help women engage in political activity. Echoing the views on the significance of education, Bryson (1992, p. 64) emphasised that education therefore has a major role to play in women’s liberalisation from old-fashioned ideology. This therefore gives them access to jobs and enables them to take suitable paths of their choice, rather than believing that they only have one option of finding a man to rely on (Bryson, 1992). At present, it is reported that female students in the UK ‘generally outperform’ their male schoolmates (West, 2022), showing women’s competency together with efforts being made in countering their subordination. More women have achieved economic independence and legislative assemblies have become a better environment for women, indicated by the increasing number of women’s</w:t>
      </w:r>
      <w:r w:rsidR="00CA650E">
        <w:rPr>
          <w:rFonts w:ascii="Times New Roman" w:eastAsia="Times New Roman" w:hAnsi="Times New Roman" w:cs="Times New Roman"/>
          <w:sz w:val="24"/>
          <w:szCs w:val="24"/>
        </w:rPr>
        <w:t xml:space="preserve"> representation (Bryson, 1999). </w:t>
      </w:r>
      <w:r>
        <w:rPr>
          <w:rFonts w:ascii="Times New Roman" w:eastAsia="Times New Roman" w:hAnsi="Times New Roman" w:cs="Times New Roman"/>
          <w:sz w:val="24"/>
          <w:szCs w:val="24"/>
        </w:rPr>
        <w:t>Blumenau (2021) affirmed that findings have found the close-</w:t>
      </w:r>
      <w:r>
        <w:rPr>
          <w:rFonts w:ascii="Times New Roman" w:eastAsia="Times New Roman" w:hAnsi="Times New Roman" w:cs="Times New Roman"/>
          <w:sz w:val="24"/>
          <w:szCs w:val="24"/>
        </w:rPr>
        <w:lastRenderedPageBreak/>
        <w:t>knit bond between female politicians and women’s participation in politics. Even under ‘an underappreciated mechanism’, the presence of female political leaders matters as it ‘amplifies the voice of other women’, motivates girls to nurture their career ambitions and engages more women in the political discourse. In a TED talk, Sarpong (2022) emphasised that in the diversity and inclusion agenda, endorsement from people from affluent backgrounds and high positions can help disrupt and counter inequality, giving people and women in particular the chance to prove their worth. She called for</w:t>
      </w:r>
    </w:p>
    <w:p w:rsidR="00CB02C4" w:rsidRDefault="00D3054B">
      <w:pPr>
        <w:pStyle w:val="normal0"/>
        <w:spacing w:after="0" w:line="360" w:lineRule="auto"/>
        <w:ind w:left="720" w:right="63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disruptors who are uncomfortable with the status quo, even if the status quo benefits them and in fact, especially if the status quo benefits them (Sarpong, 2022).</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world of politics, the pledge of Trudeau when being re-elected for the third term as Canadian Prime Minister in late 2021, that he ‘would stick to his practice of naming an equal number of male and female cabinet members’, could serve as a striking example (Ljunggren, 2021).</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Although the presence of female politicians has been acknowledged over the recent past and now, they can serve as active members in the parliament (Blumenau, 2021), ‘exclusion’ lingers and takes a new form (Bryson, 1999, p. 111; de Simone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2018). Women have been subjected to others’ expectation and assumption to conform to promote ‘women’s issues’ traditionally deemed suitable for them, while ‘more weighty and prestigious fields’ are left in the hands of men (Ribberink, 2010; Politt, 2016; Blumenau, 2021; UN Women, no date). Additionally, women ‘disproportionately contribute’ to discussions even in the conventional feminine spheres, with their speaking time in parliamentary debate only making up one tenth of the total given period (Blumenau, 2021). Public discourse has long been familiar with seeing male </w:t>
      </w:r>
      <w:r w:rsidR="00362FFE">
        <w:rPr>
          <w:rFonts w:ascii="Times New Roman" w:eastAsia="Times New Roman" w:hAnsi="Times New Roman" w:cs="Times New Roman"/>
          <w:color w:val="000000"/>
          <w:sz w:val="24"/>
          <w:szCs w:val="24"/>
        </w:rPr>
        <w:t>politicians;</w:t>
      </w:r>
      <w:r>
        <w:rPr>
          <w:rFonts w:ascii="Times New Roman" w:eastAsia="Times New Roman" w:hAnsi="Times New Roman" w:cs="Times New Roman"/>
          <w:color w:val="000000"/>
          <w:sz w:val="24"/>
          <w:szCs w:val="24"/>
        </w:rPr>
        <w:t xml:space="preserve"> nowadays people may still be fazed at the introduction of high-ranking female officials (Harmer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2017). The debate on this topic has been inclined to seek measures for a ‘more inclusive professional culture’ (Awesti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2016). </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For his part, Blumenau (2021) remarked that a recent increase has been recorded in scholarship whose focus is on factors decisive to ‘the appointment of women to political leadership roles’. It is projected that women will be able to contribute more to debates with more female legislators in the parliament and will have a better chance ‘to be selected for ministerial office’, his research (2011) unveiled. Bryson (1999, p. 114) believed that women </w:t>
      </w:r>
      <w:r>
        <w:rPr>
          <w:rFonts w:ascii="Times New Roman" w:eastAsia="Times New Roman" w:hAnsi="Times New Roman" w:cs="Times New Roman"/>
          <w:color w:val="000000"/>
          <w:sz w:val="24"/>
          <w:szCs w:val="24"/>
        </w:rPr>
        <w:lastRenderedPageBreak/>
        <w:t xml:space="preserve">can offer ‘special qualities as well as experiences to politics’, underlining that the sheer number of women in a government is not as important as their would-be contributions once in power. To illustrate, research on the elections showed that Thatcher continued to be in </w:t>
      </w:r>
      <w:r>
        <w:rPr>
          <w:rFonts w:ascii="Times New Roman" w:eastAsia="Times New Roman" w:hAnsi="Times New Roman" w:cs="Times New Roman"/>
          <w:sz w:val="24"/>
          <w:szCs w:val="24"/>
        </w:rPr>
        <w:t xml:space="preserve">office </w:t>
      </w:r>
      <w:r>
        <w:rPr>
          <w:rFonts w:ascii="Times New Roman" w:eastAsia="Times New Roman" w:hAnsi="Times New Roman" w:cs="Times New Roman"/>
          <w:color w:val="000000"/>
          <w:sz w:val="24"/>
          <w:szCs w:val="24"/>
        </w:rPr>
        <w:t>implied that most people voted for her Conservative Party in the 1983 and 1987 general elections, for its ‘policy rather than personality’ (Ribberink, 2010). However, the rising number of women in Parliament alone will not assure to turn ‘UK politics gentler or more deliberative’, Blumenau (2021) added.</w:t>
      </w:r>
      <w:r>
        <w:rPr>
          <w:rFonts w:ascii="Times New Roman" w:eastAsia="Times New Roman" w:hAnsi="Times New Roman" w:cs="Times New Roman"/>
          <w:color w:val="333333"/>
          <w:sz w:val="24"/>
          <w:szCs w:val="24"/>
        </w:rPr>
        <w:t xml:space="preserve"> </w:t>
      </w:r>
      <w:r>
        <w:rPr>
          <w:rFonts w:ascii="Times New Roman" w:eastAsia="Times New Roman" w:hAnsi="Times New Roman" w:cs="Times New Roman"/>
          <w:color w:val="000000"/>
          <w:sz w:val="24"/>
          <w:szCs w:val="24"/>
        </w:rPr>
        <w:t>As humankind has been living with results brought about by decisions of male leaders, stronger female leadership is hoped to bring changes for they may have different ways of thinking and approaches, also in ways that are ‘conducive to the participation and influence of other women’ (Blumenau, 2021). The Green Party has demonstrated commitment to women's rights, and its membership comprises a majority of women (OpenDemocracy, 2015). Politt (2016) reported that female politicians in Scandinavian nations have acted to help fulfil needs and interests which their male counterparts overlooked. In a way, female politicians</w:t>
      </w:r>
      <w:r w:rsidR="00362FFE">
        <w:rPr>
          <w:rFonts w:ascii="Times New Roman" w:eastAsia="Times New Roman" w:hAnsi="Times New Roman" w:cs="Times New Roman"/>
          <w:color w:val="000000"/>
          <w:sz w:val="24"/>
          <w:szCs w:val="24"/>
        </w:rPr>
        <w:t xml:space="preserve"> in the UK</w:t>
      </w:r>
      <w:r>
        <w:rPr>
          <w:rFonts w:ascii="Times New Roman" w:eastAsia="Times New Roman" w:hAnsi="Times New Roman" w:cs="Times New Roman"/>
          <w:color w:val="000000"/>
          <w:sz w:val="24"/>
          <w:szCs w:val="24"/>
        </w:rPr>
        <w:t xml:space="preserve"> can take advantage of and make a difference in their assignments to traditionally feminine posts that have become more urgent and received more public attention, such as welfare, climate change and multiculturalism, following Brexit and the potential rise of nationalism (Ashcroft and Bevir, 2016; Burgoon and Schakel, 2022; Norgaard, 1998; Hepburn and Teytelboym, 2017).</w:t>
      </w:r>
    </w:p>
    <w:p w:rsidR="00CB02C4" w:rsidRDefault="00D3054B">
      <w:pPr>
        <w:pStyle w:val="normal0"/>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On the other hand, individuals like Thatcher and Harriet Harman, who take over positions viewed as male-dominated territories and dare to make ‘powerful and central policy decisions’, tend to be labelled and criticised as ‘unfeminine’, with gendered means being used to soil women’s reputation (Bryson, 1999; Ribberink, 2010; The Economist, 2017). Female politicians have usually been harassed by the focus on their private matters instead of their contributions, as well as questioned for ‘their position as politicians’ (Southern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Harmer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2017). Previously, voters had a tendency to sanction women who were not feminine and held women with ambition in low regard (Blumenau, 2021). Leadership stereotypes are closely linked with masculine stereotypes due to ‘men’s historical occupation’ of this domain (de Simone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2018). In particular, the format of general election debate shows favour to masculine behaviour, and the debate itself is described as a form of combat, much suitable to agentic quality and masculine traits (Harmer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2017). This also results in the belief that female politicians lean more into masculine characteristics (Hargrave and Blumenau, 2022). The gender stereotypes in politics have been gradually blurred with the emergence of prominent female leaders in diverse styles, backed by the constant efforts in the </w:t>
      </w:r>
      <w:r>
        <w:rPr>
          <w:rFonts w:ascii="Times New Roman" w:eastAsia="Times New Roman" w:hAnsi="Times New Roman" w:cs="Times New Roman"/>
          <w:color w:val="000000"/>
          <w:sz w:val="24"/>
          <w:szCs w:val="24"/>
        </w:rPr>
        <w:lastRenderedPageBreak/>
        <w:t>fight for women’s rights throughout history, particularly the suffragettes who resorted to unexpected and militant methods deemed ‘unfeminine’, with determination for the cause. In their research, Hargrave and Blumenau (2022) observed that although gender stereotypes are still significant in current UK politics, especially in voters’ responses, pressures for female politicians to act in accordance with such stereotypes have diminished. The increasing number of female leaders has helped reduce prejudices stating women must have communal qualities, Hargrave and Blumenau (2022) cited Dasgupta and Asgari (2004). The percentage of seats occupied by women in the House of Commons was brought to an all-time high of 35 per cen</w:t>
      </w:r>
      <w:r w:rsidR="00362FFE">
        <w:rPr>
          <w:rFonts w:ascii="Times New Roman" w:eastAsia="Times New Roman" w:hAnsi="Times New Roman" w:cs="Times New Roman"/>
          <w:color w:val="000000"/>
          <w:sz w:val="24"/>
          <w:szCs w:val="24"/>
        </w:rPr>
        <w:t xml:space="preserve">t as of October 2022, with 225 members of </w:t>
      </w:r>
      <w:r>
        <w:rPr>
          <w:rFonts w:ascii="Times New Roman" w:eastAsia="Times New Roman" w:hAnsi="Times New Roman" w:cs="Times New Roman"/>
          <w:color w:val="000000"/>
          <w:sz w:val="24"/>
          <w:szCs w:val="24"/>
        </w:rPr>
        <w:t>P</w:t>
      </w:r>
      <w:r w:rsidR="00362FFE">
        <w:rPr>
          <w:rFonts w:ascii="Times New Roman" w:eastAsia="Times New Roman" w:hAnsi="Times New Roman" w:cs="Times New Roman"/>
          <w:color w:val="000000"/>
          <w:sz w:val="24"/>
          <w:szCs w:val="24"/>
        </w:rPr>
        <w:t>arliament</w:t>
      </w:r>
      <w:r>
        <w:rPr>
          <w:rFonts w:ascii="Times New Roman" w:eastAsia="Times New Roman" w:hAnsi="Times New Roman" w:cs="Times New Roman"/>
          <w:color w:val="000000"/>
          <w:sz w:val="24"/>
          <w:szCs w:val="24"/>
        </w:rPr>
        <w:t xml:space="preserve">, from a mere 18 per cent in 1997 (Inter-Parliamentary Union, no date; Uberoi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2022). Researchers believed this will pave the way for female politicians to ‘diverge from stereotypical behaviours’ and change ‘perceptions of what is commonly thought appropriate of women’s behaviour’ (Hargrave and Blumenau, 2022).</w:t>
      </w: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w:t>
      </w: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As efforts have been made in UK politics throughout the country’s history to narrow the gender gap, women’s participation in politics have significantly improved (Blumenau, 2021; Inter-Parliamentary Union, no date). However, the discourse on ‘exclusion’ has shifted to their posts and issues under their jurisdiction, rather than just numbers of women in leadership (Bryson, 1999, p114; Blumenau 2021). In addition, female politicians have been more often the target of criticism and humiliation on the ground of gender stereotypes than their male colleagues (Southern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2021; Ribberink, 2010). The suffrage campaign in the 19th century, Thatcher’s premiership and studies can be referred to prove that sexist assumptions and expectations are neither applicable nor used to restrain individuals based on their gender, and the gender pressure on female leaders has declined over the years (Hargrave and Blumenau, 2022). Priority should be given to aptitude and contributions of the people in power, rather than their gender and which styles of leadership they adopt (Bryson, 1999, p114; Harmer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2017). Support from affluent people who are willing to take action even if the current situation benefits them, is also essential for inclusion efforts (Sarpong, 2022)./.</w:t>
      </w:r>
    </w:p>
    <w:p w:rsidR="00CB02C4" w:rsidRDefault="00D3054B">
      <w:pPr>
        <w:pStyle w:val="normal0"/>
        <w:shd w:val="clear" w:color="auto" w:fill="FFFFFF"/>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w:t>
      </w:r>
    </w:p>
    <w:p w:rsidR="00CB02C4" w:rsidRDefault="00D3054B">
      <w:pPr>
        <w:pStyle w:val="normal0"/>
        <w:shd w:val="clear" w:color="auto" w:fill="FFFFFF"/>
        <w:spacing w:line="360" w:lineRule="auto"/>
        <w:jc w:val="both"/>
        <w:rPr>
          <w:rFonts w:ascii="Times New Roman" w:eastAsia="Times New Roman" w:hAnsi="Times New Roman" w:cs="Times New Roman"/>
          <w:b/>
          <w:sz w:val="24"/>
          <w:szCs w:val="24"/>
        </w:rPr>
      </w:pPr>
      <w:r>
        <w:br w:type="page"/>
      </w:r>
    </w:p>
    <w:p w:rsidR="00CB02C4" w:rsidRDefault="00D3054B">
      <w:pPr>
        <w:pStyle w:val="normal0"/>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Reference list</w:t>
      </w:r>
    </w:p>
    <w:p w:rsidR="00CB02C4" w:rsidRDefault="00D3054B">
      <w:pPr>
        <w:pStyle w:val="normal0"/>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Abrams, D., De Moura, G. R., Hutchison, P., and Viki G. T. (2005) ‘When bad becomes good (and vice versa): Why social exclusion is not based on difference’ in D. Abrams, M. A. Hoggs and J. M. Marques (eds) </w:t>
      </w:r>
      <w:r>
        <w:rPr>
          <w:rFonts w:ascii="Times New Roman" w:eastAsia="Times New Roman" w:hAnsi="Times New Roman" w:cs="Times New Roman"/>
          <w:i/>
          <w:color w:val="000000"/>
          <w:sz w:val="24"/>
          <w:szCs w:val="24"/>
        </w:rPr>
        <w:t>The Social Psychology of Inclusion and Exclusion</w:t>
      </w:r>
      <w:r>
        <w:rPr>
          <w:rFonts w:ascii="Times New Roman" w:eastAsia="Times New Roman" w:hAnsi="Times New Roman" w:cs="Times New Roman"/>
          <w:color w:val="000000"/>
          <w:sz w:val="24"/>
          <w:szCs w:val="24"/>
        </w:rPr>
        <w:t>. New York: Psychology Press.</w:t>
      </w:r>
    </w:p>
    <w:p w:rsidR="00CB02C4" w:rsidRDefault="00CB02C4">
      <w:pPr>
        <w:pStyle w:val="normal0"/>
        <w:spacing w:after="0" w:line="360" w:lineRule="auto"/>
        <w:jc w:val="both"/>
        <w:rPr>
          <w:rFonts w:ascii="Times New Roman" w:eastAsia="Times New Roman" w:hAnsi="Times New Roman" w:cs="Times New Roman"/>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Abrams, D., Hoggs, M. A., and Marques, J. M. (2005) ‘A social psychological framework for understanding social inclusion and exclusion’ in D. Abrams, M. A. Hoggs and J. M. Marques (eds) </w:t>
      </w:r>
      <w:r>
        <w:rPr>
          <w:rFonts w:ascii="Times New Roman" w:eastAsia="Times New Roman" w:hAnsi="Times New Roman" w:cs="Times New Roman"/>
          <w:i/>
          <w:color w:val="000000"/>
          <w:sz w:val="24"/>
          <w:szCs w:val="24"/>
        </w:rPr>
        <w:t>The Social Psychology of Inclusion and Exclusion</w:t>
      </w:r>
      <w:r>
        <w:rPr>
          <w:rFonts w:ascii="Times New Roman" w:eastAsia="Times New Roman" w:hAnsi="Times New Roman" w:cs="Times New Roman"/>
          <w:color w:val="000000"/>
          <w:sz w:val="24"/>
          <w:szCs w:val="24"/>
        </w:rPr>
        <w:t>. New York: Psychology Press.</w:t>
      </w:r>
    </w:p>
    <w:p w:rsidR="00CB02C4" w:rsidRDefault="00CB02C4">
      <w:pPr>
        <w:pStyle w:val="normal0"/>
        <w:spacing w:after="0" w:line="360" w:lineRule="auto"/>
        <w:jc w:val="both"/>
        <w:rPr>
          <w:rFonts w:ascii="Times New Roman" w:eastAsia="Times New Roman" w:hAnsi="Times New Roman" w:cs="Times New Roman"/>
          <w:color w:val="000000"/>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Ashcroft, R. and Bevir, M. (2016) ‘Pluralism, National Identity and Citizenship: Britain after Brexit’, </w:t>
      </w:r>
      <w:r>
        <w:rPr>
          <w:rFonts w:ascii="Times New Roman" w:eastAsia="Times New Roman" w:hAnsi="Times New Roman" w:cs="Times New Roman"/>
          <w:i/>
          <w:color w:val="000000"/>
          <w:sz w:val="24"/>
          <w:szCs w:val="24"/>
        </w:rPr>
        <w:t>Journal Political Quarterly</w:t>
      </w:r>
      <w:r>
        <w:rPr>
          <w:rFonts w:ascii="Times New Roman" w:eastAsia="Times New Roman" w:hAnsi="Times New Roman" w:cs="Times New Roman"/>
          <w:color w:val="000000"/>
          <w:sz w:val="24"/>
          <w:szCs w:val="24"/>
        </w:rPr>
        <w:t>, 87(3) ISSN 0032-3179. Available at: 10.1111/1467-923X.12293 (Accessed January 12, 2023).</w:t>
      </w:r>
    </w:p>
    <w:p w:rsidR="00CB02C4" w:rsidRDefault="00CB02C4">
      <w:pPr>
        <w:pStyle w:val="normal0"/>
        <w:spacing w:after="0" w:line="360" w:lineRule="auto"/>
        <w:jc w:val="both"/>
        <w:rPr>
          <w:rFonts w:ascii="Times New Roman" w:eastAsia="Times New Roman" w:hAnsi="Times New Roman" w:cs="Times New Roman"/>
          <w:color w:val="000000"/>
          <w:sz w:val="24"/>
          <w:szCs w:val="24"/>
        </w:rPr>
      </w:pPr>
    </w:p>
    <w:p w:rsidR="00CB02C4" w:rsidRDefault="00D3054B">
      <w:pPr>
        <w:pStyle w:val="norm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Awesti, A., Flinders, M., and Savigny, H. (2016) ‘Pursuing the diversity and inclusion agenda: the PSA in the UK’, </w:t>
      </w:r>
      <w:r>
        <w:rPr>
          <w:rFonts w:ascii="Times New Roman" w:eastAsia="Times New Roman" w:hAnsi="Times New Roman" w:cs="Times New Roman"/>
          <w:i/>
          <w:color w:val="000000"/>
          <w:sz w:val="24"/>
          <w:szCs w:val="24"/>
        </w:rPr>
        <w:t>European Political Science: EPS</w:t>
      </w:r>
      <w:r>
        <w:rPr>
          <w:rFonts w:ascii="Times New Roman" w:eastAsia="Times New Roman" w:hAnsi="Times New Roman" w:cs="Times New Roman"/>
          <w:color w:val="000000"/>
          <w:sz w:val="24"/>
          <w:szCs w:val="24"/>
        </w:rPr>
        <w:t>; Basingstoke Vol. 15, Iss. 4, pp.508-518. Available at: 10.1057/s41304-016-0073-8 (Accessed January 11, 2023).</w:t>
      </w:r>
    </w:p>
    <w:p w:rsidR="00CB02C4" w:rsidRDefault="00CB02C4">
      <w:pPr>
        <w:pStyle w:val="normal0"/>
        <w:spacing w:after="0" w:line="360" w:lineRule="auto"/>
        <w:jc w:val="both"/>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Blumenau, J. (2021) ‘The Effects of Female Leadership on Women’s Voice in Political Debate’, </w:t>
      </w:r>
      <w:r>
        <w:rPr>
          <w:rFonts w:ascii="Times New Roman" w:eastAsia="Times New Roman" w:hAnsi="Times New Roman" w:cs="Times New Roman"/>
          <w:i/>
          <w:color w:val="000000"/>
          <w:sz w:val="24"/>
          <w:szCs w:val="24"/>
        </w:rPr>
        <w:t>British Journal of Political Science</w:t>
      </w:r>
      <w:r>
        <w:rPr>
          <w:rFonts w:ascii="Times New Roman" w:eastAsia="Times New Roman" w:hAnsi="Times New Roman" w:cs="Times New Roman"/>
          <w:color w:val="000000"/>
          <w:sz w:val="24"/>
          <w:szCs w:val="24"/>
        </w:rPr>
        <w:t>, 51, pp. 750–771. Available at:10.1017/S0007123419000334 (Accessed January 7,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Bryson, V. (1992) </w:t>
      </w:r>
      <w:r>
        <w:rPr>
          <w:rFonts w:ascii="Times New Roman" w:eastAsia="Times New Roman" w:hAnsi="Times New Roman" w:cs="Times New Roman"/>
          <w:i/>
          <w:color w:val="000000"/>
          <w:sz w:val="24"/>
          <w:szCs w:val="24"/>
        </w:rPr>
        <w:t>Feminist Political Theory: An Introduction</w:t>
      </w:r>
      <w:r>
        <w:rPr>
          <w:rFonts w:ascii="Times New Roman" w:eastAsia="Times New Roman" w:hAnsi="Times New Roman" w:cs="Times New Roman"/>
          <w:color w:val="000000"/>
          <w:sz w:val="24"/>
          <w:szCs w:val="24"/>
        </w:rPr>
        <w:t>. 1st edn. Hong Kong: Macmillan Press.</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Bryson, V. (1999) </w:t>
      </w:r>
      <w:r>
        <w:rPr>
          <w:rFonts w:ascii="Times New Roman" w:eastAsia="Times New Roman" w:hAnsi="Times New Roman" w:cs="Times New Roman"/>
          <w:i/>
          <w:color w:val="000000"/>
          <w:sz w:val="24"/>
          <w:szCs w:val="24"/>
        </w:rPr>
        <w:t>Feminist debates: Issue of Theory and Political Practice</w:t>
      </w:r>
      <w:r>
        <w:rPr>
          <w:rFonts w:ascii="Times New Roman" w:eastAsia="Times New Roman" w:hAnsi="Times New Roman" w:cs="Times New Roman"/>
          <w:color w:val="000000"/>
          <w:sz w:val="24"/>
          <w:szCs w:val="24"/>
        </w:rPr>
        <w:t>, Hong Kong: Macmillan Press.</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Burgoon, B. and Schakel, W. (2022) ‘Embedded liberalism or embedded nationalism? How welfare states affect anti-globalisation nationalism in party platforms’, </w:t>
      </w:r>
      <w:r>
        <w:rPr>
          <w:rFonts w:ascii="Times New Roman" w:eastAsia="Times New Roman" w:hAnsi="Times New Roman" w:cs="Times New Roman"/>
          <w:i/>
          <w:color w:val="000000"/>
          <w:sz w:val="24"/>
          <w:szCs w:val="24"/>
        </w:rPr>
        <w:t>West European Politics</w:t>
      </w:r>
      <w:r>
        <w:rPr>
          <w:rFonts w:ascii="Times New Roman" w:eastAsia="Times New Roman" w:hAnsi="Times New Roman" w:cs="Times New Roman"/>
          <w:color w:val="000000"/>
          <w:sz w:val="24"/>
          <w:szCs w:val="24"/>
        </w:rPr>
        <w:t xml:space="preserve">, Vol.45 (1), pp.50-76. Available at: </w:t>
      </w:r>
      <w:hyperlink r:id="rId7">
        <w:r>
          <w:rPr>
            <w:rFonts w:ascii="Times New Roman" w:eastAsia="Times New Roman" w:hAnsi="Times New Roman" w:cs="Times New Roman"/>
            <w:color w:val="1155CC"/>
            <w:sz w:val="24"/>
            <w:szCs w:val="24"/>
            <w:u w:val="single"/>
          </w:rPr>
          <w:t>https://www.tandfonline.com/doi/pdf/10.1080/01402382.2021.1908707?needAccess=true&amp;</w:t>
        </w:r>
      </w:hyperlink>
      <w:r>
        <w:rPr>
          <w:rFonts w:ascii="Times New Roman" w:eastAsia="Times New Roman" w:hAnsi="Times New Roman" w:cs="Times New Roman"/>
          <w:color w:val="000000"/>
          <w:sz w:val="24"/>
          <w:szCs w:val="24"/>
        </w:rPr>
        <w:t xml:space="preserve">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Clark, A. (2012) </w:t>
      </w:r>
      <w:r>
        <w:rPr>
          <w:rFonts w:ascii="Times New Roman" w:eastAsia="Times New Roman" w:hAnsi="Times New Roman" w:cs="Times New Roman"/>
          <w:i/>
          <w:color w:val="000000"/>
          <w:sz w:val="24"/>
          <w:szCs w:val="24"/>
        </w:rPr>
        <w:t>Political Parties in the UK.</w:t>
      </w:r>
      <w:r>
        <w:rPr>
          <w:rFonts w:ascii="Times New Roman" w:eastAsia="Times New Roman" w:hAnsi="Times New Roman" w:cs="Times New Roman"/>
          <w:color w:val="000000"/>
          <w:sz w:val="24"/>
          <w:szCs w:val="24"/>
        </w:rPr>
        <w:t xml:space="preserve"> Hampshire: Palgrave Macmillan.</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de Simone, S., Putzu, D., Lasio, D., and Serri, F. (2018) ‘The hegemonic gender order in politics’, </w:t>
      </w:r>
      <w:r>
        <w:rPr>
          <w:rFonts w:ascii="Times New Roman" w:eastAsia="Times New Roman" w:hAnsi="Times New Roman" w:cs="Times New Roman"/>
          <w:i/>
          <w:color w:val="000000"/>
          <w:sz w:val="24"/>
          <w:szCs w:val="24"/>
        </w:rPr>
        <w:t>Equality, Diversity and Inclusion: An International Journal</w:t>
      </w:r>
      <w:r>
        <w:rPr>
          <w:rFonts w:ascii="Times New Roman" w:eastAsia="Times New Roman" w:hAnsi="Times New Roman" w:cs="Times New Roman"/>
          <w:color w:val="000000"/>
          <w:sz w:val="24"/>
          <w:szCs w:val="24"/>
        </w:rPr>
        <w:t>, Birmingham Vol. 37, Iss. 8, pp. 832-846. Available at:</w:t>
      </w:r>
      <w:r w:rsidR="00D530E9">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10.1108/EDI-12-2017-0272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Finn, T. (2019) ‘The first woman of British parliament’, </w:t>
      </w:r>
      <w:r>
        <w:rPr>
          <w:rFonts w:ascii="Times New Roman" w:eastAsia="Times New Roman" w:hAnsi="Times New Roman" w:cs="Times New Roman"/>
          <w:i/>
          <w:color w:val="000000"/>
          <w:sz w:val="24"/>
          <w:szCs w:val="24"/>
        </w:rPr>
        <w:t>History of government</w:t>
      </w:r>
      <w:r>
        <w:rPr>
          <w:rFonts w:ascii="Times New Roman" w:eastAsia="Times New Roman" w:hAnsi="Times New Roman" w:cs="Times New Roman"/>
          <w:color w:val="000000"/>
          <w:sz w:val="24"/>
          <w:szCs w:val="24"/>
        </w:rPr>
        <w:t xml:space="preserve">. Available at: </w:t>
      </w:r>
      <w:hyperlink r:id="rId8">
        <w:r>
          <w:rPr>
            <w:rFonts w:ascii="Times New Roman" w:eastAsia="Times New Roman" w:hAnsi="Times New Roman" w:cs="Times New Roman"/>
            <w:color w:val="1155CC"/>
            <w:sz w:val="24"/>
            <w:szCs w:val="24"/>
            <w:u w:val="single"/>
          </w:rPr>
          <w:t>https://history.blog.gov.uk/2019/11/28/the-first-woman-of-british-parliament/</w:t>
        </w:r>
      </w:hyperlink>
      <w:r>
        <w:rPr>
          <w:rFonts w:ascii="Times New Roman" w:eastAsia="Times New Roman" w:hAnsi="Times New Roman" w:cs="Times New Roman"/>
          <w:color w:val="000000"/>
          <w:sz w:val="24"/>
          <w:szCs w:val="24"/>
        </w:rPr>
        <w:t xml:space="preserve"> (Accessed January 6,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Hargrave, L. and Blumenau, J. (2022) ‘No longer conforming to stereotypes? Gender, political style and parliamentary debate in the UK’, </w:t>
      </w:r>
      <w:r>
        <w:rPr>
          <w:rFonts w:ascii="Times New Roman" w:eastAsia="Times New Roman" w:hAnsi="Times New Roman" w:cs="Times New Roman"/>
          <w:i/>
          <w:color w:val="000000"/>
          <w:sz w:val="24"/>
          <w:szCs w:val="24"/>
        </w:rPr>
        <w:t>British Journal of Political Science</w:t>
      </w:r>
      <w:r>
        <w:rPr>
          <w:rFonts w:ascii="Times New Roman" w:eastAsia="Times New Roman" w:hAnsi="Times New Roman" w:cs="Times New Roman"/>
          <w:color w:val="000000"/>
          <w:sz w:val="24"/>
          <w:szCs w:val="24"/>
        </w:rPr>
        <w:t>, Vol.52 (4), pp.1584-1601. Cambridge: Cambridge University Press. Available at: 10.1017/S0007123421000648 (Accessed January 7,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Harmer, E., Savigny, H. and Ward, O. (2017) ‘‘Are you tough enough?’ Performing gender in the UK leadership debates 2015’, </w:t>
      </w:r>
      <w:r w:rsidRPr="006E14E1">
        <w:rPr>
          <w:rFonts w:ascii="Times New Roman" w:eastAsia="Times New Roman" w:hAnsi="Times New Roman" w:cs="Times New Roman"/>
          <w:i/>
          <w:color w:val="000000"/>
          <w:sz w:val="24"/>
          <w:szCs w:val="24"/>
        </w:rPr>
        <w:t>Media, Culture &amp; Society</w:t>
      </w:r>
      <w:r>
        <w:rPr>
          <w:rFonts w:ascii="Times New Roman" w:eastAsia="Times New Roman" w:hAnsi="Times New Roman" w:cs="Times New Roman"/>
          <w:color w:val="000000"/>
          <w:sz w:val="24"/>
          <w:szCs w:val="24"/>
        </w:rPr>
        <w:t>, Vol.39 (7), pp.960-975. London: SAGE Publications. Available at: https://journals.sagepub.com/doi/10.1177/0163443716682074 (January 7,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Hepburn, C. and Teytelboym A. (2017) ‘Climate change policy after Brexit’, </w:t>
      </w:r>
      <w:r>
        <w:rPr>
          <w:rFonts w:ascii="Times New Roman" w:eastAsia="Times New Roman" w:hAnsi="Times New Roman" w:cs="Times New Roman"/>
          <w:i/>
          <w:color w:val="000000"/>
          <w:sz w:val="24"/>
          <w:szCs w:val="24"/>
        </w:rPr>
        <w:t>Oxford Review of Economic Policy</w:t>
      </w:r>
      <w:r>
        <w:rPr>
          <w:rFonts w:ascii="Times New Roman" w:eastAsia="Times New Roman" w:hAnsi="Times New Roman" w:cs="Times New Roman"/>
          <w:color w:val="000000"/>
          <w:sz w:val="24"/>
          <w:szCs w:val="24"/>
        </w:rPr>
        <w:t>, Volume 33, Issue suppl_1, pp S144–S154. Available at: https://doi.org/10.1093/oxrep/grx004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Inter-Parliamentary Union (no date) </w:t>
      </w:r>
      <w:r>
        <w:rPr>
          <w:rFonts w:ascii="Times New Roman" w:eastAsia="Times New Roman" w:hAnsi="Times New Roman" w:cs="Times New Roman"/>
          <w:i/>
          <w:color w:val="000000"/>
          <w:sz w:val="24"/>
          <w:szCs w:val="24"/>
        </w:rPr>
        <w:t>UK Parliament, House of Commons</w:t>
      </w:r>
      <w:r>
        <w:rPr>
          <w:rFonts w:ascii="Times New Roman" w:eastAsia="Times New Roman" w:hAnsi="Times New Roman" w:cs="Times New Roman"/>
          <w:color w:val="000000"/>
          <w:sz w:val="24"/>
          <w:szCs w:val="24"/>
        </w:rPr>
        <w:t xml:space="preserve">. Available at: </w:t>
      </w:r>
      <w:hyperlink r:id="rId9">
        <w:r>
          <w:rPr>
            <w:rFonts w:ascii="Times New Roman" w:eastAsia="Times New Roman" w:hAnsi="Times New Roman" w:cs="Times New Roman"/>
            <w:color w:val="1155CC"/>
            <w:sz w:val="24"/>
            <w:szCs w:val="24"/>
            <w:u w:val="single"/>
          </w:rPr>
          <w:t>https://www.ipu.org/parliament/GB</w:t>
        </w:r>
      </w:hyperlink>
      <w:r>
        <w:rPr>
          <w:rFonts w:ascii="Times New Roman" w:eastAsia="Times New Roman" w:hAnsi="Times New Roman" w:cs="Times New Roman"/>
          <w:color w:val="000000"/>
          <w:sz w:val="24"/>
          <w:szCs w:val="24"/>
        </w:rPr>
        <w:t xml:space="preserve"> (Accessed January 13,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Kendall, S. (2016) ‘On academic production and the politics of inclusion’, </w:t>
      </w:r>
      <w:r>
        <w:rPr>
          <w:rFonts w:ascii="Times New Roman" w:eastAsia="Times New Roman" w:hAnsi="Times New Roman" w:cs="Times New Roman"/>
          <w:i/>
          <w:color w:val="000000"/>
          <w:sz w:val="24"/>
          <w:szCs w:val="24"/>
        </w:rPr>
        <w:t>Leiden Journal of International Law</w:t>
      </w:r>
      <w:r>
        <w:rPr>
          <w:rFonts w:ascii="Times New Roman" w:eastAsia="Times New Roman" w:hAnsi="Times New Roman" w:cs="Times New Roman"/>
          <w:color w:val="000000"/>
          <w:sz w:val="24"/>
          <w:szCs w:val="24"/>
        </w:rPr>
        <w:t>, Volume 29, Issue 3, September, pp. 617–624. Available at: 10.1017/S0922156516000224 (Accessed January 13,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Kent, S. K. (1987) </w:t>
      </w:r>
      <w:r>
        <w:rPr>
          <w:rFonts w:ascii="Times New Roman" w:eastAsia="Times New Roman" w:hAnsi="Times New Roman" w:cs="Times New Roman"/>
          <w:i/>
          <w:color w:val="000000"/>
          <w:sz w:val="24"/>
          <w:szCs w:val="24"/>
        </w:rPr>
        <w:t>Sex and Suffrage in Britain, 1860-1914.</w:t>
      </w:r>
      <w:r>
        <w:rPr>
          <w:rFonts w:ascii="Times New Roman" w:eastAsia="Times New Roman" w:hAnsi="Times New Roman" w:cs="Times New Roman"/>
          <w:color w:val="000000"/>
          <w:sz w:val="24"/>
          <w:szCs w:val="24"/>
        </w:rPr>
        <w:t xml:space="preserve"> New Jersey: Princeton University Press.</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Ljunggren, D. (2021) ‘Canada's Trudeau to recall parliament late Nov., opposition say he is wasting time’, </w:t>
      </w:r>
      <w:r>
        <w:rPr>
          <w:rFonts w:ascii="Times New Roman" w:eastAsia="Times New Roman" w:hAnsi="Times New Roman" w:cs="Times New Roman"/>
          <w:i/>
          <w:color w:val="000000"/>
          <w:sz w:val="24"/>
          <w:szCs w:val="24"/>
        </w:rPr>
        <w:t>Reuters</w:t>
      </w:r>
      <w:r>
        <w:rPr>
          <w:rFonts w:ascii="Times New Roman" w:eastAsia="Times New Roman" w:hAnsi="Times New Roman" w:cs="Times New Roman"/>
          <w:color w:val="000000"/>
          <w:sz w:val="24"/>
          <w:szCs w:val="24"/>
        </w:rPr>
        <w:t xml:space="preserve">, 15 October. Available at: </w:t>
      </w:r>
      <w:hyperlink r:id="rId10">
        <w:r>
          <w:rPr>
            <w:rFonts w:ascii="Times New Roman" w:eastAsia="Times New Roman" w:hAnsi="Times New Roman" w:cs="Times New Roman"/>
            <w:color w:val="1155CC"/>
            <w:sz w:val="24"/>
            <w:szCs w:val="24"/>
            <w:u w:val="single"/>
          </w:rPr>
          <w:t>https://www.reuters.com/world/americas/canada-pm-trudeau-unveil-new-cabinet-vows-gender-balance-despite-losses-2021-10-15/</w:t>
        </w:r>
      </w:hyperlink>
      <w:r>
        <w:rPr>
          <w:rFonts w:ascii="Times New Roman" w:eastAsia="Times New Roman" w:hAnsi="Times New Roman" w:cs="Times New Roman"/>
          <w:color w:val="000000"/>
          <w:sz w:val="24"/>
          <w:szCs w:val="24"/>
        </w:rPr>
        <w:t xml:space="preserve"> (Accessed January 9, 2023).</w:t>
      </w:r>
    </w:p>
    <w:p w:rsidR="00CB02C4" w:rsidRDefault="00CB02C4">
      <w:pPr>
        <w:pStyle w:val="normal0"/>
        <w:spacing w:after="0" w:line="360" w:lineRule="auto"/>
        <w:rPr>
          <w:rFonts w:ascii="Times New Roman" w:eastAsia="Times New Roman" w:hAnsi="Times New Roman" w:cs="Times New Roman"/>
          <w:color w:val="333333"/>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Muddy, J. (2015) ‘Trudeau gives Canada first cabinet with equal number of men and women’, </w:t>
      </w:r>
      <w:r>
        <w:rPr>
          <w:rFonts w:ascii="Times New Roman" w:eastAsia="Times New Roman" w:hAnsi="Times New Roman" w:cs="Times New Roman"/>
          <w:i/>
          <w:sz w:val="24"/>
          <w:szCs w:val="24"/>
        </w:rPr>
        <w:t>The Guardian</w:t>
      </w:r>
      <w:r>
        <w:rPr>
          <w:rFonts w:ascii="Times New Roman" w:eastAsia="Times New Roman" w:hAnsi="Times New Roman" w:cs="Times New Roman"/>
          <w:sz w:val="24"/>
          <w:szCs w:val="24"/>
        </w:rPr>
        <w:t xml:space="preserve">, 4 November. Available at: </w:t>
      </w:r>
      <w:hyperlink r:id="rId11">
        <w:r>
          <w:rPr>
            <w:rFonts w:ascii="Times New Roman" w:eastAsia="Times New Roman" w:hAnsi="Times New Roman" w:cs="Times New Roman"/>
            <w:color w:val="1155CC"/>
            <w:sz w:val="24"/>
            <w:szCs w:val="24"/>
            <w:u w:val="single"/>
          </w:rPr>
          <w:t>https://www.theguardian.com/world/2015/nov/04/canada-cabinet-gender-diversity-justin-trudeau</w:t>
        </w:r>
      </w:hyperlink>
      <w:r>
        <w:rPr>
          <w:rFonts w:ascii="Times New Roman" w:eastAsia="Times New Roman" w:hAnsi="Times New Roman" w:cs="Times New Roman"/>
          <w:color w:val="000000"/>
          <w:sz w:val="24"/>
          <w:szCs w:val="24"/>
        </w:rPr>
        <w:t xml:space="preserve"> (Accessed January 9,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Norgaard, K. M. (1998), ‘The essentialism of ecofeminism and the real’, </w:t>
      </w:r>
      <w:r>
        <w:rPr>
          <w:rFonts w:ascii="Times New Roman" w:eastAsia="Times New Roman" w:hAnsi="Times New Roman" w:cs="Times New Roman"/>
          <w:i/>
          <w:color w:val="000000"/>
          <w:sz w:val="24"/>
          <w:szCs w:val="24"/>
        </w:rPr>
        <w:t>Organization &amp; Environment</w:t>
      </w:r>
      <w:r>
        <w:rPr>
          <w:rFonts w:ascii="Times New Roman" w:eastAsia="Times New Roman" w:hAnsi="Times New Roman" w:cs="Times New Roman"/>
          <w:color w:val="000000"/>
          <w:sz w:val="24"/>
          <w:szCs w:val="24"/>
        </w:rPr>
        <w:t>, Vol.11 (4), pp.492-497. Thousand Oaks, CA: Sage. Available at: 10.1177/0921810698114023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Nym Mayhall, L. E. (2001) ‘The rhetorics of slavery and citizenship: suffragist discourse and canonical texts in Britain, 1880–1914’, </w:t>
      </w:r>
      <w:r>
        <w:rPr>
          <w:rFonts w:ascii="Times New Roman" w:eastAsia="Times New Roman" w:hAnsi="Times New Roman" w:cs="Times New Roman"/>
          <w:i/>
          <w:color w:val="000000"/>
          <w:sz w:val="24"/>
          <w:szCs w:val="24"/>
        </w:rPr>
        <w:t>Gender &amp; History</w:t>
      </w:r>
      <w:r>
        <w:rPr>
          <w:rFonts w:ascii="Times New Roman" w:eastAsia="Times New Roman" w:hAnsi="Times New Roman" w:cs="Times New Roman"/>
          <w:color w:val="000000"/>
          <w:sz w:val="24"/>
          <w:szCs w:val="24"/>
        </w:rPr>
        <w:t>, Vol.13 No.3, pp. 481–497. Available at: https://onlinelibrary-wiley-com.ezproxy.uwtsd.ac.uk/doi/pdf/10.1111/1468-0424.00240 (Accessed January 4,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OpenDemocracy (London) (2015) </w:t>
      </w:r>
      <w:r>
        <w:rPr>
          <w:rFonts w:ascii="Times New Roman" w:eastAsia="Times New Roman" w:hAnsi="Times New Roman" w:cs="Times New Roman"/>
          <w:i/>
          <w:color w:val="000000"/>
          <w:sz w:val="24"/>
          <w:szCs w:val="24"/>
        </w:rPr>
        <w:t>Which British party is making the most meaningful commitment to women's issues?</w:t>
      </w:r>
      <w:r>
        <w:rPr>
          <w:rFonts w:ascii="Times New Roman" w:eastAsia="Times New Roman" w:hAnsi="Times New Roman" w:cs="Times New Roman"/>
          <w:color w:val="000000"/>
          <w:sz w:val="24"/>
          <w:szCs w:val="24"/>
        </w:rPr>
        <w:t xml:space="preserve"> Available at: https://www.proquest.com/docview/1675954921?pq-origsite=primo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Palmer, R. and Ljunggren, D. (2015) ‘Canada PM Trudeau sworn in, reveals diverse gender - equal Cabinet’, </w:t>
      </w:r>
      <w:r>
        <w:rPr>
          <w:rFonts w:ascii="Times New Roman" w:eastAsia="Times New Roman" w:hAnsi="Times New Roman" w:cs="Times New Roman"/>
          <w:i/>
          <w:color w:val="000000"/>
          <w:sz w:val="24"/>
          <w:szCs w:val="24"/>
        </w:rPr>
        <w:t>Reuters</w:t>
      </w:r>
      <w:r>
        <w:rPr>
          <w:rFonts w:ascii="Times New Roman" w:eastAsia="Times New Roman" w:hAnsi="Times New Roman" w:cs="Times New Roman"/>
          <w:color w:val="000000"/>
          <w:sz w:val="24"/>
          <w:szCs w:val="24"/>
        </w:rPr>
        <w:t xml:space="preserve">, 4 November. Available at: </w:t>
      </w:r>
      <w:hyperlink r:id="rId12">
        <w:r>
          <w:rPr>
            <w:rFonts w:ascii="Times New Roman" w:eastAsia="Times New Roman" w:hAnsi="Times New Roman" w:cs="Times New Roman"/>
            <w:color w:val="1155CC"/>
            <w:sz w:val="24"/>
            <w:szCs w:val="24"/>
            <w:u w:val="single"/>
          </w:rPr>
          <w:t>https://www.reuters.com/article/uk-canada-politics-idUKKCN0ST28Q20151104</w:t>
        </w:r>
      </w:hyperlink>
      <w:r>
        <w:rPr>
          <w:rFonts w:ascii="Times New Roman" w:eastAsia="Times New Roman" w:hAnsi="Times New Roman" w:cs="Times New Roman"/>
          <w:color w:val="000000"/>
          <w:sz w:val="24"/>
          <w:szCs w:val="24"/>
        </w:rPr>
        <w:t xml:space="preserve"> (Accessed January 9, 2023)</w:t>
      </w:r>
    </w:p>
    <w:p w:rsidR="00CB02C4" w:rsidRDefault="00CB02C4">
      <w:pPr>
        <w:pStyle w:val="normal0"/>
        <w:spacing w:after="0" w:line="360" w:lineRule="auto"/>
        <w:rPr>
          <w:rFonts w:ascii="Times New Roman" w:eastAsia="Times New Roman" w:hAnsi="Times New Roman" w:cs="Times New Roman"/>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Pierson, J. (2010) </w:t>
      </w:r>
      <w:r>
        <w:rPr>
          <w:rFonts w:ascii="Times New Roman" w:eastAsia="Times New Roman" w:hAnsi="Times New Roman" w:cs="Times New Roman"/>
          <w:i/>
          <w:color w:val="000000"/>
          <w:sz w:val="24"/>
          <w:szCs w:val="24"/>
        </w:rPr>
        <w:t>Tackling Social Exclusion</w:t>
      </w:r>
      <w:r>
        <w:rPr>
          <w:rFonts w:ascii="Times New Roman" w:eastAsia="Times New Roman" w:hAnsi="Times New Roman" w:cs="Times New Roman"/>
          <w:color w:val="000000"/>
          <w:sz w:val="24"/>
          <w:szCs w:val="24"/>
        </w:rPr>
        <w:t>. 2nd edn. Oxford: Routledge. </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Pollitt, K. (2016) ‘Wanted: women in power’, </w:t>
      </w:r>
      <w:r>
        <w:rPr>
          <w:rFonts w:ascii="Times New Roman" w:eastAsia="Times New Roman" w:hAnsi="Times New Roman" w:cs="Times New Roman"/>
          <w:i/>
          <w:color w:val="000000"/>
          <w:sz w:val="24"/>
          <w:szCs w:val="24"/>
        </w:rPr>
        <w:t>The Nation</w:t>
      </w:r>
      <w:r>
        <w:rPr>
          <w:rFonts w:ascii="Times New Roman" w:eastAsia="Times New Roman" w:hAnsi="Times New Roman" w:cs="Times New Roman"/>
          <w:color w:val="000000"/>
          <w:sz w:val="24"/>
          <w:szCs w:val="24"/>
        </w:rPr>
        <w:t xml:space="preserve"> (New York, N.Y.), Vol.302 (12), p.10. New York: The Nation Company L.P. Available at: https://web-p-ebscohost-</w:t>
      </w:r>
      <w:r>
        <w:rPr>
          <w:rFonts w:ascii="Times New Roman" w:eastAsia="Times New Roman" w:hAnsi="Times New Roman" w:cs="Times New Roman"/>
          <w:color w:val="000000"/>
          <w:sz w:val="24"/>
          <w:szCs w:val="24"/>
        </w:rPr>
        <w:lastRenderedPageBreak/>
        <w:t>com.ezproxy.uwtsd.ac.uk/ehost/pdfviewer/pdfviewer?vid=0&amp;sid=3214134a-427f-4832-96c2-e31e249d3c45%40redis (Accessed January 10,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Pugh, M. (2000) </w:t>
      </w:r>
      <w:r>
        <w:rPr>
          <w:rFonts w:ascii="Times New Roman" w:eastAsia="Times New Roman" w:hAnsi="Times New Roman" w:cs="Times New Roman"/>
          <w:i/>
          <w:color w:val="000000"/>
          <w:sz w:val="24"/>
          <w:szCs w:val="24"/>
        </w:rPr>
        <w:t>Women and the Women’s Movement in Britain, 1914-1999</w:t>
      </w:r>
      <w:r>
        <w:rPr>
          <w:rFonts w:ascii="Times New Roman" w:eastAsia="Times New Roman" w:hAnsi="Times New Roman" w:cs="Times New Roman"/>
          <w:color w:val="000000"/>
          <w:sz w:val="24"/>
          <w:szCs w:val="24"/>
        </w:rPr>
        <w:t>. 2nd edn. Hong Kong: Macmillan Press.</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Ribberink, A. (2010) ‘Gender politics with Margaret Thatcher: vulnerability and toughness’, </w:t>
      </w:r>
      <w:r>
        <w:rPr>
          <w:rFonts w:ascii="Times New Roman" w:eastAsia="Times New Roman" w:hAnsi="Times New Roman" w:cs="Times New Roman"/>
          <w:i/>
          <w:color w:val="000000"/>
          <w:sz w:val="24"/>
          <w:szCs w:val="24"/>
        </w:rPr>
        <w:t>Gender Forum</w:t>
      </w:r>
      <w:r>
        <w:rPr>
          <w:rFonts w:ascii="Times New Roman" w:eastAsia="Times New Roman" w:hAnsi="Times New Roman" w:cs="Times New Roman"/>
          <w:color w:val="000000"/>
          <w:sz w:val="24"/>
          <w:szCs w:val="24"/>
        </w:rPr>
        <w:t>, Köln (30), p.N_A</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Available at: https://www.proquest.com/scholarly-journals/gender-politics-with-margaret-thatcher/docview/818683572/se-2 (Accessed January 10,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Sarpong, J. (2022) </w:t>
      </w:r>
      <w:r>
        <w:rPr>
          <w:rFonts w:ascii="Times New Roman" w:eastAsia="Times New Roman" w:hAnsi="Times New Roman" w:cs="Times New Roman"/>
          <w:i/>
          <w:color w:val="000000"/>
          <w:sz w:val="24"/>
          <w:szCs w:val="24"/>
        </w:rPr>
        <w:t>We need leaders who boldly champion inclusion</w:t>
      </w:r>
      <w:r>
        <w:rPr>
          <w:rFonts w:ascii="Times New Roman" w:eastAsia="Times New Roman" w:hAnsi="Times New Roman" w:cs="Times New Roman"/>
          <w:color w:val="000000"/>
          <w:sz w:val="24"/>
          <w:szCs w:val="24"/>
        </w:rPr>
        <w:t xml:space="preserve"> [Vodcast]. 20 October. Available at: https://www.ted.com/talks/june_sarpong_we_need_leaders_who_boldly_champion_inclusion?language=en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Southern, R., Harmer, E., Vedel, T., Boulianne, S. and Koc-Michalska, K. (2021) ‘Twitter, incivility and “everyday” gendered othering: an analysis of tweets sent to UK members of Parliament’, </w:t>
      </w:r>
      <w:r>
        <w:rPr>
          <w:rFonts w:ascii="Times New Roman" w:eastAsia="Times New Roman" w:hAnsi="Times New Roman" w:cs="Times New Roman"/>
          <w:i/>
          <w:color w:val="000000"/>
          <w:sz w:val="24"/>
          <w:szCs w:val="24"/>
        </w:rPr>
        <w:t>Social Science Computer Review</w:t>
      </w:r>
      <w:r>
        <w:rPr>
          <w:rFonts w:ascii="Times New Roman" w:eastAsia="Times New Roman" w:hAnsi="Times New Roman" w:cs="Times New Roman"/>
          <w:color w:val="000000"/>
          <w:sz w:val="24"/>
          <w:szCs w:val="24"/>
        </w:rPr>
        <w:t>, Vol.39 (2), pp.259-275. Available at: https://doi.org/10.1177/0894439319865519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Charity Commission (2001) </w:t>
      </w:r>
      <w:r>
        <w:rPr>
          <w:rFonts w:ascii="Times New Roman" w:eastAsia="Times New Roman" w:hAnsi="Times New Roman" w:cs="Times New Roman"/>
          <w:i/>
          <w:color w:val="000000"/>
          <w:sz w:val="24"/>
          <w:szCs w:val="24"/>
        </w:rPr>
        <w:t>The Promotion of Social Inclusion</w:t>
      </w:r>
      <w:r>
        <w:rPr>
          <w:rFonts w:ascii="Times New Roman" w:eastAsia="Times New Roman" w:hAnsi="Times New Roman" w:cs="Times New Roman"/>
          <w:color w:val="000000"/>
          <w:sz w:val="24"/>
          <w:szCs w:val="24"/>
        </w:rPr>
        <w:t xml:space="preserve">. Available at: </w:t>
      </w:r>
      <w:hyperlink r:id="rId13">
        <w:r>
          <w:rPr>
            <w:rFonts w:ascii="Times New Roman" w:eastAsia="Times New Roman" w:hAnsi="Times New Roman" w:cs="Times New Roman"/>
            <w:color w:val="1155CC"/>
            <w:sz w:val="24"/>
            <w:szCs w:val="24"/>
            <w:u w:val="single"/>
          </w:rPr>
          <w:t>https://assets.publishing.service.gov.uk/government/uploads/system/uploads/attachment_data/file/359358/socinc.pdf</w:t>
        </w:r>
      </w:hyperlink>
      <w:r>
        <w:rPr>
          <w:rFonts w:ascii="Times New Roman" w:eastAsia="Times New Roman" w:hAnsi="Times New Roman" w:cs="Times New Roman"/>
          <w:color w:val="000000"/>
          <w:sz w:val="24"/>
          <w:szCs w:val="24"/>
        </w:rPr>
        <w:t> (Accessed December 6, 2022).</w:t>
      </w:r>
    </w:p>
    <w:p w:rsidR="00CB02C4" w:rsidRDefault="00CB02C4">
      <w:pPr>
        <w:pStyle w:val="normal0"/>
        <w:spacing w:after="0" w:line="360" w:lineRule="auto"/>
        <w:rPr>
          <w:rFonts w:ascii="Times New Roman" w:eastAsia="Times New Roman" w:hAnsi="Times New Roman" w:cs="Times New Roman"/>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The Economist</w:t>
      </w:r>
      <w:r>
        <w:rPr>
          <w:rFonts w:ascii="Times New Roman" w:eastAsia="Times New Roman" w:hAnsi="Times New Roman" w:cs="Times New Roman"/>
          <w:color w:val="000000"/>
          <w:sz w:val="24"/>
          <w:szCs w:val="24"/>
        </w:rPr>
        <w:t xml:space="preserve"> (2017) ‘Harman's unfinished business; Bagehot’, Vol. 422, Iss. 9028, 18 February, p. 28. Available at: https://www.proquest.com/magazines/harmans-unfinished-business-bagehot/docview/1871538462/se-2?accountid=130472 (Accessed January 12,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i/>
          <w:color w:val="000000"/>
          <w:sz w:val="24"/>
          <w:szCs w:val="24"/>
        </w:rPr>
        <w:t>TIME</w:t>
      </w:r>
      <w:r>
        <w:rPr>
          <w:rFonts w:ascii="Times New Roman" w:eastAsia="Times New Roman" w:hAnsi="Times New Roman" w:cs="Times New Roman"/>
          <w:color w:val="000000"/>
          <w:sz w:val="24"/>
          <w:szCs w:val="24"/>
        </w:rPr>
        <w:t xml:space="preserve"> (no date) ‘Top Female Leaders </w:t>
      </w:r>
      <w:r w:rsidR="006E14E1">
        <w:rPr>
          <w:rFonts w:ascii="Times New Roman" w:eastAsia="Times New Roman" w:hAnsi="Times New Roman" w:cs="Times New Roman"/>
          <w:color w:val="000000"/>
          <w:sz w:val="24"/>
          <w:szCs w:val="24"/>
        </w:rPr>
        <w:t>around</w:t>
      </w:r>
      <w:r>
        <w:rPr>
          <w:rFonts w:ascii="Times New Roman" w:eastAsia="Times New Roman" w:hAnsi="Times New Roman" w:cs="Times New Roman"/>
          <w:color w:val="000000"/>
          <w:sz w:val="24"/>
          <w:szCs w:val="24"/>
        </w:rPr>
        <w:t xml:space="preserve"> the World’. Available at: </w:t>
      </w:r>
      <w:hyperlink r:id="rId14">
        <w:r>
          <w:rPr>
            <w:rFonts w:ascii="Times New Roman" w:eastAsia="Times New Roman" w:hAnsi="Times New Roman" w:cs="Times New Roman"/>
            <w:color w:val="1155CC"/>
            <w:sz w:val="24"/>
            <w:szCs w:val="24"/>
            <w:u w:val="single"/>
          </w:rPr>
          <w:t>https://content.time.com/time/specials/packages/completelist/0,29569,2005455,00.html</w:t>
        </w:r>
      </w:hyperlink>
      <w:r>
        <w:rPr>
          <w:rFonts w:ascii="Times New Roman" w:eastAsia="Times New Roman" w:hAnsi="Times New Roman" w:cs="Times New Roman"/>
          <w:color w:val="000000"/>
          <w:sz w:val="24"/>
          <w:szCs w:val="24"/>
        </w:rPr>
        <w:t xml:space="preserve"> (Access January 9,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Uberoi, E., Burton, M., Tunnicliffe, R., Danechi, S. and Bolton, P. (2022) ‘Women in Politics and Public Life’, </w:t>
      </w:r>
      <w:r>
        <w:rPr>
          <w:rFonts w:ascii="Times New Roman" w:eastAsia="Times New Roman" w:hAnsi="Times New Roman" w:cs="Times New Roman"/>
          <w:i/>
          <w:color w:val="000000"/>
          <w:sz w:val="24"/>
          <w:szCs w:val="24"/>
        </w:rPr>
        <w:t>UK Parliament House of Commons Library</w:t>
      </w:r>
      <w:r>
        <w:rPr>
          <w:rFonts w:ascii="Times New Roman" w:eastAsia="Times New Roman" w:hAnsi="Times New Roman" w:cs="Times New Roman"/>
          <w:color w:val="000000"/>
          <w:sz w:val="24"/>
          <w:szCs w:val="24"/>
        </w:rPr>
        <w:t xml:space="preserve">. Available at: </w:t>
      </w:r>
      <w:hyperlink r:id="rId15">
        <w:r>
          <w:rPr>
            <w:rFonts w:ascii="Times New Roman" w:eastAsia="Times New Roman" w:hAnsi="Times New Roman" w:cs="Times New Roman"/>
            <w:color w:val="0000FF"/>
            <w:sz w:val="24"/>
            <w:szCs w:val="24"/>
            <w:u w:val="single"/>
          </w:rPr>
          <w:t>https://commonslibrary.parliament.uk/research-briefings/sn01250/</w:t>
        </w:r>
      </w:hyperlink>
      <w:r>
        <w:rPr>
          <w:rFonts w:ascii="Times New Roman" w:eastAsia="Times New Roman" w:hAnsi="Times New Roman" w:cs="Times New Roman"/>
          <w:color w:val="000000"/>
          <w:sz w:val="24"/>
          <w:szCs w:val="24"/>
        </w:rPr>
        <w:t xml:space="preserve"> (Accessed January 13,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UK Parliament (no date) </w:t>
      </w:r>
      <w:r>
        <w:rPr>
          <w:rFonts w:ascii="Times New Roman" w:eastAsia="Times New Roman" w:hAnsi="Times New Roman" w:cs="Times New Roman"/>
          <w:i/>
          <w:color w:val="000000"/>
          <w:sz w:val="24"/>
          <w:szCs w:val="24"/>
        </w:rPr>
        <w:t>Women get the vote</w:t>
      </w:r>
      <w:r>
        <w:rPr>
          <w:rFonts w:ascii="Times New Roman" w:eastAsia="Times New Roman" w:hAnsi="Times New Roman" w:cs="Times New Roman"/>
          <w:color w:val="000000"/>
          <w:sz w:val="24"/>
          <w:szCs w:val="24"/>
        </w:rPr>
        <w:t xml:space="preserve">. Available at: </w:t>
      </w:r>
      <w:hyperlink r:id="rId16">
        <w:r>
          <w:rPr>
            <w:rFonts w:ascii="Times New Roman" w:eastAsia="Times New Roman" w:hAnsi="Times New Roman" w:cs="Times New Roman"/>
            <w:color w:val="1155CC"/>
            <w:sz w:val="24"/>
            <w:szCs w:val="24"/>
            <w:u w:val="single"/>
          </w:rPr>
          <w:t>https://www.parliament.uk/about/living-heritage/transformingsociety/electionsvoting/womenvote/overview/thevote/</w:t>
        </w:r>
      </w:hyperlink>
      <w:r>
        <w:rPr>
          <w:rFonts w:ascii="Times New Roman" w:eastAsia="Times New Roman" w:hAnsi="Times New Roman" w:cs="Times New Roman"/>
          <w:color w:val="000000"/>
          <w:sz w:val="24"/>
          <w:szCs w:val="24"/>
        </w:rPr>
        <w:t xml:space="preserve"> (Accessed January 6, 2023).</w:t>
      </w:r>
    </w:p>
    <w:p w:rsidR="00CB02C4" w:rsidRDefault="00CB02C4">
      <w:pPr>
        <w:pStyle w:val="normal0"/>
        <w:spacing w:after="0" w:line="360" w:lineRule="auto"/>
        <w:rPr>
          <w:rFonts w:ascii="Times New Roman" w:eastAsia="Times New Roman" w:hAnsi="Times New Roman" w:cs="Times New Roman"/>
          <w:color w:val="000000"/>
          <w:sz w:val="24"/>
          <w:szCs w:val="24"/>
        </w:rPr>
      </w:pPr>
    </w:p>
    <w:p w:rsidR="00CB02C4" w:rsidRDefault="00D3054B">
      <w:pPr>
        <w:pStyle w:val="normal0"/>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UN Women (no date) </w:t>
      </w:r>
      <w:r>
        <w:rPr>
          <w:rFonts w:ascii="Times New Roman" w:eastAsia="Times New Roman" w:hAnsi="Times New Roman" w:cs="Times New Roman"/>
          <w:i/>
          <w:color w:val="000000"/>
          <w:sz w:val="24"/>
          <w:szCs w:val="24"/>
        </w:rPr>
        <w:t>Facts and figures: Women’s leadership and political participation</w:t>
      </w:r>
      <w:r>
        <w:rPr>
          <w:rFonts w:ascii="Times New Roman" w:eastAsia="Times New Roman" w:hAnsi="Times New Roman" w:cs="Times New Roman"/>
          <w:color w:val="000000"/>
          <w:sz w:val="24"/>
          <w:szCs w:val="24"/>
        </w:rPr>
        <w:t xml:space="preserve">. Available at: </w:t>
      </w:r>
      <w:hyperlink r:id="rId17">
        <w:r>
          <w:rPr>
            <w:rFonts w:ascii="Times New Roman" w:eastAsia="Times New Roman" w:hAnsi="Times New Roman" w:cs="Times New Roman"/>
            <w:color w:val="1155CC"/>
            <w:sz w:val="24"/>
            <w:szCs w:val="24"/>
            <w:u w:val="single"/>
          </w:rPr>
          <w:t>https://www.unwomen.org/en/what-we-do/leadership-and-political-participation/facts-and-figures</w:t>
        </w:r>
      </w:hyperlink>
      <w:r>
        <w:rPr>
          <w:rFonts w:ascii="Times New Roman" w:eastAsia="Times New Roman" w:hAnsi="Times New Roman" w:cs="Times New Roman"/>
          <w:color w:val="000000"/>
          <w:sz w:val="24"/>
          <w:szCs w:val="24"/>
        </w:rPr>
        <w:t xml:space="preserve"> (Accessed January 9, 2023).</w:t>
      </w:r>
    </w:p>
    <w:sectPr w:rsidR="00CB02C4" w:rsidSect="00CB02C4">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67304" w:rsidRDefault="00E67304" w:rsidP="00786EBB">
      <w:pPr>
        <w:spacing w:after="0" w:line="240" w:lineRule="auto"/>
        <w:ind w:left="0" w:hanging="2"/>
      </w:pPr>
      <w:r>
        <w:separator/>
      </w:r>
    </w:p>
  </w:endnote>
  <w:endnote w:type="continuationSeparator" w:id="1">
    <w:p w:rsidR="00E67304" w:rsidRDefault="00E67304" w:rsidP="00786EBB">
      <w:pPr>
        <w:spacing w:after="0" w:line="240" w:lineRule="auto"/>
        <w:ind w:left="0" w:hanging="2"/>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0268" w:rsidRDefault="00C30268" w:rsidP="00C30268">
    <w:pPr>
      <w:pStyle w:val="Footer"/>
      <w:ind w:left="0" w:hanging="2"/>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02C4" w:rsidRDefault="00D32198">
    <w:pPr>
      <w:pStyle w:val="normal0"/>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sidR="00D3054B">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CA650E">
      <w:rPr>
        <w:rFonts w:ascii="Times New Roman" w:eastAsia="Times New Roman" w:hAnsi="Times New Roman" w:cs="Times New Roman"/>
        <w:noProof/>
        <w:color w:val="000000"/>
        <w:sz w:val="24"/>
        <w:szCs w:val="24"/>
      </w:rPr>
      <w:t>5</w:t>
    </w:r>
    <w:r>
      <w:rPr>
        <w:rFonts w:ascii="Times New Roman" w:eastAsia="Times New Roman" w:hAnsi="Times New Roman" w:cs="Times New Roman"/>
        <w:color w:val="000000"/>
        <w:sz w:val="24"/>
        <w:szCs w:val="24"/>
      </w:rPr>
      <w:fldChar w:fldCharType="end"/>
    </w:r>
  </w:p>
  <w:p w:rsidR="00CB02C4" w:rsidRDefault="00CB02C4">
    <w:pPr>
      <w:pStyle w:val="normal0"/>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0268" w:rsidRDefault="00C30268" w:rsidP="00C30268">
    <w:pPr>
      <w:pStyle w:val="Footer"/>
      <w:ind w:left="0" w:hanging="2"/>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67304" w:rsidRDefault="00E67304" w:rsidP="00786EBB">
      <w:pPr>
        <w:spacing w:after="0" w:line="240" w:lineRule="auto"/>
        <w:ind w:left="0" w:hanging="2"/>
      </w:pPr>
      <w:r>
        <w:separator/>
      </w:r>
    </w:p>
  </w:footnote>
  <w:footnote w:type="continuationSeparator" w:id="1">
    <w:p w:rsidR="00E67304" w:rsidRDefault="00E67304" w:rsidP="00786EBB">
      <w:pPr>
        <w:spacing w:after="0" w:line="240" w:lineRule="auto"/>
        <w:ind w:left="0" w:hanging="2"/>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0268" w:rsidRDefault="00C30268" w:rsidP="00C30268">
    <w:pPr>
      <w:pStyle w:val="Header"/>
      <w:ind w:left="0" w:hanging="2"/>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0268" w:rsidRPr="00C94621" w:rsidRDefault="00C30268" w:rsidP="00C30268">
    <w:pPr>
      <w:pStyle w:val="Header"/>
      <w:ind w:left="0" w:hanging="2"/>
      <w:rPr>
        <w:rFonts w:ascii="Times New Roman" w:hAnsi="Times New Roman" w:cs="Times New Roman"/>
        <w:b/>
      </w:rPr>
    </w:pPr>
    <w:r w:rsidRPr="00C94621">
      <w:rPr>
        <w:rFonts w:ascii="Times New Roman" w:hAnsi="Times New Roman" w:cs="Times New Roman"/>
        <w:b/>
        <w:color w:val="222222"/>
        <w:shd w:val="clear" w:color="auto" w:fill="FFFFFF"/>
      </w:rPr>
      <w:t>ECED7001</w:t>
    </w:r>
    <w:r w:rsidRPr="00C94621">
      <w:rPr>
        <w:rFonts w:ascii="Times New Roman" w:hAnsi="Times New Roman" w:cs="Times New Roman"/>
        <w:b/>
      </w:rPr>
      <w:ptab w:relativeTo="margin" w:alignment="center" w:leader="none"/>
    </w:r>
    <w:r w:rsidRPr="00C94621">
      <w:rPr>
        <w:rFonts w:ascii="Times New Roman" w:hAnsi="Times New Roman" w:cs="Times New Roman"/>
        <w:b/>
      </w:rPr>
      <w:t xml:space="preserve">Assignment </w:t>
    </w:r>
    <w:r>
      <w:rPr>
        <w:rFonts w:ascii="Times New Roman" w:hAnsi="Times New Roman" w:cs="Times New Roman"/>
        <w:b/>
      </w:rPr>
      <w:t>1</w:t>
    </w:r>
    <w:r w:rsidRPr="00C94621">
      <w:rPr>
        <w:rFonts w:ascii="Times New Roman" w:hAnsi="Times New Roman" w:cs="Times New Roman"/>
        <w:b/>
      </w:rPr>
      <w:ptab w:relativeTo="margin" w:alignment="right" w:leader="none"/>
    </w:r>
    <w:r w:rsidRPr="00C94621">
      <w:rPr>
        <w:rFonts w:ascii="Times New Roman" w:hAnsi="Times New Roman" w:cs="Times New Roman"/>
        <w:b/>
      </w:rPr>
      <w:t>2208575</w:t>
    </w:r>
  </w:p>
  <w:p w:rsidR="00C30268" w:rsidRPr="00C30268" w:rsidRDefault="00C30268" w:rsidP="00C30268">
    <w:pPr>
      <w:pStyle w:val="Header"/>
      <w:ind w:left="0" w:hanging="2"/>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0268" w:rsidRDefault="00C30268" w:rsidP="00C30268">
    <w:pPr>
      <w:pStyle w:val="Header"/>
      <w:ind w:left="0" w:hanging="2"/>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characterSpacingControl w:val="doNotCompress"/>
  <w:footnotePr>
    <w:footnote w:id="0"/>
    <w:footnote w:id="1"/>
  </w:footnotePr>
  <w:endnotePr>
    <w:endnote w:id="0"/>
    <w:endnote w:id="1"/>
  </w:endnotePr>
  <w:compat/>
  <w:rsids>
    <w:rsidRoot w:val="00CB02C4"/>
    <w:rsid w:val="00170FF9"/>
    <w:rsid w:val="00362FFE"/>
    <w:rsid w:val="006E14E1"/>
    <w:rsid w:val="00786EBB"/>
    <w:rsid w:val="00C30268"/>
    <w:rsid w:val="00CA650E"/>
    <w:rsid w:val="00CB02C4"/>
    <w:rsid w:val="00D3054B"/>
    <w:rsid w:val="00D32198"/>
    <w:rsid w:val="00D530E9"/>
    <w:rsid w:val="00E67304"/>
    <w:rsid w:val="00E72EE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next w:val="normal0"/>
    <w:autoRedefine/>
    <w:hidden/>
    <w:qFormat/>
    <w:rsid w:val="00CB02C4"/>
    <w:pPr>
      <w:suppressAutoHyphens/>
      <w:ind w:leftChars="-1" w:left="-1" w:hangingChars="1" w:hanging="1"/>
      <w:textDirection w:val="btLr"/>
      <w:textAlignment w:val="top"/>
      <w:outlineLvl w:val="0"/>
    </w:pPr>
    <w:rPr>
      <w:position w:val="-1"/>
      <w:lang w:eastAsia="zh-CN"/>
    </w:rPr>
  </w:style>
  <w:style w:type="paragraph" w:styleId="Heading1">
    <w:name w:val="heading 1"/>
    <w:basedOn w:val="Normal"/>
    <w:autoRedefine/>
    <w:hidden/>
    <w:qFormat/>
    <w:rsid w:val="00CB02C4"/>
    <w:pPr>
      <w:spacing w:before="100" w:beforeAutospacing="1" w:after="100" w:afterAutospacing="1" w:line="240" w:lineRule="auto"/>
    </w:pPr>
    <w:rPr>
      <w:rFonts w:ascii="Times New Roman" w:eastAsia="Times New Roman" w:hAnsi="Times New Roman" w:cs="Times New Roman"/>
      <w:b/>
      <w:bCs/>
      <w:kern w:val="36"/>
      <w:sz w:val="48"/>
      <w:szCs w:val="48"/>
    </w:rPr>
  </w:style>
  <w:style w:type="paragraph" w:styleId="Heading2">
    <w:name w:val="heading 2"/>
    <w:basedOn w:val="normal0"/>
    <w:next w:val="normal0"/>
    <w:rsid w:val="00CB02C4"/>
    <w:pPr>
      <w:keepNext/>
      <w:keepLines/>
      <w:spacing w:before="360" w:after="80"/>
      <w:outlineLvl w:val="1"/>
    </w:pPr>
    <w:rPr>
      <w:b/>
      <w:sz w:val="36"/>
      <w:szCs w:val="36"/>
    </w:rPr>
  </w:style>
  <w:style w:type="paragraph" w:styleId="Heading3">
    <w:name w:val="heading 3"/>
    <w:basedOn w:val="normal0"/>
    <w:next w:val="normal0"/>
    <w:rsid w:val="00CB02C4"/>
    <w:pPr>
      <w:keepNext/>
      <w:keepLines/>
      <w:spacing w:before="280" w:after="80"/>
      <w:outlineLvl w:val="2"/>
    </w:pPr>
    <w:rPr>
      <w:b/>
      <w:sz w:val="28"/>
      <w:szCs w:val="28"/>
    </w:rPr>
  </w:style>
  <w:style w:type="paragraph" w:styleId="Heading4">
    <w:name w:val="heading 4"/>
    <w:basedOn w:val="normal0"/>
    <w:next w:val="normal0"/>
    <w:rsid w:val="00CB02C4"/>
    <w:pPr>
      <w:keepNext/>
      <w:keepLines/>
      <w:spacing w:before="240" w:after="40"/>
      <w:outlineLvl w:val="3"/>
    </w:pPr>
    <w:rPr>
      <w:b/>
      <w:sz w:val="24"/>
      <w:szCs w:val="24"/>
    </w:rPr>
  </w:style>
  <w:style w:type="paragraph" w:styleId="Heading5">
    <w:name w:val="heading 5"/>
    <w:basedOn w:val="normal0"/>
    <w:next w:val="normal0"/>
    <w:rsid w:val="00CB02C4"/>
    <w:pPr>
      <w:keepNext/>
      <w:keepLines/>
      <w:spacing w:before="220" w:after="40"/>
      <w:outlineLvl w:val="4"/>
    </w:pPr>
    <w:rPr>
      <w:b/>
    </w:rPr>
  </w:style>
  <w:style w:type="paragraph" w:styleId="Heading6">
    <w:name w:val="heading 6"/>
    <w:basedOn w:val="normal0"/>
    <w:next w:val="normal0"/>
    <w:rsid w:val="00CB02C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B02C4"/>
  </w:style>
  <w:style w:type="paragraph" w:styleId="Title">
    <w:name w:val="Title"/>
    <w:basedOn w:val="normal0"/>
    <w:next w:val="normal0"/>
    <w:rsid w:val="00CB02C4"/>
    <w:pPr>
      <w:keepNext/>
      <w:keepLines/>
      <w:spacing w:before="480" w:after="120"/>
    </w:pPr>
    <w:rPr>
      <w:b/>
      <w:sz w:val="72"/>
      <w:szCs w:val="72"/>
    </w:rPr>
  </w:style>
  <w:style w:type="paragraph" w:styleId="NormalWeb">
    <w:name w:val="Normal (Web)"/>
    <w:basedOn w:val="Normal"/>
    <w:autoRedefine/>
    <w:hidden/>
    <w:qFormat/>
    <w:rsid w:val="00CB02C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autoRedefine/>
    <w:hidden/>
    <w:qFormat/>
    <w:rsid w:val="00CB02C4"/>
    <w:rPr>
      <w:color w:val="0000FF"/>
      <w:w w:val="100"/>
      <w:position w:val="-1"/>
      <w:u w:val="single"/>
      <w:effect w:val="none"/>
      <w:vertAlign w:val="baseline"/>
      <w:cs w:val="0"/>
      <w:em w:val="none"/>
    </w:rPr>
  </w:style>
  <w:style w:type="character" w:customStyle="1" w:styleId="UnresolvedMention">
    <w:name w:val="Unresolved Mention"/>
    <w:autoRedefine/>
    <w:hidden/>
    <w:qFormat/>
    <w:rsid w:val="00CB02C4"/>
    <w:rPr>
      <w:color w:val="605E5C"/>
      <w:w w:val="100"/>
      <w:position w:val="-1"/>
      <w:effect w:val="none"/>
      <w:shd w:val="clear" w:color="auto" w:fill="E1DFDD"/>
      <w:vertAlign w:val="baseline"/>
      <w:cs w:val="0"/>
      <w:em w:val="none"/>
    </w:rPr>
  </w:style>
  <w:style w:type="paragraph" w:styleId="ListParagraph">
    <w:name w:val="List Paragraph"/>
    <w:basedOn w:val="Normal"/>
    <w:autoRedefine/>
    <w:hidden/>
    <w:qFormat/>
    <w:rsid w:val="00CB02C4"/>
    <w:pPr>
      <w:ind w:left="720"/>
      <w:contextualSpacing/>
    </w:pPr>
  </w:style>
  <w:style w:type="character" w:customStyle="1" w:styleId="Heading1Char">
    <w:name w:val="Heading 1 Char"/>
    <w:autoRedefine/>
    <w:hidden/>
    <w:qFormat/>
    <w:rsid w:val="00CB02C4"/>
    <w:rPr>
      <w:rFonts w:ascii="Times New Roman" w:eastAsia="Times New Roman" w:hAnsi="Times New Roman" w:cs="Times New Roman"/>
      <w:b/>
      <w:bCs/>
      <w:w w:val="100"/>
      <w:kern w:val="36"/>
      <w:position w:val="-1"/>
      <w:sz w:val="48"/>
      <w:szCs w:val="48"/>
      <w:effect w:val="none"/>
      <w:vertAlign w:val="baseline"/>
      <w:cs w:val="0"/>
      <w:em w:val="none"/>
    </w:rPr>
  </w:style>
  <w:style w:type="paragraph" w:styleId="Header">
    <w:name w:val="header"/>
    <w:basedOn w:val="Normal"/>
    <w:autoRedefine/>
    <w:hidden/>
    <w:uiPriority w:val="99"/>
    <w:qFormat/>
    <w:rsid w:val="00CB02C4"/>
    <w:pPr>
      <w:tabs>
        <w:tab w:val="center" w:pos="4513"/>
        <w:tab w:val="right" w:pos="9026"/>
      </w:tabs>
      <w:spacing w:after="0" w:line="240" w:lineRule="auto"/>
    </w:pPr>
  </w:style>
  <w:style w:type="character" w:customStyle="1" w:styleId="HeaderChar">
    <w:name w:val="Header Char"/>
    <w:basedOn w:val="DefaultParagraphFont"/>
    <w:autoRedefine/>
    <w:hidden/>
    <w:uiPriority w:val="99"/>
    <w:qFormat/>
    <w:rsid w:val="00CB02C4"/>
    <w:rPr>
      <w:w w:val="100"/>
      <w:position w:val="-1"/>
      <w:effect w:val="none"/>
      <w:vertAlign w:val="baseline"/>
      <w:cs w:val="0"/>
      <w:em w:val="none"/>
    </w:rPr>
  </w:style>
  <w:style w:type="paragraph" w:styleId="Footer">
    <w:name w:val="footer"/>
    <w:basedOn w:val="Normal"/>
    <w:autoRedefine/>
    <w:hidden/>
    <w:qFormat/>
    <w:rsid w:val="00CB02C4"/>
    <w:pPr>
      <w:tabs>
        <w:tab w:val="center" w:pos="4513"/>
        <w:tab w:val="right" w:pos="9026"/>
      </w:tabs>
      <w:spacing w:after="0" w:line="240" w:lineRule="auto"/>
    </w:pPr>
  </w:style>
  <w:style w:type="character" w:customStyle="1" w:styleId="FooterChar">
    <w:name w:val="Footer Char"/>
    <w:basedOn w:val="DefaultParagraphFont"/>
    <w:autoRedefine/>
    <w:hidden/>
    <w:qFormat/>
    <w:rsid w:val="00CB02C4"/>
    <w:rPr>
      <w:w w:val="100"/>
      <w:position w:val="-1"/>
      <w:effect w:val="none"/>
      <w:vertAlign w:val="baseline"/>
      <w:cs w:val="0"/>
      <w:em w:val="none"/>
    </w:rPr>
  </w:style>
  <w:style w:type="paragraph" w:styleId="Subtitle">
    <w:name w:val="Subtitle"/>
    <w:basedOn w:val="Normal"/>
    <w:next w:val="Normal"/>
    <w:rsid w:val="00CB02C4"/>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302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0268"/>
    <w:rPr>
      <w:rFonts w:ascii="Tahoma" w:hAnsi="Tahoma" w:cs="Tahoma"/>
      <w:position w:val="-1"/>
      <w:sz w:val="16"/>
      <w:szCs w:val="16"/>
      <w:lang w:eastAsia="zh-CN"/>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history.blog.gov.uk/2019/11/28/the-first-woman-of-british-parliament/" TargetMode="External"/><Relationship Id="rId13" Type="http://schemas.openxmlformats.org/officeDocument/2006/relationships/hyperlink" Target="https://assets.publishing.service.gov.uk/government/uploads/system/uploads/attachment_data/file/359358/socinc.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tandfonline.com/doi/pdf/10.1080/01402382.2021.1908707?needAccess=true&amp;" TargetMode="External"/><Relationship Id="rId12" Type="http://schemas.openxmlformats.org/officeDocument/2006/relationships/hyperlink" Target="https://www.reuters.com/article/uk-canada-politics-idUKKCN0ST28Q20151104" TargetMode="External"/><Relationship Id="rId17" Type="http://schemas.openxmlformats.org/officeDocument/2006/relationships/hyperlink" Target="https://www.unwomen.org/en/what-we-do/leadership-and-political-participation/facts-and-figur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arliament.uk/about/living-heritage/transformingsociety/electionsvoting/womenvote/overview/thevot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uardian.com/world/2015/nov/04/canada-cabinet-gender-diversity-justin-trudeau"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mmonslibrary.parliament.uk/research-briefings/sn01250/" TargetMode="External"/><Relationship Id="rId23" Type="http://schemas.openxmlformats.org/officeDocument/2006/relationships/footer" Target="footer3.xml"/><Relationship Id="rId10" Type="http://schemas.openxmlformats.org/officeDocument/2006/relationships/hyperlink" Target="https://www.reuters.com/world/americas/canada-pm-trudeau-unveil-new-cabinet-vows-gender-balance-despite-losses-2021-10-15/"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ipu.org/parliament/GB" TargetMode="External"/><Relationship Id="rId14" Type="http://schemas.openxmlformats.org/officeDocument/2006/relationships/hyperlink" Target="https://content.time.com/time/specials/packages/completelist/0,29569,2005455,00.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D/FnLi3BvqZrIQXzgKPv5giloKg==">AMUW2mXbuDAiIqfZWlVDiuZnlLNy169SlP5qDGHz9D9zQz5J3pCfnO5BV8eXBDV11ZGguXavQ7e4+gRRAuigOlVosu26RfDnRsml9cAejaDu8QawW65kQVw=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4131</Words>
  <Characters>23552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27628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 Nguyen (2208575)</dc:creator>
  <cp:lastModifiedBy>Khai Nguyen</cp:lastModifiedBy>
  <cp:revision>7</cp:revision>
  <dcterms:created xsi:type="dcterms:W3CDTF">2023-01-13T23:30:00Z</dcterms:created>
  <dcterms:modified xsi:type="dcterms:W3CDTF">2023-01-15T23:27:00Z</dcterms:modified>
</cp:coreProperties>
</file>