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44354" w:rsidRDefault="00915488">
      <w:pPr>
        <w:pStyle w:val="Title"/>
        <w:spacing w:after="480" w:line="276" w:lineRule="auto"/>
        <w:jc w:val="center"/>
      </w:pPr>
      <w:r>
        <w:rPr>
          <w:sz w:val="24"/>
          <w:szCs w:val="24"/>
        </w:rPr>
        <w:t>Strategic Threat Analysis and Authorised Red-Team Exercise</w:t>
      </w:r>
      <w:r>
        <w:rPr>
          <w:sz w:val="24"/>
          <w:szCs w:val="24"/>
        </w:rPr>
        <w:br/>
        <w:t>(Task 1 and Task 2)</w:t>
      </w:r>
    </w:p>
    <w:tbl>
      <w:tblPr>
        <w:tblStyle w:val="a"/>
        <w:tblW w:w="972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4755"/>
        <w:gridCol w:w="4965"/>
      </w:tblGrid>
      <w:tr w:rsidR="00AE1677" w14:paraId="3B8A46EA" w14:textId="77777777" w:rsidTr="009F5ABB">
        <w:trPr>
          <w:jc w:val="center"/>
        </w:trPr>
        <w:tc>
          <w:tcPr>
            <w:tcW w:w="4755" w:type="dxa"/>
            <w:shd w:val="clear" w:color="auto" w:fill="EAF1FB"/>
            <w:tcMar>
              <w:top w:w="95" w:type="dxa"/>
              <w:bottom w:w="95" w:type="dxa"/>
            </w:tcMar>
          </w:tcPr>
          <w:p w14:paraId="72A21571" w14:textId="77777777" w:rsidR="00AE1677" w:rsidRDefault="00AE1677" w:rsidP="009F5ABB">
            <w:bookmarkStart w:id="0" w:name="_heading=h.kdtxsl614mk6" w:colFirst="0" w:colLast="0"/>
            <w:bookmarkEnd w:id="0"/>
            <w:r>
              <w:rPr>
                <w:b/>
                <w:bCs/>
                <w:sz w:val="21"/>
                <w:szCs w:val="21"/>
              </w:rPr>
              <w:t>Module</w:t>
            </w:r>
          </w:p>
        </w:tc>
        <w:tc>
          <w:tcPr>
            <w:tcW w:w="4965" w:type="dxa"/>
            <w:tcMar>
              <w:top w:w="95" w:type="dxa"/>
              <w:bottom w:w="95" w:type="dxa"/>
            </w:tcMar>
          </w:tcPr>
          <w:p w14:paraId="4F1D8BD5" w14:textId="77777777" w:rsidR="00AE1677" w:rsidRDefault="00AE1677" w:rsidP="009F5ABB">
            <w:r>
              <w:rPr>
                <w:sz w:val="21"/>
                <w:szCs w:val="21"/>
              </w:rPr>
              <w:t>ACCA7028 Ethical Hacking</w:t>
            </w:r>
          </w:p>
        </w:tc>
      </w:tr>
      <w:tr w:rsidR="00AE1677" w14:paraId="1392F22E" w14:textId="77777777" w:rsidTr="009F5ABB">
        <w:trPr>
          <w:jc w:val="center"/>
        </w:trPr>
        <w:tc>
          <w:tcPr>
            <w:tcW w:w="4755" w:type="dxa"/>
            <w:shd w:val="clear" w:color="auto" w:fill="EAF1FB"/>
            <w:tcMar>
              <w:top w:w="95" w:type="dxa"/>
              <w:bottom w:w="95" w:type="dxa"/>
            </w:tcMar>
          </w:tcPr>
          <w:p w14:paraId="76173C5D" w14:textId="77777777" w:rsidR="00AE1677" w:rsidRDefault="00AE1677" w:rsidP="009F5ABB">
            <w:r>
              <w:rPr>
                <w:b/>
                <w:bCs/>
                <w:sz w:val="21"/>
                <w:szCs w:val="21"/>
              </w:rPr>
              <w:t>Student name</w:t>
            </w:r>
          </w:p>
        </w:tc>
        <w:tc>
          <w:tcPr>
            <w:tcW w:w="4965" w:type="dxa"/>
            <w:tcMar>
              <w:top w:w="95" w:type="dxa"/>
              <w:bottom w:w="95" w:type="dxa"/>
            </w:tcMar>
          </w:tcPr>
          <w:p w14:paraId="7473A522" w14:textId="6D16F204" w:rsidR="00AE1677" w:rsidRDefault="00AE1677" w:rsidP="009F5ABB">
            <w:r>
              <w:t>Zannatul Mawya Priya</w:t>
            </w:r>
          </w:p>
        </w:tc>
      </w:tr>
      <w:tr w:rsidR="00AE1677" w14:paraId="08D20601" w14:textId="77777777" w:rsidTr="009F5ABB">
        <w:trPr>
          <w:jc w:val="center"/>
        </w:trPr>
        <w:tc>
          <w:tcPr>
            <w:tcW w:w="4755" w:type="dxa"/>
            <w:shd w:val="clear" w:color="auto" w:fill="EAF1FB"/>
            <w:tcMar>
              <w:top w:w="95" w:type="dxa"/>
              <w:bottom w:w="95" w:type="dxa"/>
            </w:tcMar>
          </w:tcPr>
          <w:p w14:paraId="076186B0" w14:textId="77777777" w:rsidR="00AE1677" w:rsidRDefault="00AE1677" w:rsidP="009F5ABB">
            <w:r>
              <w:rPr>
                <w:b/>
                <w:bCs/>
                <w:sz w:val="21"/>
                <w:szCs w:val="21"/>
              </w:rPr>
              <w:t>Student ID</w:t>
            </w:r>
          </w:p>
        </w:tc>
        <w:tc>
          <w:tcPr>
            <w:tcW w:w="4965" w:type="dxa"/>
            <w:tcMar>
              <w:top w:w="95" w:type="dxa"/>
              <w:bottom w:w="95" w:type="dxa"/>
            </w:tcMar>
          </w:tcPr>
          <w:p w14:paraId="4378B55A" w14:textId="3FA27B60" w:rsidR="00AE1677" w:rsidRDefault="00AE1677" w:rsidP="009F5ABB">
            <w:r>
              <w:t>257766</w:t>
            </w:r>
          </w:p>
        </w:tc>
      </w:tr>
    </w:tbl>
    <w:p w14:paraId="00000005" w14:textId="77777777" w:rsidR="00B44354" w:rsidRDefault="00915488">
      <w:r>
        <w:br w:type="page"/>
      </w:r>
    </w:p>
    <w:p w14:paraId="00000006" w14:textId="77777777" w:rsidR="00B44354" w:rsidRDefault="00915488">
      <w:pPr>
        <w:pStyle w:val="Heading1"/>
        <w:spacing w:before="120" w:after="120"/>
        <w:jc w:val="center"/>
      </w:pPr>
      <w:r>
        <w:lastRenderedPageBreak/>
        <w:t>Table Of Contents</w:t>
      </w:r>
    </w:p>
    <w:sdt>
      <w:sdtPr>
        <w:id w:val="-1370607157"/>
        <w:docPartObj>
          <w:docPartGallery w:val="Table of Contents"/>
          <w:docPartUnique/>
        </w:docPartObj>
      </w:sdtPr>
      <w:sdtEndPr/>
      <w:sdtContent>
        <w:p w14:paraId="00000007" w14:textId="77777777" w:rsidR="00B44354" w:rsidRDefault="00915488">
          <w:pPr>
            <w:widowControl w:val="0"/>
            <w:tabs>
              <w:tab w:val="right" w:leader="dot" w:pos="12000"/>
            </w:tabs>
            <w:spacing w:before="60" w:after="0" w:line="240" w:lineRule="auto"/>
            <w:rPr>
              <w:rFonts w:ascii="Arial" w:eastAsia="Arial" w:hAnsi="Arial" w:cs="Arial"/>
              <w:b/>
              <w:bCs/>
              <w:color w:val="000000"/>
              <w:sz w:val="22"/>
              <w:szCs w:val="22"/>
            </w:rPr>
          </w:pPr>
          <w:r>
            <w:fldChar w:fldCharType="begin"/>
          </w:r>
          <w:r>
            <w:instrText xml:space="preserve"> TOC \h \u \z \t "Heading 1,1,Heading 2,2,Heading 3,3,Heading 4,4,Heading 5,5,Heading 6,6,"</w:instrText>
          </w:r>
          <w:r>
            <w:fldChar w:fldCharType="separate"/>
          </w:r>
          <w:hyperlink w:anchor="_heading=">
            <w:r>
              <w:rPr>
                <w:color w:val="000000"/>
              </w:rPr>
              <w:t>Table Of Contents</w:t>
            </w:r>
            <w:r>
              <w:rPr>
                <w:color w:val="000000"/>
              </w:rPr>
              <w:tab/>
              <w:t>2</w:t>
            </w:r>
          </w:hyperlink>
        </w:p>
        <w:p w14:paraId="00000008" w14:textId="77777777" w:rsidR="00B44354" w:rsidRDefault="00915488">
          <w:pPr>
            <w:widowControl w:val="0"/>
            <w:tabs>
              <w:tab w:val="right" w:leader="dot" w:pos="12000"/>
            </w:tabs>
            <w:spacing w:before="60" w:after="0" w:line="240" w:lineRule="auto"/>
            <w:rPr>
              <w:rFonts w:ascii="Arial" w:eastAsia="Arial" w:hAnsi="Arial" w:cs="Arial"/>
              <w:b/>
              <w:bCs/>
              <w:color w:val="000000"/>
              <w:sz w:val="22"/>
              <w:szCs w:val="22"/>
            </w:rPr>
          </w:pPr>
          <w:hyperlink w:anchor="_heading=">
            <w:r>
              <w:rPr>
                <w:color w:val="000000"/>
              </w:rPr>
              <w:t>Abstract</w:t>
            </w:r>
            <w:r>
              <w:rPr>
                <w:color w:val="000000"/>
              </w:rPr>
              <w:tab/>
              <w:t>3</w:t>
            </w:r>
          </w:hyperlink>
        </w:p>
        <w:p w14:paraId="00000009" w14:textId="77777777" w:rsidR="00B44354" w:rsidRDefault="00915488">
          <w:pPr>
            <w:widowControl w:val="0"/>
            <w:tabs>
              <w:tab w:val="right" w:leader="dot" w:pos="12000"/>
            </w:tabs>
            <w:spacing w:before="60" w:after="0" w:line="240" w:lineRule="auto"/>
            <w:rPr>
              <w:rFonts w:ascii="Arial" w:eastAsia="Arial" w:hAnsi="Arial" w:cs="Arial"/>
              <w:b/>
              <w:bCs/>
              <w:color w:val="000000"/>
              <w:sz w:val="22"/>
              <w:szCs w:val="22"/>
            </w:rPr>
          </w:pPr>
          <w:hyperlink w:anchor="_heading=">
            <w:r>
              <w:rPr>
                <w:color w:val="000000"/>
              </w:rPr>
              <w:t>1. Introduction</w:t>
            </w:r>
            <w:r>
              <w:rPr>
                <w:color w:val="000000"/>
              </w:rPr>
              <w:tab/>
              <w:t>4</w:t>
            </w:r>
          </w:hyperlink>
        </w:p>
        <w:p w14:paraId="0000000A" w14:textId="77777777" w:rsidR="00B44354" w:rsidRDefault="00915488">
          <w:pPr>
            <w:widowControl w:val="0"/>
            <w:tabs>
              <w:tab w:val="right" w:leader="dot" w:pos="12000"/>
            </w:tabs>
            <w:spacing w:before="60" w:after="0" w:line="240" w:lineRule="auto"/>
            <w:ind w:left="360"/>
            <w:rPr>
              <w:rFonts w:ascii="Arial" w:eastAsia="Arial" w:hAnsi="Arial" w:cs="Arial"/>
              <w:color w:val="000000"/>
              <w:sz w:val="22"/>
              <w:szCs w:val="22"/>
            </w:rPr>
          </w:pPr>
          <w:hyperlink w:anchor="_heading=">
            <w:r>
              <w:rPr>
                <w:color w:val="000000"/>
              </w:rPr>
              <w:t>1.1 Analytical approach</w:t>
            </w:r>
            <w:r>
              <w:rPr>
                <w:color w:val="000000"/>
              </w:rPr>
              <w:tab/>
              <w:t>4</w:t>
            </w:r>
          </w:hyperlink>
        </w:p>
        <w:p w14:paraId="0000000B" w14:textId="77777777" w:rsidR="00B44354" w:rsidRDefault="00915488">
          <w:pPr>
            <w:widowControl w:val="0"/>
            <w:tabs>
              <w:tab w:val="right" w:leader="dot" w:pos="12000"/>
            </w:tabs>
            <w:spacing w:before="60" w:after="0" w:line="240" w:lineRule="auto"/>
            <w:rPr>
              <w:rFonts w:ascii="Arial" w:eastAsia="Arial" w:hAnsi="Arial" w:cs="Arial"/>
              <w:b/>
              <w:bCs/>
              <w:color w:val="000000"/>
              <w:sz w:val="22"/>
              <w:szCs w:val="22"/>
            </w:rPr>
          </w:pPr>
          <w:hyperlink w:anchor="_heading=">
            <w:r>
              <w:rPr>
                <w:color w:val="000000"/>
              </w:rPr>
              <w:t>2. Task 1: Strategic Threat Analysis of the 2025 UK Retail Incidents</w:t>
            </w:r>
            <w:r>
              <w:rPr>
                <w:color w:val="000000"/>
              </w:rPr>
              <w:tab/>
              <w:t>5</w:t>
            </w:r>
          </w:hyperlink>
        </w:p>
        <w:p w14:paraId="0000000C" w14:textId="77777777" w:rsidR="00B44354" w:rsidRDefault="00915488">
          <w:pPr>
            <w:widowControl w:val="0"/>
            <w:tabs>
              <w:tab w:val="right" w:leader="dot" w:pos="12000"/>
            </w:tabs>
            <w:spacing w:before="60" w:after="0" w:line="240" w:lineRule="auto"/>
            <w:ind w:left="360"/>
            <w:rPr>
              <w:rFonts w:ascii="Arial" w:eastAsia="Arial" w:hAnsi="Arial" w:cs="Arial"/>
              <w:color w:val="000000"/>
              <w:sz w:val="22"/>
              <w:szCs w:val="22"/>
            </w:rPr>
          </w:pPr>
          <w:hyperlink w:anchor="_heading=">
            <w:r>
              <w:rPr>
                <w:color w:val="000000"/>
              </w:rPr>
              <w:t>2.1 Case overview</w:t>
            </w:r>
            <w:r>
              <w:rPr>
                <w:color w:val="000000"/>
              </w:rPr>
              <w:tab/>
              <w:t>5</w:t>
            </w:r>
          </w:hyperlink>
        </w:p>
        <w:p w14:paraId="0000000D" w14:textId="77777777" w:rsidR="00B44354" w:rsidRDefault="00915488">
          <w:pPr>
            <w:widowControl w:val="0"/>
            <w:tabs>
              <w:tab w:val="right" w:leader="dot" w:pos="12000"/>
            </w:tabs>
            <w:spacing w:before="60" w:after="0" w:line="240" w:lineRule="auto"/>
            <w:ind w:left="360"/>
            <w:rPr>
              <w:rFonts w:ascii="Arial" w:eastAsia="Arial" w:hAnsi="Arial" w:cs="Arial"/>
              <w:color w:val="000000"/>
              <w:sz w:val="22"/>
              <w:szCs w:val="22"/>
            </w:rPr>
          </w:pPr>
          <w:hyperlink w:anchor="_heading=">
            <w:r>
              <w:rPr>
                <w:color w:val="000000"/>
              </w:rPr>
              <w:t>2.2 Likely attack chain and att</w:t>
            </w:r>
            <w:r>
              <w:rPr>
                <w:color w:val="000000"/>
              </w:rPr>
              <w:t>acker behaviour</w:t>
            </w:r>
            <w:r>
              <w:rPr>
                <w:color w:val="000000"/>
              </w:rPr>
              <w:tab/>
              <w:t>6</w:t>
            </w:r>
          </w:hyperlink>
        </w:p>
        <w:p w14:paraId="0000000E" w14:textId="77777777" w:rsidR="00B44354" w:rsidRDefault="00915488">
          <w:pPr>
            <w:widowControl w:val="0"/>
            <w:tabs>
              <w:tab w:val="right" w:leader="dot" w:pos="12000"/>
            </w:tabs>
            <w:spacing w:before="60" w:after="0" w:line="240" w:lineRule="auto"/>
            <w:ind w:left="360"/>
            <w:rPr>
              <w:rFonts w:ascii="Arial" w:eastAsia="Arial" w:hAnsi="Arial" w:cs="Arial"/>
              <w:color w:val="000000"/>
              <w:sz w:val="22"/>
              <w:szCs w:val="22"/>
            </w:rPr>
          </w:pPr>
          <w:hyperlink w:anchor="_heading=">
            <w:r>
              <w:rPr>
                <w:color w:val="000000"/>
              </w:rPr>
              <w:t>2.3 Root causes, resilience issues, and sector implications</w:t>
            </w:r>
            <w:r>
              <w:rPr>
                <w:color w:val="000000"/>
              </w:rPr>
              <w:tab/>
              <w:t>8</w:t>
            </w:r>
          </w:hyperlink>
        </w:p>
        <w:p w14:paraId="0000000F" w14:textId="77777777" w:rsidR="00B44354" w:rsidRDefault="00915488">
          <w:pPr>
            <w:widowControl w:val="0"/>
            <w:tabs>
              <w:tab w:val="right" w:leader="dot" w:pos="12000"/>
            </w:tabs>
            <w:spacing w:before="60" w:after="0" w:line="240" w:lineRule="auto"/>
            <w:ind w:left="360"/>
            <w:rPr>
              <w:rFonts w:ascii="Arial" w:eastAsia="Arial" w:hAnsi="Arial" w:cs="Arial"/>
              <w:color w:val="000000"/>
              <w:sz w:val="22"/>
              <w:szCs w:val="22"/>
            </w:rPr>
          </w:pPr>
          <w:hyperlink w:anchor="_heading=">
            <w:r>
              <w:rPr>
                <w:color w:val="000000"/>
              </w:rPr>
              <w:t>2.4 Response and recommendations</w:t>
            </w:r>
            <w:r>
              <w:rPr>
                <w:color w:val="000000"/>
              </w:rPr>
              <w:tab/>
              <w:t>9</w:t>
            </w:r>
          </w:hyperlink>
        </w:p>
        <w:p w14:paraId="00000010" w14:textId="77777777" w:rsidR="00B44354" w:rsidRDefault="00915488">
          <w:pPr>
            <w:widowControl w:val="0"/>
            <w:tabs>
              <w:tab w:val="right" w:leader="dot" w:pos="12000"/>
            </w:tabs>
            <w:spacing w:before="60" w:after="0" w:line="240" w:lineRule="auto"/>
            <w:rPr>
              <w:rFonts w:ascii="Arial" w:eastAsia="Arial" w:hAnsi="Arial" w:cs="Arial"/>
              <w:b/>
              <w:bCs/>
              <w:color w:val="000000"/>
              <w:sz w:val="22"/>
              <w:szCs w:val="22"/>
            </w:rPr>
          </w:pPr>
          <w:hyperlink w:anchor="_heading=h.opz9sl7ekid6">
            <w:r>
              <w:rPr>
                <w:color w:val="000000"/>
              </w:rPr>
              <w:t>3. Executive Brief: ABCD Ltd Pe</w:t>
            </w:r>
            <w:r>
              <w:rPr>
                <w:color w:val="000000"/>
              </w:rPr>
              <w:t>netration Test</w:t>
            </w:r>
            <w:r>
              <w:rPr>
                <w:color w:val="000000"/>
              </w:rPr>
              <w:tab/>
              <w:t>10</w:t>
            </w:r>
          </w:hyperlink>
        </w:p>
        <w:p w14:paraId="00000011" w14:textId="77777777" w:rsidR="00B44354" w:rsidRDefault="00915488">
          <w:pPr>
            <w:widowControl w:val="0"/>
            <w:tabs>
              <w:tab w:val="right" w:leader="dot" w:pos="12000"/>
            </w:tabs>
            <w:spacing w:before="60" w:after="0" w:line="240" w:lineRule="auto"/>
            <w:rPr>
              <w:rFonts w:ascii="Arial" w:eastAsia="Arial" w:hAnsi="Arial" w:cs="Arial"/>
              <w:b/>
              <w:bCs/>
              <w:color w:val="000000"/>
              <w:sz w:val="22"/>
              <w:szCs w:val="22"/>
            </w:rPr>
          </w:pPr>
          <w:hyperlink w:anchor="_heading=h.2nim9g72ngjl">
            <w:r>
              <w:rPr>
                <w:color w:val="000000"/>
              </w:rPr>
              <w:t>4. Task 2 Technical Report: Authorised Red-Team Exercise in an Isolated Lab</w:t>
            </w:r>
            <w:r>
              <w:rPr>
                <w:color w:val="000000"/>
              </w:rPr>
              <w:tab/>
              <w:t>11</w:t>
            </w:r>
          </w:hyperlink>
        </w:p>
        <w:p w14:paraId="00000012" w14:textId="77777777" w:rsidR="00B44354" w:rsidRDefault="00915488">
          <w:pPr>
            <w:widowControl w:val="0"/>
            <w:tabs>
              <w:tab w:val="right" w:leader="dot" w:pos="12000"/>
            </w:tabs>
            <w:spacing w:before="60" w:after="0" w:line="240" w:lineRule="auto"/>
            <w:ind w:left="360"/>
            <w:rPr>
              <w:rFonts w:ascii="Arial" w:eastAsia="Arial" w:hAnsi="Arial" w:cs="Arial"/>
              <w:color w:val="000000"/>
              <w:sz w:val="22"/>
              <w:szCs w:val="22"/>
            </w:rPr>
          </w:pPr>
          <w:hyperlink w:anchor="_heading=h.5r4szang542g">
            <w:r>
              <w:rPr>
                <w:color w:val="000000"/>
              </w:rPr>
              <w:t>4.1 Scope, ethics, and environment</w:t>
            </w:r>
            <w:r>
              <w:rPr>
                <w:color w:val="000000"/>
              </w:rPr>
              <w:tab/>
              <w:t>11</w:t>
            </w:r>
          </w:hyperlink>
        </w:p>
        <w:p w14:paraId="00000013" w14:textId="77777777" w:rsidR="00B44354" w:rsidRDefault="00915488">
          <w:pPr>
            <w:widowControl w:val="0"/>
            <w:tabs>
              <w:tab w:val="right" w:leader="dot" w:pos="12000"/>
            </w:tabs>
            <w:spacing w:before="60" w:after="0" w:line="240" w:lineRule="auto"/>
            <w:ind w:left="360"/>
            <w:rPr>
              <w:rFonts w:ascii="Arial" w:eastAsia="Arial" w:hAnsi="Arial" w:cs="Arial"/>
              <w:color w:val="000000"/>
              <w:sz w:val="22"/>
              <w:szCs w:val="22"/>
            </w:rPr>
          </w:pPr>
          <w:hyperlink w:anchor="_heading=h.hv1g5v2if19a">
            <w:r>
              <w:rPr>
                <w:color w:val="000000"/>
              </w:rPr>
              <w:t>4.2 Reconnaissance and target selection</w:t>
            </w:r>
            <w:r>
              <w:rPr>
                <w:color w:val="000000"/>
              </w:rPr>
              <w:tab/>
              <w:t>15</w:t>
            </w:r>
          </w:hyperlink>
        </w:p>
        <w:p w14:paraId="00000014" w14:textId="77777777" w:rsidR="00B44354" w:rsidRDefault="00915488">
          <w:pPr>
            <w:widowControl w:val="0"/>
            <w:tabs>
              <w:tab w:val="right" w:leader="dot" w:pos="12000"/>
            </w:tabs>
            <w:spacing w:before="60" w:after="0" w:line="240" w:lineRule="auto"/>
            <w:ind w:left="360"/>
            <w:rPr>
              <w:rFonts w:ascii="Arial" w:eastAsia="Arial" w:hAnsi="Arial" w:cs="Arial"/>
              <w:color w:val="000000"/>
              <w:sz w:val="22"/>
              <w:szCs w:val="22"/>
            </w:rPr>
          </w:pPr>
          <w:hyperlink w:anchor="_heading=h.g1wxsmn1g2pc">
            <w:r>
              <w:rPr>
                <w:color w:val="000000"/>
              </w:rPr>
              <w:t>4.3 Web exploit path against DVWA</w:t>
            </w:r>
            <w:r>
              <w:rPr>
                <w:color w:val="000000"/>
              </w:rPr>
              <w:tab/>
              <w:t>21</w:t>
            </w:r>
          </w:hyperlink>
        </w:p>
        <w:p w14:paraId="00000015" w14:textId="77777777" w:rsidR="00B44354" w:rsidRDefault="00915488">
          <w:pPr>
            <w:widowControl w:val="0"/>
            <w:tabs>
              <w:tab w:val="right" w:leader="dot" w:pos="12000"/>
            </w:tabs>
            <w:spacing w:before="60" w:after="0" w:line="240" w:lineRule="auto"/>
            <w:ind w:left="360"/>
            <w:rPr>
              <w:rFonts w:ascii="Arial" w:eastAsia="Arial" w:hAnsi="Arial" w:cs="Arial"/>
              <w:color w:val="000000"/>
              <w:sz w:val="22"/>
              <w:szCs w:val="22"/>
            </w:rPr>
          </w:pPr>
          <w:hyperlink w:anchor="_heading=h.fsp9he593i5z">
            <w:r>
              <w:rPr>
                <w:color w:val="000000"/>
              </w:rPr>
              <w:t>4.4 Linux service exploitation against Metasploitable</w:t>
            </w:r>
            <w:r>
              <w:rPr>
                <w:color w:val="000000"/>
              </w:rPr>
              <w:tab/>
              <w:t>25</w:t>
            </w:r>
          </w:hyperlink>
        </w:p>
        <w:p w14:paraId="00000016" w14:textId="77777777" w:rsidR="00B44354" w:rsidRDefault="00915488">
          <w:pPr>
            <w:widowControl w:val="0"/>
            <w:tabs>
              <w:tab w:val="right" w:leader="dot" w:pos="12000"/>
            </w:tabs>
            <w:spacing w:before="60" w:after="0" w:line="240" w:lineRule="auto"/>
            <w:ind w:left="360"/>
            <w:rPr>
              <w:rFonts w:ascii="Arial" w:eastAsia="Arial" w:hAnsi="Arial" w:cs="Arial"/>
              <w:color w:val="000000"/>
              <w:sz w:val="22"/>
              <w:szCs w:val="22"/>
            </w:rPr>
          </w:pPr>
          <w:hyperlink w:anchor="_heading=h.kbxutdptrjri">
            <w:r>
              <w:rPr>
                <w:color w:val="000000"/>
              </w:rPr>
              <w:t>4.5 Windows exploitation and post-exploitation</w:t>
            </w:r>
            <w:r>
              <w:rPr>
                <w:color w:val="000000"/>
              </w:rPr>
              <w:tab/>
              <w:t>29</w:t>
            </w:r>
          </w:hyperlink>
        </w:p>
        <w:p w14:paraId="00000017" w14:textId="77777777" w:rsidR="00B44354" w:rsidRDefault="00915488">
          <w:pPr>
            <w:widowControl w:val="0"/>
            <w:tabs>
              <w:tab w:val="right" w:leader="dot" w:pos="12000"/>
            </w:tabs>
            <w:spacing w:before="60" w:after="0" w:line="240" w:lineRule="auto"/>
            <w:ind w:left="360"/>
            <w:rPr>
              <w:rFonts w:ascii="Arial" w:eastAsia="Arial" w:hAnsi="Arial" w:cs="Arial"/>
              <w:color w:val="000000"/>
              <w:sz w:val="22"/>
              <w:szCs w:val="22"/>
            </w:rPr>
          </w:pPr>
          <w:hyperlink w:anchor="_heading=h.qxxbxsnzns5h">
            <w:r>
              <w:rPr>
                <w:color w:val="000000"/>
              </w:rPr>
              <w:t>4.6 Detection gaps, prioritisation, and remediation</w:t>
            </w:r>
            <w:r>
              <w:rPr>
                <w:color w:val="000000"/>
              </w:rPr>
              <w:tab/>
              <w:t>33</w:t>
            </w:r>
          </w:hyperlink>
        </w:p>
        <w:p w14:paraId="00000018" w14:textId="77777777" w:rsidR="00B44354" w:rsidRDefault="00915488">
          <w:pPr>
            <w:widowControl w:val="0"/>
            <w:tabs>
              <w:tab w:val="right" w:leader="dot" w:pos="12000"/>
            </w:tabs>
            <w:spacing w:before="60" w:after="0" w:line="240" w:lineRule="auto"/>
            <w:ind w:left="360"/>
            <w:rPr>
              <w:rFonts w:ascii="Arial" w:eastAsia="Arial" w:hAnsi="Arial" w:cs="Arial"/>
              <w:color w:val="000000"/>
              <w:sz w:val="22"/>
              <w:szCs w:val="22"/>
            </w:rPr>
          </w:pPr>
          <w:hyperlink w:anchor="_heading=h.xcejgyb6i931">
            <w:r>
              <w:rPr>
                <w:color w:val="000000"/>
              </w:rPr>
              <w:t>4.7 Threat Emulation Plan</w:t>
            </w:r>
            <w:r>
              <w:rPr>
                <w:color w:val="000000"/>
              </w:rPr>
              <w:tab/>
              <w:t>35</w:t>
            </w:r>
          </w:hyperlink>
        </w:p>
        <w:p w14:paraId="00000019" w14:textId="77777777" w:rsidR="00B44354" w:rsidRDefault="00915488">
          <w:pPr>
            <w:widowControl w:val="0"/>
            <w:tabs>
              <w:tab w:val="right" w:leader="dot" w:pos="12000"/>
            </w:tabs>
            <w:spacing w:before="60" w:after="0" w:line="240" w:lineRule="auto"/>
            <w:rPr>
              <w:rFonts w:ascii="Arial" w:eastAsia="Arial" w:hAnsi="Arial" w:cs="Arial"/>
              <w:b/>
              <w:bCs/>
              <w:color w:val="000000"/>
              <w:sz w:val="22"/>
              <w:szCs w:val="22"/>
            </w:rPr>
          </w:pPr>
          <w:hyperlink w:anchor="_heading=h.yi9hd31bhd4a">
            <w:r>
              <w:rPr>
                <w:color w:val="000000"/>
              </w:rPr>
              <w:t>5. Evidence Package</w:t>
            </w:r>
            <w:r>
              <w:rPr>
                <w:color w:val="000000"/>
              </w:rPr>
              <w:tab/>
              <w:t>36</w:t>
            </w:r>
          </w:hyperlink>
        </w:p>
        <w:p w14:paraId="0000001A" w14:textId="77777777" w:rsidR="00B44354" w:rsidRDefault="00915488">
          <w:pPr>
            <w:widowControl w:val="0"/>
            <w:tabs>
              <w:tab w:val="right" w:leader="dot" w:pos="12000"/>
            </w:tabs>
            <w:spacing w:before="60" w:after="0" w:line="240" w:lineRule="auto"/>
            <w:rPr>
              <w:rFonts w:ascii="Arial" w:eastAsia="Arial" w:hAnsi="Arial" w:cs="Arial"/>
              <w:b/>
              <w:bCs/>
              <w:color w:val="000000"/>
              <w:sz w:val="22"/>
              <w:szCs w:val="22"/>
            </w:rPr>
          </w:pPr>
          <w:hyperlink w:anchor="_heading=h.curoxghelrxu">
            <w:r>
              <w:rPr>
                <w:color w:val="000000"/>
              </w:rPr>
              <w:t>6. Conclusi</w:t>
            </w:r>
            <w:r>
              <w:rPr>
                <w:color w:val="000000"/>
              </w:rPr>
              <w:t>on</w:t>
            </w:r>
            <w:r>
              <w:rPr>
                <w:color w:val="000000"/>
              </w:rPr>
              <w:tab/>
              <w:t>37</w:t>
            </w:r>
          </w:hyperlink>
        </w:p>
        <w:p w14:paraId="0000001B" w14:textId="77777777" w:rsidR="00B44354" w:rsidRDefault="00915488">
          <w:pPr>
            <w:widowControl w:val="0"/>
            <w:tabs>
              <w:tab w:val="right" w:leader="dot" w:pos="12000"/>
            </w:tabs>
            <w:spacing w:before="60" w:after="0" w:line="240" w:lineRule="auto"/>
            <w:rPr>
              <w:rFonts w:ascii="Arial" w:eastAsia="Arial" w:hAnsi="Arial" w:cs="Arial"/>
              <w:b/>
              <w:bCs/>
              <w:color w:val="000000"/>
              <w:sz w:val="22"/>
              <w:szCs w:val="22"/>
            </w:rPr>
          </w:pPr>
          <w:hyperlink w:anchor="_heading=h.lo96r6ly3jtf">
            <w:r>
              <w:rPr>
                <w:color w:val="000000"/>
              </w:rPr>
              <w:t>7. References</w:t>
            </w:r>
            <w:r>
              <w:rPr>
                <w:color w:val="000000"/>
              </w:rPr>
              <w:tab/>
              <w:t>38</w:t>
            </w:r>
          </w:hyperlink>
        </w:p>
        <w:p w14:paraId="0000001C" w14:textId="77777777" w:rsidR="00B44354" w:rsidRDefault="00915488">
          <w:pPr>
            <w:widowControl w:val="0"/>
            <w:tabs>
              <w:tab w:val="right" w:leader="dot" w:pos="12000"/>
            </w:tabs>
            <w:spacing w:before="60" w:after="0" w:line="240" w:lineRule="auto"/>
            <w:rPr>
              <w:rFonts w:ascii="Arial" w:eastAsia="Arial" w:hAnsi="Arial" w:cs="Arial"/>
              <w:b/>
              <w:bCs/>
              <w:color w:val="000000"/>
              <w:sz w:val="22"/>
              <w:szCs w:val="22"/>
            </w:rPr>
          </w:pPr>
          <w:hyperlink w:anchor="_heading=">
            <w:r>
              <w:rPr>
                <w:color w:val="000000"/>
              </w:rPr>
              <w:t>Appendix A: Rules of Engagement (RoE) - ABCD Ltd</w:t>
            </w:r>
            <w:r>
              <w:rPr>
                <w:color w:val="000000"/>
              </w:rPr>
              <w:tab/>
              <w:t>40</w:t>
            </w:r>
          </w:hyperlink>
          <w:r>
            <w:fldChar w:fldCharType="end"/>
          </w:r>
        </w:p>
      </w:sdtContent>
    </w:sdt>
    <w:p w14:paraId="0000001D" w14:textId="77777777" w:rsidR="00B44354" w:rsidRDefault="00915488">
      <w:pPr>
        <w:pStyle w:val="Heading1"/>
        <w:spacing w:before="120" w:after="120"/>
        <w:jc w:val="center"/>
      </w:pPr>
      <w:r>
        <w:br w:type="page"/>
      </w:r>
    </w:p>
    <w:p w14:paraId="0000001E" w14:textId="77777777" w:rsidR="00B44354" w:rsidRDefault="00915488">
      <w:pPr>
        <w:pStyle w:val="Heading1"/>
        <w:spacing w:before="120" w:after="120"/>
        <w:rPr>
          <w:sz w:val="40"/>
          <w:szCs w:val="40"/>
        </w:rPr>
      </w:pPr>
      <w:r>
        <w:t>Abstract</w:t>
      </w:r>
    </w:p>
    <w:p w14:paraId="0000001F" w14:textId="77777777" w:rsidR="00B44354" w:rsidRDefault="00915488">
      <w:pPr>
        <w:spacing w:after="120"/>
        <w:rPr>
          <w:sz w:val="23"/>
          <w:szCs w:val="23"/>
        </w:rPr>
      </w:pPr>
      <w:r>
        <w:rPr>
          <w:sz w:val="23"/>
          <w:szCs w:val="23"/>
        </w:rPr>
        <w:t>This paper integrates a strategic case study and a controlled practical task in illustrating how cyber risk has turned into a genuine operational problem. Task 1 takes the 2025 cyber-attacks on Marks &amp; Spencer and Co-op to identify the required attack patt</w:t>
      </w:r>
      <w:r>
        <w:rPr>
          <w:sz w:val="23"/>
          <w:szCs w:val="23"/>
        </w:rPr>
        <w:t>ern through official statement, NCSC guidance and threat-intelligence reporting, relate such pattern to relevant ATT&amp;CK techniques and state why such attack ranges extended from data exposure to cost of recovery and sector-wide attention.</w:t>
      </w:r>
    </w:p>
    <w:p w14:paraId="00000020" w14:textId="77777777" w:rsidR="00B44354" w:rsidRDefault="00915488">
      <w:pPr>
        <w:spacing w:after="120"/>
        <w:rPr>
          <w:sz w:val="23"/>
          <w:szCs w:val="23"/>
        </w:rPr>
      </w:pPr>
      <w:r>
        <w:rPr>
          <w:sz w:val="23"/>
          <w:szCs w:val="23"/>
        </w:rPr>
        <w:t>Task 2 Manually l</w:t>
      </w:r>
      <w:r>
        <w:rPr>
          <w:sz w:val="23"/>
          <w:szCs w:val="23"/>
        </w:rPr>
        <w:t>ogs an approved red-team exercise in a VirtualBox environment. In the environment four virtual machines (Kali Linux as the attacker, and OWASP/DVWA, Metasploitable Linux and Windows 7 as targets) were configured in a host-only adapter.</w:t>
      </w:r>
    </w:p>
    <w:p w14:paraId="00000021" w14:textId="77777777" w:rsidR="00B44354" w:rsidRDefault="00915488">
      <w:pPr>
        <w:spacing w:after="120"/>
      </w:pPr>
      <w:r>
        <w:rPr>
          <w:sz w:val="23"/>
          <w:szCs w:val="23"/>
        </w:rPr>
        <w:t xml:space="preserve">Overall, the report </w:t>
      </w:r>
      <w:r>
        <w:rPr>
          <w:sz w:val="23"/>
          <w:szCs w:val="23"/>
        </w:rPr>
        <w:t xml:space="preserve">concludes that modern cyber-attacks rarely result from one single weakness. They usually happen when weak identity controls, exposed services, poor segmentation and weak recovery planning combine together. Its utility is in how it takes technical evidence </w:t>
      </w:r>
      <w:r>
        <w:rPr>
          <w:sz w:val="23"/>
          <w:szCs w:val="23"/>
        </w:rPr>
        <w:t>and makes it into strategic priorities, defensive actions and business-focused recommendations.</w:t>
      </w:r>
    </w:p>
    <w:p w14:paraId="00000022" w14:textId="77777777" w:rsidR="00B44354" w:rsidRDefault="00B44354">
      <w:pPr>
        <w:spacing w:after="120"/>
        <w:rPr>
          <w:sz w:val="23"/>
          <w:szCs w:val="23"/>
        </w:rPr>
      </w:pPr>
    </w:p>
    <w:p w14:paraId="00000023" w14:textId="77777777" w:rsidR="00B44354" w:rsidRDefault="00915488">
      <w:pPr>
        <w:pStyle w:val="Heading1"/>
        <w:spacing w:before="120" w:after="120"/>
        <w:rPr>
          <w:sz w:val="24"/>
          <w:szCs w:val="24"/>
        </w:rPr>
      </w:pPr>
      <w:r>
        <w:rPr>
          <w:sz w:val="24"/>
          <w:szCs w:val="24"/>
        </w:rPr>
        <w:br/>
      </w:r>
      <w:r>
        <w:br w:type="page"/>
      </w:r>
    </w:p>
    <w:p w14:paraId="00000024" w14:textId="77777777" w:rsidR="00B44354" w:rsidRDefault="00915488">
      <w:pPr>
        <w:pStyle w:val="Heading1"/>
        <w:spacing w:before="120" w:after="120"/>
      </w:pPr>
      <w:r>
        <w:t>1. Introduction</w:t>
      </w:r>
    </w:p>
    <w:p w14:paraId="00000025" w14:textId="77777777" w:rsidR="00B44354" w:rsidRDefault="00915488">
      <w:pPr>
        <w:spacing w:after="120"/>
        <w:rPr>
          <w:sz w:val="23"/>
          <w:szCs w:val="23"/>
        </w:rPr>
      </w:pPr>
      <w:r>
        <w:rPr>
          <w:sz w:val="23"/>
          <w:szCs w:val="23"/>
        </w:rPr>
        <w:t xml:space="preserve">Cyber security reports have a tendency of being in two different styles. One is tactical and discusses governance, continuity and risk, but </w:t>
      </w:r>
      <w:r>
        <w:rPr>
          <w:sz w:val="23"/>
          <w:szCs w:val="23"/>
        </w:rPr>
        <w:t>little about the actual functioning of an attack. The other is very technical and documents tools, ports, shells and outputs but fails to articulate how these are important to resilience and management planning as well as operational planning. The aim of t</w:t>
      </w:r>
      <w:r>
        <w:rPr>
          <w:sz w:val="23"/>
          <w:szCs w:val="23"/>
        </w:rPr>
        <w:t>his report is to fill that gap. It takes a live, high profile retail cyber crisis and explains it in Task 1, and in Task 2, shows how vulnerabilities are found, verified and translated into usable access, through controlled exploitation in a lab.</w:t>
      </w:r>
    </w:p>
    <w:p w14:paraId="00000026" w14:textId="77777777" w:rsidR="00B44354" w:rsidRDefault="00915488">
      <w:pPr>
        <w:spacing w:after="120"/>
        <w:rPr>
          <w:sz w:val="23"/>
          <w:szCs w:val="23"/>
        </w:rPr>
      </w:pPr>
      <w:r>
        <w:rPr>
          <w:sz w:val="23"/>
          <w:szCs w:val="23"/>
        </w:rPr>
        <w:t>The repor</w:t>
      </w:r>
      <w:r>
        <w:rPr>
          <w:sz w:val="23"/>
          <w:szCs w:val="23"/>
        </w:rPr>
        <w:t>t is purposely designed to relate both tasks. The case of the UK retail incidents and the lab exercise are not of the same nature of an event but they illustrate the same fact that an attack becomes serious when common control failures form a chain. Too tr</w:t>
      </w:r>
      <w:r>
        <w:rPr>
          <w:sz w:val="23"/>
          <w:szCs w:val="23"/>
        </w:rPr>
        <w:t>usting identity processes, socially-engineerable workflows, exposed-to-the-world services, and too-flat internal environments are all environments that allow a small foothold to grow to something larger. The report thus operates on two levels. It poses the</w:t>
      </w:r>
      <w:r>
        <w:rPr>
          <w:sz w:val="23"/>
          <w:szCs w:val="23"/>
        </w:rPr>
        <w:t xml:space="preserve"> question of what a recent actual disturbance can teach us about organisational resilience, and demonstrates what a carefully-designed technical exercise can teach us about exposure, exploitability, and signs of compromise.</w:t>
      </w:r>
    </w:p>
    <w:p w14:paraId="00000027" w14:textId="77777777" w:rsidR="00B44354" w:rsidRDefault="00B44354">
      <w:pPr>
        <w:spacing w:after="120"/>
      </w:pPr>
    </w:p>
    <w:p w14:paraId="00000028" w14:textId="77777777" w:rsidR="00B44354" w:rsidRDefault="00B44354">
      <w:pPr>
        <w:spacing w:after="120"/>
      </w:pPr>
    </w:p>
    <w:p w14:paraId="00000029" w14:textId="77777777" w:rsidR="00B44354" w:rsidRDefault="00915488">
      <w:pPr>
        <w:pStyle w:val="Heading2"/>
        <w:spacing w:before="120" w:after="120"/>
      </w:pPr>
      <w:r>
        <w:t>1.1 Analytical approach</w:t>
      </w:r>
    </w:p>
    <w:p w14:paraId="0000002A" w14:textId="77777777" w:rsidR="00B44354" w:rsidRDefault="00915488">
      <w:pPr>
        <w:spacing w:after="120"/>
      </w:pPr>
      <w:r>
        <w:rPr>
          <w:sz w:val="23"/>
          <w:szCs w:val="23"/>
        </w:rPr>
        <w:t>This a</w:t>
      </w:r>
      <w:r>
        <w:rPr>
          <w:sz w:val="23"/>
          <w:szCs w:val="23"/>
        </w:rPr>
        <w:t>nalysis is influenced by two choices of reporting. To begin with, the facts that have been proven are distinguished, as well as the plausible inference. The official company statements and NCSC guidance are considered the baseline whereas the threat-intell</w:t>
      </w:r>
      <w:r>
        <w:rPr>
          <w:sz w:val="23"/>
          <w:szCs w:val="23"/>
        </w:rPr>
        <w:t>igence material is employed to explain the probable attacker behaviour without exaggerating the likelihood. Second, the simulated exercise is recorded as an approved training exercise but not as an actual break in. The difference is important since the aim</w:t>
      </w:r>
      <w:r>
        <w:rPr>
          <w:sz w:val="23"/>
          <w:szCs w:val="23"/>
        </w:rPr>
        <w:t xml:space="preserve"> of Task 2 is to learn through evidence, as opposed to dramatising access in itself. The report then proceeds to evidence, interpretation and finally to recommendations.</w:t>
      </w:r>
    </w:p>
    <w:p w14:paraId="0000002B" w14:textId="77777777" w:rsidR="00B44354" w:rsidRDefault="00915488">
      <w:pPr>
        <w:pStyle w:val="Heading1"/>
        <w:spacing w:before="120" w:after="120"/>
        <w:rPr>
          <w:sz w:val="24"/>
          <w:szCs w:val="24"/>
        </w:rPr>
      </w:pPr>
      <w:r>
        <w:br w:type="page"/>
      </w:r>
    </w:p>
    <w:p w14:paraId="0000002C" w14:textId="77777777" w:rsidR="00B44354" w:rsidRDefault="00915488">
      <w:pPr>
        <w:pStyle w:val="Heading1"/>
        <w:spacing w:before="120" w:after="120"/>
      </w:pPr>
      <w:r>
        <w:t>2. Task 1: Strategic Threat Analysis of the 2025 UK Retail Incidents</w:t>
      </w:r>
    </w:p>
    <w:p w14:paraId="0000002D" w14:textId="77777777" w:rsidR="00B44354" w:rsidRDefault="00915488">
      <w:pPr>
        <w:pStyle w:val="Heading2"/>
        <w:spacing w:before="120" w:after="120"/>
      </w:pPr>
      <w:r>
        <w:t>2.1 Case overvi</w:t>
      </w:r>
      <w:r>
        <w:t>ew</w:t>
      </w:r>
    </w:p>
    <w:p w14:paraId="0000002E" w14:textId="77777777" w:rsidR="00B44354" w:rsidRDefault="00915488">
      <w:pPr>
        <w:spacing w:after="120"/>
        <w:rPr>
          <w:sz w:val="23"/>
          <w:szCs w:val="23"/>
        </w:rPr>
      </w:pPr>
      <w:r>
        <w:rPr>
          <w:sz w:val="23"/>
          <w:szCs w:val="23"/>
        </w:rPr>
        <w:t>In early 2025, both Marks &amp; Spencer and Co-op suffered serious cyber attacks that interrupted their operations and compelled defensive measures. M&amp;S subsequently estimated the impact could be a fall of around £300 million pre-mitigation, insurance, and tra</w:t>
      </w:r>
      <w:r>
        <w:rPr>
          <w:sz w:val="23"/>
          <w:szCs w:val="23"/>
        </w:rPr>
        <w:t>ding actions to operating profit [1]. Co-op confirmed an attacker gained access to large volumes of member data, and its food business suffered stock issues during systems protection and recovery [2], [3]. These incidents led to the NCSC issuing public gui</w:t>
      </w:r>
      <w:r>
        <w:rPr>
          <w:sz w:val="23"/>
          <w:szCs w:val="23"/>
        </w:rPr>
        <w:t>dance and advice [4], [5].</w:t>
      </w:r>
    </w:p>
    <w:p w14:paraId="0000002F" w14:textId="77777777" w:rsidR="00B44354" w:rsidRDefault="00B44354">
      <w:pPr>
        <w:spacing w:after="120"/>
        <w:rPr>
          <w:sz w:val="23"/>
          <w:szCs w:val="23"/>
        </w:rPr>
      </w:pPr>
    </w:p>
    <w:p w14:paraId="00000030" w14:textId="77777777" w:rsidR="00B44354" w:rsidRDefault="00915488">
      <w:pPr>
        <w:spacing w:after="120"/>
      </w:pPr>
      <w:r>
        <w:rPr>
          <w:sz w:val="23"/>
          <w:szCs w:val="23"/>
        </w:rPr>
        <w:t>While these incidents may not ultimately look significant, the impacts and implications are far reaching and therefore examples of the sheer extent of damage that a retail cyber attack can do in a relatively short space of time.</w:t>
      </w:r>
      <w:r>
        <w:rPr>
          <w:sz w:val="23"/>
          <w:szCs w:val="23"/>
        </w:rPr>
        <w:t xml:space="preserve"> In today's digital age, most retail operations are highly dependent on technology, including their stores, supply chain, online orders, logistics planning and buying, communication with suppliers, and communication with customers. IT failures on this scal</w:t>
      </w:r>
      <w:r>
        <w:rPr>
          <w:sz w:val="23"/>
          <w:szCs w:val="23"/>
        </w:rPr>
        <w:t xml:space="preserve">e can cause serious problems, a breakdown in trust as well as operational issues. The incidents should not be over-attributed to UNC3944/Scattered Spider without strong evidence. The NCSC stated that it could not definitively confirm whether the incidents </w:t>
      </w:r>
      <w:r>
        <w:rPr>
          <w:sz w:val="23"/>
          <w:szCs w:val="23"/>
        </w:rPr>
        <w:t>were connected or caused by the same actor. However, threat-intelligence reporting on UNC3944/Scattered Spider is still useful for understanding similar tactics, such as social engineering, help-desk manipulation, credential theft, MFA fatigue and abuse of</w:t>
      </w:r>
      <w:r>
        <w:rPr>
          <w:sz w:val="23"/>
          <w:szCs w:val="23"/>
        </w:rPr>
        <w:t xml:space="preserve"> trusted accounts.</w:t>
      </w:r>
    </w:p>
    <w:p w14:paraId="00000031" w14:textId="77777777" w:rsidR="00B44354" w:rsidRDefault="00915488">
      <w:pPr>
        <w:spacing w:after="40"/>
        <w:jc w:val="center"/>
      </w:pPr>
      <w:r>
        <w:rPr>
          <w:noProof/>
        </w:rPr>
        <w:drawing>
          <wp:inline distT="114300" distB="114300" distL="114300" distR="114300">
            <wp:extent cx="5870548" cy="2696472"/>
            <wp:effectExtent l="0" t="0" r="0" b="0"/>
            <wp:docPr id="21"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8"/>
                    <a:srcRect t="4097" r="9587"/>
                    <a:stretch>
                      <a:fillRect/>
                    </a:stretch>
                  </pic:blipFill>
                  <pic:spPr>
                    <a:xfrm>
                      <a:off x="0" y="0"/>
                      <a:ext cx="5870548" cy="2696472"/>
                    </a:xfrm>
                    <a:prstGeom prst="rect">
                      <a:avLst/>
                    </a:prstGeom>
                    <a:ln/>
                  </pic:spPr>
                </pic:pic>
              </a:graphicData>
            </a:graphic>
          </wp:inline>
        </w:drawing>
      </w:r>
    </w:p>
    <w:p w14:paraId="00000032" w14:textId="77777777" w:rsidR="00B44354" w:rsidRDefault="00915488">
      <w:pPr>
        <w:spacing w:after="160"/>
        <w:jc w:val="center"/>
        <w:rPr>
          <w:i/>
          <w:iCs/>
        </w:rPr>
      </w:pPr>
      <w:r>
        <w:rPr>
          <w:i/>
          <w:iCs/>
        </w:rPr>
        <w:t>Figure 1. 2025 retail incident timeline based on public disclosures.</w:t>
      </w:r>
    </w:p>
    <w:p w14:paraId="00000033" w14:textId="77777777" w:rsidR="00B44354" w:rsidRDefault="00B44354">
      <w:pPr>
        <w:spacing w:after="160"/>
        <w:jc w:val="center"/>
        <w:rPr>
          <w:i/>
          <w:iCs/>
        </w:rPr>
      </w:pPr>
    </w:p>
    <w:p w14:paraId="00000034" w14:textId="77777777" w:rsidR="00B44354" w:rsidRDefault="00B44354">
      <w:pPr>
        <w:spacing w:after="160"/>
        <w:jc w:val="center"/>
        <w:rPr>
          <w:i/>
          <w:iCs/>
        </w:rPr>
      </w:pPr>
    </w:p>
    <w:p w14:paraId="00000035" w14:textId="77777777" w:rsidR="00B44354" w:rsidRDefault="00B44354">
      <w:pPr>
        <w:spacing w:after="160"/>
        <w:jc w:val="center"/>
        <w:rPr>
          <w:i/>
          <w:iCs/>
        </w:rPr>
      </w:pPr>
    </w:p>
    <w:p w14:paraId="00000036" w14:textId="77777777" w:rsidR="00B44354" w:rsidRDefault="00B44354">
      <w:pPr>
        <w:spacing w:after="160"/>
        <w:jc w:val="center"/>
        <w:rPr>
          <w:i/>
          <w:iCs/>
        </w:rPr>
      </w:pPr>
    </w:p>
    <w:tbl>
      <w:tblPr>
        <w:tblStyle w:val="a"/>
        <w:tblW w:w="981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70"/>
        <w:gridCol w:w="3870"/>
        <w:gridCol w:w="3270"/>
      </w:tblGrid>
      <w:tr w:rsidR="00B44354" w14:paraId="2C3A0735" w14:textId="77777777">
        <w:trPr>
          <w:jc w:val="center"/>
        </w:trPr>
        <w:tc>
          <w:tcPr>
            <w:tcW w:w="2670" w:type="dxa"/>
          </w:tcPr>
          <w:p w14:paraId="00000037" w14:textId="77777777" w:rsidR="00B44354" w:rsidRDefault="00915488">
            <w:pPr>
              <w:spacing w:line="276" w:lineRule="auto"/>
            </w:pPr>
            <w:r>
              <w:rPr>
                <w:b/>
                <w:bCs/>
              </w:rPr>
              <w:t>Organisation</w:t>
            </w:r>
          </w:p>
        </w:tc>
        <w:tc>
          <w:tcPr>
            <w:tcW w:w="3870" w:type="dxa"/>
          </w:tcPr>
          <w:p w14:paraId="00000038" w14:textId="77777777" w:rsidR="00B44354" w:rsidRDefault="00915488">
            <w:pPr>
              <w:spacing w:line="276" w:lineRule="auto"/>
            </w:pPr>
            <w:r>
              <w:rPr>
                <w:b/>
                <w:bCs/>
              </w:rPr>
              <w:t>Confirmed effects</w:t>
            </w:r>
          </w:p>
        </w:tc>
        <w:tc>
          <w:tcPr>
            <w:tcW w:w="3270" w:type="dxa"/>
          </w:tcPr>
          <w:p w14:paraId="00000039" w14:textId="77777777" w:rsidR="00B44354" w:rsidRDefault="00915488">
            <w:pPr>
              <w:spacing w:line="276" w:lineRule="auto"/>
            </w:pPr>
            <w:r>
              <w:rPr>
                <w:b/>
                <w:bCs/>
              </w:rPr>
              <w:t>Strategic implication</w:t>
            </w:r>
          </w:p>
        </w:tc>
      </w:tr>
      <w:tr w:rsidR="00B44354" w14:paraId="49333400" w14:textId="77777777">
        <w:trPr>
          <w:jc w:val="center"/>
        </w:trPr>
        <w:tc>
          <w:tcPr>
            <w:tcW w:w="2670" w:type="dxa"/>
          </w:tcPr>
          <w:p w14:paraId="0000003A" w14:textId="77777777" w:rsidR="00B44354" w:rsidRDefault="00915488">
            <w:pPr>
              <w:spacing w:line="276" w:lineRule="auto"/>
            </w:pPr>
            <w:r>
              <w:t>Marks &amp; Spencer</w:t>
            </w:r>
          </w:p>
        </w:tc>
        <w:tc>
          <w:tcPr>
            <w:tcW w:w="3870" w:type="dxa"/>
          </w:tcPr>
          <w:p w14:paraId="0000003B" w14:textId="77777777" w:rsidR="00B44354" w:rsidRDefault="00915488">
            <w:pPr>
              <w:spacing w:line="276" w:lineRule="auto"/>
            </w:pPr>
            <w:r>
              <w:t>Severe operational disruption; later reported about £300m expected profit impact.</w:t>
            </w:r>
          </w:p>
          <w:p w14:paraId="0000003C" w14:textId="77777777" w:rsidR="00B44354" w:rsidRDefault="00B44354">
            <w:pPr>
              <w:spacing w:line="276" w:lineRule="auto"/>
            </w:pPr>
          </w:p>
        </w:tc>
        <w:tc>
          <w:tcPr>
            <w:tcW w:w="3270" w:type="dxa"/>
          </w:tcPr>
          <w:p w14:paraId="0000003D" w14:textId="77777777" w:rsidR="00B44354" w:rsidRDefault="00915488">
            <w:pPr>
              <w:spacing w:line="276" w:lineRule="auto"/>
            </w:pPr>
            <w:r>
              <w:t>Cyber inc</w:t>
            </w:r>
            <w:r>
              <w:t>idents can become enterprise-level continuity events, not just IT issues.</w:t>
            </w:r>
          </w:p>
        </w:tc>
      </w:tr>
      <w:tr w:rsidR="00B44354" w14:paraId="4C5EC33C" w14:textId="77777777">
        <w:trPr>
          <w:jc w:val="center"/>
        </w:trPr>
        <w:tc>
          <w:tcPr>
            <w:tcW w:w="2670" w:type="dxa"/>
          </w:tcPr>
          <w:p w14:paraId="0000003E" w14:textId="77777777" w:rsidR="00B44354" w:rsidRDefault="00915488">
            <w:pPr>
              <w:spacing w:line="276" w:lineRule="auto"/>
            </w:pPr>
            <w:r>
              <w:t>Co-op</w:t>
            </w:r>
          </w:p>
        </w:tc>
        <w:tc>
          <w:tcPr>
            <w:tcW w:w="3870" w:type="dxa"/>
          </w:tcPr>
          <w:p w14:paraId="0000003F" w14:textId="77777777" w:rsidR="00B44354" w:rsidRDefault="00915488">
            <w:pPr>
              <w:spacing w:line="276" w:lineRule="auto"/>
            </w:pPr>
            <w:r>
              <w:t>Member data accessed; system restrictions and food supply disruption reported.</w:t>
            </w:r>
          </w:p>
          <w:p w14:paraId="00000040" w14:textId="77777777" w:rsidR="00B44354" w:rsidRDefault="00B44354">
            <w:pPr>
              <w:spacing w:line="276" w:lineRule="auto"/>
            </w:pPr>
          </w:p>
        </w:tc>
        <w:tc>
          <w:tcPr>
            <w:tcW w:w="3270" w:type="dxa"/>
          </w:tcPr>
          <w:p w14:paraId="00000041" w14:textId="77777777" w:rsidR="00B44354" w:rsidRDefault="00915488">
            <w:pPr>
              <w:spacing w:line="276" w:lineRule="auto"/>
            </w:pPr>
            <w:r>
              <w:t>Even partial compromise can trigger protective shutdown and customer-facing impact.</w:t>
            </w:r>
          </w:p>
        </w:tc>
      </w:tr>
      <w:tr w:rsidR="00B44354" w14:paraId="6A74A977" w14:textId="77777777">
        <w:trPr>
          <w:jc w:val="center"/>
        </w:trPr>
        <w:tc>
          <w:tcPr>
            <w:tcW w:w="2670" w:type="dxa"/>
          </w:tcPr>
          <w:p w14:paraId="00000042" w14:textId="77777777" w:rsidR="00B44354" w:rsidRDefault="00915488">
            <w:pPr>
              <w:spacing w:line="276" w:lineRule="auto"/>
            </w:pPr>
            <w:r>
              <w:t>Sector response</w:t>
            </w:r>
          </w:p>
        </w:tc>
        <w:tc>
          <w:tcPr>
            <w:tcW w:w="3870" w:type="dxa"/>
          </w:tcPr>
          <w:p w14:paraId="00000043" w14:textId="77777777" w:rsidR="00B44354" w:rsidRDefault="00915488">
            <w:pPr>
              <w:spacing w:line="276" w:lineRule="auto"/>
            </w:pPr>
            <w:r>
              <w:t>NCSC published support and recommendations for affected retailers.</w:t>
            </w:r>
          </w:p>
          <w:p w14:paraId="00000044" w14:textId="77777777" w:rsidR="00B44354" w:rsidRDefault="00B44354">
            <w:pPr>
              <w:spacing w:line="276" w:lineRule="auto"/>
            </w:pPr>
          </w:p>
        </w:tc>
        <w:tc>
          <w:tcPr>
            <w:tcW w:w="3270" w:type="dxa"/>
          </w:tcPr>
          <w:p w14:paraId="00000045" w14:textId="77777777" w:rsidR="00B44354" w:rsidRDefault="00915488">
            <w:pPr>
              <w:spacing w:line="276" w:lineRule="auto"/>
            </w:pPr>
            <w:r>
              <w:t>The incidents had wider relevance across UK retail and supply-chain ecosystems.</w:t>
            </w:r>
          </w:p>
        </w:tc>
      </w:tr>
    </w:tbl>
    <w:p w14:paraId="00000046" w14:textId="77777777" w:rsidR="00B44354" w:rsidRDefault="00B44354"/>
    <w:p w14:paraId="00000047" w14:textId="77777777" w:rsidR="00B44354" w:rsidRDefault="00915488">
      <w:pPr>
        <w:pStyle w:val="Heading2"/>
        <w:spacing w:before="120" w:after="120"/>
      </w:pPr>
      <w:r>
        <w:t>2.2 L</w:t>
      </w:r>
      <w:r>
        <w:t>ikely attack chain and attacker behaviour</w:t>
      </w:r>
    </w:p>
    <w:p w14:paraId="00000048" w14:textId="77777777" w:rsidR="00B44354" w:rsidRDefault="00915488">
      <w:pPr>
        <w:spacing w:after="120"/>
      </w:pPr>
      <w:r>
        <w:rPr>
          <w:sz w:val="23"/>
          <w:szCs w:val="23"/>
        </w:rPr>
        <w:t>One characteristic of the campaign was how rapidly operational effects were felt. Leading to public reports of both organisations transitioning into system restriction and recovery policies early on, implying eithe</w:t>
      </w:r>
      <w:r>
        <w:rPr>
          <w:sz w:val="23"/>
          <w:szCs w:val="23"/>
        </w:rPr>
        <w:t>r an early (or systematic) compromise of privileged access, or a sufficient level of compromise uncertainty that broad defensive measures needed to be implemented. Goes hand in hand with identity-led compromise: abuse of trusted user accounts or recovery t</w:t>
      </w:r>
      <w:r>
        <w:rPr>
          <w:sz w:val="23"/>
          <w:szCs w:val="23"/>
        </w:rPr>
        <w:t>ools leading to pauses in critical systems, though, because it's not easy to distinguish compromised from trusted systems/accounts. The consequences also extended beyond confidentiality. They can not be considered merely data breaches, because of the non-t</w:t>
      </w:r>
      <w:r>
        <w:rPr>
          <w:sz w:val="23"/>
          <w:szCs w:val="23"/>
        </w:rPr>
        <w:t>rivial value of availability and operational integrity (order processing, fulfilment, stock replenishment, interaction with suppliers and customers), which can cost retailers millions in damage and slow down. As evidence, the financial impact on M&amp;S has be</w:t>
      </w:r>
      <w:r>
        <w:rPr>
          <w:sz w:val="23"/>
          <w:szCs w:val="23"/>
        </w:rPr>
        <w:t>en reported [1]. Moreover, they imply potential compromise of trust relationships. Under the same logic, Google Threat Intelligence attributed the UNC3944/Scattered Spider incidents to social engineering and abuse of third-party access [6], which seems mor</w:t>
      </w:r>
      <w:r>
        <w:rPr>
          <w:sz w:val="23"/>
          <w:szCs w:val="23"/>
        </w:rPr>
        <w:t>e congruent with the wider context of involved entities than a perimeter breach.</w:t>
      </w:r>
    </w:p>
    <w:p w14:paraId="00000049" w14:textId="77777777" w:rsidR="00B44354" w:rsidRDefault="00915488">
      <w:pPr>
        <w:spacing w:after="120"/>
      </w:pPr>
      <w:r>
        <w:rPr>
          <w:sz w:val="23"/>
          <w:szCs w:val="23"/>
        </w:rPr>
        <w:t xml:space="preserve">There are various potential attack sequences that could escalate to critical infrastructure or application compromise. Early reconnaissance might review people-, process- and </w:t>
      </w:r>
      <w:r>
        <w:rPr>
          <w:sz w:val="23"/>
          <w:szCs w:val="23"/>
        </w:rPr>
        <w:t>identity-centred information. This approach would look into brands, senior personnel, help-desk processes, outsourced providers, password-and device-enrolment processes. In ATT&amp;CK notation, this would resemble Scattered Spider-appropriate identity-informat</w:t>
      </w:r>
      <w:r>
        <w:rPr>
          <w:sz w:val="23"/>
          <w:szCs w:val="23"/>
        </w:rPr>
        <w:t>ion gathering, legitimate account theft, repeated authentication pressure [7]–[10]. After gaining access to the target network or application, the attacker might use valid accounts to navigate through typical workflows, execute internal reconnaissance, abu</w:t>
      </w:r>
      <w:r>
        <w:rPr>
          <w:sz w:val="23"/>
          <w:szCs w:val="23"/>
        </w:rPr>
        <w:t>se remote services, port scan and run commands via shells or scripts. In the retail context this has an increased threat. As there is a tighter parity between online outlets, offline stores, physical distribution depots and head-office systems. The end goa</w:t>
      </w:r>
      <w:r>
        <w:rPr>
          <w:sz w:val="23"/>
          <w:szCs w:val="23"/>
        </w:rPr>
        <w:t>l here tends to be extortion through operation interruption where stolen data and disrupted workflows are both leveraged as hostages.</w:t>
      </w:r>
    </w:p>
    <w:p w14:paraId="0000004A" w14:textId="77777777" w:rsidR="00B44354" w:rsidRDefault="00915488">
      <w:pPr>
        <w:spacing w:after="40"/>
        <w:jc w:val="center"/>
      </w:pPr>
      <w:r>
        <w:rPr>
          <w:noProof/>
        </w:rPr>
        <w:drawing>
          <wp:inline distT="114300" distB="114300" distL="114300" distR="114300">
            <wp:extent cx="6217920" cy="1003300"/>
            <wp:effectExtent l="0" t="0" r="0" b="0"/>
            <wp:docPr id="1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9"/>
                    <a:srcRect/>
                    <a:stretch>
                      <a:fillRect/>
                    </a:stretch>
                  </pic:blipFill>
                  <pic:spPr>
                    <a:xfrm>
                      <a:off x="0" y="0"/>
                      <a:ext cx="6217920" cy="1003300"/>
                    </a:xfrm>
                    <a:prstGeom prst="rect">
                      <a:avLst/>
                    </a:prstGeom>
                    <a:ln/>
                  </pic:spPr>
                </pic:pic>
              </a:graphicData>
            </a:graphic>
          </wp:inline>
        </w:drawing>
      </w:r>
    </w:p>
    <w:p w14:paraId="0000004B" w14:textId="77777777" w:rsidR="00B44354" w:rsidRDefault="00915488">
      <w:pPr>
        <w:spacing w:after="160"/>
        <w:jc w:val="center"/>
        <w:rPr>
          <w:i/>
          <w:iCs/>
        </w:rPr>
      </w:pPr>
      <w:r>
        <w:rPr>
          <w:i/>
          <w:iCs/>
        </w:rPr>
        <w:t>Figure 2. Plausible attack chain for the retail campaign.</w:t>
      </w:r>
    </w:p>
    <w:p w14:paraId="0000004C" w14:textId="77777777" w:rsidR="00B44354" w:rsidRDefault="00B44354">
      <w:pPr>
        <w:spacing w:after="160"/>
        <w:jc w:val="center"/>
        <w:rPr>
          <w:i/>
          <w:iCs/>
        </w:rPr>
      </w:pPr>
    </w:p>
    <w:tbl>
      <w:tblPr>
        <w:tblStyle w:val="a0"/>
        <w:tblW w:w="9792"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64"/>
        <w:gridCol w:w="3264"/>
        <w:gridCol w:w="3264"/>
      </w:tblGrid>
      <w:tr w:rsidR="00B44354" w14:paraId="18961DD0" w14:textId="77777777">
        <w:trPr>
          <w:trHeight w:val="960"/>
          <w:jc w:val="center"/>
        </w:trPr>
        <w:tc>
          <w:tcPr>
            <w:tcW w:w="3264" w:type="dxa"/>
          </w:tcPr>
          <w:p w14:paraId="0000004D" w14:textId="77777777" w:rsidR="00B44354" w:rsidRDefault="00915488">
            <w:pPr>
              <w:spacing w:line="276" w:lineRule="auto"/>
            </w:pPr>
            <w:r>
              <w:rPr>
                <w:b/>
                <w:bCs/>
              </w:rPr>
              <w:t>Observed or plausible stage</w:t>
            </w:r>
          </w:p>
        </w:tc>
        <w:tc>
          <w:tcPr>
            <w:tcW w:w="3264" w:type="dxa"/>
          </w:tcPr>
          <w:p w14:paraId="0000004E" w14:textId="77777777" w:rsidR="00B44354" w:rsidRDefault="00915488">
            <w:pPr>
              <w:spacing w:line="276" w:lineRule="auto"/>
            </w:pPr>
            <w:r>
              <w:rPr>
                <w:b/>
                <w:bCs/>
              </w:rPr>
              <w:t>Relevant ATT&amp;CK reference</w:t>
            </w:r>
          </w:p>
        </w:tc>
        <w:tc>
          <w:tcPr>
            <w:tcW w:w="3264" w:type="dxa"/>
          </w:tcPr>
          <w:p w14:paraId="0000004F" w14:textId="77777777" w:rsidR="00B44354" w:rsidRDefault="00915488">
            <w:pPr>
              <w:spacing w:line="276" w:lineRule="auto"/>
            </w:pPr>
            <w:r>
              <w:rPr>
                <w:b/>
                <w:bCs/>
              </w:rPr>
              <w:t>Why it fits</w:t>
            </w:r>
          </w:p>
        </w:tc>
      </w:tr>
      <w:tr w:rsidR="00B44354" w14:paraId="52027766" w14:textId="77777777">
        <w:trPr>
          <w:jc w:val="center"/>
        </w:trPr>
        <w:tc>
          <w:tcPr>
            <w:tcW w:w="3264" w:type="dxa"/>
          </w:tcPr>
          <w:p w14:paraId="00000050" w14:textId="77777777" w:rsidR="00B44354" w:rsidRDefault="00915488">
            <w:pPr>
              <w:spacing w:line="276" w:lineRule="auto"/>
            </w:pPr>
            <w:r>
              <w:t>Identity targeting and social engineering</w:t>
            </w:r>
          </w:p>
        </w:tc>
        <w:tc>
          <w:tcPr>
            <w:tcW w:w="3264" w:type="dxa"/>
          </w:tcPr>
          <w:p w14:paraId="00000051" w14:textId="77777777" w:rsidR="00B44354" w:rsidRDefault="00915488">
            <w:pPr>
              <w:spacing w:line="276" w:lineRule="auto"/>
            </w:pPr>
            <w:r>
              <w:t>Scattered Spider pattern</w:t>
            </w:r>
          </w:p>
          <w:p w14:paraId="00000052" w14:textId="77777777" w:rsidR="00B44354" w:rsidRDefault="00B44354">
            <w:pPr>
              <w:spacing w:line="276" w:lineRule="auto"/>
            </w:pPr>
          </w:p>
        </w:tc>
        <w:tc>
          <w:tcPr>
            <w:tcW w:w="3264" w:type="dxa"/>
          </w:tcPr>
          <w:p w14:paraId="00000053" w14:textId="77777777" w:rsidR="00B44354" w:rsidRDefault="00915488">
            <w:pPr>
              <w:spacing w:line="276" w:lineRule="auto"/>
            </w:pPr>
            <w:r>
              <w:t>Campaign behaviour emphasises people, process, and trust abuse.</w:t>
            </w:r>
          </w:p>
        </w:tc>
      </w:tr>
      <w:tr w:rsidR="00B44354" w14:paraId="43AB5ECB" w14:textId="77777777">
        <w:trPr>
          <w:jc w:val="center"/>
        </w:trPr>
        <w:tc>
          <w:tcPr>
            <w:tcW w:w="3264" w:type="dxa"/>
          </w:tcPr>
          <w:p w14:paraId="00000054" w14:textId="77777777" w:rsidR="00B44354" w:rsidRDefault="00915488">
            <w:pPr>
              <w:spacing w:line="276" w:lineRule="auto"/>
            </w:pPr>
            <w:r>
              <w:t>Use of valid accounts</w:t>
            </w:r>
          </w:p>
        </w:tc>
        <w:tc>
          <w:tcPr>
            <w:tcW w:w="3264" w:type="dxa"/>
          </w:tcPr>
          <w:p w14:paraId="00000055" w14:textId="77777777" w:rsidR="00B44354" w:rsidRDefault="00915488">
            <w:pPr>
              <w:spacing w:line="276" w:lineRule="auto"/>
            </w:pPr>
            <w:r>
              <w:t>Valid Accounts, T1078 [8]</w:t>
            </w:r>
          </w:p>
        </w:tc>
        <w:tc>
          <w:tcPr>
            <w:tcW w:w="3264" w:type="dxa"/>
          </w:tcPr>
          <w:p w14:paraId="00000056" w14:textId="77777777" w:rsidR="00B44354" w:rsidRDefault="00915488">
            <w:pPr>
              <w:spacing w:line="276" w:lineRule="auto"/>
            </w:pPr>
            <w:r>
              <w:t xml:space="preserve">Trusted credentials reduce the need </w:t>
            </w:r>
            <w:r>
              <w:t>for noisy exploitation.</w:t>
            </w:r>
          </w:p>
        </w:tc>
      </w:tr>
      <w:tr w:rsidR="00B44354" w14:paraId="20606A50" w14:textId="77777777">
        <w:trPr>
          <w:jc w:val="center"/>
        </w:trPr>
        <w:tc>
          <w:tcPr>
            <w:tcW w:w="3264" w:type="dxa"/>
          </w:tcPr>
          <w:p w14:paraId="00000057" w14:textId="77777777" w:rsidR="00B44354" w:rsidRDefault="00915488">
            <w:pPr>
              <w:spacing w:line="276" w:lineRule="auto"/>
            </w:pPr>
            <w:r>
              <w:t>MFA pressure or approval fatigue</w:t>
            </w:r>
          </w:p>
        </w:tc>
        <w:tc>
          <w:tcPr>
            <w:tcW w:w="3264" w:type="dxa"/>
          </w:tcPr>
          <w:p w14:paraId="00000058" w14:textId="77777777" w:rsidR="00B44354" w:rsidRDefault="00915488">
            <w:pPr>
              <w:spacing w:line="276" w:lineRule="auto"/>
            </w:pPr>
            <w:r>
              <w:t>T1621 [9]</w:t>
            </w:r>
          </w:p>
        </w:tc>
        <w:tc>
          <w:tcPr>
            <w:tcW w:w="3264" w:type="dxa"/>
          </w:tcPr>
          <w:p w14:paraId="00000059" w14:textId="77777777" w:rsidR="00B44354" w:rsidRDefault="00915488">
            <w:pPr>
              <w:spacing w:line="276" w:lineRule="auto"/>
            </w:pPr>
            <w:r>
              <w:t>Repeated authentication requests can coerce user acceptance.</w:t>
            </w:r>
          </w:p>
        </w:tc>
      </w:tr>
      <w:tr w:rsidR="00B44354" w14:paraId="2DDB4D5D" w14:textId="77777777">
        <w:trPr>
          <w:jc w:val="center"/>
        </w:trPr>
        <w:tc>
          <w:tcPr>
            <w:tcW w:w="3264" w:type="dxa"/>
          </w:tcPr>
          <w:p w14:paraId="0000005A" w14:textId="77777777" w:rsidR="00B44354" w:rsidRDefault="00915488">
            <w:pPr>
              <w:spacing w:line="276" w:lineRule="auto"/>
            </w:pPr>
            <w:r>
              <w:t>Active discovery of environment</w:t>
            </w:r>
          </w:p>
        </w:tc>
        <w:tc>
          <w:tcPr>
            <w:tcW w:w="3264" w:type="dxa"/>
          </w:tcPr>
          <w:p w14:paraId="0000005B" w14:textId="77777777" w:rsidR="00B44354" w:rsidRDefault="00915488">
            <w:pPr>
              <w:spacing w:line="276" w:lineRule="auto"/>
            </w:pPr>
            <w:r>
              <w:t>Active Scanning, T1595 [10]</w:t>
            </w:r>
          </w:p>
        </w:tc>
        <w:tc>
          <w:tcPr>
            <w:tcW w:w="3264" w:type="dxa"/>
          </w:tcPr>
          <w:p w14:paraId="0000005C" w14:textId="77777777" w:rsidR="00B44354" w:rsidRDefault="00915488">
            <w:pPr>
              <w:spacing w:line="276" w:lineRule="auto"/>
            </w:pPr>
            <w:r>
              <w:t>Attackers need service and asset visibility before moving further.</w:t>
            </w:r>
          </w:p>
        </w:tc>
      </w:tr>
      <w:tr w:rsidR="00B44354" w14:paraId="5133BB81" w14:textId="77777777">
        <w:trPr>
          <w:jc w:val="center"/>
        </w:trPr>
        <w:tc>
          <w:tcPr>
            <w:tcW w:w="3264" w:type="dxa"/>
          </w:tcPr>
          <w:p w14:paraId="0000005D" w14:textId="77777777" w:rsidR="00B44354" w:rsidRDefault="00915488">
            <w:pPr>
              <w:spacing w:line="276" w:lineRule="auto"/>
            </w:pPr>
            <w:r>
              <w:t>Remote service abuse</w:t>
            </w:r>
          </w:p>
        </w:tc>
        <w:tc>
          <w:tcPr>
            <w:tcW w:w="3264" w:type="dxa"/>
          </w:tcPr>
          <w:p w14:paraId="0000005E" w14:textId="77777777" w:rsidR="00B44354" w:rsidRDefault="00915488">
            <w:pPr>
              <w:spacing w:line="276" w:lineRule="auto"/>
            </w:pPr>
            <w:r>
              <w:t>Exploitation of Remote Services, T1210 [11]</w:t>
            </w:r>
          </w:p>
        </w:tc>
        <w:tc>
          <w:tcPr>
            <w:tcW w:w="3264" w:type="dxa"/>
          </w:tcPr>
          <w:p w14:paraId="0000005F" w14:textId="77777777" w:rsidR="00B44354" w:rsidRDefault="00915488">
            <w:pPr>
              <w:spacing w:line="276" w:lineRule="auto"/>
            </w:pPr>
            <w:r>
              <w:t>Likely where reachable internal systems can be misused after access.</w:t>
            </w:r>
          </w:p>
        </w:tc>
      </w:tr>
      <w:tr w:rsidR="00B44354" w14:paraId="48AD3215" w14:textId="77777777">
        <w:trPr>
          <w:jc w:val="center"/>
        </w:trPr>
        <w:tc>
          <w:tcPr>
            <w:tcW w:w="3264" w:type="dxa"/>
          </w:tcPr>
          <w:p w14:paraId="00000060" w14:textId="77777777" w:rsidR="00B44354" w:rsidRDefault="00915488">
            <w:pPr>
              <w:spacing w:line="276" w:lineRule="auto"/>
            </w:pPr>
            <w:r>
              <w:t>Command execution via trusted tooling</w:t>
            </w:r>
          </w:p>
        </w:tc>
        <w:tc>
          <w:tcPr>
            <w:tcW w:w="3264" w:type="dxa"/>
          </w:tcPr>
          <w:p w14:paraId="00000061" w14:textId="77777777" w:rsidR="00B44354" w:rsidRDefault="00915488">
            <w:pPr>
              <w:spacing w:line="276" w:lineRule="auto"/>
            </w:pPr>
            <w:r>
              <w:t>Command and Scr</w:t>
            </w:r>
            <w:r>
              <w:t>ipting Interpreter, T1059 [12]</w:t>
            </w:r>
          </w:p>
        </w:tc>
        <w:tc>
          <w:tcPr>
            <w:tcW w:w="3264" w:type="dxa"/>
          </w:tcPr>
          <w:p w14:paraId="00000062" w14:textId="77777777" w:rsidR="00B44354" w:rsidRDefault="00915488">
            <w:pPr>
              <w:spacing w:line="276" w:lineRule="auto"/>
            </w:pPr>
            <w:r>
              <w:t>Lets attackers work through legitimate administrative paths.</w:t>
            </w:r>
          </w:p>
        </w:tc>
      </w:tr>
    </w:tbl>
    <w:p w14:paraId="00000063" w14:textId="77777777" w:rsidR="00B44354" w:rsidRDefault="00B44354"/>
    <w:tbl>
      <w:tblPr>
        <w:tblStyle w:val="a1"/>
        <w:tblW w:w="976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55"/>
        <w:gridCol w:w="3015"/>
        <w:gridCol w:w="3495"/>
      </w:tblGrid>
      <w:tr w:rsidR="00B44354" w14:paraId="376730E3" w14:textId="77777777">
        <w:tc>
          <w:tcPr>
            <w:tcW w:w="3255" w:type="dxa"/>
          </w:tcPr>
          <w:p w14:paraId="00000064" w14:textId="77777777" w:rsidR="00B44354" w:rsidRDefault="00915488">
            <w:r>
              <w:t>Initial access via support teams</w:t>
            </w:r>
          </w:p>
        </w:tc>
        <w:tc>
          <w:tcPr>
            <w:tcW w:w="3015" w:type="dxa"/>
          </w:tcPr>
          <w:p w14:paraId="00000065" w14:textId="77777777" w:rsidR="00B44354" w:rsidRDefault="00915488">
            <w:r>
              <w:t>Phishing, T1566</w:t>
            </w:r>
          </w:p>
        </w:tc>
        <w:tc>
          <w:tcPr>
            <w:tcW w:w="3495" w:type="dxa"/>
          </w:tcPr>
          <w:p w14:paraId="00000066" w14:textId="77777777" w:rsidR="00B44354" w:rsidRDefault="00915488">
            <w:r>
              <w:t>Attackers often use SMS or voice phishing directed at help desks to bypass initial boundaries.</w:t>
            </w:r>
          </w:p>
        </w:tc>
      </w:tr>
      <w:tr w:rsidR="00B44354" w14:paraId="0CCB4577" w14:textId="77777777">
        <w:tc>
          <w:tcPr>
            <w:tcW w:w="3255" w:type="dxa"/>
          </w:tcPr>
          <w:p w14:paraId="00000067" w14:textId="77777777" w:rsidR="00B44354" w:rsidRDefault="00915488">
            <w:r>
              <w:t>Weakening host protections</w:t>
            </w:r>
          </w:p>
        </w:tc>
        <w:tc>
          <w:tcPr>
            <w:tcW w:w="3015" w:type="dxa"/>
          </w:tcPr>
          <w:p w14:paraId="00000068" w14:textId="77777777" w:rsidR="00B44354" w:rsidRDefault="00915488">
            <w:r>
              <w:t>Impair Defenses, T1562</w:t>
            </w:r>
          </w:p>
        </w:tc>
        <w:tc>
          <w:tcPr>
            <w:tcW w:w="3495" w:type="dxa"/>
          </w:tcPr>
          <w:p w14:paraId="00000069" w14:textId="77777777" w:rsidR="00B44354" w:rsidRDefault="00915488">
            <w:r>
              <w:t>Attackers disable local firewalls or antivirus to ensure payloads execute without detection.</w:t>
            </w:r>
          </w:p>
        </w:tc>
      </w:tr>
      <w:tr w:rsidR="00B44354" w14:paraId="6D34A744" w14:textId="77777777">
        <w:tc>
          <w:tcPr>
            <w:tcW w:w="3255" w:type="dxa"/>
          </w:tcPr>
          <w:p w14:paraId="0000006A" w14:textId="77777777" w:rsidR="00B44354" w:rsidRDefault="00915488">
            <w:r>
              <w:t>Maintaining persistent access</w:t>
            </w:r>
          </w:p>
        </w:tc>
        <w:tc>
          <w:tcPr>
            <w:tcW w:w="3015" w:type="dxa"/>
          </w:tcPr>
          <w:p w14:paraId="0000006B" w14:textId="77777777" w:rsidR="00B44354" w:rsidRDefault="00915488">
            <w:r>
              <w:t>Account Manipulation, T1098</w:t>
            </w:r>
          </w:p>
        </w:tc>
        <w:tc>
          <w:tcPr>
            <w:tcW w:w="3495" w:type="dxa"/>
          </w:tcPr>
          <w:p w14:paraId="0000006C" w14:textId="77777777" w:rsidR="00B44354" w:rsidRDefault="00915488">
            <w:r>
              <w:t>Modifying MFA device registration ensures attackers re</w:t>
            </w:r>
            <w:r>
              <w:t>tain access even if passwords are reset.</w:t>
            </w:r>
          </w:p>
        </w:tc>
      </w:tr>
      <w:tr w:rsidR="00B44354" w14:paraId="1801CF05" w14:textId="77777777">
        <w:tc>
          <w:tcPr>
            <w:tcW w:w="3255" w:type="dxa"/>
          </w:tcPr>
          <w:p w14:paraId="0000006D" w14:textId="77777777" w:rsidR="00B44354" w:rsidRDefault="00915488">
            <w:r>
              <w:t>Lateral movement across infrastructure</w:t>
            </w:r>
          </w:p>
        </w:tc>
        <w:tc>
          <w:tcPr>
            <w:tcW w:w="3015" w:type="dxa"/>
          </w:tcPr>
          <w:p w14:paraId="0000006E" w14:textId="77777777" w:rsidR="00B44354" w:rsidRDefault="00915488">
            <w:r>
              <w:t>Remote Services, T1021</w:t>
            </w:r>
          </w:p>
        </w:tc>
        <w:tc>
          <w:tcPr>
            <w:tcW w:w="3495" w:type="dxa"/>
          </w:tcPr>
          <w:p w14:paraId="0000006F" w14:textId="77777777" w:rsidR="00B44354" w:rsidRDefault="00915488">
            <w:r>
              <w:t>Using protocols like SMB allows attackers to move from an initial foothold to internal legacy servers.</w:t>
            </w:r>
          </w:p>
        </w:tc>
      </w:tr>
      <w:tr w:rsidR="00B44354" w14:paraId="186FBB46" w14:textId="77777777">
        <w:tc>
          <w:tcPr>
            <w:tcW w:w="3255" w:type="dxa"/>
          </w:tcPr>
          <w:p w14:paraId="00000070" w14:textId="77777777" w:rsidR="00B44354" w:rsidRDefault="00915488">
            <w:r>
              <w:t>Halting retail operations</w:t>
            </w:r>
          </w:p>
        </w:tc>
        <w:tc>
          <w:tcPr>
            <w:tcW w:w="3015" w:type="dxa"/>
          </w:tcPr>
          <w:p w14:paraId="00000071" w14:textId="77777777" w:rsidR="00B44354" w:rsidRDefault="00915488">
            <w:r>
              <w:t>Service Stop, T1489</w:t>
            </w:r>
          </w:p>
        </w:tc>
        <w:tc>
          <w:tcPr>
            <w:tcW w:w="3495" w:type="dxa"/>
          </w:tcPr>
          <w:p w14:paraId="00000072" w14:textId="77777777" w:rsidR="00B44354" w:rsidRDefault="00915488">
            <w:r>
              <w:t>Ha</w:t>
            </w:r>
            <w:r>
              <w:t>lting critical internal databases or inventory services creates immediate operational and financial disruption.</w:t>
            </w:r>
          </w:p>
        </w:tc>
      </w:tr>
    </w:tbl>
    <w:p w14:paraId="00000073" w14:textId="77777777" w:rsidR="00B44354" w:rsidRDefault="00B44354"/>
    <w:p w14:paraId="00000074" w14:textId="77777777" w:rsidR="00B44354" w:rsidRDefault="00915488">
      <w:pPr>
        <w:pStyle w:val="Heading2"/>
        <w:spacing w:before="120" w:after="120"/>
      </w:pPr>
      <w:r>
        <w:t>2.3 Root causes, resilience issues, and sector implications</w:t>
      </w:r>
    </w:p>
    <w:p w14:paraId="00000075" w14:textId="77777777" w:rsidR="00B44354" w:rsidRDefault="00915488">
      <w:pPr>
        <w:spacing w:after="120"/>
      </w:pPr>
      <w:r>
        <w:rPr>
          <w:sz w:val="23"/>
          <w:szCs w:val="23"/>
        </w:rPr>
        <w:t>Several weak controls may have enabled this damage to be greater. Firstly, processes for identity proofing and supporting identities were very important. If attackers can trick staff or help desks into resetting passwords, or overrunning identity verificat</w:t>
      </w:r>
      <w:r>
        <w:rPr>
          <w:sz w:val="23"/>
          <w:szCs w:val="23"/>
        </w:rPr>
        <w:t>ion mechanisms, then organizations have to trust its organisational actors. Secondly, controls on privileged access may have been inadequate. If attackers move rapidly to high levels of operational privilege then containment may have to mean almost total s</w:t>
      </w:r>
      <w:r>
        <w:rPr>
          <w:sz w:val="23"/>
          <w:szCs w:val="23"/>
        </w:rPr>
        <w:t>ystem shutdown.</w:t>
      </w:r>
    </w:p>
    <w:p w14:paraId="00000076" w14:textId="77777777" w:rsidR="00B44354" w:rsidRDefault="00915488">
      <w:pPr>
        <w:spacing w:after="120"/>
      </w:pPr>
      <w:r>
        <w:rPr>
          <w:sz w:val="23"/>
          <w:szCs w:val="23"/>
        </w:rPr>
        <w:t>Design of resilience is just as relevant as prevention. The NCSC pointed out it can be lengthy and costly to recover from these sorts of attacks. Clean rebuild paths, segmented infrastructure, separate management, and tested degraded operations are therefo</w:t>
      </w:r>
      <w:r>
        <w:rPr>
          <w:sz w:val="23"/>
          <w:szCs w:val="23"/>
        </w:rPr>
        <w:t>re crucial. Third party tools constitute an additional risk if supplier access and remote support operations are not carefully managed.</w:t>
      </w:r>
    </w:p>
    <w:p w14:paraId="00000077" w14:textId="77777777" w:rsidR="00B44354" w:rsidRDefault="00915488">
      <w:pPr>
        <w:spacing w:after="120"/>
        <w:rPr>
          <w:sz w:val="23"/>
          <w:szCs w:val="23"/>
        </w:rPr>
      </w:pPr>
      <w:r>
        <w:rPr>
          <w:sz w:val="23"/>
          <w:szCs w:val="23"/>
        </w:rPr>
        <w:t>These kinds of incidents should serve as a lesson to the rest of the retail sector. Retailers are popular targets becaus</w:t>
      </w:r>
      <w:r>
        <w:rPr>
          <w:sz w:val="23"/>
          <w:szCs w:val="23"/>
        </w:rPr>
        <w:t>e they are large, spread out, dependent on a network of suppliers, subject to seasonal pressure and intolerant of any interference. Heavy emphasis on perimeter security cannot be all that’s needed if a retailer is to recover and rebuild a trustworthy admin</w:t>
      </w:r>
      <w:r>
        <w:rPr>
          <w:sz w:val="23"/>
          <w:szCs w:val="23"/>
        </w:rPr>
        <w:t>istration context and its confidence in those establishing identities.</w:t>
      </w:r>
    </w:p>
    <w:p w14:paraId="00000078" w14:textId="77777777" w:rsidR="00B44354" w:rsidRDefault="00915488">
      <w:pPr>
        <w:spacing w:after="120"/>
        <w:rPr>
          <w:sz w:val="23"/>
          <w:szCs w:val="23"/>
        </w:rPr>
      </w:pPr>
      <w:r>
        <w:rPr>
          <w:sz w:val="23"/>
          <w:szCs w:val="23"/>
        </w:rPr>
        <w:t>Therefore the NCSC responded to these incidents as a warning to the whole industry [4], [5], not just individual businesses. Other retailers using other brands or cloud service provider</w:t>
      </w:r>
      <w:r>
        <w:rPr>
          <w:sz w:val="23"/>
          <w:szCs w:val="23"/>
        </w:rPr>
        <w:t>s should not believe they are safe. Each business model employs a similar trust model and outsourced support strategy, work assumption and recovery methodology. Just like in the examples above, this way of working may be dangerous.</w:t>
      </w:r>
    </w:p>
    <w:p w14:paraId="00000079" w14:textId="77777777" w:rsidR="00B44354" w:rsidRDefault="00B44354">
      <w:pPr>
        <w:spacing w:after="120"/>
        <w:rPr>
          <w:sz w:val="23"/>
          <w:szCs w:val="23"/>
        </w:rPr>
      </w:pPr>
    </w:p>
    <w:p w14:paraId="0000007A" w14:textId="77777777" w:rsidR="00B44354" w:rsidRDefault="00915488">
      <w:pPr>
        <w:pStyle w:val="Heading2"/>
        <w:spacing w:before="120" w:after="120"/>
      </w:pPr>
      <w:r>
        <w:t>2.4 Response and recomm</w:t>
      </w:r>
      <w:r>
        <w:t>endations</w:t>
      </w:r>
    </w:p>
    <w:p w14:paraId="0000007B" w14:textId="77777777" w:rsidR="00B44354" w:rsidRDefault="00915488">
      <w:pPr>
        <w:spacing w:after="120"/>
      </w:pPr>
      <w:r>
        <w:rPr>
          <w:sz w:val="23"/>
          <w:szCs w:val="23"/>
        </w:rPr>
        <w:t>It was also evident that appropriate defensive counter-measures had been taken. Co-op restricted systems to protect the business before easing back into normal activities [2], [3]. Although disruptive, this is potentially the right move where def</w:t>
      </w:r>
      <w:r>
        <w:rPr>
          <w:sz w:val="23"/>
          <w:szCs w:val="23"/>
        </w:rPr>
        <w:t>enders cannot entirely rely upon identity systems. The NCSC's public participation also shows how participants were seen to be part of a larger sector effort, involving sharing intelligence,driving coordination and providing public instruction [4], [5].</w:t>
      </w:r>
    </w:p>
    <w:p w14:paraId="0000007C" w14:textId="77777777" w:rsidR="00B44354" w:rsidRDefault="00915488">
      <w:pPr>
        <w:spacing w:after="120"/>
        <w:rPr>
          <w:sz w:val="23"/>
          <w:szCs w:val="23"/>
        </w:rPr>
      </w:pPr>
      <w:r>
        <w:rPr>
          <w:sz w:val="23"/>
          <w:szCs w:val="23"/>
        </w:rPr>
        <w:t>Co</w:t>
      </w:r>
      <w:r>
        <w:rPr>
          <w:sz w:val="23"/>
          <w:szCs w:val="23"/>
        </w:rPr>
        <w:t>ncurrently, the incidents reveal the inherent limitations in reactive containment. If minimising harm is best served by an extensive limitation of operational capacity, internal containment mechanisms may have proved unviable or so time-consuming to deacti</w:t>
      </w:r>
      <w:r>
        <w:rPr>
          <w:sz w:val="23"/>
          <w:szCs w:val="23"/>
        </w:rPr>
        <w:t>vate. The lesson is not just to react more quickly, but to be ready for attacks upon the organisation's trust mechanisms.</w:t>
      </w:r>
    </w:p>
    <w:p w14:paraId="0000007D" w14:textId="77777777" w:rsidR="00B44354" w:rsidRDefault="00915488">
      <w:pPr>
        <w:spacing w:after="120"/>
      </w:pPr>
      <w:r>
        <w:rPr>
          <w:sz w:val="23"/>
          <w:szCs w:val="23"/>
        </w:rPr>
        <w:t>Five priorities emerge for such similar organisations. First, service-desk and ID recovery should be increased human verification, out</w:t>
      </w:r>
      <w:r>
        <w:rPr>
          <w:sz w:val="23"/>
          <w:szCs w:val="23"/>
        </w:rPr>
        <w:t>-of-band approval and anti-impersonation controls as attackers abuse many helpful support teams. Second, privileged access should be assumed minimal, time-limited, and subject to review. Third, recovery planning needs Trust-In-Depth flows first, rather tha</w:t>
      </w:r>
      <w:r>
        <w:rPr>
          <w:sz w:val="23"/>
          <w:szCs w:val="23"/>
        </w:rPr>
        <w:t>n network topologies alone, so identity services, backups, crisis comms, and rebuild tools are not sharing systems with irregular business. Fourth, continuity drills need to assume ID compromise rather than just malware infection. Fifth, joint sector colla</w:t>
      </w:r>
      <w:r>
        <w:rPr>
          <w:sz w:val="23"/>
          <w:szCs w:val="23"/>
        </w:rPr>
        <w:t>boration needs to treated as part of security capability, just as much as PR, as Coop's later work with The Hacking Games [17] shows how post-incident comms can both support remediation and wider prevention. The key controls, then, are those which can imme</w:t>
      </w:r>
      <w:r>
        <w:rPr>
          <w:sz w:val="23"/>
          <w:szCs w:val="23"/>
        </w:rPr>
        <w:t>diately preserve trust, lose privileges quickly, and accelerate reconstitution, when perimeter control fails.</w:t>
      </w:r>
    </w:p>
    <w:p w14:paraId="0000007E" w14:textId="77777777" w:rsidR="00B44354" w:rsidRDefault="00915488">
      <w:pPr>
        <w:pStyle w:val="Heading1"/>
      </w:pPr>
      <w:bookmarkStart w:id="1" w:name="_heading=h.vitx05bs3il" w:colFirst="0" w:colLast="0"/>
      <w:bookmarkEnd w:id="1"/>
      <w:r>
        <w:br w:type="page"/>
      </w:r>
    </w:p>
    <w:p w14:paraId="0000007F" w14:textId="77777777" w:rsidR="00B44354" w:rsidRDefault="00915488">
      <w:pPr>
        <w:pStyle w:val="Heading1"/>
      </w:pPr>
      <w:bookmarkStart w:id="2" w:name="_heading=h.opz9sl7ekid6" w:colFirst="0" w:colLast="0"/>
      <w:bookmarkEnd w:id="2"/>
      <w:r>
        <w:t>3. Executive Brief: ABCD Ltd Penetration Test</w:t>
      </w:r>
    </w:p>
    <w:p w14:paraId="00000080" w14:textId="77777777" w:rsidR="00B44354" w:rsidRDefault="00B44354"/>
    <w:p w14:paraId="00000081" w14:textId="77777777" w:rsidR="00B44354" w:rsidRDefault="00915488">
      <w:pPr>
        <w:spacing w:after="120"/>
        <w:rPr>
          <w:sz w:val="28"/>
          <w:szCs w:val="28"/>
        </w:rPr>
      </w:pPr>
      <w:r>
        <w:rPr>
          <w:b/>
          <w:bCs/>
          <w:sz w:val="28"/>
          <w:szCs w:val="28"/>
        </w:rPr>
        <w:t>Overview and Current Posture</w:t>
      </w:r>
    </w:p>
    <w:p w14:paraId="00000082" w14:textId="77777777" w:rsidR="00B44354" w:rsidRDefault="00915488">
      <w:pPr>
        <w:spacing w:after="120"/>
      </w:pPr>
      <w:r>
        <w:rPr>
          <w:sz w:val="23"/>
          <w:szCs w:val="23"/>
        </w:rPr>
        <w:t xml:space="preserve">This red team engagement was commissioned by ABCD Ltd to assess the </w:t>
      </w:r>
      <w:r>
        <w:rPr>
          <w:sz w:val="23"/>
          <w:szCs w:val="23"/>
        </w:rPr>
        <w:t>resilience of its web-facing and internal corporate systems. The analysis demonstrated that the infrastructure has major vulnerabilities that enable an external attacker to compromise the perimeter, escalate privileges, and have complete administrative acc</w:t>
      </w:r>
      <w:r>
        <w:rPr>
          <w:sz w:val="23"/>
          <w:szCs w:val="23"/>
        </w:rPr>
        <w:t>ess to internal networks. At this point, the defensive position taken by ABCD Ltd is based on an old model of trust and this has exposed the business to a high risk of being disrupted in its operations and having its data stolen.</w:t>
      </w:r>
    </w:p>
    <w:p w14:paraId="00000083" w14:textId="77777777" w:rsidR="00B44354" w:rsidRDefault="00915488">
      <w:pPr>
        <w:spacing w:after="120"/>
        <w:rPr>
          <w:sz w:val="28"/>
          <w:szCs w:val="28"/>
        </w:rPr>
      </w:pPr>
      <w:r>
        <w:rPr>
          <w:b/>
          <w:bCs/>
          <w:sz w:val="28"/>
          <w:szCs w:val="28"/>
        </w:rPr>
        <w:t>Business Risk and Impact</w:t>
      </w:r>
    </w:p>
    <w:p w14:paraId="00000084" w14:textId="77777777" w:rsidR="00B44354" w:rsidRDefault="00915488">
      <w:pPr>
        <w:spacing w:after="120"/>
      </w:pPr>
      <w:r>
        <w:rPr>
          <w:sz w:val="23"/>
          <w:szCs w:val="23"/>
        </w:rPr>
        <w:t>T</w:t>
      </w:r>
      <w:r>
        <w:rPr>
          <w:sz w:val="23"/>
          <w:szCs w:val="23"/>
        </w:rPr>
        <w:t>here were three different attack paths that were effectively used in the engagement. An application weakness enabled instant execution of system-level commands, which violated the boundary between the interfaces accessible to the public and internal server</w:t>
      </w:r>
      <w:r>
        <w:rPr>
          <w:sz w:val="23"/>
          <w:szCs w:val="23"/>
        </w:rPr>
        <w:t>s. Moreover, legacy systems within the organization were hacked, namely, an open Linux service and a non-supported Windows 7 host. The Windows host exploitation led to complete NT AUTHORITY/SYSTEM privileges and credential hashes were extracted. In a real-</w:t>
      </w:r>
      <w:r>
        <w:rPr>
          <w:sz w:val="23"/>
          <w:szCs w:val="23"/>
        </w:rPr>
        <w:t>world situation, this level of access could allow a threat actor to deploy ransomware, steal sensitive customer data, and disrupt the core retail operations of ABCD Ltd.</w:t>
      </w:r>
      <w:r>
        <w:t xml:space="preserve"> </w:t>
      </w:r>
    </w:p>
    <w:p w14:paraId="00000085" w14:textId="77777777" w:rsidR="00B44354" w:rsidRDefault="00915488">
      <w:pPr>
        <w:spacing w:after="120"/>
        <w:rPr>
          <w:sz w:val="23"/>
          <w:szCs w:val="23"/>
        </w:rPr>
      </w:pPr>
      <w:r>
        <w:rPr>
          <w:sz w:val="23"/>
          <w:szCs w:val="23"/>
        </w:rPr>
        <w:t>ABCD Ltd should adopt a strategy that assumes perimeter breaches will happen and focu</w:t>
      </w:r>
      <w:r>
        <w:rPr>
          <w:sz w:val="23"/>
          <w:szCs w:val="23"/>
        </w:rPr>
        <w:t>ses on limiting internal movement to protect the business. The Board should prioritise the following investments:</w:t>
      </w:r>
    </w:p>
    <w:p w14:paraId="00000086" w14:textId="77777777" w:rsidR="00B44354" w:rsidRDefault="00915488">
      <w:pPr>
        <w:spacing w:after="120"/>
        <w:ind w:left="720"/>
        <w:rPr>
          <w:sz w:val="23"/>
          <w:szCs w:val="23"/>
        </w:rPr>
      </w:pPr>
      <w:r>
        <w:rPr>
          <w:sz w:val="23"/>
          <w:szCs w:val="23"/>
        </w:rPr>
        <w:t xml:space="preserve">1. Decommission or isolate legacy systems. </w:t>
      </w:r>
    </w:p>
    <w:p w14:paraId="00000087" w14:textId="77777777" w:rsidR="00B44354" w:rsidRDefault="00915488">
      <w:pPr>
        <w:spacing w:after="120"/>
        <w:ind w:left="720"/>
        <w:rPr>
          <w:sz w:val="23"/>
          <w:szCs w:val="23"/>
        </w:rPr>
      </w:pPr>
      <w:r>
        <w:rPr>
          <w:sz w:val="23"/>
          <w:szCs w:val="23"/>
        </w:rPr>
        <w:t xml:space="preserve">2. Secure web interfaces. </w:t>
      </w:r>
    </w:p>
    <w:p w14:paraId="00000088" w14:textId="77777777" w:rsidR="00B44354" w:rsidRDefault="00915488">
      <w:pPr>
        <w:spacing w:after="120"/>
        <w:ind w:left="720"/>
      </w:pPr>
      <w:r>
        <w:rPr>
          <w:sz w:val="23"/>
          <w:szCs w:val="23"/>
        </w:rPr>
        <w:t>3. Strengthen identity controls.</w:t>
      </w:r>
    </w:p>
    <w:p w14:paraId="00000089" w14:textId="77777777" w:rsidR="00B44354" w:rsidRDefault="00915488">
      <w:pPr>
        <w:pStyle w:val="Heading1"/>
        <w:spacing w:before="120" w:after="120"/>
        <w:rPr>
          <w:sz w:val="24"/>
          <w:szCs w:val="24"/>
        </w:rPr>
      </w:pPr>
      <w:bookmarkStart w:id="3" w:name="_heading=h.z6t75294r5t6" w:colFirst="0" w:colLast="0"/>
      <w:bookmarkEnd w:id="3"/>
      <w:r>
        <w:br w:type="page"/>
      </w:r>
    </w:p>
    <w:p w14:paraId="0000008A" w14:textId="77777777" w:rsidR="00B44354" w:rsidRDefault="00915488">
      <w:pPr>
        <w:pStyle w:val="Heading1"/>
        <w:spacing w:before="120" w:after="120"/>
      </w:pPr>
      <w:bookmarkStart w:id="4" w:name="_heading=h.2nim9g72ngjl" w:colFirst="0" w:colLast="0"/>
      <w:bookmarkEnd w:id="4"/>
      <w:r>
        <w:t>4. Task 2 Technical Report: Authoris</w:t>
      </w:r>
      <w:r>
        <w:t>ed Red-Team Exercise in an Isolated Lab</w:t>
      </w:r>
    </w:p>
    <w:p w14:paraId="0000008B" w14:textId="77777777" w:rsidR="00B44354" w:rsidRDefault="00915488">
      <w:pPr>
        <w:pStyle w:val="Heading2"/>
        <w:spacing w:before="120" w:after="120"/>
      </w:pPr>
      <w:bookmarkStart w:id="5" w:name="_heading=h.5r4szang542g" w:colFirst="0" w:colLast="0"/>
      <w:bookmarkEnd w:id="5"/>
      <w:r>
        <w:t>4.1 Scope, ethics, and environment</w:t>
      </w:r>
    </w:p>
    <w:p w14:paraId="0000008C" w14:textId="77777777" w:rsidR="00B44354" w:rsidRDefault="00915488">
      <w:pPr>
        <w:spacing w:after="120"/>
        <w:rPr>
          <w:sz w:val="23"/>
          <w:szCs w:val="23"/>
        </w:rPr>
      </w:pPr>
      <w:r>
        <w:rPr>
          <w:sz w:val="23"/>
          <w:szCs w:val="23"/>
        </w:rPr>
        <w:t>Task 2 was designed based on a contracted, 'red-team' penetration on behalf of ABCD Ltd, a mid-sized business based in the United Kingdom which ran web-facing retail services and co</w:t>
      </w:r>
      <w:r>
        <w:rPr>
          <w:sz w:val="23"/>
          <w:szCs w:val="23"/>
        </w:rPr>
        <w:t>rporate information systems. The objective mainly was to test those systems for 'detection, prevention and response' to typical and more complex threats. The task has a structured attack workflow, validated vulnerable points in a hybrid environment, gather</w:t>
      </w:r>
      <w:r>
        <w:rPr>
          <w:sz w:val="23"/>
          <w:szCs w:val="23"/>
        </w:rPr>
        <w:t>ed probes to support fact-based business relevant defensive reporting, performing all duties in a dedicated VirtualBox lab under explicit Rules of Engagement.</w:t>
      </w:r>
    </w:p>
    <w:p w14:paraId="0000008D" w14:textId="77777777" w:rsidR="00B44354" w:rsidRDefault="00B44354">
      <w:pPr>
        <w:spacing w:after="120"/>
        <w:rPr>
          <w:sz w:val="23"/>
          <w:szCs w:val="23"/>
        </w:rPr>
      </w:pPr>
    </w:p>
    <w:p w14:paraId="0000008E" w14:textId="77777777" w:rsidR="00B44354" w:rsidRDefault="00915488">
      <w:pPr>
        <w:spacing w:after="40"/>
        <w:jc w:val="center"/>
      </w:pPr>
      <w:r>
        <w:rPr>
          <w:noProof/>
        </w:rPr>
        <w:drawing>
          <wp:inline distT="114300" distB="114300" distL="114300" distR="114300">
            <wp:extent cx="6232019" cy="4499729"/>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6232019" cy="4499729"/>
                    </a:xfrm>
                    <a:prstGeom prst="rect">
                      <a:avLst/>
                    </a:prstGeom>
                    <a:ln/>
                  </pic:spPr>
                </pic:pic>
              </a:graphicData>
            </a:graphic>
          </wp:inline>
        </w:drawing>
      </w:r>
    </w:p>
    <w:p w14:paraId="0000008F" w14:textId="77777777" w:rsidR="00B44354" w:rsidRDefault="00915488">
      <w:pPr>
        <w:spacing w:after="160"/>
        <w:jc w:val="center"/>
      </w:pPr>
      <w:r>
        <w:rPr>
          <w:i/>
          <w:iCs/>
        </w:rPr>
        <w:t>Figure 3. Authorised red-team workflow used in Task 2.</w:t>
      </w:r>
    </w:p>
    <w:p w14:paraId="00000090" w14:textId="77777777" w:rsidR="00B44354" w:rsidRDefault="00915488">
      <w:pPr>
        <w:spacing w:after="40"/>
        <w:jc w:val="center"/>
      </w:pPr>
      <w:r>
        <w:rPr>
          <w:noProof/>
        </w:rPr>
        <w:drawing>
          <wp:inline distT="114300" distB="114300" distL="114300" distR="114300">
            <wp:extent cx="5523548" cy="3425784"/>
            <wp:effectExtent l="0" t="0" r="0" b="0"/>
            <wp:docPr id="9"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1"/>
                    <a:srcRect/>
                    <a:stretch>
                      <a:fillRect/>
                    </a:stretch>
                  </pic:blipFill>
                  <pic:spPr>
                    <a:xfrm>
                      <a:off x="0" y="0"/>
                      <a:ext cx="5523548" cy="3425784"/>
                    </a:xfrm>
                    <a:prstGeom prst="rect">
                      <a:avLst/>
                    </a:prstGeom>
                    <a:ln/>
                  </pic:spPr>
                </pic:pic>
              </a:graphicData>
            </a:graphic>
          </wp:inline>
        </w:drawing>
      </w:r>
    </w:p>
    <w:p w14:paraId="00000091" w14:textId="77777777" w:rsidR="00B44354" w:rsidRDefault="00915488">
      <w:pPr>
        <w:spacing w:after="160"/>
        <w:jc w:val="center"/>
      </w:pPr>
      <w:r>
        <w:rPr>
          <w:i/>
          <w:iCs/>
        </w:rPr>
        <w:t>Figure 4. Isolated VirtualBox lab topology used for the exercise.</w:t>
      </w:r>
    </w:p>
    <w:p w14:paraId="00000092" w14:textId="77777777" w:rsidR="00B44354" w:rsidRDefault="00915488">
      <w:pPr>
        <w:numPr>
          <w:ilvl w:val="0"/>
          <w:numId w:val="2"/>
        </w:numPr>
        <w:pBdr>
          <w:top w:val="nil"/>
          <w:left w:val="nil"/>
          <w:bottom w:val="nil"/>
          <w:right w:val="nil"/>
          <w:between w:val="nil"/>
        </w:pBdr>
        <w:spacing w:after="0"/>
      </w:pPr>
      <w:r>
        <w:rPr>
          <w:color w:val="000000"/>
        </w:rPr>
        <w:t>Authorised targets only within the 192.168.56.0/24 host-only network.</w:t>
      </w:r>
    </w:p>
    <w:p w14:paraId="00000093" w14:textId="77777777" w:rsidR="00B44354" w:rsidRDefault="00915488">
      <w:pPr>
        <w:numPr>
          <w:ilvl w:val="0"/>
          <w:numId w:val="2"/>
        </w:numPr>
        <w:pBdr>
          <w:top w:val="nil"/>
          <w:left w:val="nil"/>
          <w:bottom w:val="nil"/>
          <w:right w:val="nil"/>
          <w:between w:val="nil"/>
        </w:pBdr>
        <w:spacing w:after="0"/>
      </w:pPr>
      <w:r>
        <w:rPr>
          <w:color w:val="000000"/>
        </w:rPr>
        <w:t>No persistence or activity beyond the training lab.</w:t>
      </w:r>
    </w:p>
    <w:p w14:paraId="00000094" w14:textId="77777777" w:rsidR="00B44354" w:rsidRDefault="00915488">
      <w:pPr>
        <w:numPr>
          <w:ilvl w:val="0"/>
          <w:numId w:val="2"/>
        </w:numPr>
        <w:pBdr>
          <w:top w:val="nil"/>
          <w:left w:val="nil"/>
          <w:bottom w:val="nil"/>
          <w:right w:val="nil"/>
          <w:between w:val="nil"/>
        </w:pBdr>
        <w:spacing w:after="0"/>
      </w:pPr>
      <w:r>
        <w:rPr>
          <w:color w:val="000000"/>
        </w:rPr>
        <w:t>Evidence ca</w:t>
      </w:r>
      <w:r>
        <w:rPr>
          <w:color w:val="000000"/>
        </w:rPr>
        <w:t>ptured at each step to support later reporting.</w:t>
      </w:r>
    </w:p>
    <w:p w14:paraId="00000095" w14:textId="77777777" w:rsidR="00B44354" w:rsidRDefault="00915488">
      <w:pPr>
        <w:numPr>
          <w:ilvl w:val="0"/>
          <w:numId w:val="2"/>
        </w:numPr>
        <w:pBdr>
          <w:top w:val="nil"/>
          <w:left w:val="nil"/>
          <w:bottom w:val="nil"/>
          <w:right w:val="nil"/>
          <w:between w:val="nil"/>
        </w:pBdr>
        <w:spacing w:after="60"/>
      </w:pPr>
      <w:r>
        <w:rPr>
          <w:color w:val="000000"/>
        </w:rPr>
        <w:t>Focus placed on exploit validation and defensive lessons.</w:t>
      </w:r>
    </w:p>
    <w:p w14:paraId="00000096" w14:textId="77777777" w:rsidR="00B44354" w:rsidRDefault="00B44354">
      <w:pPr>
        <w:pBdr>
          <w:top w:val="nil"/>
          <w:left w:val="nil"/>
          <w:bottom w:val="nil"/>
          <w:right w:val="nil"/>
          <w:between w:val="nil"/>
        </w:pBdr>
        <w:spacing w:after="60"/>
      </w:pPr>
    </w:p>
    <w:tbl>
      <w:tblPr>
        <w:tblStyle w:val="a2"/>
        <w:tblW w:w="978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10"/>
        <w:gridCol w:w="2565"/>
        <w:gridCol w:w="1860"/>
        <w:gridCol w:w="3345"/>
      </w:tblGrid>
      <w:tr w:rsidR="00B44354" w14:paraId="117038B6" w14:textId="77777777">
        <w:trPr>
          <w:jc w:val="center"/>
        </w:trPr>
        <w:tc>
          <w:tcPr>
            <w:tcW w:w="2010" w:type="dxa"/>
          </w:tcPr>
          <w:p w14:paraId="00000097" w14:textId="77777777" w:rsidR="00B44354" w:rsidRDefault="00915488">
            <w:pPr>
              <w:spacing w:line="276" w:lineRule="auto"/>
            </w:pPr>
            <w:r>
              <w:rPr>
                <w:b/>
                <w:bCs/>
              </w:rPr>
              <w:t>Lab asset</w:t>
            </w:r>
          </w:p>
        </w:tc>
        <w:tc>
          <w:tcPr>
            <w:tcW w:w="2565" w:type="dxa"/>
          </w:tcPr>
          <w:p w14:paraId="00000098" w14:textId="77777777" w:rsidR="00B44354" w:rsidRDefault="00915488">
            <w:pPr>
              <w:spacing w:line="276" w:lineRule="auto"/>
            </w:pPr>
            <w:r>
              <w:rPr>
                <w:b/>
                <w:bCs/>
              </w:rPr>
              <w:t>Role</w:t>
            </w:r>
          </w:p>
        </w:tc>
        <w:tc>
          <w:tcPr>
            <w:tcW w:w="1860" w:type="dxa"/>
          </w:tcPr>
          <w:p w14:paraId="00000099" w14:textId="77777777" w:rsidR="00B44354" w:rsidRDefault="00915488">
            <w:pPr>
              <w:spacing w:line="276" w:lineRule="auto"/>
            </w:pPr>
            <w:r>
              <w:rPr>
                <w:b/>
                <w:bCs/>
              </w:rPr>
              <w:t>IP / context</w:t>
            </w:r>
          </w:p>
        </w:tc>
        <w:tc>
          <w:tcPr>
            <w:tcW w:w="3345" w:type="dxa"/>
          </w:tcPr>
          <w:p w14:paraId="0000009A" w14:textId="77777777" w:rsidR="00B44354" w:rsidRDefault="00915488">
            <w:pPr>
              <w:spacing w:line="276" w:lineRule="auto"/>
            </w:pPr>
            <w:r>
              <w:rPr>
                <w:b/>
                <w:bCs/>
              </w:rPr>
              <w:t>Purpose in exercise</w:t>
            </w:r>
          </w:p>
        </w:tc>
      </w:tr>
      <w:tr w:rsidR="00B44354" w14:paraId="193C4E26" w14:textId="77777777">
        <w:trPr>
          <w:jc w:val="center"/>
        </w:trPr>
        <w:tc>
          <w:tcPr>
            <w:tcW w:w="2010" w:type="dxa"/>
          </w:tcPr>
          <w:p w14:paraId="0000009B" w14:textId="77777777" w:rsidR="00B44354" w:rsidRDefault="00915488">
            <w:pPr>
              <w:spacing w:line="276" w:lineRule="auto"/>
            </w:pPr>
            <w:r>
              <w:t>Kali Linux</w:t>
            </w:r>
          </w:p>
        </w:tc>
        <w:tc>
          <w:tcPr>
            <w:tcW w:w="2565" w:type="dxa"/>
          </w:tcPr>
          <w:p w14:paraId="0000009C" w14:textId="77777777" w:rsidR="00B44354" w:rsidRDefault="00915488">
            <w:pPr>
              <w:spacing w:line="276" w:lineRule="auto"/>
            </w:pPr>
            <w:r>
              <w:t>Attacker host</w:t>
            </w:r>
          </w:p>
        </w:tc>
        <w:tc>
          <w:tcPr>
            <w:tcW w:w="1860" w:type="dxa"/>
          </w:tcPr>
          <w:p w14:paraId="0000009D" w14:textId="77777777" w:rsidR="00B44354" w:rsidRDefault="00915488">
            <w:pPr>
              <w:spacing w:line="276" w:lineRule="auto"/>
            </w:pPr>
            <w:r>
              <w:t>192.168.56.103</w:t>
            </w:r>
          </w:p>
        </w:tc>
        <w:tc>
          <w:tcPr>
            <w:tcW w:w="3345" w:type="dxa"/>
          </w:tcPr>
          <w:p w14:paraId="0000009E" w14:textId="77777777" w:rsidR="00B44354" w:rsidRDefault="00915488">
            <w:pPr>
              <w:spacing w:line="276" w:lineRule="auto"/>
            </w:pPr>
            <w:r>
              <w:t>Reconnaissance, scanning, and exploit execution.</w:t>
            </w:r>
          </w:p>
        </w:tc>
      </w:tr>
      <w:tr w:rsidR="00B44354" w14:paraId="398ECBD7" w14:textId="77777777">
        <w:trPr>
          <w:jc w:val="center"/>
        </w:trPr>
        <w:tc>
          <w:tcPr>
            <w:tcW w:w="2010" w:type="dxa"/>
          </w:tcPr>
          <w:p w14:paraId="0000009F" w14:textId="77777777" w:rsidR="00B44354" w:rsidRDefault="00915488">
            <w:pPr>
              <w:spacing w:line="276" w:lineRule="auto"/>
            </w:pPr>
            <w:r>
              <w:t>OWASP / DVWA</w:t>
            </w:r>
          </w:p>
        </w:tc>
        <w:tc>
          <w:tcPr>
            <w:tcW w:w="2565" w:type="dxa"/>
          </w:tcPr>
          <w:p w14:paraId="000000A0" w14:textId="77777777" w:rsidR="00B44354" w:rsidRDefault="00915488">
            <w:pPr>
              <w:spacing w:line="276" w:lineRule="auto"/>
            </w:pPr>
            <w:r>
              <w:t>Web target</w:t>
            </w:r>
          </w:p>
        </w:tc>
        <w:tc>
          <w:tcPr>
            <w:tcW w:w="1860" w:type="dxa"/>
          </w:tcPr>
          <w:p w14:paraId="000000A1" w14:textId="77777777" w:rsidR="00B44354" w:rsidRDefault="00915488">
            <w:pPr>
              <w:spacing w:line="276" w:lineRule="auto"/>
            </w:pPr>
            <w:r>
              <w:t>192.168.56.101</w:t>
            </w:r>
          </w:p>
        </w:tc>
        <w:tc>
          <w:tcPr>
            <w:tcW w:w="3345" w:type="dxa"/>
          </w:tcPr>
          <w:p w14:paraId="000000A2" w14:textId="77777777" w:rsidR="00B44354" w:rsidRDefault="00915488">
            <w:pPr>
              <w:spacing w:line="276" w:lineRule="auto"/>
            </w:pPr>
            <w:r>
              <w:t>Application-layer testing and command injection proof.</w:t>
            </w:r>
          </w:p>
        </w:tc>
      </w:tr>
      <w:tr w:rsidR="00B44354" w14:paraId="362ECE3F" w14:textId="77777777">
        <w:trPr>
          <w:jc w:val="center"/>
        </w:trPr>
        <w:tc>
          <w:tcPr>
            <w:tcW w:w="2010" w:type="dxa"/>
          </w:tcPr>
          <w:p w14:paraId="000000A3" w14:textId="77777777" w:rsidR="00B44354" w:rsidRDefault="00915488">
            <w:pPr>
              <w:spacing w:line="276" w:lineRule="auto"/>
            </w:pPr>
            <w:r>
              <w:t>Metasploitable</w:t>
            </w:r>
          </w:p>
        </w:tc>
        <w:tc>
          <w:tcPr>
            <w:tcW w:w="2565" w:type="dxa"/>
          </w:tcPr>
          <w:p w14:paraId="000000A4" w14:textId="77777777" w:rsidR="00B44354" w:rsidRDefault="00915488">
            <w:pPr>
              <w:spacing w:line="276" w:lineRule="auto"/>
            </w:pPr>
            <w:r>
              <w:t>Linux target</w:t>
            </w:r>
          </w:p>
        </w:tc>
        <w:tc>
          <w:tcPr>
            <w:tcW w:w="1860" w:type="dxa"/>
          </w:tcPr>
          <w:p w14:paraId="000000A5" w14:textId="77777777" w:rsidR="00B44354" w:rsidRDefault="00915488">
            <w:pPr>
              <w:spacing w:line="276" w:lineRule="auto"/>
            </w:pPr>
            <w:r>
              <w:t>192.168.56.102</w:t>
            </w:r>
          </w:p>
        </w:tc>
        <w:tc>
          <w:tcPr>
            <w:tcW w:w="3345" w:type="dxa"/>
          </w:tcPr>
          <w:p w14:paraId="000000A6" w14:textId="77777777" w:rsidR="00B44354" w:rsidRDefault="00915488">
            <w:pPr>
              <w:spacing w:line="276" w:lineRule="auto"/>
            </w:pPr>
            <w:r>
              <w:t>Service-level exploitation through distcc.</w:t>
            </w:r>
          </w:p>
        </w:tc>
      </w:tr>
      <w:tr w:rsidR="00B44354" w14:paraId="3CAB2A3E" w14:textId="77777777">
        <w:trPr>
          <w:jc w:val="center"/>
        </w:trPr>
        <w:tc>
          <w:tcPr>
            <w:tcW w:w="2010" w:type="dxa"/>
          </w:tcPr>
          <w:p w14:paraId="000000A7" w14:textId="77777777" w:rsidR="00B44354" w:rsidRDefault="00915488">
            <w:pPr>
              <w:spacing w:line="276" w:lineRule="auto"/>
            </w:pPr>
            <w:r>
              <w:t>Windows 7</w:t>
            </w:r>
          </w:p>
        </w:tc>
        <w:tc>
          <w:tcPr>
            <w:tcW w:w="2565" w:type="dxa"/>
          </w:tcPr>
          <w:p w14:paraId="000000A8" w14:textId="77777777" w:rsidR="00B44354" w:rsidRDefault="00915488">
            <w:pPr>
              <w:spacing w:line="276" w:lineRule="auto"/>
            </w:pPr>
            <w:r>
              <w:t>Legacy Windows target</w:t>
            </w:r>
          </w:p>
        </w:tc>
        <w:tc>
          <w:tcPr>
            <w:tcW w:w="1860" w:type="dxa"/>
          </w:tcPr>
          <w:p w14:paraId="000000A9" w14:textId="77777777" w:rsidR="00B44354" w:rsidRDefault="00915488">
            <w:pPr>
              <w:spacing w:line="276" w:lineRule="auto"/>
            </w:pPr>
            <w:r>
              <w:t>192.168.56.104</w:t>
            </w:r>
          </w:p>
        </w:tc>
        <w:tc>
          <w:tcPr>
            <w:tcW w:w="3345" w:type="dxa"/>
          </w:tcPr>
          <w:p w14:paraId="000000AA" w14:textId="77777777" w:rsidR="00B44354" w:rsidRDefault="00915488">
            <w:pPr>
              <w:spacing w:line="276" w:lineRule="auto"/>
            </w:pPr>
            <w:r>
              <w:t>Remote SMB exploitation and post-exploitation validation.</w:t>
            </w:r>
          </w:p>
        </w:tc>
      </w:tr>
    </w:tbl>
    <w:p w14:paraId="000000AB" w14:textId="77777777" w:rsidR="00B44354" w:rsidRDefault="00B44354"/>
    <w:p w14:paraId="000000AC" w14:textId="77777777" w:rsidR="00B44354" w:rsidRDefault="00915488">
      <w:pPr>
        <w:spacing w:after="40"/>
        <w:jc w:val="center"/>
      </w:pPr>
      <w:r>
        <w:rPr>
          <w:noProof/>
        </w:rPr>
        <w:drawing>
          <wp:inline distT="0" distB="0" distL="114300" distR="114300">
            <wp:extent cx="4062413" cy="3953421"/>
            <wp:effectExtent l="0" t="0" r="0" b="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4062413" cy="3953421"/>
                    </a:xfrm>
                    <a:prstGeom prst="rect">
                      <a:avLst/>
                    </a:prstGeom>
                    <a:ln/>
                  </pic:spPr>
                </pic:pic>
              </a:graphicData>
            </a:graphic>
          </wp:inline>
        </w:drawing>
      </w:r>
    </w:p>
    <w:p w14:paraId="000000AD" w14:textId="77777777" w:rsidR="00B44354" w:rsidRDefault="00915488">
      <w:pPr>
        <w:spacing w:after="160"/>
        <w:jc w:val="center"/>
      </w:pPr>
      <w:r>
        <w:rPr>
          <w:i/>
          <w:iCs/>
        </w:rPr>
        <w:t>Figure 5. VirtualBox manager showing the four lab machines.</w:t>
      </w:r>
    </w:p>
    <w:p w14:paraId="000000AE" w14:textId="77777777" w:rsidR="00B44354" w:rsidRDefault="00915488">
      <w:pPr>
        <w:spacing w:after="40"/>
        <w:jc w:val="center"/>
      </w:pPr>
      <w:r>
        <w:rPr>
          <w:noProof/>
        </w:rPr>
        <w:drawing>
          <wp:inline distT="0" distB="0" distL="114300" distR="114300">
            <wp:extent cx="4784047" cy="3250847"/>
            <wp:effectExtent l="0" t="0" r="0" b="0"/>
            <wp:docPr id="14"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3"/>
                    <a:srcRect/>
                    <a:stretch>
                      <a:fillRect/>
                    </a:stretch>
                  </pic:blipFill>
                  <pic:spPr>
                    <a:xfrm>
                      <a:off x="0" y="0"/>
                      <a:ext cx="4784047" cy="3250847"/>
                    </a:xfrm>
                    <a:prstGeom prst="rect">
                      <a:avLst/>
                    </a:prstGeom>
                    <a:ln/>
                  </pic:spPr>
                </pic:pic>
              </a:graphicData>
            </a:graphic>
          </wp:inline>
        </w:drawing>
      </w:r>
    </w:p>
    <w:p w14:paraId="000000AF" w14:textId="77777777" w:rsidR="00B44354" w:rsidRDefault="00915488">
      <w:pPr>
        <w:spacing w:after="160"/>
        <w:jc w:val="center"/>
      </w:pPr>
      <w:r>
        <w:rPr>
          <w:i/>
          <w:iCs/>
        </w:rPr>
        <w:t>Figure 6. Kali Linux network adapter attached to host-only networking.</w:t>
      </w:r>
    </w:p>
    <w:p w14:paraId="000000B0" w14:textId="77777777" w:rsidR="00B44354" w:rsidRDefault="00915488">
      <w:pPr>
        <w:spacing w:after="40"/>
        <w:jc w:val="center"/>
      </w:pPr>
      <w:r>
        <w:rPr>
          <w:noProof/>
        </w:rPr>
        <w:drawing>
          <wp:inline distT="0" distB="0" distL="114300" distR="114300">
            <wp:extent cx="5208595" cy="3486231"/>
            <wp:effectExtent l="0" t="0" r="0" b="0"/>
            <wp:docPr id="13"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4"/>
                    <a:srcRect/>
                    <a:stretch>
                      <a:fillRect/>
                    </a:stretch>
                  </pic:blipFill>
                  <pic:spPr>
                    <a:xfrm>
                      <a:off x="0" y="0"/>
                      <a:ext cx="5208595" cy="3486231"/>
                    </a:xfrm>
                    <a:prstGeom prst="rect">
                      <a:avLst/>
                    </a:prstGeom>
                    <a:ln/>
                  </pic:spPr>
                </pic:pic>
              </a:graphicData>
            </a:graphic>
          </wp:inline>
        </w:drawing>
      </w:r>
    </w:p>
    <w:p w14:paraId="000000B1" w14:textId="77777777" w:rsidR="00B44354" w:rsidRDefault="00915488">
      <w:pPr>
        <w:spacing w:after="160"/>
        <w:jc w:val="center"/>
      </w:pPr>
      <w:r>
        <w:rPr>
          <w:i/>
          <w:iCs/>
        </w:rPr>
        <w:t>Figure 7. Windows 7 ne</w:t>
      </w:r>
      <w:r>
        <w:rPr>
          <w:i/>
          <w:iCs/>
        </w:rPr>
        <w:t>twork adapter attached to host-only networking.</w:t>
      </w:r>
    </w:p>
    <w:p w14:paraId="000000B2" w14:textId="77777777" w:rsidR="00B44354" w:rsidRDefault="00915488">
      <w:pPr>
        <w:spacing w:after="40"/>
        <w:jc w:val="center"/>
      </w:pPr>
      <w:r>
        <w:rPr>
          <w:noProof/>
        </w:rPr>
        <w:drawing>
          <wp:inline distT="0" distB="0" distL="114300" distR="114300">
            <wp:extent cx="5264021" cy="3517547"/>
            <wp:effectExtent l="0" t="0" r="0" b="0"/>
            <wp:docPr id="1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264021" cy="3517547"/>
                    </a:xfrm>
                    <a:prstGeom prst="rect">
                      <a:avLst/>
                    </a:prstGeom>
                    <a:ln/>
                  </pic:spPr>
                </pic:pic>
              </a:graphicData>
            </a:graphic>
          </wp:inline>
        </w:drawing>
      </w:r>
    </w:p>
    <w:p w14:paraId="000000B3" w14:textId="77777777" w:rsidR="00B44354" w:rsidRDefault="00915488">
      <w:pPr>
        <w:spacing w:after="160"/>
        <w:jc w:val="center"/>
      </w:pPr>
      <w:r>
        <w:rPr>
          <w:i/>
          <w:iCs/>
        </w:rPr>
        <w:t>Figure 8. OWASP host network adapter attached to host-only networking.</w:t>
      </w:r>
    </w:p>
    <w:p w14:paraId="000000B4" w14:textId="77777777" w:rsidR="00B44354" w:rsidRDefault="00915488">
      <w:pPr>
        <w:spacing w:after="40"/>
        <w:jc w:val="center"/>
      </w:pPr>
      <w:r>
        <w:rPr>
          <w:noProof/>
        </w:rPr>
        <w:drawing>
          <wp:inline distT="0" distB="0" distL="114300" distR="114300">
            <wp:extent cx="5097735" cy="3448131"/>
            <wp:effectExtent l="0" t="0" r="0" b="0"/>
            <wp:docPr id="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5097735" cy="3448131"/>
                    </a:xfrm>
                    <a:prstGeom prst="rect">
                      <a:avLst/>
                    </a:prstGeom>
                    <a:ln/>
                  </pic:spPr>
                </pic:pic>
              </a:graphicData>
            </a:graphic>
          </wp:inline>
        </w:drawing>
      </w:r>
    </w:p>
    <w:p w14:paraId="000000B5" w14:textId="77777777" w:rsidR="00B44354" w:rsidRDefault="00915488">
      <w:pPr>
        <w:spacing w:after="160"/>
        <w:jc w:val="center"/>
      </w:pPr>
      <w:r>
        <w:rPr>
          <w:i/>
          <w:iCs/>
        </w:rPr>
        <w:t>Figure 9. Metasploitable host network adapter attached to host-only networking.</w:t>
      </w:r>
    </w:p>
    <w:p w14:paraId="000000B6" w14:textId="77777777" w:rsidR="00B44354" w:rsidRDefault="00915488">
      <w:pPr>
        <w:pStyle w:val="Heading2"/>
        <w:spacing w:before="120" w:after="120"/>
      </w:pPr>
      <w:bookmarkStart w:id="6" w:name="_heading=h.hv1g5v2if19a" w:colFirst="0" w:colLast="0"/>
      <w:bookmarkEnd w:id="6"/>
      <w:r>
        <w:t>4.2 Reconnaissance and target selection</w:t>
      </w:r>
    </w:p>
    <w:p w14:paraId="000000B7" w14:textId="77777777" w:rsidR="00B44354" w:rsidRDefault="00915488">
      <w:pPr>
        <w:spacing w:after="120"/>
        <w:rPr>
          <w:sz w:val="23"/>
          <w:szCs w:val="23"/>
        </w:rPr>
      </w:pPr>
      <w:r>
        <w:rPr>
          <w:sz w:val="23"/>
          <w:szCs w:val="23"/>
        </w:rPr>
        <w:t>Reconnaissance and host discovery constituted the first stage. The attacker host was verified on the 192.168.56.0/24 host only network, and three main targets were revealed during the scan: 192.168.56.101, 192.168.56.102, and 192.168.56.104. This stage alt</w:t>
      </w:r>
      <w:r>
        <w:rPr>
          <w:sz w:val="23"/>
          <w:szCs w:val="23"/>
        </w:rPr>
        <w:t>hough not involve in exploitation is essential because it transforms a random environment into an attack map. Good reconnaissance minimizes guesswork and allows the attacker to select attack directions from the available services.</w:t>
      </w:r>
    </w:p>
    <w:p w14:paraId="000000B8" w14:textId="77777777" w:rsidR="00B44354" w:rsidRDefault="00915488">
      <w:pPr>
        <w:spacing w:after="120"/>
        <w:rPr>
          <w:sz w:val="23"/>
          <w:szCs w:val="23"/>
        </w:rPr>
      </w:pPr>
      <w:r>
        <w:rPr>
          <w:sz w:val="23"/>
          <w:szCs w:val="23"/>
        </w:rPr>
        <w:t xml:space="preserve">Enumeration provides the </w:t>
      </w:r>
      <w:r>
        <w:rPr>
          <w:sz w:val="23"/>
          <w:szCs w:val="23"/>
        </w:rPr>
        <w:t>rationale for the three selections. The OWASP/DVWA host provided a web app path for injection testing, while the Metasploitable host provided weak services (like distccd) that could be exploited at the service level. The Windows 7 host provided SMB and old</w:t>
      </w:r>
      <w:r>
        <w:rPr>
          <w:sz w:val="23"/>
          <w:szCs w:val="23"/>
        </w:rPr>
        <w:t xml:space="preserve">er services that are implicated in remote compromise. Again, from a defender's perspective, this phase also explains why reconnaissance is an early indicator of attack, as the probing of the subnet, the probing of services, and the focus on older services </w:t>
      </w:r>
      <w:r>
        <w:rPr>
          <w:sz w:val="23"/>
          <w:szCs w:val="23"/>
        </w:rPr>
        <w:t>all can serve as warning signs in a monitored place.</w:t>
      </w:r>
    </w:p>
    <w:p w14:paraId="000000B9" w14:textId="77777777" w:rsidR="00B44354" w:rsidRDefault="00B44354">
      <w:pPr>
        <w:spacing w:after="120"/>
        <w:rPr>
          <w:sz w:val="23"/>
          <w:szCs w:val="23"/>
        </w:rPr>
      </w:pPr>
    </w:p>
    <w:p w14:paraId="000000BA" w14:textId="77777777" w:rsidR="00B44354" w:rsidRDefault="00915488">
      <w:pPr>
        <w:spacing w:after="40"/>
        <w:jc w:val="center"/>
      </w:pPr>
      <w:r>
        <w:rPr>
          <w:noProof/>
        </w:rPr>
        <w:drawing>
          <wp:inline distT="0" distB="0" distL="114300" distR="114300">
            <wp:extent cx="4754880" cy="4263822"/>
            <wp:effectExtent l="0" t="0" r="0" b="0"/>
            <wp:docPr id="1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7"/>
                    <a:srcRect/>
                    <a:stretch>
                      <a:fillRect/>
                    </a:stretch>
                  </pic:blipFill>
                  <pic:spPr>
                    <a:xfrm>
                      <a:off x="0" y="0"/>
                      <a:ext cx="4754880" cy="4263822"/>
                    </a:xfrm>
                    <a:prstGeom prst="rect">
                      <a:avLst/>
                    </a:prstGeom>
                    <a:ln/>
                  </pic:spPr>
                </pic:pic>
              </a:graphicData>
            </a:graphic>
          </wp:inline>
        </w:drawing>
      </w:r>
    </w:p>
    <w:p w14:paraId="000000BB" w14:textId="77777777" w:rsidR="00B44354" w:rsidRDefault="00915488">
      <w:pPr>
        <w:spacing w:after="160"/>
        <w:jc w:val="center"/>
      </w:pPr>
      <w:r>
        <w:rPr>
          <w:i/>
          <w:iCs/>
        </w:rPr>
        <w:t>Figure 10. Kali attacker IP configuration inside the host-only lab.</w:t>
      </w:r>
    </w:p>
    <w:p w14:paraId="000000BC" w14:textId="77777777" w:rsidR="00B44354" w:rsidRDefault="00915488">
      <w:pPr>
        <w:spacing w:after="40"/>
        <w:jc w:val="center"/>
      </w:pPr>
      <w:r>
        <w:rPr>
          <w:noProof/>
        </w:rPr>
        <w:drawing>
          <wp:inline distT="0" distB="0" distL="114300" distR="114300">
            <wp:extent cx="5212080" cy="4614930"/>
            <wp:effectExtent l="0" t="0" r="0" b="0"/>
            <wp:docPr id="1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8"/>
                    <a:srcRect/>
                    <a:stretch>
                      <a:fillRect/>
                    </a:stretch>
                  </pic:blipFill>
                  <pic:spPr>
                    <a:xfrm>
                      <a:off x="0" y="0"/>
                      <a:ext cx="5212080" cy="4614930"/>
                    </a:xfrm>
                    <a:prstGeom prst="rect">
                      <a:avLst/>
                    </a:prstGeom>
                    <a:ln/>
                  </pic:spPr>
                </pic:pic>
              </a:graphicData>
            </a:graphic>
          </wp:inline>
        </w:drawing>
      </w:r>
    </w:p>
    <w:p w14:paraId="000000BD" w14:textId="77777777" w:rsidR="00B44354" w:rsidRDefault="00915488">
      <w:pPr>
        <w:spacing w:after="160"/>
        <w:jc w:val="center"/>
      </w:pPr>
      <w:r>
        <w:rPr>
          <w:i/>
          <w:iCs/>
        </w:rPr>
        <w:t>Figure 11. ARP-based host discovery identifying active targets.</w:t>
      </w:r>
    </w:p>
    <w:p w14:paraId="000000BE" w14:textId="77777777" w:rsidR="00B44354" w:rsidRDefault="00915488">
      <w:pPr>
        <w:spacing w:after="40"/>
        <w:jc w:val="center"/>
      </w:pPr>
      <w:r>
        <w:rPr>
          <w:noProof/>
        </w:rPr>
        <w:drawing>
          <wp:inline distT="0" distB="0" distL="114300" distR="114300">
            <wp:extent cx="5212080" cy="4591286"/>
            <wp:effectExtent l="0" t="0" r="0" b="0"/>
            <wp:docPr id="1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9"/>
                    <a:srcRect/>
                    <a:stretch>
                      <a:fillRect/>
                    </a:stretch>
                  </pic:blipFill>
                  <pic:spPr>
                    <a:xfrm>
                      <a:off x="0" y="0"/>
                      <a:ext cx="5212080" cy="4591286"/>
                    </a:xfrm>
                    <a:prstGeom prst="rect">
                      <a:avLst/>
                    </a:prstGeom>
                    <a:ln/>
                  </pic:spPr>
                </pic:pic>
              </a:graphicData>
            </a:graphic>
          </wp:inline>
        </w:drawing>
      </w:r>
    </w:p>
    <w:p w14:paraId="000000BF" w14:textId="77777777" w:rsidR="00B44354" w:rsidRDefault="00915488">
      <w:pPr>
        <w:spacing w:after="160"/>
        <w:jc w:val="center"/>
      </w:pPr>
      <w:r>
        <w:rPr>
          <w:i/>
          <w:iCs/>
        </w:rPr>
        <w:t>Figure 12. Service enumeration output for target 192.168.56.101.</w:t>
      </w:r>
    </w:p>
    <w:p w14:paraId="000000C0" w14:textId="77777777" w:rsidR="00B44354" w:rsidRDefault="00915488">
      <w:pPr>
        <w:spacing w:after="40"/>
        <w:jc w:val="center"/>
      </w:pPr>
      <w:r>
        <w:rPr>
          <w:noProof/>
        </w:rPr>
        <w:drawing>
          <wp:inline distT="0" distB="0" distL="114300" distR="114300">
            <wp:extent cx="5212080" cy="4601188"/>
            <wp:effectExtent l="0" t="0" r="0" b="0"/>
            <wp:docPr id="2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5212080" cy="4601188"/>
                    </a:xfrm>
                    <a:prstGeom prst="rect">
                      <a:avLst/>
                    </a:prstGeom>
                    <a:ln/>
                  </pic:spPr>
                </pic:pic>
              </a:graphicData>
            </a:graphic>
          </wp:inline>
        </w:drawing>
      </w:r>
    </w:p>
    <w:p w14:paraId="000000C1" w14:textId="77777777" w:rsidR="00B44354" w:rsidRDefault="00915488">
      <w:pPr>
        <w:spacing w:after="160"/>
        <w:jc w:val="center"/>
      </w:pPr>
      <w:r>
        <w:rPr>
          <w:i/>
          <w:iCs/>
        </w:rPr>
        <w:t>Figure 13. Service enumeration output for target 192.168.56.102.</w:t>
      </w:r>
    </w:p>
    <w:p w14:paraId="000000C2" w14:textId="77777777" w:rsidR="00B44354" w:rsidRDefault="00915488">
      <w:pPr>
        <w:spacing w:after="40"/>
        <w:jc w:val="center"/>
      </w:pPr>
      <w:r>
        <w:rPr>
          <w:noProof/>
        </w:rPr>
        <w:drawing>
          <wp:inline distT="0" distB="0" distL="114300" distR="114300">
            <wp:extent cx="5212080" cy="4496949"/>
            <wp:effectExtent l="0" t="0" r="0" b="0"/>
            <wp:docPr id="2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5212080" cy="4496949"/>
                    </a:xfrm>
                    <a:prstGeom prst="rect">
                      <a:avLst/>
                    </a:prstGeom>
                    <a:ln/>
                  </pic:spPr>
                </pic:pic>
              </a:graphicData>
            </a:graphic>
          </wp:inline>
        </w:drawing>
      </w:r>
    </w:p>
    <w:p w14:paraId="000000C3" w14:textId="77777777" w:rsidR="00B44354" w:rsidRDefault="00915488">
      <w:pPr>
        <w:spacing w:after="160"/>
        <w:jc w:val="center"/>
      </w:pPr>
      <w:r>
        <w:rPr>
          <w:i/>
          <w:iCs/>
        </w:rPr>
        <w:t>Figure 14. Service enumeration output for target 192.168.56.104.</w:t>
      </w:r>
    </w:p>
    <w:p w14:paraId="000000C4" w14:textId="77777777" w:rsidR="00B44354" w:rsidRDefault="00915488">
      <w:pPr>
        <w:spacing w:after="40"/>
        <w:jc w:val="center"/>
      </w:pPr>
      <w:r>
        <w:rPr>
          <w:noProof/>
        </w:rPr>
        <w:drawing>
          <wp:inline distT="0" distB="0" distL="114300" distR="114300">
            <wp:extent cx="5120640" cy="4582973"/>
            <wp:effectExtent l="0" t="0" r="0" b="0"/>
            <wp:docPr id="23"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2"/>
                    <a:srcRect/>
                    <a:stretch>
                      <a:fillRect/>
                    </a:stretch>
                  </pic:blipFill>
                  <pic:spPr>
                    <a:xfrm>
                      <a:off x="0" y="0"/>
                      <a:ext cx="5120640" cy="4582973"/>
                    </a:xfrm>
                    <a:prstGeom prst="rect">
                      <a:avLst/>
                    </a:prstGeom>
                    <a:ln/>
                  </pic:spPr>
                </pic:pic>
              </a:graphicData>
            </a:graphic>
          </wp:inline>
        </w:drawing>
      </w:r>
    </w:p>
    <w:p w14:paraId="000000C5" w14:textId="77777777" w:rsidR="00B44354" w:rsidRDefault="00915488">
      <w:pPr>
        <w:spacing w:after="160"/>
        <w:jc w:val="center"/>
      </w:pPr>
      <w:r>
        <w:rPr>
          <w:i/>
          <w:iCs/>
        </w:rPr>
        <w:t>Figure 15. Additional reconnaissance output supporting target selection.</w:t>
      </w:r>
    </w:p>
    <w:p w14:paraId="000000C6" w14:textId="77777777" w:rsidR="00B44354" w:rsidRDefault="00915488">
      <w:pPr>
        <w:pStyle w:val="Heading2"/>
        <w:spacing w:before="120" w:after="120"/>
      </w:pPr>
      <w:bookmarkStart w:id="7" w:name="_heading=h.g1wxsmn1g2pc" w:colFirst="0" w:colLast="0"/>
      <w:bookmarkEnd w:id="7"/>
      <w:r>
        <w:t>4.3 Web exploit path against DVWA</w:t>
      </w:r>
    </w:p>
    <w:p w14:paraId="000000C7" w14:textId="77777777" w:rsidR="00B44354" w:rsidRDefault="00915488">
      <w:pPr>
        <w:spacing w:after="120"/>
      </w:pPr>
      <w:r>
        <w:rPr>
          <w:sz w:val="23"/>
          <w:szCs w:val="23"/>
        </w:rPr>
        <w:t>The initial route of exploitation was against DVWA in the form of command injection. DVWA is specifically designed to illustrate common insecure codi</w:t>
      </w:r>
      <w:r>
        <w:rPr>
          <w:sz w:val="23"/>
          <w:szCs w:val="23"/>
        </w:rPr>
        <w:t>ng practices and command injection is a practical teaching example since it illustrates how an application vulnerability can easily be escalated to a host level [19], [20]. The application was accessible on the OWASP host and the security setting was purpo</w:t>
      </w:r>
      <w:r>
        <w:rPr>
          <w:sz w:val="23"/>
          <w:szCs w:val="23"/>
        </w:rPr>
        <w:t>sely reduced to meet the goal of the lab. The output obtained demonstrated that the weakness was exploitable and not just hypothetical because the system-level information was accessed and there was successful execution of the command.</w:t>
      </w:r>
    </w:p>
    <w:p w14:paraId="000000C8" w14:textId="77777777" w:rsidR="00B44354" w:rsidRDefault="00B44354">
      <w:pPr>
        <w:spacing w:after="120"/>
        <w:rPr>
          <w:sz w:val="23"/>
          <w:szCs w:val="23"/>
        </w:rPr>
      </w:pPr>
    </w:p>
    <w:p w14:paraId="000000C9" w14:textId="77777777" w:rsidR="00B44354" w:rsidRDefault="00915488">
      <w:pPr>
        <w:spacing w:after="120"/>
      </w:pPr>
      <w:r>
        <w:rPr>
          <w:sz w:val="23"/>
          <w:szCs w:val="23"/>
        </w:rPr>
        <w:t>This result has mor</w:t>
      </w:r>
      <w:r>
        <w:rPr>
          <w:sz w:val="23"/>
          <w:szCs w:val="23"/>
        </w:rPr>
        <w:t>e than just significance to the vulnerable page. The command injection is a breach of the user input and server execution line. When that boundary is lost, then the application is no longer a business interface: it has become a way into the operating syste</w:t>
      </w:r>
      <w:r>
        <w:rPr>
          <w:sz w:val="23"/>
          <w:szCs w:val="23"/>
        </w:rPr>
        <w:t>m. In a real world, it can cause abuse of service accounts, local file access, follow on tooling or even wider movement in case the host has network trust. To the defenders, the moral of the story is that secure coding, input validation, least privilege fo</w:t>
      </w:r>
      <w:r>
        <w:rPr>
          <w:sz w:val="23"/>
          <w:szCs w:val="23"/>
        </w:rPr>
        <w:t>r web services, and host telemetry are all important as a combination. When a browser request can be transformed to shell behaviour without any defensive response, the issue is not just with the application code.</w:t>
      </w:r>
    </w:p>
    <w:p w14:paraId="000000CA" w14:textId="77777777" w:rsidR="00B44354" w:rsidRDefault="00915488">
      <w:pPr>
        <w:spacing w:after="40"/>
        <w:jc w:val="center"/>
      </w:pPr>
      <w:r>
        <w:rPr>
          <w:noProof/>
        </w:rPr>
        <w:drawing>
          <wp:inline distT="0" distB="0" distL="114300" distR="114300">
            <wp:extent cx="5303520" cy="4822596"/>
            <wp:effectExtent l="0" t="0" r="0" b="0"/>
            <wp:docPr id="24"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3"/>
                    <a:srcRect/>
                    <a:stretch>
                      <a:fillRect/>
                    </a:stretch>
                  </pic:blipFill>
                  <pic:spPr>
                    <a:xfrm>
                      <a:off x="0" y="0"/>
                      <a:ext cx="5303520" cy="4822596"/>
                    </a:xfrm>
                    <a:prstGeom prst="rect">
                      <a:avLst/>
                    </a:prstGeom>
                    <a:ln/>
                  </pic:spPr>
                </pic:pic>
              </a:graphicData>
            </a:graphic>
          </wp:inline>
        </w:drawing>
      </w:r>
    </w:p>
    <w:p w14:paraId="000000CB" w14:textId="77777777" w:rsidR="00B44354" w:rsidRDefault="00915488">
      <w:pPr>
        <w:spacing w:after="160"/>
        <w:jc w:val="center"/>
      </w:pPr>
      <w:r>
        <w:rPr>
          <w:i/>
          <w:iCs/>
        </w:rPr>
        <w:t>Figure 16. DVWA application reachable fro</w:t>
      </w:r>
      <w:r>
        <w:rPr>
          <w:i/>
          <w:iCs/>
        </w:rPr>
        <w:t>m the attacker host.</w:t>
      </w:r>
    </w:p>
    <w:p w14:paraId="000000CC" w14:textId="77777777" w:rsidR="00B44354" w:rsidRDefault="00915488">
      <w:pPr>
        <w:spacing w:after="40"/>
        <w:jc w:val="center"/>
      </w:pPr>
      <w:r>
        <w:rPr>
          <w:noProof/>
        </w:rPr>
        <w:drawing>
          <wp:inline distT="0" distB="0" distL="114300" distR="114300">
            <wp:extent cx="4754880" cy="4245640"/>
            <wp:effectExtent l="0" t="0" r="0" b="0"/>
            <wp:docPr id="25"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4"/>
                    <a:srcRect/>
                    <a:stretch>
                      <a:fillRect/>
                    </a:stretch>
                  </pic:blipFill>
                  <pic:spPr>
                    <a:xfrm>
                      <a:off x="0" y="0"/>
                      <a:ext cx="4754880" cy="4245640"/>
                    </a:xfrm>
                    <a:prstGeom prst="rect">
                      <a:avLst/>
                    </a:prstGeom>
                    <a:ln/>
                  </pic:spPr>
                </pic:pic>
              </a:graphicData>
            </a:graphic>
          </wp:inline>
        </w:drawing>
      </w:r>
    </w:p>
    <w:p w14:paraId="000000CD" w14:textId="77777777" w:rsidR="00B44354" w:rsidRDefault="00915488">
      <w:pPr>
        <w:spacing w:after="160"/>
        <w:jc w:val="center"/>
      </w:pPr>
      <w:r>
        <w:rPr>
          <w:i/>
          <w:iCs/>
        </w:rPr>
        <w:t>Figure 17. DVWA security level configured for the exercise.</w:t>
      </w:r>
    </w:p>
    <w:p w14:paraId="000000CE" w14:textId="77777777" w:rsidR="00B44354" w:rsidRDefault="00915488">
      <w:pPr>
        <w:spacing w:after="40"/>
        <w:jc w:val="center"/>
      </w:pPr>
      <w:r>
        <w:rPr>
          <w:noProof/>
        </w:rPr>
        <w:drawing>
          <wp:inline distT="0" distB="0" distL="114300" distR="114300">
            <wp:extent cx="5303520" cy="4739036"/>
            <wp:effectExtent l="0" t="0" r="0" b="0"/>
            <wp:docPr id="2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5"/>
                    <a:srcRect/>
                    <a:stretch>
                      <a:fillRect/>
                    </a:stretch>
                  </pic:blipFill>
                  <pic:spPr>
                    <a:xfrm>
                      <a:off x="0" y="0"/>
                      <a:ext cx="5303520" cy="4739036"/>
                    </a:xfrm>
                    <a:prstGeom prst="rect">
                      <a:avLst/>
                    </a:prstGeom>
                    <a:ln/>
                  </pic:spPr>
                </pic:pic>
              </a:graphicData>
            </a:graphic>
          </wp:inline>
        </w:drawing>
      </w:r>
    </w:p>
    <w:p w14:paraId="000000CF" w14:textId="77777777" w:rsidR="00B44354" w:rsidRDefault="00915488">
      <w:pPr>
        <w:spacing w:after="160"/>
        <w:jc w:val="center"/>
      </w:pPr>
      <w:r>
        <w:rPr>
          <w:i/>
          <w:iCs/>
        </w:rPr>
        <w:t>Figure 18. Command injection page used in the web exploit path.</w:t>
      </w:r>
    </w:p>
    <w:p w14:paraId="000000D0" w14:textId="77777777" w:rsidR="00B44354" w:rsidRDefault="00915488">
      <w:pPr>
        <w:spacing w:after="40"/>
        <w:jc w:val="center"/>
      </w:pPr>
      <w:r>
        <w:rPr>
          <w:noProof/>
        </w:rPr>
        <w:drawing>
          <wp:inline distT="0" distB="0" distL="114300" distR="114300">
            <wp:extent cx="5303520" cy="4719345"/>
            <wp:effectExtent l="0" t="0" r="0" b="0"/>
            <wp:docPr id="27"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6"/>
                    <a:srcRect/>
                    <a:stretch>
                      <a:fillRect/>
                    </a:stretch>
                  </pic:blipFill>
                  <pic:spPr>
                    <a:xfrm>
                      <a:off x="0" y="0"/>
                      <a:ext cx="5303520" cy="4719345"/>
                    </a:xfrm>
                    <a:prstGeom prst="rect">
                      <a:avLst/>
                    </a:prstGeom>
                    <a:ln/>
                  </pic:spPr>
                </pic:pic>
              </a:graphicData>
            </a:graphic>
          </wp:inline>
        </w:drawing>
      </w:r>
    </w:p>
    <w:p w14:paraId="000000D1" w14:textId="77777777" w:rsidR="00B44354" w:rsidRDefault="00915488">
      <w:pPr>
        <w:spacing w:after="160"/>
        <w:jc w:val="center"/>
      </w:pPr>
      <w:r>
        <w:rPr>
          <w:i/>
          <w:iCs/>
        </w:rPr>
        <w:t>Figure 19. Successful command execution showing sensitive system output.</w:t>
      </w:r>
    </w:p>
    <w:p w14:paraId="000000D2" w14:textId="77777777" w:rsidR="00B44354" w:rsidRDefault="00915488">
      <w:pPr>
        <w:pStyle w:val="Heading2"/>
        <w:spacing w:before="120" w:after="120"/>
      </w:pPr>
      <w:bookmarkStart w:id="8" w:name="_heading=h.fsp9he593i5z" w:colFirst="0" w:colLast="0"/>
      <w:bookmarkEnd w:id="8"/>
      <w:r>
        <w:t>4.4 Linux service exploitation against Metasploitable</w:t>
      </w:r>
    </w:p>
    <w:p w14:paraId="000000D3" w14:textId="77777777" w:rsidR="00B44354" w:rsidRDefault="00915488">
      <w:pPr>
        <w:spacing w:after="120"/>
        <w:rPr>
          <w:sz w:val="23"/>
          <w:szCs w:val="23"/>
        </w:rPr>
      </w:pPr>
      <w:r>
        <w:rPr>
          <w:sz w:val="23"/>
          <w:szCs w:val="23"/>
        </w:rPr>
        <w:t>The next route of exploitation was to the Metasploitable Linux host itself via the distcc service. This service was known to have</w:t>
      </w:r>
      <w:r>
        <w:rPr>
          <w:sz w:val="23"/>
          <w:szCs w:val="23"/>
        </w:rPr>
        <w:t xml:space="preserve"> a flaw, one which enabled arbitrary command execution if the service was made available outside of the intended trust boundary (CVE-2004-2687) [14]. Searching the attack surface on the host revealed it as an available service, then an allowed Metasploit m</w:t>
      </w:r>
      <w:r>
        <w:rPr>
          <w:sz w:val="23"/>
          <w:szCs w:val="23"/>
        </w:rPr>
        <w:t>odule proved its exploitability and output from the shell and subsequent commands showed that code execution had been achieved on the target.</w:t>
      </w:r>
    </w:p>
    <w:p w14:paraId="000000D4" w14:textId="77777777" w:rsidR="00B44354" w:rsidRDefault="00915488">
      <w:pPr>
        <w:spacing w:after="120"/>
        <w:rPr>
          <w:sz w:val="23"/>
          <w:szCs w:val="23"/>
        </w:rPr>
      </w:pPr>
      <w:r>
        <w:rPr>
          <w:sz w:val="23"/>
          <w:szCs w:val="23"/>
        </w:rPr>
        <w:t>A second type of failure is demonstrated by this case, which is not application, but service exposure. In a real o</w:t>
      </w:r>
      <w:r>
        <w:rPr>
          <w:sz w:val="23"/>
          <w:szCs w:val="23"/>
        </w:rPr>
        <w:t xml:space="preserve">rganisation this risk can be very difficult for the security team to manage: the base cost of having hundreds of servers may be unavoidable, whether they are legacy, dev/test, or highly specialised applications that are not part of the normal patching and </w:t>
      </w:r>
      <w:r>
        <w:rPr>
          <w:sz w:val="23"/>
          <w:szCs w:val="23"/>
        </w:rPr>
        <w:t>monitoring regime. Security teams may assume a focus on the standard enterprise applications and infrastructure, while forgotten services sit for years with little maintenance or modernisation. The lesson for the defence is asset ownership, service invento</w:t>
      </w:r>
      <w:r>
        <w:rPr>
          <w:sz w:val="23"/>
          <w:szCs w:val="23"/>
        </w:rPr>
        <w:t>ry, hardening and exposure review. As the results from Metasploitable show: an ancient or faulty service is only an attack away from quickly spawning a shell.</w:t>
      </w:r>
    </w:p>
    <w:p w14:paraId="000000D5" w14:textId="77777777" w:rsidR="00B44354" w:rsidRDefault="00915488">
      <w:pPr>
        <w:spacing w:after="40"/>
        <w:jc w:val="center"/>
      </w:pPr>
      <w:r>
        <w:rPr>
          <w:noProof/>
        </w:rPr>
        <w:drawing>
          <wp:inline distT="0" distB="0" distL="114300" distR="114300">
            <wp:extent cx="5303520" cy="4748039"/>
            <wp:effectExtent l="0" t="0" r="0" b="0"/>
            <wp:docPr id="2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7"/>
                    <a:srcRect/>
                    <a:stretch>
                      <a:fillRect/>
                    </a:stretch>
                  </pic:blipFill>
                  <pic:spPr>
                    <a:xfrm>
                      <a:off x="0" y="0"/>
                      <a:ext cx="5303520" cy="4748039"/>
                    </a:xfrm>
                    <a:prstGeom prst="rect">
                      <a:avLst/>
                    </a:prstGeom>
                    <a:ln/>
                  </pic:spPr>
                </pic:pic>
              </a:graphicData>
            </a:graphic>
          </wp:inline>
        </w:drawing>
      </w:r>
    </w:p>
    <w:p w14:paraId="000000D6" w14:textId="77777777" w:rsidR="00B44354" w:rsidRDefault="00915488">
      <w:pPr>
        <w:spacing w:after="160"/>
        <w:jc w:val="center"/>
      </w:pPr>
      <w:r>
        <w:rPr>
          <w:i/>
          <w:iCs/>
        </w:rPr>
        <w:t>Figure 20. Metasploit interaction for the distcc exploitation path.</w:t>
      </w:r>
    </w:p>
    <w:p w14:paraId="000000D7" w14:textId="77777777" w:rsidR="00B44354" w:rsidRDefault="00915488">
      <w:pPr>
        <w:spacing w:after="40"/>
        <w:jc w:val="center"/>
      </w:pPr>
      <w:r>
        <w:rPr>
          <w:noProof/>
        </w:rPr>
        <w:drawing>
          <wp:inline distT="0" distB="0" distL="114300" distR="114300">
            <wp:extent cx="5303520" cy="4870580"/>
            <wp:effectExtent l="0" t="0" r="0" b="0"/>
            <wp:docPr id="1"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8"/>
                    <a:srcRect/>
                    <a:stretch>
                      <a:fillRect/>
                    </a:stretch>
                  </pic:blipFill>
                  <pic:spPr>
                    <a:xfrm>
                      <a:off x="0" y="0"/>
                      <a:ext cx="5303520" cy="4870580"/>
                    </a:xfrm>
                    <a:prstGeom prst="rect">
                      <a:avLst/>
                    </a:prstGeom>
                    <a:ln/>
                  </pic:spPr>
                </pic:pic>
              </a:graphicData>
            </a:graphic>
          </wp:inline>
        </w:drawing>
      </w:r>
    </w:p>
    <w:p w14:paraId="000000D8" w14:textId="77777777" w:rsidR="00B44354" w:rsidRDefault="00915488">
      <w:pPr>
        <w:spacing w:after="160"/>
        <w:jc w:val="center"/>
      </w:pPr>
      <w:r>
        <w:rPr>
          <w:i/>
          <w:iCs/>
        </w:rPr>
        <w:t>Figure 21. Exploit execut</w:t>
      </w:r>
      <w:r>
        <w:rPr>
          <w:i/>
          <w:iCs/>
        </w:rPr>
        <w:t>ion against the Metasploitable service.</w:t>
      </w:r>
    </w:p>
    <w:p w14:paraId="000000D9" w14:textId="77777777" w:rsidR="00B44354" w:rsidRDefault="00915488">
      <w:pPr>
        <w:spacing w:after="40"/>
        <w:jc w:val="center"/>
      </w:pPr>
      <w:r>
        <w:rPr>
          <w:noProof/>
        </w:rPr>
        <w:drawing>
          <wp:inline distT="0" distB="0" distL="114300" distR="114300">
            <wp:extent cx="5303520" cy="48098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9"/>
                    <a:srcRect/>
                    <a:stretch>
                      <a:fillRect/>
                    </a:stretch>
                  </pic:blipFill>
                  <pic:spPr>
                    <a:xfrm>
                      <a:off x="0" y="0"/>
                      <a:ext cx="5303520" cy="4809875"/>
                    </a:xfrm>
                    <a:prstGeom prst="rect">
                      <a:avLst/>
                    </a:prstGeom>
                    <a:ln/>
                  </pic:spPr>
                </pic:pic>
              </a:graphicData>
            </a:graphic>
          </wp:inline>
        </w:drawing>
      </w:r>
    </w:p>
    <w:p w14:paraId="000000DA" w14:textId="77777777" w:rsidR="00B44354" w:rsidRDefault="00915488">
      <w:pPr>
        <w:spacing w:after="160"/>
        <w:jc w:val="center"/>
      </w:pPr>
      <w:r>
        <w:rPr>
          <w:i/>
          <w:iCs/>
        </w:rPr>
        <w:t>Figure 22. Successful shell access on the Linux target.</w:t>
      </w:r>
    </w:p>
    <w:p w14:paraId="000000DB" w14:textId="77777777" w:rsidR="00B44354" w:rsidRDefault="00915488">
      <w:pPr>
        <w:spacing w:after="40"/>
        <w:jc w:val="center"/>
      </w:pPr>
      <w:r>
        <w:rPr>
          <w:noProof/>
        </w:rPr>
        <w:drawing>
          <wp:inline distT="0" distB="0" distL="114300" distR="114300">
            <wp:extent cx="5303520" cy="4004961"/>
            <wp:effectExtent l="0" t="0" r="0" b="0"/>
            <wp:docPr id="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0"/>
                    <a:srcRect/>
                    <a:stretch>
                      <a:fillRect/>
                    </a:stretch>
                  </pic:blipFill>
                  <pic:spPr>
                    <a:xfrm>
                      <a:off x="0" y="0"/>
                      <a:ext cx="5303520" cy="4004961"/>
                    </a:xfrm>
                    <a:prstGeom prst="rect">
                      <a:avLst/>
                    </a:prstGeom>
                    <a:ln/>
                  </pic:spPr>
                </pic:pic>
              </a:graphicData>
            </a:graphic>
          </wp:inline>
        </w:drawing>
      </w:r>
    </w:p>
    <w:p w14:paraId="000000DC" w14:textId="77777777" w:rsidR="00B44354" w:rsidRDefault="00915488">
      <w:pPr>
        <w:spacing w:after="160"/>
        <w:jc w:val="center"/>
      </w:pPr>
      <w:r>
        <w:rPr>
          <w:i/>
          <w:iCs/>
        </w:rPr>
        <w:t>Figure 23. Post-exploitation validation of Linux identity and host context.</w:t>
      </w:r>
    </w:p>
    <w:p w14:paraId="000000DD" w14:textId="77777777" w:rsidR="00B44354" w:rsidRDefault="00915488">
      <w:pPr>
        <w:pStyle w:val="Heading2"/>
        <w:spacing w:before="120" w:after="120"/>
      </w:pPr>
      <w:bookmarkStart w:id="9" w:name="_heading=h.kbxutdptrjri" w:colFirst="0" w:colLast="0"/>
      <w:bookmarkEnd w:id="9"/>
      <w:r>
        <w:t>4.5 Windows exploitation and post-exploitation</w:t>
      </w:r>
    </w:p>
    <w:p w14:paraId="000000DE" w14:textId="77777777" w:rsidR="00B44354" w:rsidRDefault="00915488">
      <w:pPr>
        <w:spacing w:after="120"/>
        <w:rPr>
          <w:sz w:val="23"/>
          <w:szCs w:val="23"/>
        </w:rPr>
      </w:pPr>
      <w:r>
        <w:rPr>
          <w:sz w:val="23"/>
          <w:szCs w:val="23"/>
        </w:rPr>
        <w:t>The third attack path was against</w:t>
      </w:r>
      <w:r>
        <w:rPr>
          <w:sz w:val="23"/>
          <w:szCs w:val="23"/>
        </w:rPr>
        <w:t xml:space="preserve"> the Windows 7 target machine, producing the most severe lab result. The screen captures reveal that the host firewall was turned off and an SMB based exploit path utilizing MS17-010 had been executed [15]. The exploit led to a Meterpreter session, with sy</w:t>
      </w:r>
      <w:r>
        <w:rPr>
          <w:sz w:val="23"/>
          <w:szCs w:val="23"/>
        </w:rPr>
        <w:t>stem info gathered, `NT AUTHORITY\SYSTEM' privileges and various credential hashes gathered. This indicates not only exploitation, but good post exploitation access.</w:t>
      </w:r>
    </w:p>
    <w:p w14:paraId="000000DF" w14:textId="77777777" w:rsidR="00B44354" w:rsidRDefault="00915488">
      <w:pPr>
        <w:spacing w:after="120"/>
      </w:pPr>
      <w:r>
        <w:rPr>
          <w:sz w:val="23"/>
          <w:szCs w:val="23"/>
        </w:rPr>
        <w:t>This result is significant on three levels. First, the host was still found on the isolate</w:t>
      </w:r>
      <w:r>
        <w:rPr>
          <w:sz w:val="23"/>
          <w:szCs w:val="23"/>
        </w:rPr>
        <w:t>d network. Second, the hosts were compromised, but the key was that they were compromised at the administrative level and not just for a local user. Third, the credential material discovered could be used to pivot into the rest of the enterprise if the hos</w:t>
      </w:r>
      <w:r>
        <w:rPr>
          <w:sz w:val="23"/>
          <w:szCs w:val="23"/>
        </w:rPr>
        <w:t>t was part of a larger network. The key point learned is not to patch Windows, but to not allow unsupported and not harden prior systems to reach or be trusted by critical assets [21]. No changes in methods were necessary to do this attack, just known fail</w:t>
      </w:r>
      <w:r>
        <w:rPr>
          <w:sz w:val="23"/>
          <w:szCs w:val="23"/>
        </w:rPr>
        <w:t>ures of vulnerability and local defences. This is the reason legacy is still the least understood enterprise threat.</w:t>
      </w:r>
    </w:p>
    <w:p w14:paraId="000000E0" w14:textId="77777777" w:rsidR="00B44354" w:rsidRDefault="00B44354">
      <w:pPr>
        <w:spacing w:after="120"/>
        <w:rPr>
          <w:sz w:val="23"/>
          <w:szCs w:val="23"/>
        </w:rPr>
      </w:pPr>
    </w:p>
    <w:p w14:paraId="000000E1" w14:textId="77777777" w:rsidR="00B44354" w:rsidRDefault="00915488">
      <w:pPr>
        <w:spacing w:after="40"/>
        <w:jc w:val="center"/>
      </w:pPr>
      <w:r>
        <w:rPr>
          <w:noProof/>
        </w:rPr>
        <w:drawing>
          <wp:inline distT="0" distB="0" distL="114300" distR="114300">
            <wp:extent cx="4937760" cy="4406951"/>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1"/>
                    <a:srcRect/>
                    <a:stretch>
                      <a:fillRect/>
                    </a:stretch>
                  </pic:blipFill>
                  <pic:spPr>
                    <a:xfrm>
                      <a:off x="0" y="0"/>
                      <a:ext cx="4937760" cy="4406951"/>
                    </a:xfrm>
                    <a:prstGeom prst="rect">
                      <a:avLst/>
                    </a:prstGeom>
                    <a:ln/>
                  </pic:spPr>
                </pic:pic>
              </a:graphicData>
            </a:graphic>
          </wp:inline>
        </w:drawing>
      </w:r>
    </w:p>
    <w:p w14:paraId="000000E2" w14:textId="77777777" w:rsidR="00B44354" w:rsidRDefault="00915488">
      <w:pPr>
        <w:spacing w:after="160"/>
        <w:jc w:val="center"/>
      </w:pPr>
      <w:r>
        <w:rPr>
          <w:i/>
          <w:iCs/>
        </w:rPr>
        <w:t>Figure 24. Windows 7 host state before exploitation.</w:t>
      </w:r>
    </w:p>
    <w:p w14:paraId="000000E3" w14:textId="77777777" w:rsidR="00B44354" w:rsidRDefault="00915488">
      <w:pPr>
        <w:spacing w:after="40"/>
        <w:jc w:val="center"/>
      </w:pPr>
      <w:r>
        <w:rPr>
          <w:noProof/>
        </w:rPr>
        <w:drawing>
          <wp:inline distT="0" distB="0" distL="114300" distR="114300">
            <wp:extent cx="5303520" cy="4056422"/>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2"/>
                    <a:srcRect/>
                    <a:stretch>
                      <a:fillRect/>
                    </a:stretch>
                  </pic:blipFill>
                  <pic:spPr>
                    <a:xfrm>
                      <a:off x="0" y="0"/>
                      <a:ext cx="5303520" cy="4056422"/>
                    </a:xfrm>
                    <a:prstGeom prst="rect">
                      <a:avLst/>
                    </a:prstGeom>
                    <a:ln/>
                  </pic:spPr>
                </pic:pic>
              </a:graphicData>
            </a:graphic>
          </wp:inline>
        </w:drawing>
      </w:r>
    </w:p>
    <w:p w14:paraId="000000E4" w14:textId="77777777" w:rsidR="00B44354" w:rsidRDefault="00915488">
      <w:pPr>
        <w:spacing w:after="160"/>
        <w:jc w:val="center"/>
      </w:pPr>
      <w:r>
        <w:rPr>
          <w:i/>
          <w:iCs/>
        </w:rPr>
        <w:t>Figure 25. EternalBlue exploitation path configured in Metasploit.</w:t>
      </w:r>
    </w:p>
    <w:p w14:paraId="000000E5" w14:textId="77777777" w:rsidR="00B44354" w:rsidRDefault="00915488">
      <w:pPr>
        <w:spacing w:after="40"/>
        <w:jc w:val="center"/>
      </w:pPr>
      <w:r>
        <w:rPr>
          <w:noProof/>
        </w:rPr>
        <w:drawing>
          <wp:inline distT="0" distB="0" distL="114300" distR="114300">
            <wp:extent cx="5303520" cy="4014563"/>
            <wp:effectExtent l="0" t="0" r="0" b="0"/>
            <wp:docPr id="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3"/>
                    <a:srcRect/>
                    <a:stretch>
                      <a:fillRect/>
                    </a:stretch>
                  </pic:blipFill>
                  <pic:spPr>
                    <a:xfrm>
                      <a:off x="0" y="0"/>
                      <a:ext cx="5303520" cy="4014563"/>
                    </a:xfrm>
                    <a:prstGeom prst="rect">
                      <a:avLst/>
                    </a:prstGeom>
                    <a:ln/>
                  </pic:spPr>
                </pic:pic>
              </a:graphicData>
            </a:graphic>
          </wp:inline>
        </w:drawing>
      </w:r>
    </w:p>
    <w:p w14:paraId="000000E6" w14:textId="77777777" w:rsidR="00B44354" w:rsidRDefault="00915488">
      <w:pPr>
        <w:spacing w:after="160"/>
        <w:jc w:val="center"/>
      </w:pPr>
      <w:r>
        <w:rPr>
          <w:i/>
          <w:iCs/>
        </w:rPr>
        <w:t>Figure 26. S</w:t>
      </w:r>
      <w:r>
        <w:rPr>
          <w:i/>
          <w:iCs/>
        </w:rPr>
        <w:t>uccessful remote exploitation against the Windows host.</w:t>
      </w:r>
    </w:p>
    <w:p w14:paraId="000000E7" w14:textId="77777777" w:rsidR="00B44354" w:rsidRDefault="00915488">
      <w:pPr>
        <w:spacing w:after="40"/>
        <w:jc w:val="center"/>
      </w:pPr>
      <w:r>
        <w:rPr>
          <w:noProof/>
        </w:rPr>
        <w:drawing>
          <wp:inline distT="0" distB="0" distL="114300" distR="114300">
            <wp:extent cx="5303520" cy="400578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4"/>
                    <a:srcRect/>
                    <a:stretch>
                      <a:fillRect/>
                    </a:stretch>
                  </pic:blipFill>
                  <pic:spPr>
                    <a:xfrm>
                      <a:off x="0" y="0"/>
                      <a:ext cx="5303520" cy="4005780"/>
                    </a:xfrm>
                    <a:prstGeom prst="rect">
                      <a:avLst/>
                    </a:prstGeom>
                    <a:ln/>
                  </pic:spPr>
                </pic:pic>
              </a:graphicData>
            </a:graphic>
          </wp:inline>
        </w:drawing>
      </w:r>
    </w:p>
    <w:p w14:paraId="000000E8" w14:textId="77777777" w:rsidR="00B44354" w:rsidRDefault="00915488">
      <w:pPr>
        <w:spacing w:after="160"/>
        <w:jc w:val="center"/>
      </w:pPr>
      <w:r>
        <w:rPr>
          <w:i/>
          <w:iCs/>
        </w:rPr>
        <w:t>Figure 27. Meterpreter and system information gathered from Windows 7.</w:t>
      </w:r>
    </w:p>
    <w:p w14:paraId="000000E9" w14:textId="77777777" w:rsidR="00B44354" w:rsidRDefault="00915488">
      <w:pPr>
        <w:spacing w:after="40"/>
        <w:jc w:val="center"/>
      </w:pPr>
      <w:r>
        <w:rPr>
          <w:noProof/>
        </w:rPr>
        <w:drawing>
          <wp:inline distT="0" distB="0" distL="114300" distR="114300">
            <wp:extent cx="5303520" cy="4130235"/>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5"/>
                    <a:srcRect/>
                    <a:stretch>
                      <a:fillRect/>
                    </a:stretch>
                  </pic:blipFill>
                  <pic:spPr>
                    <a:xfrm>
                      <a:off x="0" y="0"/>
                      <a:ext cx="5303520" cy="4130235"/>
                    </a:xfrm>
                    <a:prstGeom prst="rect">
                      <a:avLst/>
                    </a:prstGeom>
                    <a:ln/>
                  </pic:spPr>
                </pic:pic>
              </a:graphicData>
            </a:graphic>
          </wp:inline>
        </w:drawing>
      </w:r>
    </w:p>
    <w:p w14:paraId="000000EA" w14:textId="77777777" w:rsidR="00B44354" w:rsidRDefault="00915488">
      <w:pPr>
        <w:spacing w:after="160"/>
        <w:jc w:val="center"/>
        <w:rPr>
          <w:i/>
          <w:iCs/>
        </w:rPr>
      </w:pPr>
      <w:r>
        <w:rPr>
          <w:i/>
          <w:iCs/>
        </w:rPr>
        <w:t>Figure 28. Post-exploitation validation and credential-related output.</w:t>
      </w:r>
    </w:p>
    <w:p w14:paraId="000000EB" w14:textId="77777777" w:rsidR="00B44354" w:rsidRDefault="00B44354">
      <w:pPr>
        <w:spacing w:after="160"/>
        <w:jc w:val="center"/>
        <w:rPr>
          <w:i/>
          <w:iCs/>
        </w:rPr>
      </w:pPr>
    </w:p>
    <w:p w14:paraId="000000EC" w14:textId="77777777" w:rsidR="00B44354" w:rsidRDefault="00915488">
      <w:pPr>
        <w:pStyle w:val="Heading2"/>
        <w:spacing w:before="120" w:after="120"/>
      </w:pPr>
      <w:bookmarkStart w:id="10" w:name="_heading=h.qxxbxsnzns5h" w:colFirst="0" w:colLast="0"/>
      <w:bookmarkEnd w:id="10"/>
      <w:r>
        <w:t>4.6 Detection gaps, prioritisation, and remediation</w:t>
      </w:r>
    </w:p>
    <w:p w14:paraId="000000ED" w14:textId="77777777" w:rsidR="00B44354" w:rsidRDefault="00915488">
      <w:pPr>
        <w:spacing w:after="120"/>
        <w:rPr>
          <w:sz w:val="23"/>
          <w:szCs w:val="23"/>
        </w:rPr>
      </w:pPr>
      <w:r>
        <w:rPr>
          <w:sz w:val="23"/>
          <w:szCs w:val="23"/>
        </w:rPr>
        <w:t>All three attack routes only required poor security fundamentals and not highly advanced evasion. The web host allowed malicious input submission, the Linux host had a found vulnerable service and the Win</w:t>
      </w:r>
      <w:r>
        <w:rPr>
          <w:sz w:val="23"/>
          <w:szCs w:val="23"/>
        </w:rPr>
        <w:t>dows host had a combination of remote exploitable vulnerability and disabling local security. This exercise was not designed to be a highly advanced attacker, but rather one that is persistent and scans and chooses the lowest hanging fruit. This is importa</w:t>
      </w:r>
      <w:r>
        <w:rPr>
          <w:sz w:val="23"/>
          <w:szCs w:val="23"/>
        </w:rPr>
        <w:t>nt as it is wrongly assumed that many big compromises used advanced malware when in fact there is usually low hanging fruit that is exploited.</w:t>
      </w:r>
    </w:p>
    <w:p w14:paraId="000000EE" w14:textId="77777777" w:rsidR="00B44354" w:rsidRDefault="00B44354">
      <w:pPr>
        <w:spacing w:after="120"/>
        <w:rPr>
          <w:sz w:val="23"/>
          <w:szCs w:val="23"/>
        </w:rPr>
      </w:pPr>
    </w:p>
    <w:p w14:paraId="000000EF" w14:textId="77777777" w:rsidR="00B44354" w:rsidRDefault="00915488">
      <w:pPr>
        <w:spacing w:after="120"/>
      </w:pPr>
      <w:r>
        <w:rPr>
          <w:sz w:val="23"/>
          <w:szCs w:val="23"/>
        </w:rPr>
        <w:t>The screenshots also reveal potential detection gaps. Subnet scanning, web-triggered execution of command, SMB e</w:t>
      </w:r>
      <w:r>
        <w:rPr>
          <w:sz w:val="23"/>
          <w:szCs w:val="23"/>
        </w:rPr>
        <w:t>xploitation, privileged remote sessions, and dumping of credentials should all produce alarm flags in a monitored environment. While the sandbox lacked active resistance, the message for the real-world environment was clear: prevention and detection must c</w:t>
      </w:r>
      <w:r>
        <w:rPr>
          <w:sz w:val="23"/>
          <w:szCs w:val="23"/>
        </w:rPr>
        <w:t>omplement each other. Any effective technical report should highlight point of successful attack, as well as potential points where defenders could have disrupted the attack chain. Collectively these three paths provide a small proxy of enterprise exposure</w:t>
      </w:r>
      <w:r>
        <w:rPr>
          <w:sz w:val="23"/>
          <w:szCs w:val="23"/>
        </w:rPr>
        <w:t>. DVWA provides a file path from user data to system execution. Distcc has a service path from an irrelevant or ungoverned service to shell access. Windows 7 has the risks of legacy systems providing a remote access full compromise when patch and host cont</w:t>
      </w:r>
      <w:r>
        <w:rPr>
          <w:sz w:val="23"/>
          <w:szCs w:val="23"/>
        </w:rPr>
        <w:t>rols are not in place. While technical failures, they demonstrate the same overall trend: environment providing sequential low-friction pathways from visibility to control.</w:t>
      </w:r>
    </w:p>
    <w:p w14:paraId="000000F0" w14:textId="77777777" w:rsidR="00B44354" w:rsidRDefault="00915488">
      <w:pPr>
        <w:spacing w:after="120"/>
      </w:pPr>
      <w:r>
        <w:rPr>
          <w:sz w:val="23"/>
          <w:szCs w:val="23"/>
        </w:rPr>
        <w:t xml:space="preserve">From a reporting perspective, the Windows 7 issue should be rated as highest risk. </w:t>
      </w:r>
      <w:r>
        <w:rPr>
          <w:sz w:val="23"/>
          <w:szCs w:val="23"/>
        </w:rPr>
        <w:t xml:space="preserve">The distcc problem should be classed as high risk infrastructure exposure, and the DVWA command injection as a high risk application problem (variable based on host privilege and network trust). The underlying defence principle is simple: "attackers don't </w:t>
      </w:r>
      <w:r>
        <w:rPr>
          <w:sz w:val="23"/>
          <w:szCs w:val="23"/>
        </w:rPr>
        <w:t>need one perfect pathway, if the environment contains multiple adequate pathways". Remediation should focus on removing those pathways.</w:t>
      </w:r>
    </w:p>
    <w:p w14:paraId="000000F1" w14:textId="77777777" w:rsidR="00B44354" w:rsidRDefault="00B44354">
      <w:pPr>
        <w:spacing w:after="120"/>
      </w:pPr>
    </w:p>
    <w:tbl>
      <w:tblPr>
        <w:tblStyle w:val="a3"/>
        <w:tblW w:w="9792"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48"/>
        <w:gridCol w:w="2448"/>
        <w:gridCol w:w="2448"/>
        <w:gridCol w:w="2448"/>
      </w:tblGrid>
      <w:tr w:rsidR="00B44354" w14:paraId="0D8060D2" w14:textId="77777777">
        <w:trPr>
          <w:jc w:val="center"/>
        </w:trPr>
        <w:tc>
          <w:tcPr>
            <w:tcW w:w="2448" w:type="dxa"/>
          </w:tcPr>
          <w:p w14:paraId="000000F2" w14:textId="77777777" w:rsidR="00B44354" w:rsidRDefault="00915488">
            <w:pPr>
              <w:spacing w:line="276" w:lineRule="auto"/>
            </w:pPr>
            <w:r>
              <w:rPr>
                <w:b/>
                <w:bCs/>
              </w:rPr>
              <w:t>Finding</w:t>
            </w:r>
          </w:p>
        </w:tc>
        <w:tc>
          <w:tcPr>
            <w:tcW w:w="2448" w:type="dxa"/>
          </w:tcPr>
          <w:p w14:paraId="000000F3" w14:textId="77777777" w:rsidR="00B44354" w:rsidRDefault="00915488">
            <w:pPr>
              <w:spacing w:line="276" w:lineRule="auto"/>
            </w:pPr>
            <w:r>
              <w:rPr>
                <w:b/>
                <w:bCs/>
              </w:rPr>
              <w:t>Evidence of compromise</w:t>
            </w:r>
          </w:p>
        </w:tc>
        <w:tc>
          <w:tcPr>
            <w:tcW w:w="2448" w:type="dxa"/>
          </w:tcPr>
          <w:p w14:paraId="000000F4" w14:textId="77777777" w:rsidR="00B44354" w:rsidRDefault="00915488">
            <w:pPr>
              <w:spacing w:line="276" w:lineRule="auto"/>
            </w:pPr>
            <w:r>
              <w:rPr>
                <w:b/>
                <w:bCs/>
              </w:rPr>
              <w:t>Risk level</w:t>
            </w:r>
          </w:p>
        </w:tc>
        <w:tc>
          <w:tcPr>
            <w:tcW w:w="2448" w:type="dxa"/>
          </w:tcPr>
          <w:p w14:paraId="000000F5" w14:textId="77777777" w:rsidR="00B44354" w:rsidRDefault="00915488">
            <w:pPr>
              <w:spacing w:line="276" w:lineRule="auto"/>
            </w:pPr>
            <w:r>
              <w:rPr>
                <w:b/>
                <w:bCs/>
              </w:rPr>
              <w:t>Likely control gap</w:t>
            </w:r>
          </w:p>
        </w:tc>
      </w:tr>
      <w:tr w:rsidR="00B44354" w14:paraId="110F1908" w14:textId="77777777">
        <w:trPr>
          <w:jc w:val="center"/>
        </w:trPr>
        <w:tc>
          <w:tcPr>
            <w:tcW w:w="2448" w:type="dxa"/>
          </w:tcPr>
          <w:p w14:paraId="000000F6" w14:textId="77777777" w:rsidR="00B44354" w:rsidRDefault="00915488">
            <w:pPr>
              <w:spacing w:line="276" w:lineRule="auto"/>
            </w:pPr>
            <w:r>
              <w:t>DVWA command injection</w:t>
            </w:r>
          </w:p>
        </w:tc>
        <w:tc>
          <w:tcPr>
            <w:tcW w:w="2448" w:type="dxa"/>
          </w:tcPr>
          <w:p w14:paraId="000000F7" w14:textId="77777777" w:rsidR="00B44354" w:rsidRDefault="00915488">
            <w:pPr>
              <w:spacing w:line="276" w:lineRule="auto"/>
            </w:pPr>
            <w:r>
              <w:t>System-level output returned throu</w:t>
            </w:r>
            <w:r>
              <w:t>gh the web application.</w:t>
            </w:r>
          </w:p>
        </w:tc>
        <w:tc>
          <w:tcPr>
            <w:tcW w:w="2448" w:type="dxa"/>
          </w:tcPr>
          <w:p w14:paraId="000000F8" w14:textId="77777777" w:rsidR="00B44354" w:rsidRDefault="00915488">
            <w:pPr>
              <w:spacing w:line="276" w:lineRule="auto"/>
            </w:pPr>
            <w:r>
              <w:t>High</w:t>
            </w:r>
          </w:p>
        </w:tc>
        <w:tc>
          <w:tcPr>
            <w:tcW w:w="2448" w:type="dxa"/>
          </w:tcPr>
          <w:p w14:paraId="000000F9" w14:textId="77777777" w:rsidR="00B44354" w:rsidRDefault="00915488">
            <w:pPr>
              <w:spacing w:line="276" w:lineRule="auto"/>
            </w:pPr>
            <w:r>
              <w:t>Weak input handling and insufficient web-to-host separation.</w:t>
            </w:r>
          </w:p>
        </w:tc>
      </w:tr>
      <w:tr w:rsidR="00B44354" w14:paraId="0B3FF8FD" w14:textId="77777777">
        <w:trPr>
          <w:jc w:val="center"/>
        </w:trPr>
        <w:tc>
          <w:tcPr>
            <w:tcW w:w="2448" w:type="dxa"/>
          </w:tcPr>
          <w:p w14:paraId="000000FA" w14:textId="77777777" w:rsidR="00B44354" w:rsidRDefault="00915488">
            <w:pPr>
              <w:spacing w:line="276" w:lineRule="auto"/>
            </w:pPr>
            <w:r>
              <w:t>distcc remote execution</w:t>
            </w:r>
          </w:p>
        </w:tc>
        <w:tc>
          <w:tcPr>
            <w:tcW w:w="2448" w:type="dxa"/>
          </w:tcPr>
          <w:p w14:paraId="000000FB" w14:textId="77777777" w:rsidR="00B44354" w:rsidRDefault="00915488">
            <w:pPr>
              <w:spacing w:line="276" w:lineRule="auto"/>
            </w:pPr>
            <w:r>
              <w:t>Interactive shell and host identity confirmed on Metasploitable.</w:t>
            </w:r>
          </w:p>
        </w:tc>
        <w:tc>
          <w:tcPr>
            <w:tcW w:w="2448" w:type="dxa"/>
          </w:tcPr>
          <w:p w14:paraId="000000FC" w14:textId="77777777" w:rsidR="00B44354" w:rsidRDefault="00915488">
            <w:pPr>
              <w:spacing w:line="276" w:lineRule="auto"/>
            </w:pPr>
            <w:r>
              <w:t>High</w:t>
            </w:r>
          </w:p>
        </w:tc>
        <w:tc>
          <w:tcPr>
            <w:tcW w:w="2448" w:type="dxa"/>
          </w:tcPr>
          <w:p w14:paraId="000000FD" w14:textId="77777777" w:rsidR="00B44354" w:rsidRDefault="00915488">
            <w:pPr>
              <w:spacing w:line="276" w:lineRule="auto"/>
            </w:pPr>
            <w:r>
              <w:t>Unnecessary or obsolete service exposed without hardening.</w:t>
            </w:r>
          </w:p>
        </w:tc>
      </w:tr>
      <w:tr w:rsidR="00B44354" w14:paraId="303FB46A" w14:textId="77777777">
        <w:trPr>
          <w:jc w:val="center"/>
        </w:trPr>
        <w:tc>
          <w:tcPr>
            <w:tcW w:w="2448" w:type="dxa"/>
          </w:tcPr>
          <w:p w14:paraId="000000FE" w14:textId="77777777" w:rsidR="00B44354" w:rsidRDefault="00915488">
            <w:pPr>
              <w:spacing w:line="276" w:lineRule="auto"/>
            </w:pPr>
            <w:r>
              <w:t>Windows 7 MS17-010 path</w:t>
            </w:r>
          </w:p>
        </w:tc>
        <w:tc>
          <w:tcPr>
            <w:tcW w:w="2448" w:type="dxa"/>
          </w:tcPr>
          <w:p w14:paraId="000000FF" w14:textId="77777777" w:rsidR="00B44354" w:rsidRDefault="00915488">
            <w:pPr>
              <w:spacing w:line="276" w:lineRule="auto"/>
            </w:pPr>
            <w:r>
              <w:t>Meterpreter session, SYSTEM privilege, and hash extraction.</w:t>
            </w:r>
          </w:p>
        </w:tc>
        <w:tc>
          <w:tcPr>
            <w:tcW w:w="2448" w:type="dxa"/>
          </w:tcPr>
          <w:p w14:paraId="00000100" w14:textId="77777777" w:rsidR="00B44354" w:rsidRDefault="00915488">
            <w:pPr>
              <w:spacing w:line="276" w:lineRule="auto"/>
            </w:pPr>
            <w:r>
              <w:t>Critical</w:t>
            </w:r>
          </w:p>
        </w:tc>
        <w:tc>
          <w:tcPr>
            <w:tcW w:w="2448" w:type="dxa"/>
          </w:tcPr>
          <w:p w14:paraId="00000101" w14:textId="77777777" w:rsidR="00B44354" w:rsidRDefault="00915488">
            <w:pPr>
              <w:spacing w:line="276" w:lineRule="auto"/>
            </w:pPr>
            <w:r>
              <w:t>Legacy platform, missing patching, disabled host firewall, weak segmentation.</w:t>
            </w:r>
          </w:p>
        </w:tc>
      </w:tr>
    </w:tbl>
    <w:p w14:paraId="00000102" w14:textId="77777777" w:rsidR="00B44354" w:rsidRDefault="00B44354"/>
    <w:p w14:paraId="00000103" w14:textId="77777777" w:rsidR="00B44354" w:rsidRDefault="00915488">
      <w:pPr>
        <w:spacing w:after="120"/>
      </w:pPr>
      <w:r>
        <w:rPr>
          <w:sz w:val="23"/>
          <w:szCs w:val="23"/>
        </w:rPr>
        <w:t>The following defence r</w:t>
      </w:r>
      <w:r>
        <w:rPr>
          <w:sz w:val="23"/>
          <w:szCs w:val="23"/>
        </w:rPr>
        <w:t>esponse for the lab can be categorized into three tiers. First, organizations need to patch reachable systems, decommission unsupported infrastructure, enable host firewalls and isolate critical services. These controls will reduce the attack surface, such</w:t>
      </w:r>
      <w:r>
        <w:rPr>
          <w:sz w:val="23"/>
          <w:szCs w:val="23"/>
        </w:rPr>
        <w:t xml:space="preserve"> as reachable distcc server, reachable Windows hosts or overprivileged web services.</w:t>
      </w:r>
    </w:p>
    <w:p w14:paraId="00000104" w14:textId="77777777" w:rsidR="00B44354" w:rsidRDefault="00915488">
      <w:pPr>
        <w:spacing w:after="120"/>
        <w:rPr>
          <w:sz w:val="23"/>
          <w:szCs w:val="23"/>
        </w:rPr>
      </w:pPr>
      <w:r>
        <w:rPr>
          <w:sz w:val="23"/>
          <w:szCs w:val="23"/>
        </w:rPr>
        <w:t>Secure development and platform hardening should be integrated at the engineering level. Web applications should be protected from command injection, and service account a</w:t>
      </w:r>
      <w:r>
        <w:rPr>
          <w:sz w:val="23"/>
          <w:szCs w:val="23"/>
        </w:rPr>
        <w:t>nd server permissions should be minimized. Additionally, Linux and Windows baselines should also include exposure review, patch compliance, and logging.</w:t>
      </w:r>
    </w:p>
    <w:p w14:paraId="00000105" w14:textId="77777777" w:rsidR="00B44354" w:rsidRDefault="00915488">
      <w:pPr>
        <w:spacing w:after="120"/>
      </w:pPr>
      <w:r>
        <w:rPr>
          <w:sz w:val="23"/>
          <w:szCs w:val="23"/>
        </w:rPr>
        <w:t>At the assurance level, controlled red-team exercises should continue.</w:t>
      </w:r>
    </w:p>
    <w:p w14:paraId="00000106" w14:textId="77777777" w:rsidR="00B44354" w:rsidRDefault="00B44354">
      <w:pPr>
        <w:spacing w:after="120"/>
        <w:rPr>
          <w:sz w:val="23"/>
          <w:szCs w:val="23"/>
        </w:rPr>
      </w:pPr>
    </w:p>
    <w:p w14:paraId="00000107" w14:textId="77777777" w:rsidR="00B44354" w:rsidRDefault="00B44354">
      <w:pPr>
        <w:spacing w:after="120"/>
        <w:rPr>
          <w:sz w:val="23"/>
          <w:szCs w:val="23"/>
        </w:rPr>
      </w:pPr>
    </w:p>
    <w:p w14:paraId="00000108" w14:textId="77777777" w:rsidR="00B44354" w:rsidRDefault="00B44354">
      <w:pPr>
        <w:spacing w:after="120"/>
        <w:rPr>
          <w:sz w:val="23"/>
          <w:szCs w:val="23"/>
        </w:rPr>
      </w:pPr>
    </w:p>
    <w:p w14:paraId="00000109" w14:textId="77777777" w:rsidR="00B44354" w:rsidRDefault="00B44354">
      <w:pPr>
        <w:spacing w:after="120"/>
      </w:pPr>
    </w:p>
    <w:tbl>
      <w:tblPr>
        <w:tblStyle w:val="a4"/>
        <w:tblW w:w="981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565"/>
        <w:gridCol w:w="3975"/>
        <w:gridCol w:w="3270"/>
      </w:tblGrid>
      <w:tr w:rsidR="00B44354" w14:paraId="16F90A52" w14:textId="77777777">
        <w:trPr>
          <w:jc w:val="center"/>
        </w:trPr>
        <w:tc>
          <w:tcPr>
            <w:tcW w:w="2565" w:type="dxa"/>
          </w:tcPr>
          <w:p w14:paraId="0000010A" w14:textId="77777777" w:rsidR="00B44354" w:rsidRDefault="00915488">
            <w:pPr>
              <w:spacing w:line="276" w:lineRule="auto"/>
            </w:pPr>
            <w:r>
              <w:rPr>
                <w:b/>
                <w:bCs/>
              </w:rPr>
              <w:t>Priority</w:t>
            </w:r>
          </w:p>
        </w:tc>
        <w:tc>
          <w:tcPr>
            <w:tcW w:w="3975" w:type="dxa"/>
          </w:tcPr>
          <w:p w14:paraId="0000010B" w14:textId="77777777" w:rsidR="00B44354" w:rsidRDefault="00915488">
            <w:pPr>
              <w:spacing w:line="276" w:lineRule="auto"/>
            </w:pPr>
            <w:r>
              <w:rPr>
                <w:b/>
                <w:bCs/>
              </w:rPr>
              <w:t>Actions</w:t>
            </w:r>
          </w:p>
        </w:tc>
        <w:tc>
          <w:tcPr>
            <w:tcW w:w="3270" w:type="dxa"/>
          </w:tcPr>
          <w:p w14:paraId="0000010C" w14:textId="77777777" w:rsidR="00B44354" w:rsidRDefault="00915488">
            <w:pPr>
              <w:spacing w:line="276" w:lineRule="auto"/>
            </w:pPr>
            <w:r>
              <w:rPr>
                <w:b/>
                <w:bCs/>
              </w:rPr>
              <w:t>Expected se</w:t>
            </w:r>
            <w:r>
              <w:rPr>
                <w:b/>
                <w:bCs/>
              </w:rPr>
              <w:t>curity value</w:t>
            </w:r>
          </w:p>
        </w:tc>
      </w:tr>
      <w:tr w:rsidR="00B44354" w14:paraId="6B0DAE06" w14:textId="77777777">
        <w:trPr>
          <w:jc w:val="center"/>
        </w:trPr>
        <w:tc>
          <w:tcPr>
            <w:tcW w:w="2565" w:type="dxa"/>
          </w:tcPr>
          <w:p w14:paraId="0000010D" w14:textId="77777777" w:rsidR="00B44354" w:rsidRDefault="00915488">
            <w:pPr>
              <w:spacing w:line="276" w:lineRule="auto"/>
            </w:pPr>
            <w:r>
              <w:t>Immediate</w:t>
            </w:r>
          </w:p>
        </w:tc>
        <w:tc>
          <w:tcPr>
            <w:tcW w:w="3975" w:type="dxa"/>
          </w:tcPr>
          <w:p w14:paraId="0000010E" w14:textId="77777777" w:rsidR="00B44354" w:rsidRDefault="00915488">
            <w:pPr>
              <w:spacing w:line="276" w:lineRule="auto"/>
            </w:pPr>
            <w:r>
              <w:t>Patch or isolate reachable vulnerable services, enable host firewalls, and remove unsupported systems.</w:t>
            </w:r>
          </w:p>
        </w:tc>
        <w:tc>
          <w:tcPr>
            <w:tcW w:w="3270" w:type="dxa"/>
          </w:tcPr>
          <w:p w14:paraId="0000010F" w14:textId="77777777" w:rsidR="00B44354" w:rsidRDefault="00915488">
            <w:pPr>
              <w:spacing w:line="276" w:lineRule="auto"/>
            </w:pPr>
            <w:r>
              <w:t>Reduces remote exploit opportunity quickly.</w:t>
            </w:r>
          </w:p>
        </w:tc>
      </w:tr>
      <w:tr w:rsidR="00B44354" w14:paraId="06DA0BE7" w14:textId="77777777">
        <w:trPr>
          <w:jc w:val="center"/>
        </w:trPr>
        <w:tc>
          <w:tcPr>
            <w:tcW w:w="2565" w:type="dxa"/>
          </w:tcPr>
          <w:p w14:paraId="00000110" w14:textId="77777777" w:rsidR="00B44354" w:rsidRDefault="00915488">
            <w:pPr>
              <w:spacing w:line="276" w:lineRule="auto"/>
            </w:pPr>
            <w:r>
              <w:t>Short term</w:t>
            </w:r>
          </w:p>
        </w:tc>
        <w:tc>
          <w:tcPr>
            <w:tcW w:w="3975" w:type="dxa"/>
          </w:tcPr>
          <w:p w14:paraId="00000111" w14:textId="77777777" w:rsidR="00B44354" w:rsidRDefault="00915488">
            <w:pPr>
              <w:spacing w:line="276" w:lineRule="auto"/>
            </w:pPr>
            <w:r>
              <w:t>Harden identity recovery, tighten privilege, and improve segmentation around management systems.</w:t>
            </w:r>
          </w:p>
        </w:tc>
        <w:tc>
          <w:tcPr>
            <w:tcW w:w="3270" w:type="dxa"/>
          </w:tcPr>
          <w:p w14:paraId="00000112" w14:textId="77777777" w:rsidR="00B44354" w:rsidRDefault="00915488">
            <w:pPr>
              <w:spacing w:line="276" w:lineRule="auto"/>
            </w:pPr>
            <w:r>
              <w:t>Limits attacker expansion after foothold.</w:t>
            </w:r>
          </w:p>
        </w:tc>
      </w:tr>
      <w:tr w:rsidR="00B44354" w14:paraId="760749CC" w14:textId="77777777">
        <w:trPr>
          <w:jc w:val="center"/>
        </w:trPr>
        <w:tc>
          <w:tcPr>
            <w:tcW w:w="2565" w:type="dxa"/>
          </w:tcPr>
          <w:p w14:paraId="00000113" w14:textId="77777777" w:rsidR="00B44354" w:rsidRDefault="00915488">
            <w:pPr>
              <w:spacing w:line="276" w:lineRule="auto"/>
            </w:pPr>
            <w:r>
              <w:t>Ongoing</w:t>
            </w:r>
          </w:p>
        </w:tc>
        <w:tc>
          <w:tcPr>
            <w:tcW w:w="3975" w:type="dxa"/>
          </w:tcPr>
          <w:p w14:paraId="00000114" w14:textId="77777777" w:rsidR="00B44354" w:rsidRDefault="00915488">
            <w:pPr>
              <w:spacing w:line="276" w:lineRule="auto"/>
            </w:pPr>
            <w:r>
              <w:t>Use secure coding review, service inventory, logging, and resilience exercises based on identity compromise.</w:t>
            </w:r>
          </w:p>
        </w:tc>
        <w:tc>
          <w:tcPr>
            <w:tcW w:w="3270" w:type="dxa"/>
          </w:tcPr>
          <w:p w14:paraId="00000115" w14:textId="77777777" w:rsidR="00B44354" w:rsidRDefault="00915488">
            <w:pPr>
              <w:spacing w:line="276" w:lineRule="auto"/>
            </w:pPr>
            <w:r>
              <w:t>Improves prevention, detection, and recovery together.</w:t>
            </w:r>
          </w:p>
        </w:tc>
      </w:tr>
    </w:tbl>
    <w:p w14:paraId="00000116" w14:textId="77777777" w:rsidR="00B44354" w:rsidRDefault="00B44354"/>
    <w:p w14:paraId="00000117" w14:textId="77777777" w:rsidR="00B44354" w:rsidRDefault="00915488">
      <w:pPr>
        <w:pStyle w:val="Heading2"/>
        <w:spacing w:before="120" w:after="120"/>
      </w:pPr>
      <w:bookmarkStart w:id="11" w:name="_heading=h.xcejgyb6i931" w:colFirst="0" w:colLast="0"/>
      <w:bookmarkEnd w:id="11"/>
      <w:r>
        <w:t>4.7 Threat Emulation Plan</w:t>
      </w:r>
    </w:p>
    <w:p w14:paraId="00000118" w14:textId="77777777" w:rsidR="00B44354" w:rsidRDefault="00915488">
      <w:pPr>
        <w:spacing w:after="120"/>
      </w:pPr>
      <w:r>
        <w:t>This engagement maps directly to the MITRE ATT&amp;CK framework to emulate realistic threat actor behavior against ABCD Ltd.</w:t>
      </w:r>
    </w:p>
    <w:p w14:paraId="00000119" w14:textId="77777777" w:rsidR="00B44354" w:rsidRDefault="00915488">
      <w:pPr>
        <w:numPr>
          <w:ilvl w:val="0"/>
          <w:numId w:val="1"/>
        </w:numPr>
        <w:rPr>
          <w:color w:val="000000"/>
        </w:rPr>
      </w:pPr>
      <w:r>
        <w:rPr>
          <w:b/>
          <w:bCs/>
        </w:rPr>
        <w:t>Objective:</w:t>
      </w:r>
      <w:r>
        <w:t xml:space="preserve"> Gain unauthorized access to the web perimeter, establish an internal foothold, and achieve full system compromise on an internal legacy server.</w:t>
      </w:r>
    </w:p>
    <w:p w14:paraId="0000011A" w14:textId="77777777" w:rsidR="00B44354" w:rsidRDefault="00915488">
      <w:pPr>
        <w:numPr>
          <w:ilvl w:val="0"/>
          <w:numId w:val="1"/>
        </w:numPr>
        <w:rPr>
          <w:color w:val="000000"/>
        </w:rPr>
      </w:pPr>
      <w:r>
        <w:rPr>
          <w:b/>
          <w:bCs/>
        </w:rPr>
        <w:t>Phase 1: Discovery (T1595 - Active Scanning):</w:t>
      </w:r>
      <w:r>
        <w:t xml:space="preserve"> Utilize Nmap and ARP scanning to map the 192.168.56.0/24 subnet a</w:t>
      </w:r>
      <w:r>
        <w:t>nd identify exposed services.</w:t>
      </w:r>
    </w:p>
    <w:p w14:paraId="0000011B" w14:textId="77777777" w:rsidR="00B44354" w:rsidRDefault="00915488">
      <w:pPr>
        <w:numPr>
          <w:ilvl w:val="0"/>
          <w:numId w:val="1"/>
        </w:numPr>
        <w:rPr>
          <w:color w:val="000000"/>
        </w:rPr>
      </w:pPr>
      <w:r>
        <w:rPr>
          <w:b/>
          <w:bCs/>
        </w:rPr>
        <w:t>Phase 2: Initial Access (T1190 - Exploit Public-Facing Application):</w:t>
      </w:r>
      <w:r>
        <w:t xml:space="preserve"> Target the DVWA host using command injection to achieve initial code execution.</w:t>
      </w:r>
    </w:p>
    <w:p w14:paraId="0000011C" w14:textId="77777777" w:rsidR="00B44354" w:rsidRDefault="00915488">
      <w:pPr>
        <w:numPr>
          <w:ilvl w:val="0"/>
          <w:numId w:val="1"/>
        </w:numPr>
        <w:rPr>
          <w:color w:val="000000"/>
        </w:rPr>
      </w:pPr>
      <w:r>
        <w:rPr>
          <w:b/>
          <w:bCs/>
        </w:rPr>
        <w:t>Phase 3: Execution (T1059 - Command and Scripting Interpreter):</w:t>
      </w:r>
      <w:r>
        <w:t xml:space="preserve"> Exploit the exposed distcc service on the Metasploitable host to establish an interactive reverse shell.</w:t>
      </w:r>
    </w:p>
    <w:p w14:paraId="0000011D" w14:textId="77777777" w:rsidR="00B44354" w:rsidRDefault="00915488">
      <w:pPr>
        <w:numPr>
          <w:ilvl w:val="0"/>
          <w:numId w:val="1"/>
        </w:numPr>
        <w:rPr>
          <w:color w:val="000000"/>
        </w:rPr>
      </w:pPr>
      <w:r>
        <w:rPr>
          <w:b/>
          <w:bCs/>
        </w:rPr>
        <w:t xml:space="preserve">Phase </w:t>
      </w:r>
      <w:r>
        <w:rPr>
          <w:b/>
          <w:bCs/>
        </w:rPr>
        <w:t>4: Privilege Escalation &amp; Lateral Movement (T1210 - Exploitation of Remote Services):</w:t>
      </w:r>
      <w:r>
        <w:t xml:space="preserve"> Utilize MS17-010 (EternalBlue) against the legacy Windows 7 host to achieve NT AUTHORITY\SYSTEM privileges.</w:t>
      </w:r>
    </w:p>
    <w:p w14:paraId="0000011E" w14:textId="77777777" w:rsidR="00B44354" w:rsidRDefault="00915488">
      <w:pPr>
        <w:numPr>
          <w:ilvl w:val="0"/>
          <w:numId w:val="1"/>
        </w:numPr>
        <w:rPr>
          <w:color w:val="000000"/>
        </w:rPr>
      </w:pPr>
      <w:r>
        <w:rPr>
          <w:b/>
          <w:bCs/>
        </w:rPr>
        <w:t>Success Criteria:</w:t>
      </w:r>
      <w:r>
        <w:t xml:space="preserve"> Extraction of credential hashes (T1003 - OS </w:t>
      </w:r>
      <w:r>
        <w:t>Credential Dumping) proving total compromise of the target machine.</w:t>
      </w:r>
    </w:p>
    <w:p w14:paraId="0000011F" w14:textId="77777777" w:rsidR="00B44354" w:rsidRDefault="00915488">
      <w:pPr>
        <w:pStyle w:val="Heading1"/>
        <w:spacing w:before="120" w:after="120"/>
      </w:pPr>
      <w:bookmarkStart w:id="12" w:name="_heading=h.e08bp3yay0bf" w:colFirst="0" w:colLast="0"/>
      <w:bookmarkEnd w:id="12"/>
      <w:r>
        <w:br w:type="page"/>
      </w:r>
    </w:p>
    <w:p w14:paraId="00000120" w14:textId="77777777" w:rsidR="00B44354" w:rsidRDefault="00915488">
      <w:pPr>
        <w:pStyle w:val="Heading1"/>
        <w:spacing w:before="120" w:after="120"/>
      </w:pPr>
      <w:bookmarkStart w:id="13" w:name="_heading=h.yi9hd31bhd4a" w:colFirst="0" w:colLast="0"/>
      <w:bookmarkEnd w:id="13"/>
      <w:r>
        <w:t>5. Evidence Package</w:t>
      </w:r>
    </w:p>
    <w:p w14:paraId="00000121" w14:textId="77777777" w:rsidR="00B44354" w:rsidRDefault="00915488">
      <w:pPr>
        <w:spacing w:after="120"/>
      </w:pPr>
      <w:r>
        <w:rPr>
          <w:sz w:val="23"/>
          <w:szCs w:val="23"/>
        </w:rPr>
        <w:t>This section gathers the evidence obtained throughout the authorised red-team exercise. It comprises: screenshots, command outputs, proof-of-access artefacts, Virtual</w:t>
      </w:r>
      <w:r>
        <w:rPr>
          <w:sz w:val="23"/>
          <w:szCs w:val="23"/>
        </w:rPr>
        <w:t>Box views of the virtual-machines, network-adapter screenshots, service-enumeration results and exploit-validation evidence. These materials demonstrate that the exercise was carried out within a closed host-only laboratory and that all steps in the workfl</w:t>
      </w:r>
      <w:r>
        <w:rPr>
          <w:sz w:val="23"/>
          <w:szCs w:val="23"/>
        </w:rPr>
        <w:t>ow-reconnaissance, scanning, exploitation, post-exploitation and proof of access-were supported by recorded evidence; this evidence was used throughout Section 4 and is brought together here in the form of the evidence package for the engagement.</w:t>
      </w:r>
    </w:p>
    <w:p w14:paraId="00000122" w14:textId="77777777" w:rsidR="00B44354" w:rsidRDefault="00915488">
      <w:pPr>
        <w:pStyle w:val="Heading1"/>
        <w:spacing w:before="120" w:after="120"/>
        <w:rPr>
          <w:sz w:val="24"/>
          <w:szCs w:val="24"/>
        </w:rPr>
      </w:pPr>
      <w:bookmarkStart w:id="14" w:name="_heading=h.16ud633wedwz" w:colFirst="0" w:colLast="0"/>
      <w:bookmarkEnd w:id="14"/>
      <w:r>
        <w:br w:type="page"/>
      </w:r>
    </w:p>
    <w:p w14:paraId="00000123" w14:textId="77777777" w:rsidR="00B44354" w:rsidRDefault="00915488">
      <w:pPr>
        <w:pStyle w:val="Heading1"/>
        <w:spacing w:before="120" w:after="120"/>
      </w:pPr>
      <w:bookmarkStart w:id="15" w:name="_heading=h.curoxghelrxu" w:colFirst="0" w:colLast="0"/>
      <w:bookmarkEnd w:id="15"/>
      <w:r>
        <w:t>6. Conc</w:t>
      </w:r>
      <w:r>
        <w:t>lusion</w:t>
      </w:r>
    </w:p>
    <w:p w14:paraId="00000124" w14:textId="77777777" w:rsidR="00B44354" w:rsidRDefault="00915488">
      <w:pPr>
        <w:spacing w:after="120"/>
      </w:pPr>
      <w:r>
        <w:rPr>
          <w:sz w:val="23"/>
          <w:szCs w:val="23"/>
        </w:rPr>
        <w:t>When combined, the two tests demonstrate that cyber security failures are not isolated. While task 1 illustrated how an outside retail attack can turn identity abuse and reliance operations into a serious business disruption in the real environment,</w:t>
      </w:r>
      <w:r>
        <w:rPr>
          <w:sz w:val="23"/>
          <w:szCs w:val="23"/>
        </w:rPr>
        <w:t xml:space="preserve"> Task 2 gave us the example showing how some vulnerabilities specific to web application, Linux services and legacy Windows hosts can be mapped into known access, in a safer environment. The correlation between them is close. In both cases, it is not somet</w:t>
      </w:r>
      <w:r>
        <w:rPr>
          <w:sz w:val="23"/>
          <w:szCs w:val="23"/>
        </w:rPr>
        <w:t>hing magic or sophisticated. It was based on trust mechanisms, vulnerable access points and defensive weaknesses that allowed an attacker to move from opportunity to impact.</w:t>
      </w:r>
    </w:p>
    <w:p w14:paraId="00000125" w14:textId="77777777" w:rsidR="00B44354" w:rsidRDefault="00915488">
      <w:pPr>
        <w:spacing w:after="120"/>
      </w:pPr>
      <w:r>
        <w:rPr>
          <w:sz w:val="23"/>
          <w:szCs w:val="23"/>
        </w:rPr>
        <w:t>If these overlay layers work together, they pressure attackers into narrow and noi</w:t>
      </w:r>
      <w:r>
        <w:rPr>
          <w:sz w:val="23"/>
          <w:szCs w:val="23"/>
        </w:rPr>
        <w:t>sy corridors; if they do not, even a common weakness can escalate into an operational catastrophe. This is why resilience has to be incorporated into security from the beginning, not layered in after a breach.</w:t>
      </w:r>
    </w:p>
    <w:p w14:paraId="00000126" w14:textId="77777777" w:rsidR="00B44354" w:rsidRDefault="00915488">
      <w:pPr>
        <w:spacing w:after="120"/>
        <w:rPr>
          <w:sz w:val="23"/>
          <w:szCs w:val="23"/>
        </w:rPr>
      </w:pPr>
      <w:r>
        <w:rPr>
          <w:sz w:val="23"/>
          <w:szCs w:val="23"/>
        </w:rPr>
        <w:t>Information in this report also can be used to</w:t>
      </w:r>
      <w:r>
        <w:rPr>
          <w:sz w:val="23"/>
          <w:szCs w:val="23"/>
        </w:rPr>
        <w:t xml:space="preserve"> draw practical conclusion. Industries improve most when they are able to combine business impact, attack path, proof of access and remediation into one narrative. That is the main reason for combining Task 1 and 2 in one report.</w:t>
      </w:r>
    </w:p>
    <w:p w14:paraId="00000127" w14:textId="77777777" w:rsidR="00B44354" w:rsidRDefault="00B44354">
      <w:pPr>
        <w:spacing w:after="120"/>
        <w:rPr>
          <w:sz w:val="23"/>
          <w:szCs w:val="23"/>
        </w:rPr>
      </w:pPr>
    </w:p>
    <w:p w14:paraId="00000128" w14:textId="77777777" w:rsidR="00B44354" w:rsidRDefault="00B44354">
      <w:pPr>
        <w:spacing w:after="120"/>
      </w:pPr>
    </w:p>
    <w:p w14:paraId="00000129" w14:textId="77777777" w:rsidR="00B44354" w:rsidRDefault="00915488">
      <w:pPr>
        <w:pStyle w:val="Heading1"/>
        <w:spacing w:before="120" w:after="120"/>
      </w:pPr>
      <w:bookmarkStart w:id="16" w:name="_heading=h.chv24edx7yl" w:colFirst="0" w:colLast="0"/>
      <w:bookmarkEnd w:id="16"/>
      <w:r>
        <w:br w:type="page"/>
      </w:r>
    </w:p>
    <w:p w14:paraId="0000012A" w14:textId="77777777" w:rsidR="00B44354" w:rsidRDefault="00915488">
      <w:pPr>
        <w:pStyle w:val="Heading1"/>
        <w:spacing w:before="120" w:after="120"/>
      </w:pPr>
      <w:bookmarkStart w:id="17" w:name="_heading=h.lo96r6ly3jtf" w:colFirst="0" w:colLast="0"/>
      <w:bookmarkEnd w:id="17"/>
      <w:r>
        <w:t>7. References</w:t>
      </w:r>
    </w:p>
    <w:p w14:paraId="0000012B" w14:textId="77777777" w:rsidR="00B44354" w:rsidRDefault="00915488">
      <w:pPr>
        <w:spacing w:before="240" w:after="240"/>
        <w:rPr>
          <w:color w:val="1155CC"/>
          <w:u w:val="single"/>
        </w:rPr>
      </w:pPr>
      <w:r>
        <w:t>[1] Mark</w:t>
      </w:r>
      <w:r>
        <w:t>s &amp; Spencer Group plc, “Annual Report and Financial Statements 2025,” 2025. Available:</w:t>
      </w:r>
      <w:hyperlink r:id="rId36">
        <w:r>
          <w:t xml:space="preserve"> </w:t>
        </w:r>
      </w:hyperlink>
      <w:hyperlink r:id="rId37">
        <w:r>
          <w:rPr>
            <w:color w:val="1155CC"/>
            <w:u w:val="single"/>
          </w:rPr>
          <w:t>https://corporate.marksandspencer.com/sites/marksan</w:t>
        </w:r>
        <w:r>
          <w:rPr>
            <w:color w:val="1155CC"/>
            <w:u w:val="single"/>
          </w:rPr>
          <w:t>dspencer/files/2025-05/Marks-and-Spencer-Group-plc-Annual-Report-and-Financial-Statements-2025_INTERACTIVE_FINAL.pdf</w:t>
        </w:r>
      </w:hyperlink>
    </w:p>
    <w:p w14:paraId="0000012C" w14:textId="77777777" w:rsidR="00B44354" w:rsidRDefault="00915488">
      <w:pPr>
        <w:spacing w:before="240" w:after="240"/>
        <w:rPr>
          <w:color w:val="1155CC"/>
          <w:u w:val="single"/>
        </w:rPr>
      </w:pPr>
      <w:r>
        <w:t>[2] The Co-operative Group, “Cyber incident update,” 2025. Available:</w:t>
      </w:r>
      <w:hyperlink r:id="rId38">
        <w:r>
          <w:t xml:space="preserve"> </w:t>
        </w:r>
      </w:hyperlink>
      <w:hyperlink r:id="rId39">
        <w:r>
          <w:rPr>
            <w:color w:val="1155CC"/>
            <w:u w:val="single"/>
          </w:rPr>
          <w:t>https://www.co-operative.coop/media/news-releases/cyber-incident-update</w:t>
        </w:r>
      </w:hyperlink>
    </w:p>
    <w:p w14:paraId="0000012D" w14:textId="77777777" w:rsidR="00B44354" w:rsidRDefault="00915488">
      <w:pPr>
        <w:spacing w:before="240" w:after="240"/>
        <w:rPr>
          <w:color w:val="1155CC"/>
          <w:u w:val="single"/>
        </w:rPr>
      </w:pPr>
      <w:r>
        <w:t>[3] The Co-operative Group, “Cyber incident: further update,” 2025. Ava</w:t>
      </w:r>
      <w:r>
        <w:t>ilable:</w:t>
      </w:r>
      <w:hyperlink r:id="rId40">
        <w:r>
          <w:t xml:space="preserve"> </w:t>
        </w:r>
      </w:hyperlink>
      <w:hyperlink r:id="rId41">
        <w:r>
          <w:rPr>
            <w:color w:val="1155CC"/>
            <w:u w:val="single"/>
          </w:rPr>
          <w:t>https://www.co-operative.coop/media/news-releases/</w:t>
        </w:r>
        <w:r>
          <w:rPr>
            <w:color w:val="1155CC"/>
            <w:u w:val="single"/>
          </w:rPr>
          <w:t>cyber-incident-further-update</w:t>
        </w:r>
      </w:hyperlink>
    </w:p>
    <w:p w14:paraId="0000012E" w14:textId="77777777" w:rsidR="00B44354" w:rsidRDefault="00915488">
      <w:pPr>
        <w:spacing w:before="240" w:after="240"/>
        <w:rPr>
          <w:color w:val="1155CC"/>
          <w:u w:val="single"/>
        </w:rPr>
      </w:pPr>
      <w:r>
        <w:t>[4] National Cyber Security Centre, “Support for organisations affected by the recent incidents impacting the retail sector,” 2025. Available:</w:t>
      </w:r>
      <w:hyperlink r:id="rId42">
        <w:r>
          <w:t xml:space="preserve"> </w:t>
        </w:r>
      </w:hyperlink>
      <w:hyperlink r:id="rId43">
        <w:r>
          <w:rPr>
            <w:color w:val="1155CC"/>
            <w:u w:val="single"/>
          </w:rPr>
          <w:t>https://www.ncsc.gov.uk/blog-post/incidents-impacting-retailers</w:t>
        </w:r>
      </w:hyperlink>
    </w:p>
    <w:p w14:paraId="0000012F" w14:textId="77777777" w:rsidR="00B44354" w:rsidRDefault="00915488">
      <w:pPr>
        <w:spacing w:before="240" w:after="240"/>
        <w:rPr>
          <w:color w:val="1155CC"/>
          <w:u w:val="single"/>
        </w:rPr>
      </w:pPr>
      <w:r>
        <w:t>[5] National Cyber Security Centre, “Incidents impacting retailers – recommendations from the NCSC,” 2025. Available:</w:t>
      </w:r>
      <w:hyperlink r:id="rId44">
        <w:r>
          <w:t xml:space="preserve"> </w:t>
        </w:r>
      </w:hyperlink>
      <w:hyperlink r:id="rId45">
        <w:r>
          <w:rPr>
            <w:color w:val="1155CC"/>
            <w:u w:val="single"/>
          </w:rPr>
          <w:t>https://www.ncsc.gov.uk/blog-post/incidents-impacting-retailers</w:t>
        </w:r>
      </w:hyperlink>
    </w:p>
    <w:p w14:paraId="00000130" w14:textId="77777777" w:rsidR="00B44354" w:rsidRDefault="00915488">
      <w:pPr>
        <w:spacing w:before="240" w:after="240"/>
        <w:rPr>
          <w:color w:val="1155CC"/>
          <w:u w:val="single"/>
        </w:rPr>
      </w:pPr>
      <w:r>
        <w:t>[6] Google Threat Intelligence, “Hardening guidance from the resurgent UNC3944/Scattered Spider threat,” 2025. Available:</w:t>
      </w:r>
      <w:hyperlink r:id="rId46">
        <w:r>
          <w:t xml:space="preserve"> </w:t>
        </w:r>
      </w:hyperlink>
      <w:hyperlink r:id="rId47">
        <w:r>
          <w:rPr>
            <w:color w:val="1155CC"/>
            <w:u w:val="single"/>
          </w:rPr>
          <w:t>https://security.googlecloudcommunity.com/news-announcements-9/index2.html</w:t>
        </w:r>
      </w:hyperlink>
    </w:p>
    <w:p w14:paraId="00000131" w14:textId="77777777" w:rsidR="00B44354" w:rsidRDefault="00915488">
      <w:pPr>
        <w:spacing w:before="240" w:after="240"/>
        <w:rPr>
          <w:color w:val="1155CC"/>
          <w:u w:val="single"/>
        </w:rPr>
      </w:pPr>
      <w:r>
        <w:t>[7] MITRE ATT&amp;CK, “Scattered Spider</w:t>
      </w:r>
      <w:r>
        <w:t>,” Group G1015. Available:</w:t>
      </w:r>
      <w:hyperlink r:id="rId48">
        <w:r>
          <w:t xml:space="preserve"> </w:t>
        </w:r>
      </w:hyperlink>
      <w:hyperlink r:id="rId49">
        <w:r>
          <w:rPr>
            <w:color w:val="1155CC"/>
            <w:u w:val="single"/>
          </w:rPr>
          <w:t>https://attack.mitre.org/groups/G1015/</w:t>
        </w:r>
      </w:hyperlink>
    </w:p>
    <w:p w14:paraId="00000132" w14:textId="77777777" w:rsidR="00B44354" w:rsidRDefault="00915488">
      <w:pPr>
        <w:spacing w:before="240" w:after="240"/>
        <w:rPr>
          <w:color w:val="1155CC"/>
          <w:u w:val="single"/>
        </w:rPr>
      </w:pPr>
      <w:r>
        <w:t>[8] MITRE ATT&amp;CK, “Valid Accounts,” Technique T1078. Available:</w:t>
      </w:r>
      <w:hyperlink r:id="rId50">
        <w:r>
          <w:t xml:space="preserve"> </w:t>
        </w:r>
      </w:hyperlink>
      <w:hyperlink r:id="rId51">
        <w:r>
          <w:rPr>
            <w:color w:val="1155CC"/>
            <w:u w:val="single"/>
          </w:rPr>
          <w:t>https://attack.mitre.org/techniques/T1078/</w:t>
        </w:r>
      </w:hyperlink>
    </w:p>
    <w:p w14:paraId="00000133" w14:textId="77777777" w:rsidR="00B44354" w:rsidRDefault="00915488">
      <w:pPr>
        <w:spacing w:before="240" w:after="240"/>
        <w:rPr>
          <w:color w:val="1155CC"/>
          <w:u w:val="single"/>
        </w:rPr>
      </w:pPr>
      <w:r>
        <w:t>[9] MITRE ATT&amp;CK, “Multi-Factor Authentication Request Generation,” Technique T1621. Available:</w:t>
      </w:r>
      <w:hyperlink r:id="rId52">
        <w:r>
          <w:t xml:space="preserve"> </w:t>
        </w:r>
      </w:hyperlink>
      <w:hyperlink r:id="rId53">
        <w:r>
          <w:rPr>
            <w:color w:val="1155CC"/>
            <w:u w:val="single"/>
          </w:rPr>
          <w:t>https://attack.mitre.org/techniques/T1621/</w:t>
        </w:r>
      </w:hyperlink>
    </w:p>
    <w:p w14:paraId="00000134" w14:textId="77777777" w:rsidR="00B44354" w:rsidRDefault="00915488">
      <w:pPr>
        <w:spacing w:before="240" w:after="240"/>
        <w:rPr>
          <w:color w:val="1155CC"/>
          <w:u w:val="single"/>
        </w:rPr>
      </w:pPr>
      <w:r>
        <w:t>[10] MITRE ATT&amp;CK, “Active Scanning,” Technique T1595. Available:</w:t>
      </w:r>
      <w:hyperlink r:id="rId54">
        <w:r>
          <w:t xml:space="preserve"> </w:t>
        </w:r>
      </w:hyperlink>
      <w:hyperlink r:id="rId55">
        <w:r>
          <w:rPr>
            <w:color w:val="1155CC"/>
            <w:u w:val="single"/>
          </w:rPr>
          <w:t>https://attack.mitre.org/techniques/T1595/</w:t>
        </w:r>
      </w:hyperlink>
    </w:p>
    <w:p w14:paraId="00000135" w14:textId="77777777" w:rsidR="00B44354" w:rsidRDefault="00915488">
      <w:pPr>
        <w:spacing w:before="240" w:after="240"/>
        <w:rPr>
          <w:color w:val="1155CC"/>
          <w:u w:val="single"/>
        </w:rPr>
      </w:pPr>
      <w:r>
        <w:t>[11] MITRE ATT&amp;CK, “Exploitation of Remote Services,” Technique T1210. Available:</w:t>
      </w:r>
      <w:hyperlink r:id="rId56">
        <w:r>
          <w:t xml:space="preserve"> </w:t>
        </w:r>
      </w:hyperlink>
      <w:hyperlink r:id="rId57">
        <w:r>
          <w:rPr>
            <w:color w:val="1155CC"/>
            <w:u w:val="single"/>
          </w:rPr>
          <w:t>https://attack.mitre.org/techniques/T1210/</w:t>
        </w:r>
      </w:hyperlink>
    </w:p>
    <w:p w14:paraId="00000136" w14:textId="77777777" w:rsidR="00B44354" w:rsidRDefault="00915488">
      <w:pPr>
        <w:spacing w:before="240" w:after="240"/>
        <w:rPr>
          <w:color w:val="1155CC"/>
          <w:u w:val="single"/>
        </w:rPr>
      </w:pPr>
      <w:r>
        <w:t>[12] MITRE ATT&amp;CK, “Command and Scripting Interpreter,” Technique T1059. Available:</w:t>
      </w:r>
      <w:hyperlink r:id="rId58">
        <w:r>
          <w:t xml:space="preserve"> </w:t>
        </w:r>
      </w:hyperlink>
      <w:hyperlink r:id="rId59">
        <w:r>
          <w:rPr>
            <w:color w:val="1155CC"/>
            <w:u w:val="single"/>
          </w:rPr>
          <w:t>https://attack.mitre.org/techniques/T1059/</w:t>
        </w:r>
      </w:hyperlink>
    </w:p>
    <w:p w14:paraId="00000137" w14:textId="77777777" w:rsidR="00B44354" w:rsidRDefault="00915488">
      <w:pPr>
        <w:spacing w:before="240" w:after="240"/>
        <w:rPr>
          <w:color w:val="1155CC"/>
          <w:u w:val="single"/>
        </w:rPr>
      </w:pPr>
      <w:r>
        <w:t xml:space="preserve">[13] </w:t>
      </w:r>
      <w:r>
        <w:t>OWASP Foundation, “Command Injection.” Available:</w:t>
      </w:r>
      <w:hyperlink r:id="rId60">
        <w:r>
          <w:t xml:space="preserve"> </w:t>
        </w:r>
      </w:hyperlink>
      <w:hyperlink r:id="rId61">
        <w:r>
          <w:rPr>
            <w:color w:val="1155CC"/>
            <w:u w:val="single"/>
          </w:rPr>
          <w:t>https://owasp.org/www-community/attacks/Command_Injection</w:t>
        </w:r>
      </w:hyperlink>
    </w:p>
    <w:p w14:paraId="00000138" w14:textId="77777777" w:rsidR="00B44354" w:rsidRDefault="00915488">
      <w:pPr>
        <w:spacing w:before="240" w:after="240"/>
        <w:rPr>
          <w:color w:val="1155CC"/>
          <w:u w:val="single"/>
        </w:rPr>
      </w:pPr>
      <w:r>
        <w:t>[14] National Vulnerability Database, “CVE-2004-2687 Detail.” Available:</w:t>
      </w:r>
      <w:hyperlink r:id="rId62">
        <w:r>
          <w:t xml:space="preserve"> </w:t>
        </w:r>
      </w:hyperlink>
      <w:hyperlink r:id="rId63">
        <w:r>
          <w:rPr>
            <w:color w:val="1155CC"/>
            <w:u w:val="single"/>
          </w:rPr>
          <w:t>https://nvd.nist.gov/vuln/detail/CVE-2004-2687</w:t>
        </w:r>
      </w:hyperlink>
    </w:p>
    <w:p w14:paraId="00000139" w14:textId="77777777" w:rsidR="00B44354" w:rsidRDefault="00915488">
      <w:pPr>
        <w:spacing w:before="240" w:after="240"/>
        <w:rPr>
          <w:color w:val="1155CC"/>
          <w:u w:val="single"/>
        </w:rPr>
      </w:pPr>
      <w:r>
        <w:t>[15] Microsoft, “Microsoft Security Bulletin MS17-010 – Critical,” 2017. Available:</w:t>
      </w:r>
      <w:hyperlink r:id="rId64">
        <w:r>
          <w:t xml:space="preserve"> </w:t>
        </w:r>
      </w:hyperlink>
      <w:hyperlink r:id="rId65">
        <w:r>
          <w:rPr>
            <w:color w:val="1155CC"/>
            <w:u w:val="single"/>
          </w:rPr>
          <w:t>https://learn.microsoft.com/en-us/security-updates/securitybulletins/2017/ms17-010</w:t>
        </w:r>
      </w:hyperlink>
    </w:p>
    <w:p w14:paraId="0000013A" w14:textId="77777777" w:rsidR="00B44354" w:rsidRDefault="00915488">
      <w:pPr>
        <w:spacing w:before="240" w:after="240"/>
        <w:rPr>
          <w:color w:val="1155CC"/>
          <w:u w:val="single"/>
        </w:rPr>
      </w:pPr>
      <w:r>
        <w:t>[16] National Cyber Security Centre, “NCSC Annual Review 2025.” Available:</w:t>
      </w:r>
      <w:hyperlink r:id="rId66">
        <w:r>
          <w:t xml:space="preserve"> </w:t>
        </w:r>
      </w:hyperlink>
      <w:hyperlink r:id="rId67">
        <w:r>
          <w:rPr>
            <w:color w:val="1155CC"/>
            <w:u w:val="single"/>
          </w:rPr>
          <w:t>https://www.ncsc.gov.uk/collection/ncsc-annual-review-2025</w:t>
        </w:r>
      </w:hyperlink>
    </w:p>
    <w:p w14:paraId="0000013B" w14:textId="77777777" w:rsidR="00B44354" w:rsidRDefault="00915488">
      <w:pPr>
        <w:spacing w:before="240" w:after="240"/>
      </w:pPr>
      <w:r>
        <w:t>[17] The Co-operative Group, “Co-op partners with The</w:t>
      </w:r>
      <w:r>
        <w:t xml:space="preserve"> Hacking Games to help prevent future cybercrime,” 2025. Available:</w:t>
      </w:r>
      <w:hyperlink r:id="rId68">
        <w:r>
          <w:t xml:space="preserve"> </w:t>
        </w:r>
      </w:hyperlink>
      <w:hyperlink r:id="rId69">
        <w:r>
          <w:rPr>
            <w:color w:val="1155CC"/>
            <w:u w:val="single"/>
          </w:rPr>
          <w:t>https://www.co-operative.coop/media/news-releases/co-op-partners-with-the-hacking-games-to-help-prevent-future-cybercrime</w:t>
        </w:r>
      </w:hyperlink>
    </w:p>
    <w:p w14:paraId="0000013C" w14:textId="77777777" w:rsidR="00B44354" w:rsidRDefault="00915488">
      <w:pPr>
        <w:spacing w:before="240" w:after="240"/>
      </w:pPr>
      <w:r>
        <w:t xml:space="preserve">[18] Oracle, “Oracle VM VirtualBox User </w:t>
      </w:r>
      <w:r>
        <w:t>Manual: Networking in VirtualBox.” Available:</w:t>
      </w:r>
      <w:hyperlink r:id="rId70">
        <w:r>
          <w:t xml:space="preserve"> </w:t>
        </w:r>
      </w:hyperlink>
      <w:hyperlink r:id="rId71">
        <w:r>
          <w:rPr>
            <w:color w:val="1155CC"/>
            <w:u w:val="single"/>
          </w:rPr>
          <w:t>https://www.virtualbox.org/manual/ch06.html</w:t>
        </w:r>
      </w:hyperlink>
    </w:p>
    <w:p w14:paraId="0000013D" w14:textId="77777777" w:rsidR="00B44354" w:rsidRDefault="00915488">
      <w:pPr>
        <w:spacing w:before="240" w:after="240"/>
      </w:pPr>
      <w:r>
        <w:t>[19] Digininja, “Damn Vulnerable Web App</w:t>
      </w:r>
      <w:r>
        <w:t>lication (DVWA).” Available:</w:t>
      </w:r>
      <w:hyperlink r:id="rId72">
        <w:r>
          <w:t xml:space="preserve"> </w:t>
        </w:r>
      </w:hyperlink>
      <w:hyperlink r:id="rId73">
        <w:r>
          <w:rPr>
            <w:color w:val="1155CC"/>
            <w:u w:val="single"/>
          </w:rPr>
          <w:t>https://github.com/digininja/DVWA</w:t>
        </w:r>
      </w:hyperlink>
    </w:p>
    <w:p w14:paraId="0000013E" w14:textId="77777777" w:rsidR="00B44354" w:rsidRDefault="00915488">
      <w:pPr>
        <w:spacing w:before="240" w:after="240"/>
      </w:pPr>
      <w:r>
        <w:t>[20] PortSwigger Web Security Academy, “OS command injection.” Available:</w:t>
      </w:r>
      <w:hyperlink r:id="rId74">
        <w:r>
          <w:t xml:space="preserve"> </w:t>
        </w:r>
      </w:hyperlink>
      <w:hyperlink r:id="rId75">
        <w:r>
          <w:rPr>
            <w:color w:val="1155CC"/>
            <w:u w:val="single"/>
          </w:rPr>
          <w:t>https://portswigger.net/web-security/os-command-injection</w:t>
        </w:r>
      </w:hyperlink>
    </w:p>
    <w:p w14:paraId="0000013F" w14:textId="77777777" w:rsidR="00B44354" w:rsidRDefault="00915488">
      <w:pPr>
        <w:spacing w:before="240" w:after="240"/>
      </w:pPr>
      <w:r>
        <w:t>[21] M. N. Alenezi and M. Alqurishi, "Ransomware Evolutio</w:t>
      </w:r>
      <w:r>
        <w:t xml:space="preserve">n and Mitigation: A Comprehensive Survey," </w:t>
      </w:r>
      <w:r>
        <w:rPr>
          <w:i/>
          <w:iCs/>
        </w:rPr>
        <w:t>IEEE Access</w:t>
      </w:r>
      <w:r>
        <w:t>, vol. 9, pp. 112140-112157, 2021.</w:t>
      </w:r>
    </w:p>
    <w:p w14:paraId="00000140" w14:textId="77777777" w:rsidR="00B44354" w:rsidRDefault="00915488">
      <w:pPr>
        <w:spacing w:before="240" w:after="240"/>
      </w:pPr>
      <w:r>
        <w:t xml:space="preserve">[22] L. K. Hansen et al., "Understanding the Susceptibility of Multi-Factor Authentication to Social Engineering," </w:t>
      </w:r>
      <w:r>
        <w:rPr>
          <w:i/>
          <w:iCs/>
        </w:rPr>
        <w:t>Proceedings of the ACM/IEEE Symposium on Edge Comput</w:t>
      </w:r>
      <w:r>
        <w:rPr>
          <w:i/>
          <w:iCs/>
        </w:rPr>
        <w:t>ing</w:t>
      </w:r>
      <w:r>
        <w:t>, pp. 245-258, 2022.</w:t>
      </w:r>
    </w:p>
    <w:p w14:paraId="00000141" w14:textId="77777777" w:rsidR="00B44354" w:rsidRDefault="00B44354">
      <w:pPr>
        <w:spacing w:after="60"/>
      </w:pPr>
    </w:p>
    <w:p w14:paraId="00000142" w14:textId="77777777" w:rsidR="00B44354" w:rsidRDefault="00915488">
      <w:pPr>
        <w:pStyle w:val="Heading1"/>
        <w:spacing w:before="120" w:after="120"/>
        <w:rPr>
          <w:sz w:val="24"/>
          <w:szCs w:val="24"/>
        </w:rPr>
      </w:pPr>
      <w:r>
        <w:br w:type="page"/>
      </w:r>
    </w:p>
    <w:p w14:paraId="00000143" w14:textId="77777777" w:rsidR="00B44354" w:rsidRDefault="00915488">
      <w:pPr>
        <w:pStyle w:val="Heading1"/>
        <w:spacing w:before="120" w:after="120"/>
      </w:pPr>
      <w:r>
        <w:t>Appendix A: Rules of Engagement (RoE) - ABCD Ltd</w:t>
      </w:r>
    </w:p>
    <w:p w14:paraId="00000144" w14:textId="77777777" w:rsidR="00B44354" w:rsidRDefault="00915488">
      <w:pPr>
        <w:numPr>
          <w:ilvl w:val="0"/>
          <w:numId w:val="3"/>
        </w:numPr>
      </w:pPr>
      <w:r>
        <w:rPr>
          <w:b/>
          <w:bCs/>
        </w:rPr>
        <w:t>Client:</w:t>
      </w:r>
      <w:r>
        <w:t xml:space="preserve"> ABCD Ltd.</w:t>
      </w:r>
    </w:p>
    <w:p w14:paraId="00000145" w14:textId="77777777" w:rsidR="00B44354" w:rsidRDefault="00915488">
      <w:pPr>
        <w:numPr>
          <w:ilvl w:val="0"/>
          <w:numId w:val="3"/>
        </w:numPr>
      </w:pPr>
      <w:r>
        <w:rPr>
          <w:b/>
          <w:bCs/>
        </w:rPr>
        <w:t>Scope:</w:t>
      </w:r>
      <w:r>
        <w:t xml:space="preserve"> All testing is strictly limited to the isolated 192.168.56.0/24 subnet.</w:t>
      </w:r>
    </w:p>
    <w:p w14:paraId="00000146" w14:textId="77777777" w:rsidR="00B44354" w:rsidRDefault="00915488">
      <w:pPr>
        <w:numPr>
          <w:ilvl w:val="0"/>
          <w:numId w:val="3"/>
        </w:numPr>
      </w:pPr>
      <w:r>
        <w:rPr>
          <w:b/>
          <w:bCs/>
        </w:rPr>
        <w:t>Permitted Techniques:</w:t>
      </w:r>
      <w:r>
        <w:t xml:space="preserve"> Active reconnaissance, network scanning, application-layer exploitation, and privilege escalation using simulated C2 frameworks.</w:t>
      </w:r>
    </w:p>
    <w:p w14:paraId="00000147" w14:textId="77777777" w:rsidR="00B44354" w:rsidRDefault="00915488">
      <w:pPr>
        <w:numPr>
          <w:ilvl w:val="0"/>
          <w:numId w:val="3"/>
        </w:numPr>
      </w:pPr>
      <w:r>
        <w:rPr>
          <w:b/>
          <w:bCs/>
        </w:rPr>
        <w:t>Excluded Systems:</w:t>
      </w:r>
      <w:r>
        <w:t xml:space="preserve"> No testing will be conducted against out-of-scope production environments, third-party infrastructure, or ex</w:t>
      </w:r>
      <w:r>
        <w:t>ternal public IP addresses. Denial of Service (DoS) attacks are strictly prohibited.</w:t>
      </w:r>
    </w:p>
    <w:p w14:paraId="00000148" w14:textId="77777777" w:rsidR="00B44354" w:rsidRDefault="00915488">
      <w:pPr>
        <w:numPr>
          <w:ilvl w:val="0"/>
          <w:numId w:val="3"/>
        </w:numPr>
      </w:pPr>
      <w:r>
        <w:rPr>
          <w:b/>
          <w:bCs/>
        </w:rPr>
        <w:t>Kill Switch / Communication:</w:t>
      </w:r>
      <w:r>
        <w:t xml:space="preserve"> If ABCD Ltd management detects unmanageable disruption, they will issue the safe-word "RED-STOP" via the primary communication channel, and al</w:t>
      </w:r>
      <w:r>
        <w:t>l offensive operations will cease immediately.</w:t>
      </w:r>
    </w:p>
    <w:p w14:paraId="00000149" w14:textId="77777777" w:rsidR="00B44354" w:rsidRDefault="00B44354"/>
    <w:p w14:paraId="0000014A" w14:textId="77777777" w:rsidR="00B44354" w:rsidRDefault="00B44354">
      <w:pPr>
        <w:spacing w:after="60"/>
      </w:pPr>
    </w:p>
    <w:sectPr w:rsidR="00B44354">
      <w:headerReference w:type="default" r:id="rId76"/>
      <w:pgSz w:w="12240" w:h="15840"/>
      <w:pgMar w:top="1152" w:right="1224" w:bottom="1152" w:left="1224"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2AD1C" w14:textId="77777777" w:rsidR="00915488" w:rsidRDefault="00915488">
      <w:pPr>
        <w:spacing w:after="0" w:line="240" w:lineRule="auto"/>
      </w:pPr>
      <w:r>
        <w:separator/>
      </w:r>
    </w:p>
  </w:endnote>
  <w:endnote w:type="continuationSeparator" w:id="0">
    <w:p w14:paraId="3F50B50B" w14:textId="77777777" w:rsidR="00915488" w:rsidRDefault="00915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embedRegular r:id="rId1" w:fontKey="{43B745D2-A5C4-4830-AD57-BFC0106E225F}"/>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99AE0B74-3FA0-4D1E-9906-D630998EEFF3}"/>
    <w:embedItalic r:id="rId3" w:fontKey="{A5603667-64AA-4D96-9996-CC4BFB5728C5}"/>
    <w:embedBoldItalic r:id="rId4" w:fontKey="{67CFDFAC-236B-4D97-96AC-27F5DF750D3A}"/>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E332FBFE-5F9C-4D76-9C2B-B33AE31DD3AA}"/>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A00AB" w14:textId="77777777" w:rsidR="00915488" w:rsidRDefault="00915488">
      <w:pPr>
        <w:spacing w:after="0" w:line="240" w:lineRule="auto"/>
      </w:pPr>
      <w:r>
        <w:separator/>
      </w:r>
    </w:p>
  </w:footnote>
  <w:footnote w:type="continuationSeparator" w:id="0">
    <w:p w14:paraId="7EBC0FDC" w14:textId="77777777" w:rsidR="00915488" w:rsidRDefault="009154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4B" w14:textId="77777777" w:rsidR="00B44354" w:rsidRDefault="00B4435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938C3"/>
    <w:multiLevelType w:val="multilevel"/>
    <w:tmpl w:val="BF04841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360"/>
      </w:pPr>
    </w:lvl>
  </w:abstractNum>
  <w:abstractNum w:abstractNumId="1" w15:restartNumberingAfterBreak="0">
    <w:nsid w:val="36CF6205"/>
    <w:multiLevelType w:val="multilevel"/>
    <w:tmpl w:val="26A4B88E"/>
    <w:lvl w:ilvl="0">
      <w:start w:val="1"/>
      <w:numFmt w:val="decimal"/>
      <w:lvlText w:val="%1)"/>
      <w:lvlJc w:val="left"/>
      <w:pPr>
        <w:ind w:left="360" w:hanging="360"/>
      </w:pPr>
      <w:rPr>
        <w:rFonts w:ascii="Noto Sans Symbols" w:eastAsia="Noto Sans Symbols" w:hAnsi="Noto Sans Symbols" w:cs="Noto Sans Symbols"/>
      </w:rPr>
    </w:lvl>
    <w:lvl w:ilvl="1">
      <w:start w:val="1"/>
      <w:numFmt w:val="lowerLetter"/>
      <w:lvlText w:val="%2)"/>
      <w:lvlJc w:val="left"/>
      <w:pPr>
        <w:ind w:left="0" w:firstLine="0"/>
      </w:pPr>
    </w:lvl>
    <w:lvl w:ilvl="2">
      <w:start w:val="1"/>
      <w:numFmt w:val="lowerRoman"/>
      <w:lvlText w:val="%3)"/>
      <w:lvlJc w:val="right"/>
      <w:pPr>
        <w:ind w:left="0" w:firstLine="0"/>
      </w:pPr>
    </w:lvl>
    <w:lvl w:ilvl="3">
      <w:start w:val="1"/>
      <w:numFmt w:val="decimal"/>
      <w:lvlText w:val="(%4)"/>
      <w:lvlJc w:val="left"/>
      <w:pPr>
        <w:ind w:left="0" w:firstLine="0"/>
      </w:pPr>
    </w:lvl>
    <w:lvl w:ilvl="4">
      <w:start w:val="1"/>
      <w:numFmt w:val="lowerLetter"/>
      <w:lvlText w:val="(%5)"/>
      <w:lvlJc w:val="left"/>
      <w:pPr>
        <w:ind w:left="0" w:firstLine="0"/>
      </w:pPr>
    </w:lvl>
    <w:lvl w:ilvl="5">
      <w:start w:val="1"/>
      <w:numFmt w:val="lowerRoman"/>
      <w:lvlText w:val="(%6)"/>
      <w:lvlJc w:val="right"/>
      <w:pPr>
        <w:ind w:left="0" w:firstLine="0"/>
      </w:pPr>
    </w:lvl>
    <w:lvl w:ilvl="6">
      <w:start w:val="1"/>
      <w:numFmt w:val="decimal"/>
      <w:lvlText w:val="%7."/>
      <w:lvlJc w:val="left"/>
      <w:pPr>
        <w:ind w:left="0" w:firstLine="0"/>
      </w:pPr>
    </w:lvl>
    <w:lvl w:ilvl="7">
      <w:start w:val="1"/>
      <w:numFmt w:val="lowerLetter"/>
      <w:lvlText w:val="%8."/>
      <w:lvlJc w:val="left"/>
      <w:pPr>
        <w:ind w:left="0" w:firstLine="0"/>
      </w:pPr>
    </w:lvl>
    <w:lvl w:ilvl="8">
      <w:start w:val="1"/>
      <w:numFmt w:val="lowerRoman"/>
      <w:lvlText w:val="%9."/>
      <w:lvlJc w:val="right"/>
      <w:pPr>
        <w:ind w:left="0" w:firstLine="0"/>
      </w:pPr>
    </w:lvl>
  </w:abstractNum>
  <w:abstractNum w:abstractNumId="2" w15:restartNumberingAfterBreak="0">
    <w:nsid w:val="5B51000F"/>
    <w:multiLevelType w:val="multilevel"/>
    <w:tmpl w:val="D860863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4354"/>
    <w:rsid w:val="00915488"/>
    <w:rsid w:val="00AE1677"/>
    <w:rsid w:val="00B443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E9759"/>
  <w15:docId w15:val="{FDA53DDD-C0B6-4300-B965-F9FC68577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bCs/>
      <w:color w:val="366091"/>
      <w:sz w:val="32"/>
      <w:szCs w:val="32"/>
    </w:rPr>
  </w:style>
  <w:style w:type="paragraph" w:styleId="Heading2">
    <w:name w:val="heading 2"/>
    <w:basedOn w:val="Normal"/>
    <w:next w:val="Normal"/>
    <w:uiPriority w:val="9"/>
    <w:unhideWhenUsed/>
    <w:qFormat/>
    <w:pPr>
      <w:keepNext/>
      <w:keepLines/>
      <w:spacing w:before="200" w:after="0"/>
      <w:outlineLvl w:val="1"/>
    </w:pPr>
    <w:rPr>
      <w:b/>
      <w:bCs/>
      <w:color w:val="4F81BD"/>
      <w:sz w:val="28"/>
      <w:szCs w:val="28"/>
    </w:rPr>
  </w:style>
  <w:style w:type="paragraph" w:styleId="Heading3">
    <w:name w:val="heading 3"/>
    <w:basedOn w:val="Normal"/>
    <w:next w:val="Normal"/>
    <w:uiPriority w:val="9"/>
    <w:semiHidden/>
    <w:unhideWhenUsed/>
    <w:qFormat/>
    <w:pPr>
      <w:keepNext/>
      <w:keepLines/>
      <w:spacing w:before="200" w:after="0"/>
      <w:outlineLvl w:val="2"/>
    </w:pPr>
    <w:rPr>
      <w:b/>
      <w:bCs/>
      <w:color w:val="4F81BD"/>
      <w:sz w:val="22"/>
      <w:szCs w:val="22"/>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b/>
      <w:bCs/>
      <w:color w:val="17365D"/>
      <w:sz w:val="36"/>
      <w:szCs w:val="36"/>
    </w:rPr>
  </w:style>
  <w:style w:type="paragraph" w:styleId="Subtitle">
    <w:name w:val="Subtitle"/>
    <w:basedOn w:val="Normal"/>
    <w:next w:val="Normal"/>
    <w:uiPriority w:val="11"/>
    <w:qFormat/>
    <w:rPr>
      <w:i/>
      <w:iCs/>
      <w:color w:val="4F81BD"/>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4">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ncsc.gov.uk/blog-post/incidents-impacting-retailers" TargetMode="External"/><Relationship Id="rId47" Type="http://schemas.openxmlformats.org/officeDocument/2006/relationships/hyperlink" Target="https://security.googlecloudcommunity.com/news-announcements-9/index2.html" TargetMode="External"/><Relationship Id="rId63" Type="http://schemas.openxmlformats.org/officeDocument/2006/relationships/hyperlink" Target="https://nvd.nist.gov/vuln/detail/CVE-2004-2687" TargetMode="External"/><Relationship Id="rId68" Type="http://schemas.openxmlformats.org/officeDocument/2006/relationships/hyperlink" Target="https://www.co-operative.coop/media/news-releases/co-op-partners-with-the-hacking-games-to-help-prevent-future-cybercrime"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corporate.marksandspencer.com/sites/marksandspencer/files/2025-05/Marks-and-Spencer-Group-plc-Annual-Report-and-Financial-Statements-2025_INTERACTIVE_FINAL.pdf" TargetMode="External"/><Relationship Id="rId40" Type="http://schemas.openxmlformats.org/officeDocument/2006/relationships/hyperlink" Target="https://www.co-operative.coop/media/news-releases/cyber-incident-further-update" TargetMode="External"/><Relationship Id="rId45" Type="http://schemas.openxmlformats.org/officeDocument/2006/relationships/hyperlink" Target="https://www.ncsc.gov.uk/blog-post/incidents-impacting-retailers" TargetMode="External"/><Relationship Id="rId53" Type="http://schemas.openxmlformats.org/officeDocument/2006/relationships/hyperlink" Target="https://attack.mitre.org/techniques/T1621/" TargetMode="External"/><Relationship Id="rId58" Type="http://schemas.openxmlformats.org/officeDocument/2006/relationships/hyperlink" Target="https://attack.mitre.org/techniques/T1059/" TargetMode="External"/><Relationship Id="rId66" Type="http://schemas.openxmlformats.org/officeDocument/2006/relationships/hyperlink" Target="https://www.ncsc.gov.uk/collection/ncsc-annual-review-2025" TargetMode="External"/><Relationship Id="rId74" Type="http://schemas.openxmlformats.org/officeDocument/2006/relationships/hyperlink" Target="https://portswigger.net/web-security/os-command-injection" TargetMode="External"/><Relationship Id="rId5" Type="http://schemas.openxmlformats.org/officeDocument/2006/relationships/webSettings" Target="webSettings.xml"/><Relationship Id="rId61" Type="http://schemas.openxmlformats.org/officeDocument/2006/relationships/hyperlink" Target="https://owasp.org/www-community/attacks/Command_Injection"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www.ncsc.gov.uk/blog-post/incidents-impacting-retailers" TargetMode="External"/><Relationship Id="rId48" Type="http://schemas.openxmlformats.org/officeDocument/2006/relationships/hyperlink" Target="https://attack.mitre.org/groups/G1015/" TargetMode="External"/><Relationship Id="rId56" Type="http://schemas.openxmlformats.org/officeDocument/2006/relationships/hyperlink" Target="https://attack.mitre.org/techniques/T1210/" TargetMode="External"/><Relationship Id="rId64" Type="http://schemas.openxmlformats.org/officeDocument/2006/relationships/hyperlink" Target="https://learn.microsoft.com/en-us/security-updates/securitybulletins/2017/ms17-010" TargetMode="External"/><Relationship Id="rId69" Type="http://schemas.openxmlformats.org/officeDocument/2006/relationships/hyperlink" Target="https://www.co-operative.coop/media/news-releases/co-op-partners-with-the-hacking-games-to-help-prevent-future-cybercrime" TargetMode="External"/><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attack.mitre.org/techniques/T1078/" TargetMode="External"/><Relationship Id="rId72" Type="http://schemas.openxmlformats.org/officeDocument/2006/relationships/hyperlink" Target="https://github.com/digininja/DVWA"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co-operative.coop/media/news-releases/cyber-incident-update" TargetMode="External"/><Relationship Id="rId46" Type="http://schemas.openxmlformats.org/officeDocument/2006/relationships/hyperlink" Target="https://security.googlecloudcommunity.com/news-announcements-9/index2.html" TargetMode="External"/><Relationship Id="rId59" Type="http://schemas.openxmlformats.org/officeDocument/2006/relationships/hyperlink" Target="https://attack.mitre.org/techniques/T1059/" TargetMode="External"/><Relationship Id="rId67" Type="http://schemas.openxmlformats.org/officeDocument/2006/relationships/hyperlink" Target="https://www.ncsc.gov.uk/collection/ncsc-annual-review-2025" TargetMode="External"/><Relationship Id="rId20" Type="http://schemas.openxmlformats.org/officeDocument/2006/relationships/image" Target="media/image13.png"/><Relationship Id="rId41" Type="http://schemas.openxmlformats.org/officeDocument/2006/relationships/hyperlink" Target="https://www.co-operative.coop/media/news-releases/cyber-incident-further-update" TargetMode="External"/><Relationship Id="rId54" Type="http://schemas.openxmlformats.org/officeDocument/2006/relationships/hyperlink" Target="https://attack.mitre.org/techniques/T1595/" TargetMode="External"/><Relationship Id="rId62" Type="http://schemas.openxmlformats.org/officeDocument/2006/relationships/hyperlink" Target="https://nvd.nist.gov/vuln/detail/CVE-2004-2687" TargetMode="External"/><Relationship Id="rId70" Type="http://schemas.openxmlformats.org/officeDocument/2006/relationships/hyperlink" Target="https://www.virtualbox.org/manual/ch06.html" TargetMode="External"/><Relationship Id="rId75" Type="http://schemas.openxmlformats.org/officeDocument/2006/relationships/hyperlink" Target="https://portswigger.net/web-security/os-command-inject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corporate.marksandspencer.com/sites/marksandspencer/files/2025-05/Marks-and-Spencer-Group-plc-Annual-Report-and-Financial-Statements-2025_INTERACTIVE_FINAL.pdf" TargetMode="External"/><Relationship Id="rId49" Type="http://schemas.openxmlformats.org/officeDocument/2006/relationships/hyperlink" Target="https://attack.mitre.org/groups/G1015/" TargetMode="External"/><Relationship Id="rId57" Type="http://schemas.openxmlformats.org/officeDocument/2006/relationships/hyperlink" Target="https://attack.mitre.org/techniques/T1210/"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ncsc.gov.uk/blog-post/incidents-impacting-retailers" TargetMode="External"/><Relationship Id="rId52" Type="http://schemas.openxmlformats.org/officeDocument/2006/relationships/hyperlink" Target="https://attack.mitre.org/techniques/T1621/" TargetMode="External"/><Relationship Id="rId60" Type="http://schemas.openxmlformats.org/officeDocument/2006/relationships/hyperlink" Target="https://owasp.org/www-community/attacks/Command_Injection" TargetMode="External"/><Relationship Id="rId65" Type="http://schemas.openxmlformats.org/officeDocument/2006/relationships/hyperlink" Target="https://learn.microsoft.com/en-us/security-updates/securitybulletins/2017/ms17-010" TargetMode="External"/><Relationship Id="rId73" Type="http://schemas.openxmlformats.org/officeDocument/2006/relationships/hyperlink" Target="https://github.com/digininja/DVWA"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co-operative.coop/media/news-releases/cyber-incident-update" TargetMode="External"/><Relationship Id="rId34" Type="http://schemas.openxmlformats.org/officeDocument/2006/relationships/image" Target="media/image27.png"/><Relationship Id="rId50" Type="http://schemas.openxmlformats.org/officeDocument/2006/relationships/hyperlink" Target="https://attack.mitre.org/techniques/T1078/" TargetMode="External"/><Relationship Id="rId55" Type="http://schemas.openxmlformats.org/officeDocument/2006/relationships/hyperlink" Target="https://attack.mitre.org/techniques/T1595/" TargetMode="External"/><Relationship Id="rId76"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hyperlink" Target="https://www.virtualbox.org/manual/ch06.html" TargetMode="External"/><Relationship Id="rId2" Type="http://schemas.openxmlformats.org/officeDocument/2006/relationships/numbering" Target="numbering.xml"/><Relationship Id="rId29" Type="http://schemas.openxmlformats.org/officeDocument/2006/relationships/image" Target="media/image2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5BjiBDOfLoqmgMJHSwfC+Frqi9A==">CgMxLjAyDmgua2R0eHNsNjE0bWs2Mg5oLmV3ZG5hOTZmaWlmdzIOaC5nc2tlc3g4YnJiMjMyDWgudml0eDA1YnMzaWwyDmgub3B6OXNsN2VraWQ2Mg5oLno2dDc1Mjk0cjV0NjIOaC4ybmltOWc3Mm5namwyDmguNXI0c3phbmc1NDJnMg5oLmh2MWc1djJpZjE5YTIOaC5nMXd4c21uMWcycGMyDmguZnNwOWhlNTkzaTV6Mg5oLmtieHV0ZHB0cmpyaTIOaC5xeHhieHNuem5zNWgyDmgueGNlamd5YjZpOTMxMg5oLmUwOGJwM3lheTBiZjIOaC55aTloZDMxYmhkNGEyDmguMTZ1ZDYzM3dlZHd6Mg5oLmN1cm94Z2hlbHJ4dTINaC5jaHYyNGVkeDd5bDIOaC5sbzk2cjZseTNqdGY4AHIhMWJlZDN0QmR6Zm9kVFJXeHhNYkFCUm9ZaFdvUXc1Ulc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40</Pages>
  <Words>5943</Words>
  <Characters>33877</Characters>
  <Application>Microsoft Office Word</Application>
  <DocSecurity>0</DocSecurity>
  <Lines>282</Lines>
  <Paragraphs>79</Paragraphs>
  <ScaleCrop>false</ScaleCrop>
  <Company/>
  <LinksUpToDate>false</LinksUpToDate>
  <CharactersWithSpaces>39741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Zannatul Mawya Priya</cp:lastModifiedBy>
  <cp:revision>2</cp:revision>
  <dcterms:created xsi:type="dcterms:W3CDTF">2026-04-27T14:18:00Z</dcterms:created>
  <dcterms:modified xsi:type="dcterms:W3CDTF">2026-04-27T14:43:00Z</dcterms:modified>
</cp:coreProperties>
</file>