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4D2D8F" w14:textId="77777777" w:rsidR="00950673" w:rsidRPr="00950673" w:rsidRDefault="00950673" w:rsidP="00950673">
      <w:pPr>
        <w:spacing w:before="240" w:after="720" w:line="562" w:lineRule="atLeast"/>
        <w:outlineLvl w:val="0"/>
        <w:rPr>
          <w:rFonts w:ascii="LinLibertine" w:eastAsia="Times New Roman" w:hAnsi="LinLibertine" w:cs="Times New Roman"/>
          <w:b/>
          <w:bCs/>
          <w:color w:val="000000"/>
          <w:kern w:val="36"/>
          <w:sz w:val="43"/>
          <w:szCs w:val="43"/>
          <w:lang w:eastAsia="en-GB"/>
        </w:rPr>
      </w:pPr>
      <w:r w:rsidRPr="00950673">
        <w:rPr>
          <w:rFonts w:ascii="LinLibertine" w:eastAsia="Times New Roman" w:hAnsi="LinLibertine" w:cs="Times New Roman"/>
          <w:b/>
          <w:bCs/>
          <w:color w:val="000000"/>
          <w:kern w:val="36"/>
          <w:sz w:val="43"/>
          <w:szCs w:val="43"/>
          <w:lang w:eastAsia="en-GB"/>
        </w:rPr>
        <w:fldChar w:fldCharType="begin"/>
      </w:r>
      <w:r w:rsidRPr="00950673">
        <w:rPr>
          <w:rFonts w:ascii="LinLibertine" w:eastAsia="Times New Roman" w:hAnsi="LinLibertine" w:cs="Times New Roman"/>
          <w:b/>
          <w:bCs/>
          <w:color w:val="000000"/>
          <w:kern w:val="36"/>
          <w:sz w:val="43"/>
          <w:szCs w:val="43"/>
          <w:lang w:eastAsia="en-GB"/>
        </w:rPr>
        <w:instrText xml:space="preserve"> HYPERLINK "https://jigsaw.vitalsource.com/books/9781317435839/epub/OEBPS/xhtml/content.xhtml" \l "bck_Ch022" </w:instrText>
      </w:r>
      <w:r w:rsidRPr="00950673">
        <w:rPr>
          <w:rFonts w:ascii="LinLibertine" w:eastAsia="Times New Roman" w:hAnsi="LinLibertine" w:cs="Times New Roman"/>
          <w:b/>
          <w:bCs/>
          <w:color w:val="000000"/>
          <w:kern w:val="36"/>
          <w:sz w:val="43"/>
          <w:szCs w:val="43"/>
          <w:lang w:eastAsia="en-GB"/>
        </w:rPr>
        <w:fldChar w:fldCharType="separate"/>
      </w:r>
      <w:r w:rsidRPr="00950673">
        <w:rPr>
          <w:rFonts w:ascii="LinLibertine" w:eastAsia="Times New Roman" w:hAnsi="LinLibertine" w:cs="Times New Roman"/>
          <w:b/>
          <w:bCs/>
          <w:color w:val="0000FF"/>
          <w:kern w:val="36"/>
          <w:sz w:val="43"/>
          <w:szCs w:val="43"/>
          <w:u w:val="single"/>
          <w:lang w:eastAsia="en-GB"/>
        </w:rPr>
        <w:t>22</w:t>
      </w:r>
      <w:r w:rsidRPr="00950673">
        <w:rPr>
          <w:rFonts w:ascii="LinLibertine" w:eastAsia="Times New Roman" w:hAnsi="LinLibertine" w:cs="Times New Roman"/>
          <w:b/>
          <w:bCs/>
          <w:color w:val="0000FF"/>
          <w:kern w:val="36"/>
          <w:sz w:val="43"/>
          <w:szCs w:val="43"/>
          <w:u w:val="single"/>
          <w:lang w:eastAsia="en-GB"/>
        </w:rPr>
        <w:br/>
        <w:t xml:space="preserve">Citizen </w:t>
      </w:r>
      <w:proofErr w:type="gramStart"/>
      <w:r w:rsidRPr="00950673">
        <w:rPr>
          <w:rFonts w:ascii="LinLibertine" w:eastAsia="Times New Roman" w:hAnsi="LinLibertine" w:cs="Times New Roman"/>
          <w:b/>
          <w:bCs/>
          <w:color w:val="0000FF"/>
          <w:kern w:val="36"/>
          <w:sz w:val="43"/>
          <w:szCs w:val="43"/>
          <w:u w:val="single"/>
          <w:lang w:eastAsia="en-GB"/>
        </w:rPr>
        <w:t>engagement</w:t>
      </w:r>
      <w:proofErr w:type="gramEnd"/>
      <w:r w:rsidRPr="00950673">
        <w:rPr>
          <w:rFonts w:ascii="LinLibertine" w:eastAsia="Times New Roman" w:hAnsi="LinLibertine" w:cs="Times New Roman"/>
          <w:b/>
          <w:bCs/>
          <w:color w:val="000000"/>
          <w:kern w:val="36"/>
          <w:sz w:val="43"/>
          <w:szCs w:val="43"/>
          <w:lang w:eastAsia="en-GB"/>
        </w:rPr>
        <w:fldChar w:fldCharType="end"/>
      </w:r>
    </w:p>
    <w:p w14:paraId="10D9993A" w14:textId="77777777" w:rsidR="00950673" w:rsidRPr="00950673" w:rsidRDefault="00950673" w:rsidP="00950673">
      <w:pPr>
        <w:spacing w:after="720" w:line="437" w:lineRule="atLeast"/>
        <w:rPr>
          <w:rFonts w:ascii="LinLibertine" w:eastAsia="Times New Roman" w:hAnsi="LinLibertine" w:cs="Times New Roman"/>
          <w:i/>
          <w:iCs/>
          <w:color w:val="000000"/>
          <w:sz w:val="34"/>
          <w:szCs w:val="34"/>
          <w:lang w:eastAsia="en-GB"/>
        </w:rPr>
      </w:pPr>
      <w:r w:rsidRPr="00950673">
        <w:rPr>
          <w:rFonts w:ascii="LinLibertine" w:eastAsia="Times New Roman" w:hAnsi="LinLibertine" w:cs="Times New Roman"/>
          <w:i/>
          <w:iCs/>
          <w:color w:val="000000"/>
          <w:sz w:val="34"/>
          <w:szCs w:val="34"/>
          <w:lang w:eastAsia="en-GB"/>
        </w:rPr>
        <w:t>Elke Loeffler and Steve Martin</w:t>
      </w:r>
    </w:p>
    <w:p w14:paraId="06D7FB20" w14:textId="77777777" w:rsidR="00950673" w:rsidRPr="00950673" w:rsidRDefault="00950673" w:rsidP="00950673">
      <w:pPr>
        <w:spacing w:before="480" w:after="240" w:line="468" w:lineRule="atLeast"/>
        <w:outlineLvl w:val="1"/>
        <w:rPr>
          <w:rFonts w:ascii="LinLibertine" w:eastAsia="Times New Roman" w:hAnsi="LinLibertine" w:cs="Times New Roman"/>
          <w:b/>
          <w:bCs/>
          <w:color w:val="000000"/>
          <w:sz w:val="36"/>
          <w:szCs w:val="36"/>
          <w:lang w:eastAsia="en-GB"/>
        </w:rPr>
      </w:pPr>
      <w:r w:rsidRPr="00950673">
        <w:rPr>
          <w:rFonts w:ascii="LinLibertine" w:eastAsia="Times New Roman" w:hAnsi="LinLibertine" w:cs="Times New Roman"/>
          <w:b/>
          <w:bCs/>
          <w:color w:val="000000"/>
          <w:sz w:val="36"/>
          <w:szCs w:val="36"/>
          <w:lang w:eastAsia="en-GB"/>
        </w:rPr>
        <w:t>Introduction</w:t>
      </w:r>
    </w:p>
    <w:p w14:paraId="26C99ED1"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Current attempts to strengthen democracy and improve public governance have placed citizen engagement centre stage. Policy-makers in Western democracies appear united in the belief that increased engagement by citizens can both rebuild trust in government and improve social cohesion. Yet, putting these ideas into practice is still a challenge for most public sector organizations and is perceived by some as a threat to the role of elected representatives. Progress has been made in implementing citizen-centred approaches. However, the fuzzy relationship between representative, participatory and direct democracy remains problematic in practice and theory.</w:t>
      </w:r>
    </w:p>
    <w:p w14:paraId="1FDE8780"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availability of new digital technologies, such as smart phones and social media, now provides citizens with new opportunities to communicate with each other and to organize themselves. New terms such as ‘liquid democracy’ indicate that governments can no longer ‘manage’ public participation in the age of ‘open government’. The outbreak of the ‘Arab Spring’ in 2010, and the street protests against Eurozone austerity policies in Athens in recent times, suggest a new quality of citizen engagement which challenges both governments and civic society to rethink public governance.</w:t>
      </w:r>
    </w:p>
    <w:p w14:paraId="37010F98"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At the same time, declining voter turnout, dwindling participation in traditional civic organizations, and growing cynicism towards politics, politicians and political parties all point to a need to reinvent the relationship between the citizen and institutions of government, if a ‘crisis of legitimacy’ is to be averted.</w:t>
      </w:r>
    </w:p>
    <w:p w14:paraId="3EC008BE" w14:textId="77777777" w:rsidR="00950673" w:rsidRPr="00950673" w:rsidRDefault="00950673" w:rsidP="00950673">
      <w:pPr>
        <w:shd w:val="clear" w:color="auto" w:fill="E7E7E8"/>
        <w:spacing w:after="240" w:line="240" w:lineRule="auto"/>
        <w:rPr>
          <w:rFonts w:ascii="LinLibertine" w:eastAsia="Times New Roman" w:hAnsi="LinLibertine" w:cs="Times New Roman"/>
          <w:b/>
          <w:bCs/>
          <w:color w:val="000000"/>
          <w:sz w:val="31"/>
          <w:szCs w:val="31"/>
          <w:lang w:eastAsia="en-GB"/>
        </w:rPr>
      </w:pPr>
      <w:r w:rsidRPr="00950673">
        <w:rPr>
          <w:rFonts w:ascii="LinLibertine" w:eastAsia="Times New Roman" w:hAnsi="LinLibertine" w:cs="Times New Roman"/>
          <w:b/>
          <w:bCs/>
          <w:color w:val="000000"/>
          <w:sz w:val="31"/>
          <w:szCs w:val="31"/>
          <w:lang w:eastAsia="en-GB"/>
        </w:rPr>
        <w:t>Learning objectives</w:t>
      </w:r>
    </w:p>
    <w:p w14:paraId="681C48A6" w14:textId="77777777" w:rsidR="00950673" w:rsidRPr="00950673" w:rsidRDefault="00950673" w:rsidP="00950673">
      <w:pPr>
        <w:shd w:val="clear" w:color="auto" w:fill="E7E7E8"/>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This chapter considers five key issues:</w:t>
      </w:r>
    </w:p>
    <w:p w14:paraId="201BEA2A" w14:textId="77777777" w:rsidR="00950673" w:rsidRPr="00950673" w:rsidRDefault="00950673" w:rsidP="00950673">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concept of citizen engagement;</w:t>
      </w:r>
    </w:p>
    <w:p w14:paraId="69F30946" w14:textId="77777777" w:rsidR="00950673" w:rsidRPr="00950673" w:rsidRDefault="00950673" w:rsidP="00950673">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forms of citizen engagement, including informing, consulting, participation and co-production;</w:t>
      </w:r>
    </w:p>
    <w:p w14:paraId="2BB7AF3A" w14:textId="77777777" w:rsidR="00950673" w:rsidRPr="00950673" w:rsidRDefault="00950673" w:rsidP="00950673">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whom to engage;</w:t>
      </w:r>
    </w:p>
    <w:p w14:paraId="40CA1405" w14:textId="77777777" w:rsidR="00950673" w:rsidRPr="00950673" w:rsidRDefault="00950673" w:rsidP="00950673">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arguments in favour of citizen engagement in public decisions and services;</w:t>
      </w:r>
    </w:p>
    <w:p w14:paraId="236ED664" w14:textId="77777777" w:rsidR="00950673" w:rsidRPr="00950673" w:rsidRDefault="00950673" w:rsidP="00950673">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challenges to effective citizen engagement and ways of overcoming these.</w:t>
      </w:r>
    </w:p>
    <w:p w14:paraId="6E23743F" w14:textId="77777777" w:rsidR="00950673" w:rsidRPr="00950673" w:rsidRDefault="00950673" w:rsidP="00950673">
      <w:pPr>
        <w:spacing w:before="480" w:after="240" w:line="468" w:lineRule="atLeast"/>
        <w:outlineLvl w:val="1"/>
        <w:rPr>
          <w:rFonts w:ascii="LinLibertine" w:eastAsia="Times New Roman" w:hAnsi="LinLibertine" w:cs="Times New Roman"/>
          <w:b/>
          <w:bCs/>
          <w:color w:val="000000"/>
          <w:sz w:val="36"/>
          <w:szCs w:val="36"/>
          <w:lang w:eastAsia="en-GB"/>
        </w:rPr>
      </w:pPr>
      <w:r w:rsidRPr="00950673">
        <w:rPr>
          <w:rFonts w:ascii="LinLibertine" w:eastAsia="Times New Roman" w:hAnsi="LinLibertine" w:cs="Times New Roman"/>
          <w:b/>
          <w:bCs/>
          <w:color w:val="000000"/>
          <w:sz w:val="36"/>
          <w:szCs w:val="36"/>
          <w:lang w:eastAsia="en-GB"/>
        </w:rPr>
        <w:t>Forms of citizen engagement</w:t>
      </w:r>
    </w:p>
    <w:p w14:paraId="612F7E62"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Successive UK governments have emphasized the importance of ‘consultation’, ‘listening’, ‘being in touch with the people’, ‘involving users’, ‘devolving power to neighbourhoods’, </w:t>
      </w:r>
      <w:r w:rsidRPr="00950673">
        <w:rPr>
          <w:rFonts w:ascii="LinLibertine" w:eastAsia="Times New Roman" w:hAnsi="LinLibertine" w:cs="Times New Roman"/>
          <w:color w:val="000000"/>
          <w:sz w:val="24"/>
          <w:szCs w:val="24"/>
          <w:lang w:eastAsia="en-GB"/>
        </w:rPr>
        <w:lastRenderedPageBreak/>
        <w:t>strengthening ‘accountability to local people’ and ‘empowerment’, as if these often very different types of activity were synonymous. In fact, they represent a wide spectrum of different types of citizen engagement.</w:t>
      </w:r>
    </w:p>
    <w:p w14:paraId="76106C36"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One of the most widely quoted typologies is the ‘ladder of participation’ of Sherry </w:t>
      </w:r>
      <w:proofErr w:type="spellStart"/>
      <w:r w:rsidRPr="00950673">
        <w:rPr>
          <w:rFonts w:ascii="LinLibertine" w:eastAsia="Times New Roman" w:hAnsi="LinLibertine" w:cs="Times New Roman"/>
          <w:color w:val="000000"/>
          <w:sz w:val="24"/>
          <w:szCs w:val="24"/>
          <w:lang w:eastAsia="en-GB"/>
        </w:rPr>
        <w:t>Arnstein</w:t>
      </w:r>
      <w:proofErr w:type="spellEnd"/>
      <w:r w:rsidRPr="00950673">
        <w:rPr>
          <w:rFonts w:ascii="LinLibertine" w:eastAsia="Times New Roman" w:hAnsi="LinLibertine" w:cs="Times New Roman"/>
          <w:color w:val="000000"/>
          <w:sz w:val="24"/>
          <w:szCs w:val="24"/>
          <w:lang w:eastAsia="en-GB"/>
        </w:rPr>
        <w:t xml:space="preserve"> (1969) (see </w:t>
      </w:r>
      <w:hyperlink r:id="rId7" w:anchor="fig22_1" w:history="1">
        <w:r w:rsidRPr="00950673">
          <w:rPr>
            <w:rFonts w:ascii="LinLibertine" w:eastAsia="Times New Roman" w:hAnsi="LinLibertine" w:cs="Times New Roman"/>
            <w:color w:val="0000FF"/>
            <w:sz w:val="24"/>
            <w:szCs w:val="24"/>
            <w:u w:val="single"/>
            <w:lang w:eastAsia="en-GB"/>
          </w:rPr>
          <w:t>Figure 22.1</w:t>
        </w:r>
      </w:hyperlink>
      <w:r w:rsidRPr="00950673">
        <w:rPr>
          <w:rFonts w:ascii="LinLibertine" w:eastAsia="Times New Roman" w:hAnsi="LinLibertine" w:cs="Times New Roman"/>
          <w:color w:val="000000"/>
          <w:sz w:val="24"/>
          <w:szCs w:val="24"/>
          <w:lang w:eastAsia="en-GB"/>
        </w:rPr>
        <w:t xml:space="preserve">). On the lower rungs of the ladder are manipulation (getting citizens to think the way you want them to think) and therapy (telling them just enough to make them feel good). What </w:t>
      </w:r>
      <w:proofErr w:type="spellStart"/>
      <w:r w:rsidRPr="00950673">
        <w:rPr>
          <w:rFonts w:ascii="LinLibertine" w:eastAsia="Times New Roman" w:hAnsi="LinLibertine" w:cs="Times New Roman"/>
          <w:color w:val="000000"/>
          <w:sz w:val="24"/>
          <w:szCs w:val="24"/>
          <w:lang w:eastAsia="en-GB"/>
        </w:rPr>
        <w:t>Arnstein</w:t>
      </w:r>
      <w:proofErr w:type="spellEnd"/>
      <w:r w:rsidRPr="00950673">
        <w:rPr>
          <w:rFonts w:ascii="LinLibertine" w:eastAsia="Times New Roman" w:hAnsi="LinLibertine" w:cs="Times New Roman"/>
          <w:color w:val="000000"/>
          <w:sz w:val="24"/>
          <w:szCs w:val="24"/>
          <w:lang w:eastAsia="en-GB"/>
        </w:rPr>
        <w:t xml:space="preserve"> saw as ‘tokenistic’ activities – ‘informing’, ‘consultation’ and ‘placation’ – are in the middle section. At the upper end are three approaches that in her view genuinely empower the public – partnership, delegated power and citizen control.</w:t>
      </w:r>
    </w:p>
    <w:p w14:paraId="6F14420F" w14:textId="77777777" w:rsidR="00950673" w:rsidRPr="00950673" w:rsidRDefault="00950673" w:rsidP="00950673">
      <w:pPr>
        <w:spacing w:after="0" w:line="240" w:lineRule="auto"/>
        <w:jc w:val="center"/>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noProof/>
          <w:color w:val="000000"/>
          <w:sz w:val="24"/>
          <w:szCs w:val="24"/>
          <w:lang w:eastAsia="en-GB"/>
        </w:rPr>
        <mc:AlternateContent>
          <mc:Choice Requires="wps">
            <w:drawing>
              <wp:inline distT="0" distB="0" distL="0" distR="0" wp14:anchorId="218916F8" wp14:editId="2342F785">
                <wp:extent cx="304800" cy="304800"/>
                <wp:effectExtent l="0" t="0" r="0" b="0"/>
                <wp:docPr id="2" name="AutoShape 1" descr="Figure 22.1 Ladder of engage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05DED996" id="AutoShape 1" o:spid="_x0000_s1026" alt="Figure 22.1 Ladder of engagemen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CZs8cJzQIAAOEFAAAOAAAAAAAAAAAAAAAAAC4CAABkcnMvZTJvRG9jLnhtbFBLAQIt&#10;ABQABgAIAAAAIQBMoOks2AAAAAMBAAAPAAAAAAAAAAAAAAAAACcFAABkcnMvZG93bnJldi54bWxQ&#10;SwUGAAAAAAQABADzAAAALAYAAAAA&#10;" filled="f" stroked="f">
                <o:lock v:ext="edit" aspectratio="t"/>
                <w10:anchorlock/>
              </v:rect>
            </w:pict>
          </mc:Fallback>
        </mc:AlternateContent>
      </w:r>
    </w:p>
    <w:p w14:paraId="77372FC2" w14:textId="77777777" w:rsidR="00950673" w:rsidRPr="00950673" w:rsidRDefault="00A971A9" w:rsidP="00950673">
      <w:pPr>
        <w:spacing w:before="100" w:beforeAutospacing="1" w:after="100" w:afterAutospacing="1" w:line="240" w:lineRule="auto"/>
        <w:rPr>
          <w:rFonts w:ascii="LinLibertine" w:eastAsia="Times New Roman" w:hAnsi="LinLibertine" w:cs="Times New Roman"/>
          <w:color w:val="000000"/>
          <w:lang w:eastAsia="en-GB"/>
        </w:rPr>
      </w:pPr>
      <w:hyperlink r:id="rId8" w:anchor="bck_fig22_1" w:history="1">
        <w:r w:rsidR="00950673" w:rsidRPr="00950673">
          <w:rPr>
            <w:rFonts w:ascii="LinLibertine" w:eastAsia="Times New Roman" w:hAnsi="LinLibertine" w:cs="Times New Roman"/>
            <w:i/>
            <w:iCs/>
            <w:color w:val="0000FF"/>
            <w:sz w:val="19"/>
            <w:szCs w:val="19"/>
            <w:u w:val="single"/>
            <w:lang w:eastAsia="en-GB"/>
          </w:rPr>
          <w:t>Figure 22.1</w:t>
        </w:r>
      </w:hyperlink>
      <w:r w:rsidR="00950673" w:rsidRPr="00950673">
        <w:rPr>
          <w:rFonts w:ascii="LinLibertine" w:eastAsia="Times New Roman" w:hAnsi="LinLibertine" w:cs="Times New Roman"/>
          <w:color w:val="000000"/>
          <w:lang w:eastAsia="en-GB"/>
        </w:rPr>
        <w:t> Ladder of engagement.</w:t>
      </w:r>
    </w:p>
    <w:p w14:paraId="1B301E7D" w14:textId="77777777" w:rsidR="00950673" w:rsidRPr="00950673" w:rsidRDefault="00950673" w:rsidP="00950673">
      <w:pPr>
        <w:spacing w:after="100" w:afterAutospacing="1" w:line="240" w:lineRule="auto"/>
        <w:rPr>
          <w:rFonts w:ascii="LinLibertine" w:eastAsia="Times New Roman" w:hAnsi="LinLibertine" w:cs="Times New Roman"/>
          <w:color w:val="000000"/>
          <w:lang w:eastAsia="en-GB"/>
        </w:rPr>
      </w:pPr>
      <w:r w:rsidRPr="00950673">
        <w:rPr>
          <w:rFonts w:ascii="LinLibertine" w:eastAsia="Times New Roman" w:hAnsi="LinLibertine" w:cs="Times New Roman"/>
          <w:color w:val="000000"/>
          <w:lang w:eastAsia="en-GB"/>
        </w:rPr>
        <w:t xml:space="preserve">Source: Adapted from </w:t>
      </w:r>
      <w:proofErr w:type="spellStart"/>
      <w:r w:rsidRPr="00950673">
        <w:rPr>
          <w:rFonts w:ascii="LinLibertine" w:eastAsia="Times New Roman" w:hAnsi="LinLibertine" w:cs="Times New Roman"/>
          <w:color w:val="000000"/>
          <w:lang w:eastAsia="en-GB"/>
        </w:rPr>
        <w:t>Arnstein</w:t>
      </w:r>
      <w:proofErr w:type="spellEnd"/>
      <w:r w:rsidRPr="00950673">
        <w:rPr>
          <w:rFonts w:ascii="LinLibertine" w:eastAsia="Times New Roman" w:hAnsi="LinLibertine" w:cs="Times New Roman"/>
          <w:color w:val="000000"/>
          <w:lang w:eastAsia="en-GB"/>
        </w:rPr>
        <w:t xml:space="preserve"> (1969)</w:t>
      </w:r>
    </w:p>
    <w:p w14:paraId="200E6260"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This typology, however, implies that some forms of engagement are inherently superior. In practice, what matters most is that the form of citizen engagement is fit for purpose (</w:t>
      </w:r>
      <w:proofErr w:type="spellStart"/>
      <w:r w:rsidRPr="00950673">
        <w:rPr>
          <w:rFonts w:ascii="LinLibertine" w:eastAsia="Times New Roman" w:hAnsi="LinLibertine" w:cs="Times New Roman"/>
          <w:color w:val="000000"/>
          <w:sz w:val="24"/>
          <w:szCs w:val="24"/>
          <w:lang w:eastAsia="en-GB"/>
        </w:rPr>
        <w:t>Tritter</w:t>
      </w:r>
      <w:proofErr w:type="spellEnd"/>
      <w:r w:rsidRPr="00950673">
        <w:rPr>
          <w:rFonts w:ascii="LinLibertine" w:eastAsia="Times New Roman" w:hAnsi="LinLibertine" w:cs="Times New Roman"/>
          <w:color w:val="000000"/>
          <w:sz w:val="24"/>
          <w:szCs w:val="24"/>
          <w:lang w:eastAsia="en-GB"/>
        </w:rPr>
        <w:t xml:space="preserve"> and McCallum, 2006). In fact, not everybody wants to be engaged in everything at all times. Many citizens are content to just let service providers ‘get on with the job’. A less normative typology of citizen engagement is shown in </w:t>
      </w:r>
      <w:hyperlink r:id="rId9" w:anchor="fig22_2" w:history="1">
        <w:r w:rsidRPr="00950673">
          <w:rPr>
            <w:rFonts w:ascii="LinLibertine" w:eastAsia="Times New Roman" w:hAnsi="LinLibertine" w:cs="Times New Roman"/>
            <w:color w:val="0000FF"/>
            <w:sz w:val="24"/>
            <w:szCs w:val="24"/>
            <w:u w:val="single"/>
            <w:lang w:eastAsia="en-GB"/>
          </w:rPr>
          <w:t>Figure 22.2</w:t>
        </w:r>
      </w:hyperlink>
      <w:r w:rsidRPr="00950673">
        <w:rPr>
          <w:rFonts w:ascii="LinLibertine" w:eastAsia="Times New Roman" w:hAnsi="LinLibertine" w:cs="Times New Roman"/>
          <w:color w:val="000000"/>
          <w:sz w:val="24"/>
          <w:szCs w:val="24"/>
          <w:lang w:eastAsia="en-GB"/>
        </w:rPr>
        <w:t>, distinguishing between different intensities of citizen engagement:</w:t>
      </w:r>
    </w:p>
    <w:p w14:paraId="62E0C2DB" w14:textId="77777777" w:rsidR="00950673" w:rsidRPr="00950673" w:rsidRDefault="00950673" w:rsidP="00950673">
      <w:pPr>
        <w:numPr>
          <w:ilvl w:val="0"/>
          <w:numId w:val="2"/>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i/>
          <w:iCs/>
          <w:color w:val="000000"/>
          <w:sz w:val="24"/>
          <w:szCs w:val="24"/>
          <w:lang w:eastAsia="en-GB"/>
        </w:rPr>
        <w:t>Information</w:t>
      </w:r>
      <w:r w:rsidRPr="00950673">
        <w:rPr>
          <w:rFonts w:ascii="LinLibertine" w:eastAsia="Times New Roman" w:hAnsi="LinLibertine" w:cs="Times New Roman"/>
          <w:color w:val="000000"/>
          <w:sz w:val="24"/>
          <w:szCs w:val="24"/>
          <w:lang w:eastAsia="en-GB"/>
        </w:rPr>
        <w:t> – a one-way relationship between governments and citizens. Traditionally, governments provide citizens with information, but with social media it can be the other way round, with citizens sending information to trigger government interventions.</w:t>
      </w:r>
    </w:p>
    <w:p w14:paraId="63A03E6C" w14:textId="77777777" w:rsidR="00950673" w:rsidRPr="00950673" w:rsidRDefault="00950673" w:rsidP="00950673">
      <w:pPr>
        <w:numPr>
          <w:ilvl w:val="0"/>
          <w:numId w:val="2"/>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i/>
          <w:iCs/>
          <w:color w:val="000000"/>
          <w:sz w:val="24"/>
          <w:szCs w:val="24"/>
          <w:lang w:eastAsia="en-GB"/>
        </w:rPr>
        <w:t>Consultation</w:t>
      </w:r>
      <w:r w:rsidRPr="00950673">
        <w:rPr>
          <w:rFonts w:ascii="LinLibertine" w:eastAsia="Times New Roman" w:hAnsi="LinLibertine" w:cs="Times New Roman"/>
          <w:color w:val="000000"/>
          <w:sz w:val="24"/>
          <w:szCs w:val="24"/>
          <w:lang w:eastAsia="en-GB"/>
        </w:rPr>
        <w:t> – a two-way dialogue between public organizations and citizens whereby citizens are given a voice on an issue. They have no guarantee, however, that they will be listened to, let alone that the decision-makers will implement what the majority say, so the ‘dialogue’ may still appear rather one-way.</w:t>
      </w:r>
    </w:p>
    <w:p w14:paraId="1587A089" w14:textId="77777777" w:rsidR="00950673" w:rsidRPr="00950673" w:rsidRDefault="00950673" w:rsidP="00950673">
      <w:pPr>
        <w:numPr>
          <w:ilvl w:val="0"/>
          <w:numId w:val="2"/>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i/>
          <w:iCs/>
          <w:color w:val="000000"/>
          <w:sz w:val="24"/>
          <w:szCs w:val="24"/>
          <w:lang w:eastAsia="en-GB"/>
        </w:rPr>
        <w:t>Participation in public decision-making</w:t>
      </w:r>
      <w:r w:rsidRPr="00950673">
        <w:rPr>
          <w:rFonts w:ascii="LinLibertine" w:eastAsia="Times New Roman" w:hAnsi="LinLibertine" w:cs="Times New Roman"/>
          <w:color w:val="000000"/>
          <w:sz w:val="24"/>
          <w:szCs w:val="24"/>
          <w:lang w:eastAsia="en-GB"/>
        </w:rPr>
        <w:t> – a more intense interaction between public organizations and citizens where each party has a role in decision-making (e.g. in relation to laws, policies, priorities, regulatory sanctions, etc.) and an influence upon the final decision.</w:t>
      </w:r>
    </w:p>
    <w:p w14:paraId="0F265F72" w14:textId="77777777" w:rsidR="00950673" w:rsidRPr="00950673" w:rsidRDefault="00950673" w:rsidP="00950673">
      <w:pPr>
        <w:numPr>
          <w:ilvl w:val="0"/>
          <w:numId w:val="2"/>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i/>
          <w:iCs/>
          <w:color w:val="000000"/>
          <w:sz w:val="24"/>
          <w:szCs w:val="24"/>
          <w:lang w:eastAsia="en-GB"/>
        </w:rPr>
        <w:t>Co-production of public services and outcomes</w:t>
      </w:r>
      <w:r w:rsidRPr="00950673">
        <w:rPr>
          <w:rFonts w:ascii="LinLibertine" w:eastAsia="Times New Roman" w:hAnsi="LinLibertine" w:cs="Times New Roman"/>
          <w:color w:val="000000"/>
          <w:sz w:val="24"/>
          <w:szCs w:val="24"/>
          <w:lang w:eastAsia="en-GB"/>
        </w:rPr>
        <w:t> – the most intensive form of engagement, where both citizens and professionals harness each other’s resources and capabilities to take actions which improve public services or achieve publicly desired outcomes.</w:t>
      </w:r>
    </w:p>
    <w:p w14:paraId="4E284A51"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In most engagement processes, citizens and governments will move between the four types of engagement, depending on the willingness and ability of each party to engage – see </w:t>
      </w:r>
      <w:hyperlink r:id="rId10" w:anchor="tab22_1" w:history="1">
        <w:r w:rsidRPr="00950673">
          <w:rPr>
            <w:rFonts w:ascii="LinLibertine" w:eastAsia="Times New Roman" w:hAnsi="LinLibertine" w:cs="Times New Roman"/>
            <w:color w:val="0000FF"/>
            <w:sz w:val="24"/>
            <w:szCs w:val="24"/>
            <w:u w:val="single"/>
            <w:lang w:eastAsia="en-GB"/>
          </w:rPr>
          <w:t>Table 22.1</w:t>
        </w:r>
      </w:hyperlink>
      <w:r w:rsidRPr="00950673">
        <w:rPr>
          <w:rFonts w:ascii="LinLibertine" w:eastAsia="Times New Roman" w:hAnsi="LinLibertine" w:cs="Times New Roman"/>
          <w:color w:val="000000"/>
          <w:sz w:val="24"/>
          <w:szCs w:val="24"/>
          <w:lang w:eastAsia="en-GB"/>
        </w:rPr>
        <w:t>.</w:t>
      </w:r>
    </w:p>
    <w:p w14:paraId="7AB7DE36" w14:textId="77777777" w:rsidR="00950673" w:rsidRPr="00950673" w:rsidRDefault="00950673" w:rsidP="00950673">
      <w:pPr>
        <w:spacing w:before="480" w:after="240" w:line="374" w:lineRule="atLeast"/>
        <w:outlineLvl w:val="2"/>
        <w:rPr>
          <w:rFonts w:ascii="LinLibertine" w:eastAsia="Times New Roman" w:hAnsi="LinLibertine" w:cs="Times New Roman"/>
          <w:b/>
          <w:bCs/>
          <w:i/>
          <w:iCs/>
          <w:color w:val="000000"/>
          <w:sz w:val="29"/>
          <w:szCs w:val="29"/>
          <w:lang w:eastAsia="en-GB"/>
        </w:rPr>
      </w:pPr>
      <w:r w:rsidRPr="00950673">
        <w:rPr>
          <w:rFonts w:ascii="LinLibertine" w:eastAsia="Times New Roman" w:hAnsi="LinLibertine" w:cs="Times New Roman"/>
          <w:b/>
          <w:bCs/>
          <w:i/>
          <w:iCs/>
          <w:color w:val="000000"/>
          <w:sz w:val="29"/>
          <w:szCs w:val="29"/>
          <w:lang w:eastAsia="en-GB"/>
        </w:rPr>
        <w:t>Information: approaches and evidence</w:t>
      </w:r>
    </w:p>
    <w:p w14:paraId="7AD4C72F"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While noting </w:t>
      </w:r>
      <w:proofErr w:type="spellStart"/>
      <w:r w:rsidRPr="00950673">
        <w:rPr>
          <w:rFonts w:ascii="LinLibertine" w:eastAsia="Times New Roman" w:hAnsi="LinLibertine" w:cs="Times New Roman"/>
          <w:color w:val="000000"/>
          <w:sz w:val="24"/>
          <w:szCs w:val="24"/>
          <w:lang w:eastAsia="en-GB"/>
        </w:rPr>
        <w:t>Arnstein’s</w:t>
      </w:r>
      <w:proofErr w:type="spellEnd"/>
      <w:r w:rsidRPr="00950673">
        <w:rPr>
          <w:rFonts w:ascii="LinLibertine" w:eastAsia="Times New Roman" w:hAnsi="LinLibertine" w:cs="Times New Roman"/>
          <w:color w:val="000000"/>
          <w:sz w:val="24"/>
          <w:szCs w:val="24"/>
          <w:lang w:eastAsia="en-GB"/>
        </w:rPr>
        <w:t xml:space="preserve"> scepticism about insincerely motivated forms of citizen engagement (e.g. the ‘manipulation’ and ‘therapy’ rungs of her ladder), it is clear that </w:t>
      </w:r>
      <w:r w:rsidRPr="00950673">
        <w:rPr>
          <w:rFonts w:ascii="LinLibertine" w:eastAsia="Times New Roman" w:hAnsi="LinLibertine" w:cs="Times New Roman"/>
          <w:color w:val="000000"/>
          <w:sz w:val="24"/>
          <w:szCs w:val="24"/>
          <w:lang w:eastAsia="en-GB"/>
        </w:rPr>
        <w:lastRenderedPageBreak/>
        <w:t>honest and effective informing of the public is a legitimate and necessary function, providing people with the means to engage effectively with public organizations. At the very least, citizens need clear information about a range of issues, including the services for which they are eligible (and how they can complain and seek redress), the decisions which affect them that are being made by their representatives, the issues on which they will be consulted (and the ‘rules’ of the engagement process) and, most importantly, the limits of engagement. Indeed, some rights to information are enshrined within Freedom of Information legislation in many countries. However, providing the right information on the right issues to the right people remains a challenge to most public organizations.</w:t>
      </w:r>
    </w:p>
    <w:p w14:paraId="4FEA42CB" w14:textId="77777777" w:rsidR="00950673" w:rsidRPr="00950673" w:rsidRDefault="00A971A9" w:rsidP="00950673">
      <w:pPr>
        <w:spacing w:before="100" w:beforeAutospacing="1" w:after="100" w:afterAutospacing="1" w:line="240" w:lineRule="auto"/>
        <w:rPr>
          <w:rFonts w:ascii="LinLibertine" w:eastAsia="Times New Roman" w:hAnsi="LinLibertine" w:cs="Times New Roman"/>
          <w:color w:val="000000"/>
          <w:lang w:eastAsia="en-GB"/>
        </w:rPr>
      </w:pPr>
      <w:hyperlink r:id="rId11" w:anchor="bck_tab22_1" w:history="1">
        <w:r w:rsidR="00950673" w:rsidRPr="00950673">
          <w:rPr>
            <w:rFonts w:ascii="LinLibertine" w:eastAsia="Times New Roman" w:hAnsi="LinLibertine" w:cs="Times New Roman"/>
            <w:i/>
            <w:iCs/>
            <w:color w:val="0000FF"/>
            <w:sz w:val="19"/>
            <w:szCs w:val="19"/>
            <w:u w:val="single"/>
            <w:lang w:eastAsia="en-GB"/>
          </w:rPr>
          <w:t>Table 22.1</w:t>
        </w:r>
      </w:hyperlink>
      <w:r w:rsidR="00950673" w:rsidRPr="00950673">
        <w:rPr>
          <w:rFonts w:ascii="LinLibertine" w:eastAsia="Times New Roman" w:hAnsi="LinLibertine" w:cs="Times New Roman"/>
          <w:color w:val="000000"/>
          <w:lang w:eastAsia="en-GB"/>
        </w:rPr>
        <w:t> Forms of public engagement</w:t>
      </w:r>
    </w:p>
    <w:tbl>
      <w:tblPr>
        <w:tblW w:w="21600" w:type="dxa"/>
        <w:tblCellSpacing w:w="15" w:type="dxa"/>
        <w:tblBorders>
          <w:top w:val="single" w:sz="12" w:space="0" w:color="auto"/>
          <w:bottom w:val="single" w:sz="12" w:space="0" w:color="auto"/>
        </w:tblBorders>
        <w:tblCellMar>
          <w:top w:w="15" w:type="dxa"/>
          <w:left w:w="15" w:type="dxa"/>
          <w:bottom w:w="15" w:type="dxa"/>
          <w:right w:w="15" w:type="dxa"/>
        </w:tblCellMar>
        <w:tblLook w:val="04A0" w:firstRow="1" w:lastRow="0" w:firstColumn="1" w:lastColumn="0" w:noHBand="0" w:noVBand="1"/>
      </w:tblPr>
      <w:tblGrid>
        <w:gridCol w:w="1652"/>
        <w:gridCol w:w="3202"/>
        <w:gridCol w:w="2210"/>
        <w:gridCol w:w="6654"/>
        <w:gridCol w:w="7882"/>
      </w:tblGrid>
      <w:tr w:rsidR="00950673" w:rsidRPr="00950673" w14:paraId="0E053FEE" w14:textId="77777777" w:rsidTr="00950673">
        <w:trPr>
          <w:tblHeader/>
          <w:tblCellSpacing w:w="15" w:type="dxa"/>
        </w:trPr>
        <w:tc>
          <w:tcPr>
            <w:tcW w:w="0" w:type="auto"/>
            <w:vAlign w:val="center"/>
            <w:hideMark/>
          </w:tcPr>
          <w:p w14:paraId="6911552A" w14:textId="77777777" w:rsidR="00950673" w:rsidRPr="00950673" w:rsidRDefault="00950673" w:rsidP="00950673">
            <w:pPr>
              <w:spacing w:after="0" w:line="240" w:lineRule="auto"/>
              <w:rPr>
                <w:rFonts w:ascii="LinLibertine" w:eastAsia="Times New Roman" w:hAnsi="LinLibertine" w:cs="Times New Roman"/>
                <w:color w:val="000000"/>
                <w:lang w:eastAsia="en-GB"/>
              </w:rPr>
            </w:pPr>
          </w:p>
        </w:tc>
        <w:tc>
          <w:tcPr>
            <w:tcW w:w="0" w:type="auto"/>
            <w:vAlign w:val="center"/>
            <w:hideMark/>
          </w:tcPr>
          <w:p w14:paraId="58FD09EB" w14:textId="77777777" w:rsidR="00950673" w:rsidRPr="00950673" w:rsidRDefault="00950673" w:rsidP="00950673">
            <w:pPr>
              <w:spacing w:after="0" w:line="240" w:lineRule="auto"/>
              <w:rPr>
                <w:rFonts w:ascii="Times New Roman" w:eastAsia="Times New Roman" w:hAnsi="Times New Roman" w:cs="Times New Roman"/>
                <w:i/>
                <w:iCs/>
                <w:sz w:val="24"/>
                <w:szCs w:val="24"/>
                <w:lang w:eastAsia="en-GB"/>
              </w:rPr>
            </w:pPr>
            <w:r w:rsidRPr="00950673">
              <w:rPr>
                <w:rFonts w:ascii="Times New Roman" w:eastAsia="Times New Roman" w:hAnsi="Times New Roman" w:cs="Times New Roman"/>
                <w:i/>
                <w:iCs/>
                <w:sz w:val="24"/>
                <w:szCs w:val="24"/>
                <w:lang w:eastAsia="en-GB"/>
              </w:rPr>
              <w:t>Information</w:t>
            </w:r>
          </w:p>
        </w:tc>
        <w:tc>
          <w:tcPr>
            <w:tcW w:w="0" w:type="auto"/>
            <w:vAlign w:val="center"/>
            <w:hideMark/>
          </w:tcPr>
          <w:p w14:paraId="7E725828" w14:textId="77777777" w:rsidR="00950673" w:rsidRPr="00950673" w:rsidRDefault="00950673" w:rsidP="00950673">
            <w:pPr>
              <w:spacing w:after="0" w:line="240" w:lineRule="auto"/>
              <w:rPr>
                <w:rFonts w:ascii="Times New Roman" w:eastAsia="Times New Roman" w:hAnsi="Times New Roman" w:cs="Times New Roman"/>
                <w:i/>
                <w:iCs/>
                <w:sz w:val="24"/>
                <w:szCs w:val="24"/>
                <w:lang w:eastAsia="en-GB"/>
              </w:rPr>
            </w:pPr>
            <w:r w:rsidRPr="00950673">
              <w:rPr>
                <w:rFonts w:ascii="Times New Roman" w:eastAsia="Times New Roman" w:hAnsi="Times New Roman" w:cs="Times New Roman"/>
                <w:i/>
                <w:iCs/>
                <w:sz w:val="24"/>
                <w:szCs w:val="24"/>
                <w:lang w:eastAsia="en-GB"/>
              </w:rPr>
              <w:t>Consultation</w:t>
            </w:r>
          </w:p>
        </w:tc>
        <w:tc>
          <w:tcPr>
            <w:tcW w:w="0" w:type="auto"/>
            <w:vAlign w:val="center"/>
            <w:hideMark/>
          </w:tcPr>
          <w:p w14:paraId="03ACE3EE" w14:textId="77777777" w:rsidR="00950673" w:rsidRPr="00950673" w:rsidRDefault="00950673" w:rsidP="00950673">
            <w:pPr>
              <w:spacing w:after="0" w:line="240" w:lineRule="auto"/>
              <w:rPr>
                <w:rFonts w:ascii="Times New Roman" w:eastAsia="Times New Roman" w:hAnsi="Times New Roman" w:cs="Times New Roman"/>
                <w:i/>
                <w:iCs/>
                <w:sz w:val="24"/>
                <w:szCs w:val="24"/>
                <w:lang w:eastAsia="en-GB"/>
              </w:rPr>
            </w:pPr>
            <w:r w:rsidRPr="00950673">
              <w:rPr>
                <w:rFonts w:ascii="Times New Roman" w:eastAsia="Times New Roman" w:hAnsi="Times New Roman" w:cs="Times New Roman"/>
                <w:i/>
                <w:iCs/>
                <w:sz w:val="24"/>
                <w:szCs w:val="24"/>
                <w:lang w:eastAsia="en-GB"/>
              </w:rPr>
              <w:t>Participation in public decision-making</w:t>
            </w:r>
          </w:p>
        </w:tc>
        <w:tc>
          <w:tcPr>
            <w:tcW w:w="0" w:type="auto"/>
            <w:vAlign w:val="center"/>
            <w:hideMark/>
          </w:tcPr>
          <w:p w14:paraId="1AB0DC6F" w14:textId="77777777" w:rsidR="00950673" w:rsidRPr="00950673" w:rsidRDefault="00950673" w:rsidP="00950673">
            <w:pPr>
              <w:spacing w:after="0" w:line="240" w:lineRule="auto"/>
              <w:rPr>
                <w:rFonts w:ascii="Times New Roman" w:eastAsia="Times New Roman" w:hAnsi="Times New Roman" w:cs="Times New Roman"/>
                <w:i/>
                <w:iCs/>
                <w:sz w:val="24"/>
                <w:szCs w:val="24"/>
                <w:lang w:eastAsia="en-GB"/>
              </w:rPr>
            </w:pPr>
            <w:r w:rsidRPr="00950673">
              <w:rPr>
                <w:rFonts w:ascii="Times New Roman" w:eastAsia="Times New Roman" w:hAnsi="Times New Roman" w:cs="Times New Roman"/>
                <w:i/>
                <w:iCs/>
                <w:sz w:val="24"/>
                <w:szCs w:val="24"/>
                <w:lang w:eastAsia="en-GB"/>
              </w:rPr>
              <w:t>Co-production of public services and outcomes</w:t>
            </w:r>
          </w:p>
        </w:tc>
      </w:tr>
      <w:tr w:rsidR="00950673" w:rsidRPr="00950673" w14:paraId="0D9C3891" w14:textId="77777777" w:rsidTr="00950673">
        <w:trPr>
          <w:tblHeader/>
          <w:tblCellSpacing w:w="15" w:type="dxa"/>
        </w:trPr>
        <w:tc>
          <w:tcPr>
            <w:tcW w:w="0" w:type="auto"/>
            <w:gridSpan w:val="5"/>
            <w:vAlign w:val="center"/>
            <w:hideMark/>
          </w:tcPr>
          <w:p w14:paraId="7A724A60" w14:textId="77777777" w:rsidR="00950673" w:rsidRPr="00950673" w:rsidRDefault="00A971A9" w:rsidP="00950673">
            <w:pPr>
              <w:spacing w:after="0" w:line="240" w:lineRule="auto"/>
              <w:rPr>
                <w:rFonts w:ascii="Times New Roman" w:eastAsia="Times New Roman" w:hAnsi="Times New Roman" w:cs="Times New Roman"/>
                <w:i/>
                <w:iCs/>
                <w:sz w:val="24"/>
                <w:szCs w:val="24"/>
                <w:lang w:eastAsia="en-GB"/>
              </w:rPr>
            </w:pPr>
            <w:r>
              <w:rPr>
                <w:rFonts w:ascii="Times New Roman" w:eastAsia="Times New Roman" w:hAnsi="Times New Roman" w:cs="Times New Roman"/>
                <w:i/>
                <w:iCs/>
                <w:sz w:val="24"/>
                <w:szCs w:val="24"/>
                <w:lang w:eastAsia="en-GB"/>
              </w:rPr>
              <w:pict w14:anchorId="01DD7E91">
                <v:rect id="_x0000_i1025" style="width:0;height:1.5pt" o:hralign="center" o:hrstd="t" o:hr="t" fillcolor="#a0a0a0" stroked="f"/>
              </w:pict>
            </w:r>
          </w:p>
        </w:tc>
      </w:tr>
      <w:tr w:rsidR="00950673" w:rsidRPr="00950673" w14:paraId="0110AD69" w14:textId="77777777" w:rsidTr="00950673">
        <w:trPr>
          <w:tblCellSpacing w:w="15" w:type="dxa"/>
        </w:trPr>
        <w:tc>
          <w:tcPr>
            <w:tcW w:w="0" w:type="auto"/>
            <w:vAlign w:val="center"/>
            <w:hideMark/>
          </w:tcPr>
          <w:p w14:paraId="3D32D789" w14:textId="77777777" w:rsidR="00950673" w:rsidRPr="00950673" w:rsidRDefault="00950673" w:rsidP="00950673">
            <w:pPr>
              <w:spacing w:after="0" w:line="240" w:lineRule="auto"/>
              <w:rPr>
                <w:rFonts w:ascii="Times New Roman" w:eastAsia="Times New Roman" w:hAnsi="Times New Roman" w:cs="Times New Roman"/>
                <w:sz w:val="24"/>
                <w:szCs w:val="24"/>
                <w:lang w:eastAsia="en-GB"/>
              </w:rPr>
            </w:pPr>
            <w:r w:rsidRPr="00950673">
              <w:rPr>
                <w:rFonts w:ascii="Times New Roman" w:eastAsia="Times New Roman" w:hAnsi="Times New Roman" w:cs="Times New Roman"/>
                <w:sz w:val="24"/>
                <w:szCs w:val="24"/>
                <w:lang w:eastAsia="en-GB"/>
              </w:rPr>
              <w:t>Direction</w:t>
            </w:r>
          </w:p>
        </w:tc>
        <w:tc>
          <w:tcPr>
            <w:tcW w:w="0" w:type="auto"/>
            <w:vAlign w:val="center"/>
            <w:hideMark/>
          </w:tcPr>
          <w:p w14:paraId="628379D6" w14:textId="77777777" w:rsidR="00950673" w:rsidRPr="00950673" w:rsidRDefault="00950673" w:rsidP="00950673">
            <w:pPr>
              <w:spacing w:after="0" w:line="240" w:lineRule="auto"/>
              <w:rPr>
                <w:rFonts w:ascii="Times New Roman" w:eastAsia="Times New Roman" w:hAnsi="Times New Roman" w:cs="Times New Roman"/>
                <w:sz w:val="24"/>
                <w:szCs w:val="24"/>
                <w:lang w:eastAsia="en-GB"/>
              </w:rPr>
            </w:pPr>
            <w:r w:rsidRPr="00950673">
              <w:rPr>
                <w:rFonts w:ascii="Times New Roman" w:eastAsia="Times New Roman" w:hAnsi="Times New Roman" w:cs="Times New Roman"/>
                <w:sz w:val="24"/>
                <w:szCs w:val="24"/>
                <w:lang w:eastAsia="en-GB"/>
              </w:rPr>
              <w:t>One-way</w:t>
            </w:r>
          </w:p>
        </w:tc>
        <w:tc>
          <w:tcPr>
            <w:tcW w:w="0" w:type="auto"/>
            <w:vAlign w:val="center"/>
            <w:hideMark/>
          </w:tcPr>
          <w:p w14:paraId="68E5E320" w14:textId="77777777" w:rsidR="00950673" w:rsidRPr="00950673" w:rsidRDefault="00950673" w:rsidP="00950673">
            <w:pPr>
              <w:spacing w:after="0" w:line="240" w:lineRule="auto"/>
              <w:rPr>
                <w:rFonts w:ascii="Times New Roman" w:eastAsia="Times New Roman" w:hAnsi="Times New Roman" w:cs="Times New Roman"/>
                <w:sz w:val="24"/>
                <w:szCs w:val="24"/>
                <w:lang w:eastAsia="en-GB"/>
              </w:rPr>
            </w:pPr>
            <w:r w:rsidRPr="00950673">
              <w:rPr>
                <w:rFonts w:ascii="Times New Roman" w:eastAsia="Times New Roman" w:hAnsi="Times New Roman" w:cs="Times New Roman"/>
                <w:sz w:val="24"/>
                <w:szCs w:val="24"/>
                <w:lang w:eastAsia="en-GB"/>
              </w:rPr>
              <w:t>Two-way</w:t>
            </w:r>
          </w:p>
        </w:tc>
        <w:tc>
          <w:tcPr>
            <w:tcW w:w="0" w:type="auto"/>
            <w:vAlign w:val="center"/>
            <w:hideMark/>
          </w:tcPr>
          <w:p w14:paraId="56474167" w14:textId="77777777" w:rsidR="00950673" w:rsidRPr="00950673" w:rsidRDefault="00950673" w:rsidP="00950673">
            <w:pPr>
              <w:spacing w:after="0" w:line="240" w:lineRule="auto"/>
              <w:rPr>
                <w:rFonts w:ascii="Times New Roman" w:eastAsia="Times New Roman" w:hAnsi="Times New Roman" w:cs="Times New Roman"/>
                <w:sz w:val="24"/>
                <w:szCs w:val="24"/>
                <w:lang w:eastAsia="en-GB"/>
              </w:rPr>
            </w:pPr>
            <w:r w:rsidRPr="00950673">
              <w:rPr>
                <w:rFonts w:ascii="Times New Roman" w:eastAsia="Times New Roman" w:hAnsi="Times New Roman" w:cs="Times New Roman"/>
                <w:sz w:val="24"/>
                <w:szCs w:val="24"/>
                <w:lang w:eastAsia="en-GB"/>
              </w:rPr>
              <w:t>Two-way</w:t>
            </w:r>
          </w:p>
        </w:tc>
        <w:tc>
          <w:tcPr>
            <w:tcW w:w="0" w:type="auto"/>
            <w:vAlign w:val="center"/>
            <w:hideMark/>
          </w:tcPr>
          <w:p w14:paraId="06A4F326" w14:textId="77777777" w:rsidR="00950673" w:rsidRPr="00950673" w:rsidRDefault="00950673" w:rsidP="00950673">
            <w:pPr>
              <w:spacing w:after="0" w:line="240" w:lineRule="auto"/>
              <w:rPr>
                <w:rFonts w:ascii="Times New Roman" w:eastAsia="Times New Roman" w:hAnsi="Times New Roman" w:cs="Times New Roman"/>
                <w:sz w:val="24"/>
                <w:szCs w:val="24"/>
                <w:lang w:eastAsia="en-GB"/>
              </w:rPr>
            </w:pPr>
            <w:r w:rsidRPr="00950673">
              <w:rPr>
                <w:rFonts w:ascii="Times New Roman" w:eastAsia="Times New Roman" w:hAnsi="Times New Roman" w:cs="Times New Roman"/>
                <w:sz w:val="24"/>
                <w:szCs w:val="24"/>
                <w:lang w:eastAsia="en-GB"/>
              </w:rPr>
              <w:t>Two-way</w:t>
            </w:r>
          </w:p>
        </w:tc>
      </w:tr>
      <w:tr w:rsidR="00950673" w:rsidRPr="00950673" w14:paraId="65F5DCD1" w14:textId="77777777" w:rsidTr="00950673">
        <w:trPr>
          <w:tblCellSpacing w:w="15" w:type="dxa"/>
        </w:trPr>
        <w:tc>
          <w:tcPr>
            <w:tcW w:w="0" w:type="auto"/>
            <w:vAlign w:val="center"/>
            <w:hideMark/>
          </w:tcPr>
          <w:p w14:paraId="77D935E3" w14:textId="77777777" w:rsidR="00950673" w:rsidRPr="00950673" w:rsidRDefault="00950673" w:rsidP="00950673">
            <w:pPr>
              <w:spacing w:after="0" w:line="240" w:lineRule="auto"/>
              <w:rPr>
                <w:rFonts w:ascii="Times New Roman" w:eastAsia="Times New Roman" w:hAnsi="Times New Roman" w:cs="Times New Roman"/>
                <w:sz w:val="24"/>
                <w:szCs w:val="24"/>
                <w:lang w:eastAsia="en-GB"/>
              </w:rPr>
            </w:pPr>
            <w:r w:rsidRPr="00950673">
              <w:rPr>
                <w:rFonts w:ascii="Times New Roman" w:eastAsia="Times New Roman" w:hAnsi="Times New Roman" w:cs="Times New Roman"/>
                <w:sz w:val="24"/>
                <w:szCs w:val="24"/>
                <w:lang w:eastAsia="en-GB"/>
              </w:rPr>
              <w:t>Activity</w:t>
            </w:r>
          </w:p>
        </w:tc>
        <w:tc>
          <w:tcPr>
            <w:tcW w:w="0" w:type="auto"/>
            <w:vAlign w:val="center"/>
            <w:hideMark/>
          </w:tcPr>
          <w:p w14:paraId="62F52DC4" w14:textId="77777777" w:rsidR="00950673" w:rsidRPr="00950673" w:rsidRDefault="00950673" w:rsidP="00950673">
            <w:pPr>
              <w:spacing w:after="0" w:line="240" w:lineRule="auto"/>
              <w:rPr>
                <w:rFonts w:ascii="Times New Roman" w:eastAsia="Times New Roman" w:hAnsi="Times New Roman" w:cs="Times New Roman"/>
                <w:sz w:val="24"/>
                <w:szCs w:val="24"/>
                <w:lang w:eastAsia="en-GB"/>
              </w:rPr>
            </w:pPr>
            <w:r w:rsidRPr="00950673">
              <w:rPr>
                <w:rFonts w:ascii="Times New Roman" w:eastAsia="Times New Roman" w:hAnsi="Times New Roman" w:cs="Times New Roman"/>
                <w:sz w:val="24"/>
                <w:szCs w:val="24"/>
                <w:lang w:eastAsia="en-GB"/>
              </w:rPr>
              <w:t>Information giving</w:t>
            </w:r>
          </w:p>
        </w:tc>
        <w:tc>
          <w:tcPr>
            <w:tcW w:w="0" w:type="auto"/>
            <w:vAlign w:val="center"/>
            <w:hideMark/>
          </w:tcPr>
          <w:p w14:paraId="72E99796" w14:textId="77777777" w:rsidR="00950673" w:rsidRPr="00950673" w:rsidRDefault="00950673" w:rsidP="00950673">
            <w:pPr>
              <w:spacing w:after="0" w:line="240" w:lineRule="auto"/>
              <w:rPr>
                <w:rFonts w:ascii="Times New Roman" w:eastAsia="Times New Roman" w:hAnsi="Times New Roman" w:cs="Times New Roman"/>
                <w:sz w:val="24"/>
                <w:szCs w:val="24"/>
                <w:lang w:eastAsia="en-GB"/>
              </w:rPr>
            </w:pPr>
            <w:r w:rsidRPr="00950673">
              <w:rPr>
                <w:rFonts w:ascii="Times New Roman" w:eastAsia="Times New Roman" w:hAnsi="Times New Roman" w:cs="Times New Roman"/>
                <w:sz w:val="24"/>
                <w:szCs w:val="24"/>
                <w:lang w:eastAsia="en-GB"/>
              </w:rPr>
              <w:t>Listening</w:t>
            </w:r>
          </w:p>
        </w:tc>
        <w:tc>
          <w:tcPr>
            <w:tcW w:w="0" w:type="auto"/>
            <w:vAlign w:val="center"/>
            <w:hideMark/>
          </w:tcPr>
          <w:p w14:paraId="0669381A" w14:textId="77777777" w:rsidR="00950673" w:rsidRPr="00950673" w:rsidRDefault="00950673" w:rsidP="00950673">
            <w:pPr>
              <w:spacing w:after="0" w:line="240" w:lineRule="auto"/>
              <w:rPr>
                <w:rFonts w:ascii="Times New Roman" w:eastAsia="Times New Roman" w:hAnsi="Times New Roman" w:cs="Times New Roman"/>
                <w:sz w:val="24"/>
                <w:szCs w:val="24"/>
                <w:lang w:eastAsia="en-GB"/>
              </w:rPr>
            </w:pPr>
            <w:r w:rsidRPr="00950673">
              <w:rPr>
                <w:rFonts w:ascii="Times New Roman" w:eastAsia="Times New Roman" w:hAnsi="Times New Roman" w:cs="Times New Roman"/>
                <w:sz w:val="24"/>
                <w:szCs w:val="24"/>
                <w:lang w:eastAsia="en-GB"/>
              </w:rPr>
              <w:t>Joint decision-making</w:t>
            </w:r>
          </w:p>
        </w:tc>
        <w:tc>
          <w:tcPr>
            <w:tcW w:w="0" w:type="auto"/>
            <w:vAlign w:val="center"/>
            <w:hideMark/>
          </w:tcPr>
          <w:p w14:paraId="0D99F26C" w14:textId="77777777" w:rsidR="00950673" w:rsidRPr="00950673" w:rsidRDefault="00950673" w:rsidP="00950673">
            <w:pPr>
              <w:spacing w:after="0" w:line="240" w:lineRule="auto"/>
              <w:rPr>
                <w:rFonts w:ascii="Times New Roman" w:eastAsia="Times New Roman" w:hAnsi="Times New Roman" w:cs="Times New Roman"/>
                <w:sz w:val="24"/>
                <w:szCs w:val="24"/>
                <w:lang w:eastAsia="en-GB"/>
              </w:rPr>
            </w:pPr>
            <w:r w:rsidRPr="00950673">
              <w:rPr>
                <w:rFonts w:ascii="Times New Roman" w:eastAsia="Times New Roman" w:hAnsi="Times New Roman" w:cs="Times New Roman"/>
                <w:sz w:val="24"/>
                <w:szCs w:val="24"/>
                <w:lang w:eastAsia="en-GB"/>
              </w:rPr>
              <w:t>Joint action</w:t>
            </w:r>
          </w:p>
        </w:tc>
      </w:tr>
    </w:tbl>
    <w:p w14:paraId="242537FC" w14:textId="77777777" w:rsidR="00950673" w:rsidRPr="00950673" w:rsidRDefault="00950673" w:rsidP="00950673">
      <w:pPr>
        <w:spacing w:before="100" w:beforeAutospacing="1" w:after="100" w:afterAutospacing="1" w:line="240" w:lineRule="auto"/>
        <w:rPr>
          <w:rFonts w:ascii="LinLibertine" w:eastAsia="Times New Roman" w:hAnsi="LinLibertine" w:cs="Times New Roman"/>
          <w:color w:val="000000"/>
          <w:lang w:eastAsia="en-GB"/>
        </w:rPr>
      </w:pPr>
      <w:r w:rsidRPr="00950673">
        <w:rPr>
          <w:rFonts w:ascii="LinLibertine" w:eastAsia="Times New Roman" w:hAnsi="LinLibertine" w:cs="Times New Roman"/>
          <w:color w:val="000000"/>
          <w:lang w:eastAsia="en-GB"/>
        </w:rPr>
        <w:t xml:space="preserve">Source: Adapted from </w:t>
      </w:r>
      <w:proofErr w:type="spellStart"/>
      <w:r w:rsidRPr="00950673">
        <w:rPr>
          <w:rFonts w:ascii="LinLibertine" w:eastAsia="Times New Roman" w:hAnsi="LinLibertine" w:cs="Times New Roman"/>
          <w:color w:val="000000"/>
          <w:lang w:eastAsia="en-GB"/>
        </w:rPr>
        <w:t>Arnstein</w:t>
      </w:r>
      <w:proofErr w:type="spellEnd"/>
      <w:r w:rsidRPr="00950673">
        <w:rPr>
          <w:rFonts w:ascii="LinLibertine" w:eastAsia="Times New Roman" w:hAnsi="LinLibertine" w:cs="Times New Roman"/>
          <w:color w:val="000000"/>
          <w:lang w:eastAsia="en-GB"/>
        </w:rPr>
        <w:t xml:space="preserve"> (1969)</w:t>
      </w:r>
    </w:p>
    <w:p w14:paraId="42E19444"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 key challenge is that information is often provided in bureaucratic language which is incomprehensible to many citizens. There is now a strong drive by governments across the world to use ‘simple language’. The use of ‘jargon’ risks excluding some groups from the conversation. However, using a reduced vocabulary, with simple terms, may lose precision and fail to convey the complexity of the issues that are being considered. It is therefore important to tailor language to the needs of the specific groups receiving the information in order to get the message across in terms that they can understand. It is increasingly recognized that the medium is also important and that this need not be ‘text’ – some groups understand an issue better and faster through graphics, videos and anecdotes, and prefer oral to written communication. This means that information officers need a range of communication skills and to be able to act as intermediaries between public organizations and the public.</w:t>
      </w:r>
    </w:p>
    <w:p w14:paraId="6301C6BF"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Governments at local and national levels use a wide variety of media to provide information to the public. Traditional approaches include noticeboards, council newspapers, service directories, videos, roadshows, exhibitions and public awareness campaigns. More recently, digital devices have provided new ways of disseminating information – including websites, community information points (e.g. in libraries) and mobile phone apps (see </w:t>
      </w:r>
      <w:hyperlink r:id="rId12" w:history="1">
        <w:r w:rsidRPr="00950673">
          <w:rPr>
            <w:rFonts w:ascii="LinLibertine" w:eastAsia="Times New Roman" w:hAnsi="LinLibertine" w:cs="Times New Roman"/>
            <w:color w:val="0000FF"/>
            <w:sz w:val="24"/>
            <w:szCs w:val="24"/>
            <w:u w:val="single"/>
            <w:lang w:eastAsia="en-GB"/>
          </w:rPr>
          <w:t>chapter 10</w:t>
        </w:r>
      </w:hyperlink>
      <w:r w:rsidRPr="00950673">
        <w:rPr>
          <w:rFonts w:ascii="LinLibertine" w:eastAsia="Times New Roman" w:hAnsi="LinLibertine" w:cs="Times New Roman"/>
          <w:color w:val="000000"/>
          <w:sz w:val="24"/>
          <w:szCs w:val="24"/>
          <w:lang w:eastAsia="en-GB"/>
        </w:rPr>
        <w:t xml:space="preserve">). Some public agencies see the Internet as particularly important in serving the needs of sparsely populated areas and citizens who are relatively immobile. Interestingly, Tolbert and </w:t>
      </w:r>
      <w:proofErr w:type="spellStart"/>
      <w:r w:rsidRPr="00950673">
        <w:rPr>
          <w:rFonts w:ascii="LinLibertine" w:eastAsia="Times New Roman" w:hAnsi="LinLibertine" w:cs="Times New Roman"/>
          <w:color w:val="000000"/>
          <w:sz w:val="24"/>
          <w:szCs w:val="24"/>
          <w:lang w:eastAsia="en-GB"/>
        </w:rPr>
        <w:t>Mossberger</w:t>
      </w:r>
      <w:proofErr w:type="spellEnd"/>
      <w:r w:rsidRPr="00950673">
        <w:rPr>
          <w:rFonts w:ascii="LinLibertine" w:eastAsia="Times New Roman" w:hAnsi="LinLibertine" w:cs="Times New Roman"/>
          <w:color w:val="000000"/>
          <w:sz w:val="24"/>
          <w:szCs w:val="24"/>
          <w:lang w:eastAsia="en-GB"/>
        </w:rPr>
        <w:t xml:space="preserve"> (2006) found that members of the public who use public sector websites expressed higher levels of confidence in both federal and local government than those who did not.</w:t>
      </w:r>
    </w:p>
    <w:p w14:paraId="5632899E"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In the UK, more and more public organizations recognize that social media are not only a useful way of informing citizens but also of inviting their views and getting information from them – see </w:t>
      </w:r>
      <w:hyperlink r:id="rId13" w:anchor="ce22_3" w:history="1">
        <w:r w:rsidRPr="00950673">
          <w:rPr>
            <w:rFonts w:ascii="LinLibertine" w:eastAsia="Times New Roman" w:hAnsi="LinLibertine" w:cs="Times New Roman"/>
            <w:color w:val="0000FF"/>
            <w:sz w:val="24"/>
            <w:szCs w:val="24"/>
            <w:u w:val="single"/>
            <w:lang w:eastAsia="en-GB"/>
          </w:rPr>
          <w:t>Case example 22.1</w:t>
        </w:r>
      </w:hyperlink>
      <w:r w:rsidRPr="00950673">
        <w:rPr>
          <w:rFonts w:ascii="LinLibertine" w:eastAsia="Times New Roman" w:hAnsi="LinLibertine" w:cs="Times New Roman"/>
          <w:color w:val="000000"/>
          <w:sz w:val="24"/>
          <w:szCs w:val="24"/>
          <w:lang w:eastAsia="en-GB"/>
        </w:rPr>
        <w:t>.</w:t>
      </w:r>
    </w:p>
    <w:p w14:paraId="6BD65261"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So, what are the benefits of providing information to citizens and which approaches work best? This is not a </w:t>
      </w:r>
      <w:proofErr w:type="spellStart"/>
      <w:r w:rsidRPr="00950673">
        <w:rPr>
          <w:rFonts w:ascii="LinLibertine" w:eastAsia="Times New Roman" w:hAnsi="LinLibertine" w:cs="Times New Roman"/>
          <w:color w:val="000000"/>
          <w:sz w:val="24"/>
          <w:szCs w:val="24"/>
          <w:lang w:eastAsia="en-GB"/>
        </w:rPr>
        <w:t>well researched</w:t>
      </w:r>
      <w:proofErr w:type="spellEnd"/>
      <w:r w:rsidRPr="00950673">
        <w:rPr>
          <w:rFonts w:ascii="LinLibertine" w:eastAsia="Times New Roman" w:hAnsi="LinLibertine" w:cs="Times New Roman"/>
          <w:color w:val="000000"/>
          <w:sz w:val="24"/>
          <w:szCs w:val="24"/>
          <w:lang w:eastAsia="en-GB"/>
        </w:rPr>
        <w:t xml:space="preserve"> topic, but one interesting study (Coulter and </w:t>
      </w:r>
      <w:proofErr w:type="spellStart"/>
      <w:r w:rsidRPr="00950673">
        <w:rPr>
          <w:rFonts w:ascii="LinLibertine" w:eastAsia="Times New Roman" w:hAnsi="LinLibertine" w:cs="Times New Roman"/>
          <w:color w:val="000000"/>
          <w:sz w:val="24"/>
          <w:szCs w:val="24"/>
          <w:lang w:eastAsia="en-GB"/>
        </w:rPr>
        <w:t>Ellins</w:t>
      </w:r>
      <w:proofErr w:type="spellEnd"/>
      <w:r w:rsidRPr="00950673">
        <w:rPr>
          <w:rFonts w:ascii="LinLibertine" w:eastAsia="Times New Roman" w:hAnsi="LinLibertine" w:cs="Times New Roman"/>
          <w:color w:val="000000"/>
          <w:sz w:val="24"/>
          <w:szCs w:val="24"/>
          <w:lang w:eastAsia="en-GB"/>
        </w:rPr>
        <w:t xml:space="preserve">, 2006: 21) found that inadequate health literacy in the USA is a significant barrier to citizen engagement. Affecting around 90 million adults, it has potentially serious </w:t>
      </w:r>
      <w:r w:rsidRPr="00950673">
        <w:rPr>
          <w:rFonts w:ascii="LinLibertine" w:eastAsia="Times New Roman" w:hAnsi="LinLibertine" w:cs="Times New Roman"/>
          <w:color w:val="000000"/>
          <w:sz w:val="24"/>
          <w:szCs w:val="24"/>
          <w:lang w:eastAsia="en-GB"/>
        </w:rPr>
        <w:lastRenderedPageBreak/>
        <w:t>consequences for their health. However, the researchers also report that studies show that, despite various initiatives to improve the quality and availability of health information, patients and the public want more information than they currently receive and that health professionals tend to overestimate the amount of information they supply.</w:t>
      </w:r>
    </w:p>
    <w:p w14:paraId="1823473B"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Interest in the power of information-giving has been greatly stimulated in recent years by the realisation that many public policy issues can only be addressed effectively through prevention rather than cure. Governments therefore need to become better at informing public attitudes and influencing behaviour. Long-term gains in health, for example, depend as much as on changes in lifestyle (diet, smoking habits, exercise, etc.) as they do on advances in the treatment of acute illness (see </w:t>
      </w:r>
      <w:hyperlink r:id="rId14" w:history="1">
        <w:r w:rsidRPr="00950673">
          <w:rPr>
            <w:rFonts w:ascii="LinLibertine" w:eastAsia="Times New Roman" w:hAnsi="LinLibertine" w:cs="Times New Roman"/>
            <w:color w:val="0000FF"/>
            <w:sz w:val="24"/>
            <w:szCs w:val="24"/>
            <w:u w:val="single"/>
            <w:lang w:eastAsia="en-GB"/>
          </w:rPr>
          <w:t>chapter 23</w:t>
        </w:r>
      </w:hyperlink>
      <w:r w:rsidRPr="00950673">
        <w:rPr>
          <w:rFonts w:ascii="LinLibertine" w:eastAsia="Times New Roman" w:hAnsi="LinLibertine" w:cs="Times New Roman"/>
          <w:color w:val="000000"/>
          <w:sz w:val="24"/>
          <w:szCs w:val="24"/>
          <w:lang w:eastAsia="en-GB"/>
        </w:rPr>
        <w:t>). Similarly, levels of educational attainment depend not just on the skills of teaching staff and their teaching methods but also on the attitudes of students and their parents. To encourage a focus on behaviour change, the UK government in 2010 set up a Behavioural Insights Team (known unofficially as the ‘Nudge Team’), as the world’s first government institution dedicated to the application of behavioural sciences. It has now become a joint venture social purpose company (see </w:t>
      </w:r>
      <w:hyperlink r:id="rId15" w:history="1">
        <w:r w:rsidRPr="00950673">
          <w:rPr>
            <w:rFonts w:ascii="LinLibertine" w:eastAsia="Times New Roman" w:hAnsi="LinLibertine" w:cs="Times New Roman"/>
            <w:color w:val="0000FF"/>
            <w:sz w:val="24"/>
            <w:szCs w:val="24"/>
            <w:u w:val="single"/>
            <w:lang w:eastAsia="en-GB"/>
          </w:rPr>
          <w:t>www.behaviouralinsights.co.uk</w:t>
        </w:r>
      </w:hyperlink>
      <w:r w:rsidRPr="00950673">
        <w:rPr>
          <w:rFonts w:ascii="LinLibertine" w:eastAsia="Times New Roman" w:hAnsi="LinLibertine" w:cs="Times New Roman"/>
          <w:color w:val="000000"/>
          <w:sz w:val="24"/>
          <w:szCs w:val="24"/>
          <w:lang w:eastAsia="en-GB"/>
        </w:rPr>
        <w:t>), attracting finance based on what are claimed to be impressive early results (see </w:t>
      </w:r>
      <w:hyperlink r:id="rId16" w:history="1">
        <w:r w:rsidRPr="00950673">
          <w:rPr>
            <w:rFonts w:ascii="LinLibertine" w:eastAsia="Times New Roman" w:hAnsi="LinLibertine" w:cs="Times New Roman"/>
            <w:color w:val="0000FF"/>
            <w:sz w:val="24"/>
            <w:szCs w:val="24"/>
            <w:u w:val="single"/>
            <w:lang w:eastAsia="en-GB"/>
          </w:rPr>
          <w:t>www.theguardian.com/politics/2013/may/02/nudge-unit-has-it-worked</w:t>
        </w:r>
      </w:hyperlink>
      <w:r w:rsidRPr="00950673">
        <w:rPr>
          <w:rFonts w:ascii="LinLibertine" w:eastAsia="Times New Roman" w:hAnsi="LinLibertine" w:cs="Times New Roman"/>
          <w:color w:val="000000"/>
          <w:sz w:val="24"/>
          <w:szCs w:val="24"/>
          <w:lang w:eastAsia="en-GB"/>
        </w:rPr>
        <w:t>).</w:t>
      </w:r>
    </w:p>
    <w:p w14:paraId="1C705CCE"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While the results of the ‘nudge’ approach have not as yet been fully evaluated, it has attracted considerable interest and the evidence appears encouraging. Gerry Stoker (2013: 34), for example, concluded from a series of experiments that ‘the evidence suggests [nudges] can be decisive in changing people’s minds’, although he cautioned that ‘Most of our nudges worked in a modest, rather than transformative, way’.</w:t>
      </w:r>
    </w:p>
    <w:p w14:paraId="1DA5116C" w14:textId="77777777" w:rsidR="00950673" w:rsidRPr="00950673" w:rsidRDefault="00A971A9" w:rsidP="00950673">
      <w:pPr>
        <w:spacing w:after="240" w:line="240" w:lineRule="auto"/>
        <w:rPr>
          <w:rFonts w:ascii="LinLibertine" w:eastAsia="Times New Roman" w:hAnsi="LinLibertine" w:cs="Times New Roman"/>
          <w:b/>
          <w:bCs/>
          <w:color w:val="000000"/>
          <w:sz w:val="31"/>
          <w:szCs w:val="31"/>
          <w:lang w:eastAsia="en-GB"/>
        </w:rPr>
      </w:pPr>
      <w:hyperlink r:id="rId17" w:anchor="bck_ce22_1" w:history="1">
        <w:r w:rsidR="00950673" w:rsidRPr="00950673">
          <w:rPr>
            <w:rFonts w:ascii="LinLibertine" w:eastAsia="Times New Roman" w:hAnsi="LinLibertine" w:cs="Times New Roman"/>
            <w:b/>
            <w:bCs/>
            <w:color w:val="0000FF"/>
            <w:sz w:val="31"/>
            <w:szCs w:val="31"/>
            <w:u w:val="single"/>
            <w:lang w:eastAsia="en-GB"/>
          </w:rPr>
          <w:t>Case example 22.1</w:t>
        </w:r>
      </w:hyperlink>
      <w:r w:rsidR="00950673" w:rsidRPr="00950673">
        <w:rPr>
          <w:rFonts w:ascii="LinLibertine" w:eastAsia="Times New Roman" w:hAnsi="LinLibertine" w:cs="Times New Roman"/>
          <w:b/>
          <w:bCs/>
          <w:color w:val="000000"/>
          <w:sz w:val="31"/>
          <w:szCs w:val="31"/>
          <w:lang w:eastAsia="en-GB"/>
        </w:rPr>
        <w:t> </w:t>
      </w:r>
      <w:proofErr w:type="spellStart"/>
      <w:r w:rsidR="00950673" w:rsidRPr="00950673">
        <w:rPr>
          <w:rFonts w:ascii="LinLibertine" w:eastAsia="Times New Roman" w:hAnsi="LinLibertine" w:cs="Times New Roman"/>
          <w:b/>
          <w:bCs/>
          <w:color w:val="000000"/>
          <w:sz w:val="31"/>
          <w:szCs w:val="31"/>
          <w:lang w:eastAsia="en-GB"/>
        </w:rPr>
        <w:t>CamdenTalking</w:t>
      </w:r>
      <w:proofErr w:type="spellEnd"/>
      <w:r w:rsidR="00950673" w:rsidRPr="00950673">
        <w:rPr>
          <w:rFonts w:ascii="LinLibertine" w:eastAsia="Times New Roman" w:hAnsi="LinLibertine" w:cs="Times New Roman"/>
          <w:b/>
          <w:bCs/>
          <w:color w:val="000000"/>
          <w:sz w:val="31"/>
          <w:szCs w:val="31"/>
          <w:lang w:eastAsia="en-GB"/>
        </w:rPr>
        <w:t xml:space="preserve"> – the social media platform of London Borough of Camden</w:t>
      </w:r>
    </w:p>
    <w:p w14:paraId="609A13C1"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London Borough of Camden took a pro-active approach towards social media and has reaped the benefits of being an early adopter. Alasdair Mangham (former ICT Manager) explained in an interview: ‘Finally, we can listen to what they are actually saying about us’.</w:t>
      </w:r>
    </w:p>
    <w:p w14:paraId="11F4C3CF"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Elke Loeffler: Are social media just another hype or will this transform local government?</w:t>
      </w:r>
    </w:p>
    <w:p w14:paraId="760896DD"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Alasdair Mangham: In Camden social media have completely changed the way we communicate with the public. In the past, our conversation was based on the idea that we need to push our message out – either through leaflets, flyers and other paper-based information or through the website and emails. Since we have been using social media, we now engage in on-going conversations with citizens on a more-or-less permanent basis, which is very different.</w:t>
      </w:r>
    </w:p>
    <w:p w14:paraId="4290A51B"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Elke Loeffler: How do you use social media in Camden?</w:t>
      </w:r>
    </w:p>
    <w:p w14:paraId="421ACA5C"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Alasdair </w:t>
      </w:r>
      <w:proofErr w:type="spellStart"/>
      <w:r w:rsidRPr="00950673">
        <w:rPr>
          <w:rFonts w:ascii="LinLibertine" w:eastAsia="Times New Roman" w:hAnsi="LinLibertine" w:cs="Times New Roman"/>
          <w:color w:val="000000"/>
          <w:sz w:val="24"/>
          <w:szCs w:val="24"/>
          <w:lang w:eastAsia="en-GB"/>
        </w:rPr>
        <w:t>Manghan</w:t>
      </w:r>
      <w:proofErr w:type="spellEnd"/>
      <w:r w:rsidRPr="00950673">
        <w:rPr>
          <w:rFonts w:ascii="LinLibertine" w:eastAsia="Times New Roman" w:hAnsi="LinLibertine" w:cs="Times New Roman"/>
          <w:color w:val="000000"/>
          <w:sz w:val="24"/>
          <w:szCs w:val="24"/>
          <w:lang w:eastAsia="en-GB"/>
        </w:rPr>
        <w:t>: In a variety of ways – for example, our complaints management now uses Twitter to listen to what people say about us and to feedback quickly what we have done about complaints. So, for example, when we had a lot of snow this winter, one resident on Twitter complained that his local park hadn’t opened that day. We tweeted him explaining that some parks staff hadn’t been able to get into work because of the snow but that we were working to get the parks opened anyway. When his park was open, we tweeted back to tell him – and he retweeted this message to all his followers, adding that he thought this was super service and how impressed he was. Invaluable!</w:t>
      </w:r>
    </w:p>
    <w:p w14:paraId="18D20530"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lastRenderedPageBreak/>
        <w:t>But we also use social media to launch campaigns. For example, last Christmas we ran a very effective ‘Love Camden’ campaign to urge shoppers to do their Christmas shopping in Camden. We used ‘crowdsourcing’ to generate ideas on how to support the campaign and won over some local celebrities to back the campaign.</w:t>
      </w:r>
    </w:p>
    <w:p w14:paraId="4C1DCD24"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Elke Loeffler: Where do you see the limits of social media?</w:t>
      </w:r>
    </w:p>
    <w:p w14:paraId="2E53BB97"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Alasdair Mangham: Of course, social media do not overcome the digital divide. Today, more than 70 per cent of residents in Camden have access to a PC – but obviously we need to keep in touch with the other 30 per cent, too. Actually, social media also open up a new digital divide, since their use is very uneven in the e-literate population. For example, we know that not many 20–30 years olds use Twitter, so we need to invest in a mix of media to engage with various groups.</w:t>
      </w:r>
    </w:p>
    <w:p w14:paraId="5D505DB4" w14:textId="77777777" w:rsidR="00950673" w:rsidRPr="00950673" w:rsidRDefault="00950673" w:rsidP="00950673">
      <w:pPr>
        <w:spacing w:before="24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Source: Adapted from a Governance International Interview with Alasdair Mangham in 2010, </w:t>
      </w:r>
      <w:hyperlink r:id="rId18" w:history="1">
        <w:r w:rsidRPr="00950673">
          <w:rPr>
            <w:rFonts w:ascii="LinLibertine" w:eastAsia="Times New Roman" w:hAnsi="LinLibertine" w:cs="Times New Roman"/>
            <w:color w:val="0000FF"/>
            <w:sz w:val="24"/>
            <w:szCs w:val="24"/>
            <w:u w:val="single"/>
            <w:lang w:eastAsia="en-GB"/>
          </w:rPr>
          <w:t>www.govint.org/good-practice/interviews/alasdair-mangham-interview</w:t>
        </w:r>
      </w:hyperlink>
    </w:p>
    <w:p w14:paraId="6F27B807" w14:textId="77777777" w:rsidR="00950673" w:rsidRPr="00950673" w:rsidRDefault="00950673" w:rsidP="00950673">
      <w:pPr>
        <w:spacing w:before="480" w:after="240" w:line="374" w:lineRule="atLeast"/>
        <w:outlineLvl w:val="2"/>
        <w:rPr>
          <w:rFonts w:ascii="LinLibertine" w:eastAsia="Times New Roman" w:hAnsi="LinLibertine" w:cs="Times New Roman"/>
          <w:b/>
          <w:bCs/>
          <w:i/>
          <w:iCs/>
          <w:color w:val="000000"/>
          <w:sz w:val="29"/>
          <w:szCs w:val="29"/>
          <w:lang w:eastAsia="en-GB"/>
        </w:rPr>
      </w:pPr>
      <w:r w:rsidRPr="00950673">
        <w:rPr>
          <w:rFonts w:ascii="LinLibertine" w:eastAsia="Times New Roman" w:hAnsi="LinLibertine" w:cs="Times New Roman"/>
          <w:b/>
          <w:bCs/>
          <w:i/>
          <w:iCs/>
          <w:color w:val="000000"/>
          <w:sz w:val="29"/>
          <w:szCs w:val="29"/>
          <w:lang w:eastAsia="en-GB"/>
        </w:rPr>
        <w:t>Consultation: approaches and evidence</w:t>
      </w:r>
    </w:p>
    <w:p w14:paraId="61CBC520"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Consultation differs from information provision in that it involves two-way communication between governments/service providers and citizens. It covers a wide range of activities involving differing levels of engagement.</w:t>
      </w:r>
    </w:p>
    <w:p w14:paraId="61563BB5"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It is often important to consult about consultation. Where people have an early chance to shape the subsequent consultation exercise, they are more likely to regard an exercise as genuine and productive. However, where a public agency just wants to check that it has not forgotten anything or misinterpreted the public mood, it may be appropriate simply to allow a period for people to respond to a </w:t>
      </w:r>
      <w:proofErr w:type="spellStart"/>
      <w:r w:rsidRPr="00950673">
        <w:rPr>
          <w:rFonts w:ascii="LinLibertine" w:eastAsia="Times New Roman" w:hAnsi="LinLibertine" w:cs="Times New Roman"/>
          <w:color w:val="000000"/>
          <w:sz w:val="24"/>
          <w:szCs w:val="24"/>
          <w:lang w:eastAsia="en-GB"/>
        </w:rPr>
        <w:t>well developed</w:t>
      </w:r>
      <w:proofErr w:type="spellEnd"/>
      <w:r w:rsidRPr="00950673">
        <w:rPr>
          <w:rFonts w:ascii="LinLibertine" w:eastAsia="Times New Roman" w:hAnsi="LinLibertine" w:cs="Times New Roman"/>
          <w:color w:val="000000"/>
          <w:sz w:val="24"/>
          <w:szCs w:val="24"/>
          <w:lang w:eastAsia="en-GB"/>
        </w:rPr>
        <w:t xml:space="preserve"> set of proposals. There are circumstances in which either of these approaches may be useful and appropriate.</w:t>
      </w:r>
    </w:p>
    <w:p w14:paraId="443D7BD9"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However, consultation is not always seen in a favourable light. In some cases, the public is presented with a narrow range of options and asked to decide which it prefers, leaving many people feeling that they are being ‘railroaded’. Where consultation has become mandatory (as is increasingly the case in the UK), many exercises appear tokenistic: consultation occurs at such a late stage that citizens believe that the key decisions have already been taken. Moreover, long-drawn-out consultation processes are sometimes used by policy-makers simply to defer difficult decisions (OECD, 2001). And many public agencies fail to provide adequate feedback to consultees, sometimes on grounds of cost.</w:t>
      </w:r>
    </w:p>
    <w:p w14:paraId="05C51FA8"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All these problems mean that, in practice, ‘consultation’ can become a one-way flow of information. Worse still, in some cases the results of ‘consultations’ which are run by staff low down in the hierarchy or by external consultants do not reach more senior decision-takers for whose benefit they were theoretically designed. And many consultations involve fairly narrowly defined groups of the ‘usual suspects’. There is much talk in the UK of ‘consultation fatigue’. However, in practice, it is only some groups that are ‘over-consulted’ while the views of others are still not heard. Indeed, so-called ‘hard-to-reach’ groups often find that it is the public service providers who are ‘hard to reach’ – and even when they are reached, public agencies can be hard to engage with, as they often want to keep control and have the last word.</w:t>
      </w:r>
    </w:p>
    <w:p w14:paraId="765C321D"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A recent survey of UK public sector consultation specialists (Consultation Institute, 2012) found that traditional consultation methods still predominated – 93 per cent reported use of written consultations and 83 per cent reported use of public meetings. However, 84 per cent reported using focus groups (greatly increased on a decade earlier) </w:t>
      </w:r>
      <w:r w:rsidRPr="00950673">
        <w:rPr>
          <w:rFonts w:ascii="LinLibertine" w:eastAsia="Times New Roman" w:hAnsi="LinLibertine" w:cs="Times New Roman"/>
          <w:color w:val="000000"/>
          <w:sz w:val="24"/>
          <w:szCs w:val="24"/>
          <w:lang w:eastAsia="en-GB"/>
        </w:rPr>
        <w:lastRenderedPageBreak/>
        <w:t>and 42 per cent reported using deliberative events – in general, a move towards more deliberative methods was discernible. The major change they noted has been in the use of surveys: although these were relatively rare until the early 1990s, almost all local councils, and many other local service providers, now regularly conduct residents’ and users’ surveys to gauge public satisfaction with existing services. In the Consultation Institute survey, 87 per cent of respondents reported use of online surveys, 74 per cent postal surveys, 65 per cent face-to-face surveys and 40 per cent telephone surveys.</w:t>
      </w:r>
    </w:p>
    <w:p w14:paraId="49FB8AAE"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Many local councils, police forces and health authorities in the UK have used citizens’ panels (with representative samples, typically of 1,000 to 2,000 local people) as regular sounding boards on key policy issues. Panels of service users and particular communities are also now commonplace. The Consultation Institute survey reported that 60 per cent of respondents were using such panels and communities. Almost as important, at 57 per cent, were social media channels (and this was by far the most common approach highlighted for greater use in the future). Other Internet-driven communications are also growing.</w:t>
      </w:r>
    </w:p>
    <w:p w14:paraId="520410B3"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Other methods in use, although on a smaller scale, include ‘visioning exercises’ or community appraisals, ‘listening days’ (during which senior managers and councillors talk in the streets to shoppers and householders), opening up council meetings with scheduled regular public question times, web broadcasting of committee meetings, free phone lines so citizens can record comments and suggestions, and Internet-driven information kiosks. In the Consultation Institute survey, 16 per cent of respondents had been involved in participatory budgeting exercises on priorities for public spending. However, there now appears much less use of citizens’ juries, often used in the UK, the USA and Germany in the 1980s and 1990s (</w:t>
      </w:r>
      <w:proofErr w:type="spellStart"/>
      <w:r w:rsidRPr="00950673">
        <w:rPr>
          <w:rFonts w:ascii="LinLibertine" w:eastAsia="Times New Roman" w:hAnsi="LinLibertine" w:cs="Times New Roman"/>
          <w:color w:val="000000"/>
          <w:sz w:val="24"/>
          <w:szCs w:val="24"/>
          <w:lang w:eastAsia="en-GB"/>
        </w:rPr>
        <w:t>Renn</w:t>
      </w:r>
      <w:proofErr w:type="spellEnd"/>
      <w:r w:rsidRPr="00950673">
        <w:rPr>
          <w:rFonts w:ascii="LinLibertine" w:eastAsia="Times New Roman" w:hAnsi="LinLibertine" w:cs="Times New Roman"/>
          <w:color w:val="000000"/>
          <w:sz w:val="24"/>
          <w:szCs w:val="24"/>
          <w:lang w:eastAsia="en-GB"/>
        </w:rPr>
        <w:t> </w:t>
      </w:r>
      <w:r w:rsidRPr="00950673">
        <w:rPr>
          <w:rFonts w:ascii="LinLibertine" w:eastAsia="Times New Roman" w:hAnsi="LinLibertine" w:cs="Times New Roman"/>
          <w:i/>
          <w:iCs/>
          <w:color w:val="000000"/>
          <w:sz w:val="24"/>
          <w:szCs w:val="24"/>
          <w:lang w:eastAsia="en-GB"/>
        </w:rPr>
        <w:t>et al</w:t>
      </w:r>
      <w:r w:rsidRPr="00950673">
        <w:rPr>
          <w:rFonts w:ascii="LinLibertine" w:eastAsia="Times New Roman" w:hAnsi="LinLibertine" w:cs="Times New Roman"/>
          <w:color w:val="000000"/>
          <w:sz w:val="24"/>
          <w:szCs w:val="24"/>
          <w:lang w:eastAsia="en-GB"/>
        </w:rPr>
        <w:t>., 1995), although some agencies have developed what are in effect larger citizens’ juries, often called ‘public scrutiny workshops’ or ‘consensus conferences’, to explore key policy issues.</w:t>
      </w:r>
    </w:p>
    <w:p w14:paraId="0101748E"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Central government has also invested heavily in recent years in surveys of the general public (see </w:t>
      </w:r>
      <w:hyperlink r:id="rId19" w:anchor="box22_1" w:history="1">
        <w:r w:rsidRPr="00950673">
          <w:rPr>
            <w:rFonts w:ascii="LinLibertine" w:eastAsia="Times New Roman" w:hAnsi="LinLibertine" w:cs="Times New Roman"/>
            <w:color w:val="0000FF"/>
            <w:sz w:val="24"/>
            <w:szCs w:val="24"/>
            <w:u w:val="single"/>
            <w:lang w:eastAsia="en-GB"/>
          </w:rPr>
          <w:t>Box 22.1</w:t>
        </w:r>
      </w:hyperlink>
      <w:r w:rsidRPr="00950673">
        <w:rPr>
          <w:rFonts w:ascii="LinLibertine" w:eastAsia="Times New Roman" w:hAnsi="LinLibertine" w:cs="Times New Roman"/>
          <w:color w:val="000000"/>
          <w:sz w:val="24"/>
          <w:szCs w:val="24"/>
          <w:lang w:eastAsia="en-GB"/>
        </w:rPr>
        <w:t>). However, these surveys have often changed considerably over time, reducing their usefulness for comparing policy performance. In some cases, they have been developed at considerable expense and then abolished. For example, the Department for Communities and Local Government (DCLG) in the UK developed a Place Survey, interviewing a large sample of the population in 2008 about their attitudes to the place they live, their quality of life and the service outcomes that they experience on a wide range of dimensions. The new government then abolished it after just one running, in spite of the widespread belief in local government that it was valuable. Many commentators assumed that this was because DCLG expected the survey results to become more unfavourable as austerity hit public spending programmes.</w:t>
      </w:r>
    </w:p>
    <w:p w14:paraId="2FE110AD"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So, does consultation make a difference? Strangely, this is not well researched. An overview of the effects of consultation in education settings (</w:t>
      </w:r>
      <w:proofErr w:type="spellStart"/>
      <w:r w:rsidRPr="00950673">
        <w:rPr>
          <w:rFonts w:ascii="LinLibertine" w:eastAsia="Times New Roman" w:hAnsi="LinLibertine" w:cs="Times New Roman"/>
          <w:color w:val="000000"/>
          <w:sz w:val="24"/>
          <w:szCs w:val="24"/>
          <w:lang w:eastAsia="en-GB"/>
        </w:rPr>
        <w:t>Noell</w:t>
      </w:r>
      <w:proofErr w:type="spellEnd"/>
      <w:r w:rsidRPr="00950673">
        <w:rPr>
          <w:rFonts w:ascii="LinLibertine" w:eastAsia="Times New Roman" w:hAnsi="LinLibertine" w:cs="Times New Roman"/>
          <w:color w:val="000000"/>
          <w:sz w:val="24"/>
          <w:szCs w:val="24"/>
          <w:lang w:eastAsia="en-GB"/>
        </w:rPr>
        <w:t xml:space="preserve"> and Witt, 1999: 34) concludes that ‘relatively little is known about the extent to which teachers implement interventions as a result of consultation’. Although, when researchers ask teachers if they have implemented the changes suggested from the consultations, they generally report that they have, </w:t>
      </w:r>
      <w:proofErr w:type="spellStart"/>
      <w:r w:rsidRPr="00950673">
        <w:rPr>
          <w:rFonts w:ascii="LinLibertine" w:eastAsia="Times New Roman" w:hAnsi="LinLibertine" w:cs="Times New Roman"/>
          <w:color w:val="000000"/>
          <w:sz w:val="24"/>
          <w:szCs w:val="24"/>
          <w:lang w:eastAsia="en-GB"/>
        </w:rPr>
        <w:t>Noell</w:t>
      </w:r>
      <w:proofErr w:type="spellEnd"/>
      <w:r w:rsidRPr="00950673">
        <w:rPr>
          <w:rFonts w:ascii="LinLibertine" w:eastAsia="Times New Roman" w:hAnsi="LinLibertine" w:cs="Times New Roman"/>
          <w:color w:val="000000"/>
          <w:sz w:val="24"/>
          <w:szCs w:val="24"/>
          <w:lang w:eastAsia="en-GB"/>
        </w:rPr>
        <w:t xml:space="preserve"> and Witt point to studies which suggest that these accounts may not match what appears to have actually happened. Whether such findings are valid more generally is not clear.</w:t>
      </w:r>
    </w:p>
    <w:p w14:paraId="68499350" w14:textId="77777777" w:rsidR="00950673" w:rsidRPr="00950673" w:rsidRDefault="00950673" w:rsidP="00950673">
      <w:pPr>
        <w:spacing w:before="480" w:after="240" w:line="374" w:lineRule="atLeast"/>
        <w:outlineLvl w:val="2"/>
        <w:rPr>
          <w:rFonts w:ascii="LinLibertine" w:eastAsia="Times New Roman" w:hAnsi="LinLibertine" w:cs="Times New Roman"/>
          <w:b/>
          <w:bCs/>
          <w:i/>
          <w:iCs/>
          <w:color w:val="000000"/>
          <w:sz w:val="29"/>
          <w:szCs w:val="29"/>
          <w:lang w:eastAsia="en-GB"/>
        </w:rPr>
      </w:pPr>
      <w:r w:rsidRPr="00950673">
        <w:rPr>
          <w:rFonts w:ascii="LinLibertine" w:eastAsia="Times New Roman" w:hAnsi="LinLibertine" w:cs="Times New Roman"/>
          <w:b/>
          <w:bCs/>
          <w:i/>
          <w:iCs/>
          <w:color w:val="000000"/>
          <w:sz w:val="29"/>
          <w:szCs w:val="29"/>
          <w:lang w:eastAsia="en-GB"/>
        </w:rPr>
        <w:t>Participation in public decision-making: approaches and evidence</w:t>
      </w:r>
    </w:p>
    <w:p w14:paraId="69A560EE"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lastRenderedPageBreak/>
        <w:t>Earlier in this chapter, we defined participation as a more intense interaction between public organizations and citizens, where each party has a role in decision-making (e.g. in relation to laws, policies, priorities, regulatory sanctions, etc.) and influence upon the final decision.</w:t>
      </w:r>
    </w:p>
    <w:p w14:paraId="08846C2C" w14:textId="77777777" w:rsidR="00950673" w:rsidRPr="00950673" w:rsidRDefault="00A971A9" w:rsidP="00950673">
      <w:pPr>
        <w:spacing w:after="240" w:line="240" w:lineRule="auto"/>
        <w:rPr>
          <w:rFonts w:ascii="LinLibertine" w:eastAsia="Times New Roman" w:hAnsi="LinLibertine" w:cs="Times New Roman"/>
          <w:b/>
          <w:bCs/>
          <w:color w:val="000000"/>
          <w:sz w:val="31"/>
          <w:szCs w:val="31"/>
          <w:lang w:eastAsia="en-GB"/>
        </w:rPr>
      </w:pPr>
      <w:hyperlink r:id="rId20" w:anchor="bck_box22_1" w:history="1">
        <w:r w:rsidR="00950673" w:rsidRPr="00950673">
          <w:rPr>
            <w:rFonts w:ascii="LinLibertine" w:eastAsia="Times New Roman" w:hAnsi="LinLibertine" w:cs="Times New Roman"/>
            <w:b/>
            <w:bCs/>
            <w:color w:val="0000FF"/>
            <w:sz w:val="31"/>
            <w:szCs w:val="31"/>
            <w:u w:val="single"/>
            <w:lang w:eastAsia="en-GB"/>
          </w:rPr>
          <w:t>Box 22.1</w:t>
        </w:r>
      </w:hyperlink>
      <w:r w:rsidR="00950673" w:rsidRPr="00950673">
        <w:rPr>
          <w:rFonts w:ascii="LinLibertine" w:eastAsia="Times New Roman" w:hAnsi="LinLibertine" w:cs="Times New Roman"/>
          <w:b/>
          <w:bCs/>
          <w:color w:val="000000"/>
          <w:sz w:val="31"/>
          <w:szCs w:val="31"/>
          <w:lang w:eastAsia="en-GB"/>
        </w:rPr>
        <w:t> Major surveys in the United Kingdom</w:t>
      </w:r>
    </w:p>
    <w:p w14:paraId="5B368210"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Office for National Statistics runs an annual Crime Survey for England and Wales, interviewing 38,000 people in their own homes to assess attitudes to and experiences of crime, the police and the courts.</w:t>
      </w:r>
    </w:p>
    <w:p w14:paraId="552894D9"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NHS England commission Ipsos MORI to conduct a GP Patient Survey to provide information on patients’ experience of primary care services. Over 2.6 million questionnaires were sent out across two waves in 2013 and 2014, yielding over 903,000 completed responses (a response rate of 34.3 per cent).</w:t>
      </w:r>
    </w:p>
    <w:p w14:paraId="10E33E66" w14:textId="77777777" w:rsidR="00950673" w:rsidRPr="00950673" w:rsidRDefault="00950673" w:rsidP="00950673">
      <w:pPr>
        <w:spacing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National Rail Passenger Survey has run twice a year since 1999 to provide customer views on rail company performance (e.g. regarding the punctuality and frequency of trains, and level of ticket prices), allowing comparisons between the various companies which can be built into the franchising contracts with train companies. In Spring 2014 nearly 30,000 questionnaires were returned (a return rate of 31.1 per cent).</w:t>
      </w:r>
    </w:p>
    <w:p w14:paraId="78DD824D"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arguments for public participation in decision-making have been strengthened by the weakening of </w:t>
      </w:r>
      <w:r w:rsidRPr="00950673">
        <w:rPr>
          <w:rFonts w:ascii="LinLibertine" w:eastAsia="Times New Roman" w:hAnsi="LinLibertine" w:cs="Times New Roman"/>
          <w:i/>
          <w:iCs/>
          <w:color w:val="000000"/>
          <w:sz w:val="24"/>
          <w:szCs w:val="24"/>
          <w:lang w:eastAsia="en-GB"/>
        </w:rPr>
        <w:t>representative</w:t>
      </w:r>
      <w:r w:rsidRPr="00950673">
        <w:rPr>
          <w:rFonts w:ascii="LinLibertine" w:eastAsia="Times New Roman" w:hAnsi="LinLibertine" w:cs="Times New Roman"/>
          <w:color w:val="000000"/>
          <w:sz w:val="24"/>
          <w:szCs w:val="24"/>
          <w:lang w:eastAsia="en-GB"/>
        </w:rPr>
        <w:t xml:space="preserve"> forms of democracy, reflected in low, and falling, levels of turnout in elections in many European countries. Participatory democracy may take many forms – e.g. the development of a ‘participation infrastructure’ in the Swedish local authority, setting out how citizens can use participatory </w:t>
      </w:r>
      <w:proofErr w:type="spellStart"/>
      <w:r w:rsidRPr="00950673">
        <w:rPr>
          <w:rFonts w:ascii="LinLibertine" w:eastAsia="Times New Roman" w:hAnsi="LinLibertine" w:cs="Times New Roman"/>
          <w:color w:val="000000"/>
          <w:sz w:val="24"/>
          <w:szCs w:val="24"/>
          <w:lang w:eastAsia="en-GB"/>
        </w:rPr>
        <w:t>opportunties</w:t>
      </w:r>
      <w:proofErr w:type="spellEnd"/>
      <w:r w:rsidRPr="00950673">
        <w:rPr>
          <w:rFonts w:ascii="LinLibertine" w:eastAsia="Times New Roman" w:hAnsi="LinLibertine" w:cs="Times New Roman"/>
          <w:color w:val="000000"/>
          <w:sz w:val="24"/>
          <w:szCs w:val="24"/>
          <w:lang w:eastAsia="en-GB"/>
        </w:rPr>
        <w:t xml:space="preserve">, Falun or the ‘rule book’ for public officers and councillors in the City of Heidelberg on when and how to involve citizens in specific decision-making processes. Nor is this simply a local phenomenon – central governments also seek the views of the public on legislative and policy change, increasingly using ICT. Famously, in 2001 an Estonian Government website allowed citizens to comment on draft laws and submit their own ideas for new legislation. However, only one new law was actually proposed, accepted and passed through this mechanism (Coleman and </w:t>
      </w:r>
      <w:proofErr w:type="spellStart"/>
      <w:r w:rsidRPr="00950673">
        <w:rPr>
          <w:rFonts w:ascii="LinLibertine" w:eastAsia="Times New Roman" w:hAnsi="LinLibertine" w:cs="Times New Roman"/>
          <w:color w:val="000000"/>
          <w:sz w:val="24"/>
          <w:szCs w:val="24"/>
          <w:lang w:eastAsia="en-GB"/>
        </w:rPr>
        <w:t>G⊘tze</w:t>
      </w:r>
      <w:proofErr w:type="spellEnd"/>
      <w:r w:rsidRPr="00950673">
        <w:rPr>
          <w:rFonts w:ascii="LinLibertine" w:eastAsia="Times New Roman" w:hAnsi="LinLibertine" w:cs="Times New Roman"/>
          <w:color w:val="000000"/>
          <w:sz w:val="24"/>
          <w:szCs w:val="24"/>
          <w:lang w:eastAsia="en-GB"/>
        </w:rPr>
        <w:t>, 2001).</w:t>
      </w:r>
    </w:p>
    <w:p w14:paraId="64DCCD77"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How common is such participative activity in public decision-making? While much talked about, a literature review for the Scottish Government (Albert and Passmore, 2008: 5) reminds us that ‘evidence of a public appetite for participating in the design and delivery of public services is mixed’, although ‘there is some support for more radical forms of engagement, such as lay involvement on the governing boards of public services’. Indeed, research suggests that only 3 per cent of the UK population believe that they are involved with its local authority to some degree (</w:t>
      </w:r>
      <w:hyperlink r:id="rId21" w:anchor="box22_2" w:history="1">
        <w:r w:rsidRPr="00950673">
          <w:rPr>
            <w:rFonts w:ascii="LinLibertine" w:eastAsia="Times New Roman" w:hAnsi="LinLibertine" w:cs="Times New Roman"/>
            <w:color w:val="0000FF"/>
            <w:sz w:val="24"/>
            <w:szCs w:val="24"/>
            <w:u w:val="single"/>
            <w:lang w:eastAsia="en-GB"/>
          </w:rPr>
          <w:t>Box 22.2</w:t>
        </w:r>
      </w:hyperlink>
      <w:r w:rsidRPr="00950673">
        <w:rPr>
          <w:rFonts w:ascii="LinLibertine" w:eastAsia="Times New Roman" w:hAnsi="LinLibertine" w:cs="Times New Roman"/>
          <w:color w:val="000000"/>
          <w:sz w:val="24"/>
          <w:szCs w:val="24"/>
          <w:lang w:eastAsia="en-GB"/>
        </w:rPr>
        <w:t>) although 20 per cent would like to engage more closely with their local authority and only 1 per cent say that they are not at all interested in what their council does. Moreover, participation mechanisms to bring local people into public decision-making continue to be developed and refreshed – see </w:t>
      </w:r>
      <w:hyperlink r:id="rId22" w:anchor="ce22_4" w:history="1">
        <w:r w:rsidRPr="00950673">
          <w:rPr>
            <w:rFonts w:ascii="LinLibertine" w:eastAsia="Times New Roman" w:hAnsi="LinLibertine" w:cs="Times New Roman"/>
            <w:color w:val="0000FF"/>
            <w:sz w:val="24"/>
            <w:szCs w:val="24"/>
            <w:u w:val="single"/>
            <w:lang w:eastAsia="en-GB"/>
          </w:rPr>
          <w:t>Case example 22.2</w:t>
        </w:r>
      </w:hyperlink>
      <w:r w:rsidRPr="00950673">
        <w:rPr>
          <w:rFonts w:ascii="LinLibertine" w:eastAsia="Times New Roman" w:hAnsi="LinLibertine" w:cs="Times New Roman"/>
          <w:color w:val="000000"/>
          <w:sz w:val="24"/>
          <w:szCs w:val="24"/>
          <w:lang w:eastAsia="en-GB"/>
        </w:rPr>
        <w:t>.</w:t>
      </w:r>
    </w:p>
    <w:p w14:paraId="05C33410"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And what difference does it make? </w:t>
      </w:r>
      <w:proofErr w:type="spellStart"/>
      <w:r w:rsidRPr="00950673">
        <w:rPr>
          <w:rFonts w:ascii="LinLibertine" w:eastAsia="Times New Roman" w:hAnsi="LinLibertine" w:cs="Times New Roman"/>
          <w:color w:val="000000"/>
          <w:sz w:val="24"/>
          <w:szCs w:val="24"/>
          <w:lang w:eastAsia="en-GB"/>
        </w:rPr>
        <w:t>Gaventa</w:t>
      </w:r>
      <w:proofErr w:type="spellEnd"/>
      <w:r w:rsidRPr="00950673">
        <w:rPr>
          <w:rFonts w:ascii="LinLibertine" w:eastAsia="Times New Roman" w:hAnsi="LinLibertine" w:cs="Times New Roman"/>
          <w:color w:val="000000"/>
          <w:sz w:val="24"/>
          <w:szCs w:val="24"/>
          <w:lang w:eastAsia="en-GB"/>
        </w:rPr>
        <w:t xml:space="preserve"> and Barrett (2010: 3) analysed 100 research studies of four types of citizen engagement, mainly of the participation type, in 20 countries and conclude that ‘citizen participation produces positive effects across [several] outcome types, though in each category there are also examples of negative outcomes’. The outcomes which they considered were the construction of citizenship, strengthened practices of participation, the building of responsive and accountable states, and more inclusive and cohesive societies. They concluded that the outcomes </w:t>
      </w:r>
      <w:r w:rsidRPr="00950673">
        <w:rPr>
          <w:rFonts w:ascii="LinLibertine" w:eastAsia="Times New Roman" w:hAnsi="LinLibertine" w:cs="Times New Roman"/>
          <w:color w:val="000000"/>
          <w:sz w:val="24"/>
          <w:szCs w:val="24"/>
          <w:lang w:eastAsia="en-GB"/>
        </w:rPr>
        <w:lastRenderedPageBreak/>
        <w:t>varied according to the type of citizen engagement and to political context, although they did not find that participation ‘success’ and ‘level of democratization’ were strongly linked nor that citizen engagement was more likely to lead to government response in more democratic than in less democratic states.</w:t>
      </w:r>
    </w:p>
    <w:p w14:paraId="2CB0F785" w14:textId="77777777" w:rsidR="00950673" w:rsidRPr="00950673" w:rsidRDefault="00A971A9" w:rsidP="00950673">
      <w:pPr>
        <w:spacing w:after="240" w:line="240" w:lineRule="auto"/>
        <w:rPr>
          <w:rFonts w:ascii="LinLibertine" w:eastAsia="Times New Roman" w:hAnsi="LinLibertine" w:cs="Times New Roman"/>
          <w:b/>
          <w:bCs/>
          <w:color w:val="000000"/>
          <w:sz w:val="31"/>
          <w:szCs w:val="31"/>
          <w:lang w:eastAsia="en-GB"/>
        </w:rPr>
      </w:pPr>
      <w:hyperlink r:id="rId23" w:anchor="bck_box22_2" w:history="1">
        <w:r w:rsidR="00950673" w:rsidRPr="00950673">
          <w:rPr>
            <w:rFonts w:ascii="LinLibertine" w:eastAsia="Times New Roman" w:hAnsi="LinLibertine" w:cs="Times New Roman"/>
            <w:b/>
            <w:bCs/>
            <w:color w:val="0000FF"/>
            <w:sz w:val="31"/>
            <w:szCs w:val="31"/>
            <w:u w:val="single"/>
            <w:lang w:eastAsia="en-GB"/>
          </w:rPr>
          <w:t>Box 22.2</w:t>
        </w:r>
      </w:hyperlink>
      <w:r w:rsidR="00950673" w:rsidRPr="00950673">
        <w:rPr>
          <w:rFonts w:ascii="LinLibertine" w:eastAsia="Times New Roman" w:hAnsi="LinLibertine" w:cs="Times New Roman"/>
          <w:b/>
          <w:bCs/>
          <w:color w:val="000000"/>
          <w:sz w:val="31"/>
          <w:szCs w:val="31"/>
          <w:lang w:eastAsia="en-GB"/>
        </w:rPr>
        <w:t> Public attitudes to participation</w:t>
      </w:r>
    </w:p>
    <w:p w14:paraId="1C147B84" w14:textId="77777777" w:rsidR="00950673" w:rsidRPr="00950673" w:rsidRDefault="00950673" w:rsidP="00950673">
      <w:pPr>
        <w:numPr>
          <w:ilvl w:val="0"/>
          <w:numId w:val="3"/>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I’m not interested in what the Council does, or whether they do their job – 1 per cent.</w:t>
      </w:r>
    </w:p>
    <w:p w14:paraId="58D33465" w14:textId="77777777" w:rsidR="00950673" w:rsidRPr="00950673" w:rsidRDefault="00950673" w:rsidP="00950673">
      <w:pPr>
        <w:numPr>
          <w:ilvl w:val="0"/>
          <w:numId w:val="3"/>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I’m not interested in what the Council does as long as they do their job – 16 per cent.</w:t>
      </w:r>
    </w:p>
    <w:p w14:paraId="398DDE6F" w14:textId="77777777" w:rsidR="00950673" w:rsidRPr="00950673" w:rsidRDefault="00950673" w:rsidP="00950673">
      <w:pPr>
        <w:numPr>
          <w:ilvl w:val="0"/>
          <w:numId w:val="3"/>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 like to know what the Council is doing, but I’m happy to let them get on with their job – 57 per cent.</w:t>
      </w:r>
    </w:p>
    <w:p w14:paraId="129B16B4" w14:textId="77777777" w:rsidR="00950673" w:rsidRPr="00950673" w:rsidRDefault="00950673" w:rsidP="00950673">
      <w:pPr>
        <w:numPr>
          <w:ilvl w:val="0"/>
          <w:numId w:val="3"/>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 would like to have more of a say in what the Council does and the services it provides – 21 per cent.</w:t>
      </w:r>
    </w:p>
    <w:p w14:paraId="62C2AAB7" w14:textId="77777777" w:rsidR="00950673" w:rsidRPr="00950673" w:rsidRDefault="00950673" w:rsidP="00950673">
      <w:pPr>
        <w:numPr>
          <w:ilvl w:val="0"/>
          <w:numId w:val="3"/>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 already work for/am involved with the Council – 3 per cent.</w:t>
      </w:r>
    </w:p>
    <w:p w14:paraId="611C1894" w14:textId="77777777" w:rsidR="00950673" w:rsidRPr="00950673" w:rsidRDefault="00950673" w:rsidP="00950673">
      <w:pPr>
        <w:numPr>
          <w:ilvl w:val="0"/>
          <w:numId w:val="3"/>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Don’t know – 1 per cent.</w:t>
      </w:r>
    </w:p>
    <w:p w14:paraId="0DE7C767" w14:textId="77777777" w:rsidR="00950673" w:rsidRPr="00950673" w:rsidRDefault="00950673" w:rsidP="00950673">
      <w:pPr>
        <w:spacing w:before="24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Source: Martin and Boaz (2000: 51)</w:t>
      </w:r>
    </w:p>
    <w:p w14:paraId="0FD96189"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Although there is a lack of clear evidence about its impacts, there is now a stronger body of knowledge about how to implement public participation, its potential and pitfalls both in the UK and in many other Western countries (see, for example, Petts and Leach, 2000; Abelson and Gauvin, 2006). However, public service providers often fail to tap this reservoir of existing knowledge about good practice or to reflect properly on their own experiences of public participation (see </w:t>
      </w:r>
      <w:hyperlink r:id="rId24" w:history="1">
        <w:r w:rsidRPr="00950673">
          <w:rPr>
            <w:rFonts w:ascii="LinLibertine" w:eastAsia="Times New Roman" w:hAnsi="LinLibertine" w:cs="Times New Roman"/>
            <w:color w:val="0000FF"/>
            <w:sz w:val="24"/>
            <w:szCs w:val="24"/>
            <w:u w:val="single"/>
            <w:lang w:eastAsia="en-GB"/>
          </w:rPr>
          <w:t>chapter 27</w:t>
        </w:r>
      </w:hyperlink>
      <w:r w:rsidRPr="00950673">
        <w:rPr>
          <w:rFonts w:ascii="LinLibertine" w:eastAsia="Times New Roman" w:hAnsi="LinLibertine" w:cs="Times New Roman"/>
          <w:color w:val="000000"/>
          <w:sz w:val="24"/>
          <w:szCs w:val="24"/>
          <w:lang w:eastAsia="en-GB"/>
        </w:rPr>
        <w:t>). The result is that they risk ‘re-inventing the wheel’ and repeating mistakes made elsewhere.</w:t>
      </w:r>
    </w:p>
    <w:p w14:paraId="217F7134" w14:textId="77777777" w:rsidR="00950673" w:rsidRPr="00950673" w:rsidRDefault="00A971A9" w:rsidP="00950673">
      <w:pPr>
        <w:spacing w:after="240" w:line="240" w:lineRule="auto"/>
        <w:rPr>
          <w:rFonts w:ascii="LinLibertine" w:eastAsia="Times New Roman" w:hAnsi="LinLibertine" w:cs="Times New Roman"/>
          <w:b/>
          <w:bCs/>
          <w:color w:val="000000"/>
          <w:sz w:val="31"/>
          <w:szCs w:val="31"/>
          <w:lang w:eastAsia="en-GB"/>
        </w:rPr>
      </w:pPr>
      <w:hyperlink r:id="rId25" w:anchor="bck_ce22_2" w:history="1">
        <w:r w:rsidR="00950673" w:rsidRPr="00950673">
          <w:rPr>
            <w:rFonts w:ascii="LinLibertine" w:eastAsia="Times New Roman" w:hAnsi="LinLibertine" w:cs="Times New Roman"/>
            <w:b/>
            <w:bCs/>
            <w:color w:val="0000FF"/>
            <w:sz w:val="31"/>
            <w:szCs w:val="31"/>
            <w:u w:val="single"/>
            <w:lang w:eastAsia="en-GB"/>
          </w:rPr>
          <w:t>Case example 22.2</w:t>
        </w:r>
      </w:hyperlink>
      <w:r w:rsidR="00950673" w:rsidRPr="00950673">
        <w:rPr>
          <w:rFonts w:ascii="LinLibertine" w:eastAsia="Times New Roman" w:hAnsi="LinLibertine" w:cs="Times New Roman"/>
          <w:b/>
          <w:bCs/>
          <w:color w:val="000000"/>
          <w:sz w:val="31"/>
          <w:szCs w:val="31"/>
          <w:lang w:eastAsia="en-GB"/>
        </w:rPr>
        <w:t> Communities First programme in Wales</w:t>
      </w:r>
    </w:p>
    <w:p w14:paraId="3126A6B7"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Communities First is a Welsh Government community-focussed programme intended to tackle poverty amongst the most disadvantaged people in the most deprived areas of Wales, by improving health, learning and economic prosperity. It is based on small groups of communities working together and sharing resources to tackle local issues. These Communities First clusters (originally 150 but reduced to 52 after 2012), have a population of between 10,000 and 15,000 people. Community involvement is an essential feature but each cluster has flexibility to develop the involvement structures that suit the area, based on a Community Involvement Plan, bringing local people and community organizations into planning and delivering work with all key partners to support all aspects of the programme.</w:t>
      </w:r>
    </w:p>
    <w:p w14:paraId="32D6979E" w14:textId="77777777" w:rsidR="00950673" w:rsidRPr="00950673" w:rsidRDefault="00950673" w:rsidP="00950673">
      <w:pPr>
        <w:spacing w:before="24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Source: Adapted from </w:t>
      </w:r>
      <w:hyperlink r:id="rId26" w:history="1">
        <w:r w:rsidRPr="00950673">
          <w:rPr>
            <w:rFonts w:ascii="LinLibertine" w:eastAsia="Times New Roman" w:hAnsi="LinLibertine" w:cs="Times New Roman"/>
            <w:color w:val="0000FF"/>
            <w:sz w:val="24"/>
            <w:szCs w:val="24"/>
            <w:u w:val="single"/>
            <w:lang w:eastAsia="en-GB"/>
          </w:rPr>
          <w:t>http://wales.gov.uk/topics/people-and-communities/regeneration/communitiesfirst/faqs/?lang=en</w:t>
        </w:r>
      </w:hyperlink>
    </w:p>
    <w:p w14:paraId="6D8359C5" w14:textId="77777777" w:rsidR="00950673" w:rsidRPr="00950673" w:rsidRDefault="00950673" w:rsidP="00950673">
      <w:pPr>
        <w:spacing w:before="480" w:after="240" w:line="374" w:lineRule="atLeast"/>
        <w:outlineLvl w:val="2"/>
        <w:rPr>
          <w:rFonts w:ascii="LinLibertine" w:eastAsia="Times New Roman" w:hAnsi="LinLibertine" w:cs="Times New Roman"/>
          <w:b/>
          <w:bCs/>
          <w:i/>
          <w:iCs/>
          <w:color w:val="000000"/>
          <w:sz w:val="29"/>
          <w:szCs w:val="29"/>
          <w:lang w:eastAsia="en-GB"/>
        </w:rPr>
      </w:pPr>
      <w:r w:rsidRPr="00950673">
        <w:rPr>
          <w:rFonts w:ascii="LinLibertine" w:eastAsia="Times New Roman" w:hAnsi="LinLibertine" w:cs="Times New Roman"/>
          <w:b/>
          <w:bCs/>
          <w:i/>
          <w:iCs/>
          <w:color w:val="000000"/>
          <w:sz w:val="29"/>
          <w:szCs w:val="29"/>
          <w:lang w:eastAsia="en-GB"/>
        </w:rPr>
        <w:t>Co-production</w:t>
      </w:r>
    </w:p>
    <w:p w14:paraId="6317BE72"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Public service co-production means providing services </w:t>
      </w:r>
      <w:r w:rsidRPr="00950673">
        <w:rPr>
          <w:rFonts w:ascii="LinLibertine" w:eastAsia="Times New Roman" w:hAnsi="LinLibertine" w:cs="Times New Roman"/>
          <w:i/>
          <w:iCs/>
          <w:color w:val="000000"/>
          <w:sz w:val="24"/>
          <w:szCs w:val="24"/>
          <w:lang w:eastAsia="en-GB"/>
        </w:rPr>
        <w:t>with</w:t>
      </w:r>
      <w:r w:rsidRPr="00950673">
        <w:rPr>
          <w:rFonts w:ascii="LinLibertine" w:eastAsia="Times New Roman" w:hAnsi="LinLibertine" w:cs="Times New Roman"/>
          <w:color w:val="000000"/>
          <w:sz w:val="24"/>
          <w:szCs w:val="24"/>
          <w:lang w:eastAsia="en-GB"/>
        </w:rPr>
        <w:t> and not just </w:t>
      </w:r>
      <w:r w:rsidRPr="00950673">
        <w:rPr>
          <w:rFonts w:ascii="LinLibertine" w:eastAsia="Times New Roman" w:hAnsi="LinLibertine" w:cs="Times New Roman"/>
          <w:i/>
          <w:iCs/>
          <w:color w:val="000000"/>
          <w:sz w:val="24"/>
          <w:szCs w:val="24"/>
          <w:lang w:eastAsia="en-GB"/>
        </w:rPr>
        <w:t>to</w:t>
      </w:r>
      <w:r w:rsidRPr="00950673">
        <w:rPr>
          <w:rFonts w:ascii="LinLibertine" w:eastAsia="Times New Roman" w:hAnsi="LinLibertine" w:cs="Times New Roman"/>
          <w:color w:val="000000"/>
          <w:sz w:val="24"/>
          <w:szCs w:val="24"/>
          <w:lang w:eastAsia="en-GB"/>
        </w:rPr>
        <w:t xml:space="preserve"> citizens. This means treating </w:t>
      </w:r>
      <w:proofErr w:type="gramStart"/>
      <w:r w:rsidRPr="00950673">
        <w:rPr>
          <w:rFonts w:ascii="LinLibertine" w:eastAsia="Times New Roman" w:hAnsi="LinLibertine" w:cs="Times New Roman"/>
          <w:color w:val="000000"/>
          <w:sz w:val="24"/>
          <w:szCs w:val="24"/>
          <w:lang w:eastAsia="en-GB"/>
        </w:rPr>
        <w:t>citizens</w:t>
      </w:r>
      <w:proofErr w:type="gramEnd"/>
      <w:r w:rsidRPr="00950673">
        <w:rPr>
          <w:rFonts w:ascii="LinLibertine" w:eastAsia="Times New Roman" w:hAnsi="LinLibertine" w:cs="Times New Roman"/>
          <w:color w:val="000000"/>
          <w:sz w:val="24"/>
          <w:szCs w:val="24"/>
          <w:lang w:eastAsia="en-GB"/>
        </w:rPr>
        <w:t xml:space="preserve"> not simply as passive recipients of services but harnessing their knowledge, experience, skills and willingness to make a contribution to improve their own outcomes or outcomes of other people. As noted above, the efficacy of many public services depends not only on the performance of the providers but also the responses of users and the communities in which they live. Many services therefore benefit from the </w:t>
      </w:r>
      <w:r w:rsidRPr="00950673">
        <w:rPr>
          <w:rFonts w:ascii="LinLibertine" w:eastAsia="Times New Roman" w:hAnsi="LinLibertine" w:cs="Times New Roman"/>
          <w:color w:val="000000"/>
          <w:sz w:val="24"/>
          <w:szCs w:val="24"/>
          <w:lang w:eastAsia="en-GB"/>
        </w:rPr>
        <w:lastRenderedPageBreak/>
        <w:t>active involvement of users in design and delivery. It can help to increase the chances that services meet users’ needs. It can also play an important role in changing lives, e.g. of people with learning disabilities, increasing their self-esteem and self-confidence and changing the image others have of them. Co-production therefore seeks to go beyond an attempt to attune public services to the wishes of passive recipients. Its aim is to empower users to take greater control over, and responsibility for, their lives through their interaction with the public sector and public service providers. This topic is discussed in much more detail in </w:t>
      </w:r>
      <w:hyperlink r:id="rId27" w:history="1">
        <w:r w:rsidRPr="00950673">
          <w:rPr>
            <w:rFonts w:ascii="LinLibertine" w:eastAsia="Times New Roman" w:hAnsi="LinLibertine" w:cs="Times New Roman"/>
            <w:color w:val="0000FF"/>
            <w:sz w:val="24"/>
            <w:szCs w:val="24"/>
            <w:u w:val="single"/>
            <w:lang w:eastAsia="en-GB"/>
          </w:rPr>
          <w:t>chapter 23</w:t>
        </w:r>
      </w:hyperlink>
      <w:r w:rsidRPr="00950673">
        <w:rPr>
          <w:rFonts w:ascii="LinLibertine" w:eastAsia="Times New Roman" w:hAnsi="LinLibertine" w:cs="Times New Roman"/>
          <w:color w:val="000000"/>
          <w:sz w:val="24"/>
          <w:szCs w:val="24"/>
          <w:lang w:eastAsia="en-GB"/>
        </w:rPr>
        <w:t>.</w:t>
      </w:r>
    </w:p>
    <w:p w14:paraId="20F1FA33" w14:textId="77777777" w:rsidR="00950673" w:rsidRPr="00950673" w:rsidRDefault="00950673" w:rsidP="00950673">
      <w:pPr>
        <w:spacing w:before="480" w:after="240" w:line="468" w:lineRule="atLeast"/>
        <w:outlineLvl w:val="1"/>
        <w:rPr>
          <w:rFonts w:ascii="LinLibertine" w:eastAsia="Times New Roman" w:hAnsi="LinLibertine" w:cs="Times New Roman"/>
          <w:b/>
          <w:bCs/>
          <w:color w:val="000000"/>
          <w:sz w:val="36"/>
          <w:szCs w:val="36"/>
          <w:lang w:eastAsia="en-GB"/>
        </w:rPr>
      </w:pPr>
      <w:r w:rsidRPr="00950673">
        <w:rPr>
          <w:rFonts w:ascii="LinLibertine" w:eastAsia="Times New Roman" w:hAnsi="LinLibertine" w:cs="Times New Roman"/>
          <w:b/>
          <w:bCs/>
          <w:color w:val="000000"/>
          <w:sz w:val="36"/>
          <w:szCs w:val="36"/>
          <w:lang w:eastAsia="en-GB"/>
        </w:rPr>
        <w:t>Engagement by whom?</w:t>
      </w:r>
    </w:p>
    <w:p w14:paraId="7E1847BF"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Another important issue is </w:t>
      </w:r>
      <w:r w:rsidRPr="00950673">
        <w:rPr>
          <w:rFonts w:ascii="LinLibertine" w:eastAsia="Times New Roman" w:hAnsi="LinLibertine" w:cs="Times New Roman"/>
          <w:i/>
          <w:iCs/>
          <w:color w:val="000000"/>
          <w:sz w:val="24"/>
          <w:szCs w:val="24"/>
          <w:lang w:eastAsia="en-GB"/>
        </w:rPr>
        <w:t>who</w:t>
      </w:r>
      <w:r w:rsidRPr="00950673">
        <w:rPr>
          <w:rFonts w:ascii="LinLibertine" w:eastAsia="Times New Roman" w:hAnsi="LinLibertine" w:cs="Times New Roman"/>
          <w:color w:val="000000"/>
          <w:sz w:val="24"/>
          <w:szCs w:val="24"/>
          <w:lang w:eastAsia="en-GB"/>
        </w:rPr>
        <w:t> should engage with governments and service providers (see also </w:t>
      </w:r>
      <w:hyperlink r:id="rId28" w:history="1">
        <w:r w:rsidRPr="00950673">
          <w:rPr>
            <w:rFonts w:ascii="LinLibertine" w:eastAsia="Times New Roman" w:hAnsi="LinLibertine" w:cs="Times New Roman"/>
            <w:color w:val="0000FF"/>
            <w:sz w:val="24"/>
            <w:szCs w:val="24"/>
            <w:u w:val="single"/>
            <w:lang w:eastAsia="en-GB"/>
          </w:rPr>
          <w:t>chapters 6</w:t>
        </w:r>
      </w:hyperlink>
      <w:r w:rsidRPr="00950673">
        <w:rPr>
          <w:rFonts w:ascii="LinLibertine" w:eastAsia="Times New Roman" w:hAnsi="LinLibertine" w:cs="Times New Roman"/>
          <w:color w:val="000000"/>
          <w:sz w:val="24"/>
          <w:szCs w:val="24"/>
          <w:lang w:eastAsia="en-GB"/>
        </w:rPr>
        <w:t> and </w:t>
      </w:r>
      <w:hyperlink r:id="rId29" w:history="1">
        <w:r w:rsidRPr="00950673">
          <w:rPr>
            <w:rFonts w:ascii="LinLibertine" w:eastAsia="Times New Roman" w:hAnsi="LinLibertine" w:cs="Times New Roman"/>
            <w:color w:val="0000FF"/>
            <w:sz w:val="24"/>
            <w:szCs w:val="24"/>
            <w:u w:val="single"/>
            <w:lang w:eastAsia="en-GB"/>
          </w:rPr>
          <w:t>15</w:t>
        </w:r>
      </w:hyperlink>
      <w:r w:rsidRPr="00950673">
        <w:rPr>
          <w:rFonts w:ascii="LinLibertine" w:eastAsia="Times New Roman" w:hAnsi="LinLibertine" w:cs="Times New Roman"/>
          <w:color w:val="000000"/>
          <w:sz w:val="24"/>
          <w:szCs w:val="24"/>
          <w:lang w:eastAsia="en-GB"/>
        </w:rPr>
        <w:t>). There are three key groups:</w:t>
      </w:r>
    </w:p>
    <w:p w14:paraId="048566B2" w14:textId="77777777" w:rsidR="00950673" w:rsidRPr="00950673" w:rsidRDefault="00950673" w:rsidP="00950673">
      <w:pPr>
        <w:numPr>
          <w:ilvl w:val="0"/>
          <w:numId w:val="4"/>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i/>
          <w:iCs/>
          <w:color w:val="000000"/>
          <w:sz w:val="24"/>
          <w:szCs w:val="24"/>
          <w:lang w:eastAsia="en-GB"/>
        </w:rPr>
        <w:t>Customers</w:t>
      </w:r>
      <w:r w:rsidRPr="00950673">
        <w:rPr>
          <w:rFonts w:ascii="LinLibertine" w:eastAsia="Times New Roman" w:hAnsi="LinLibertine" w:cs="Times New Roman"/>
          <w:color w:val="000000"/>
          <w:sz w:val="24"/>
          <w:szCs w:val="24"/>
          <w:lang w:eastAsia="en-GB"/>
        </w:rPr>
        <w:t> – in some cases the views of users/clients will be the most valuable form of input to decision-making, e.g. in informing service providers about their satisfaction with a service received.</w:t>
      </w:r>
    </w:p>
    <w:p w14:paraId="0CC17B55" w14:textId="77777777" w:rsidR="00950673" w:rsidRPr="00950673" w:rsidRDefault="00950673" w:rsidP="00950673">
      <w:pPr>
        <w:numPr>
          <w:ilvl w:val="0"/>
          <w:numId w:val="4"/>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i/>
          <w:iCs/>
          <w:color w:val="000000"/>
          <w:sz w:val="24"/>
          <w:szCs w:val="24"/>
          <w:lang w:eastAsia="en-GB"/>
        </w:rPr>
        <w:t>Citizens</w:t>
      </w:r>
      <w:r w:rsidRPr="00950673">
        <w:rPr>
          <w:rFonts w:ascii="LinLibertine" w:eastAsia="Times New Roman" w:hAnsi="LinLibertine" w:cs="Times New Roman"/>
          <w:color w:val="000000"/>
          <w:sz w:val="24"/>
          <w:szCs w:val="24"/>
          <w:lang w:eastAsia="en-GB"/>
        </w:rPr>
        <w:t> – in other cases, citizens as a whole have an important stake in the decision-making process. For example, taxpayers who do not use a service themselves (such as prisons) may nevertheless have a legitimate interest in the costs of alternative service delivery approaches and may well have different preferences to those of service users.</w:t>
      </w:r>
    </w:p>
    <w:p w14:paraId="75A515FC" w14:textId="77777777" w:rsidR="00950673" w:rsidRPr="00950673" w:rsidRDefault="00950673" w:rsidP="00950673">
      <w:pPr>
        <w:numPr>
          <w:ilvl w:val="0"/>
          <w:numId w:val="4"/>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i/>
          <w:iCs/>
          <w:color w:val="000000"/>
          <w:sz w:val="24"/>
          <w:szCs w:val="24"/>
          <w:lang w:eastAsia="en-GB"/>
        </w:rPr>
        <w:t>Communities</w:t>
      </w:r>
      <w:r w:rsidRPr="00950673">
        <w:rPr>
          <w:rFonts w:ascii="LinLibertine" w:eastAsia="Times New Roman" w:hAnsi="LinLibertine" w:cs="Times New Roman"/>
          <w:color w:val="000000"/>
          <w:sz w:val="24"/>
          <w:szCs w:val="24"/>
          <w:lang w:eastAsia="en-GB"/>
        </w:rPr>
        <w:t> – in the case of initiatives designed to benefit particular neighbourhoods or sections of the population, it may be important to engage with specific communities of place, identity or interest.</w:t>
      </w:r>
    </w:p>
    <w:p w14:paraId="594967E5"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Combining the three types of interaction identified in </w:t>
      </w:r>
      <w:hyperlink r:id="rId30" w:anchor="fig22_2" w:history="1">
        <w:r w:rsidRPr="00950673">
          <w:rPr>
            <w:rFonts w:ascii="LinLibertine" w:eastAsia="Times New Roman" w:hAnsi="LinLibertine" w:cs="Times New Roman"/>
            <w:color w:val="0000FF"/>
            <w:sz w:val="24"/>
            <w:szCs w:val="24"/>
            <w:u w:val="single"/>
            <w:lang w:eastAsia="en-GB"/>
          </w:rPr>
          <w:t>Figure 22.2</w:t>
        </w:r>
      </w:hyperlink>
      <w:r w:rsidRPr="00950673">
        <w:rPr>
          <w:rFonts w:ascii="LinLibertine" w:eastAsia="Times New Roman" w:hAnsi="LinLibertine" w:cs="Times New Roman"/>
          <w:color w:val="000000"/>
          <w:sz w:val="24"/>
          <w:szCs w:val="24"/>
          <w:lang w:eastAsia="en-GB"/>
        </w:rPr>
        <w:t> with this threefold categorization of the main stakeholder groups provides a useful typology of different modes of engagement (see </w:t>
      </w:r>
      <w:hyperlink r:id="rId31" w:anchor="fig22_2" w:history="1">
        <w:r w:rsidRPr="00950673">
          <w:rPr>
            <w:rFonts w:ascii="LinLibertine" w:eastAsia="Times New Roman" w:hAnsi="LinLibertine" w:cs="Times New Roman"/>
            <w:color w:val="0000FF"/>
            <w:sz w:val="24"/>
            <w:szCs w:val="24"/>
            <w:u w:val="single"/>
            <w:lang w:eastAsia="en-GB"/>
          </w:rPr>
          <w:t>Figure 22.2</w:t>
        </w:r>
      </w:hyperlink>
      <w:r w:rsidRPr="00950673">
        <w:rPr>
          <w:rFonts w:ascii="LinLibertine" w:eastAsia="Times New Roman" w:hAnsi="LinLibertine" w:cs="Times New Roman"/>
          <w:color w:val="000000"/>
          <w:sz w:val="24"/>
          <w:szCs w:val="24"/>
          <w:lang w:eastAsia="en-GB"/>
        </w:rPr>
        <w:t>).</w:t>
      </w:r>
    </w:p>
    <w:p w14:paraId="7023A610"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Experience suggests that it is important to be clear from the outset about what are the objectives of each public participation exercise, because this helps to ensure that the right tools and techniques are used and the right groups are involved. It can also help to clarify what level of influence is being offered to the public, thus reducing the risk of disillusionment among those involved. It also helps to highlight the kind of feedback that those involved can expect. This is important because engagement is only sustainable if stakeholders see that their views have at least been listened to.</w:t>
      </w:r>
    </w:p>
    <w:p w14:paraId="22A6A6E8" w14:textId="77777777" w:rsidR="00950673" w:rsidRPr="00950673" w:rsidRDefault="00950673" w:rsidP="00950673">
      <w:pPr>
        <w:spacing w:before="480" w:after="240" w:line="468" w:lineRule="atLeast"/>
        <w:outlineLvl w:val="1"/>
        <w:rPr>
          <w:rFonts w:ascii="LinLibertine" w:eastAsia="Times New Roman" w:hAnsi="LinLibertine" w:cs="Times New Roman"/>
          <w:b/>
          <w:bCs/>
          <w:color w:val="000000"/>
          <w:sz w:val="36"/>
          <w:szCs w:val="36"/>
          <w:lang w:eastAsia="en-GB"/>
        </w:rPr>
      </w:pPr>
      <w:r w:rsidRPr="00950673">
        <w:rPr>
          <w:rFonts w:ascii="LinLibertine" w:eastAsia="Times New Roman" w:hAnsi="LinLibertine" w:cs="Times New Roman"/>
          <w:b/>
          <w:bCs/>
          <w:color w:val="000000"/>
          <w:sz w:val="36"/>
          <w:szCs w:val="36"/>
          <w:lang w:eastAsia="en-GB"/>
        </w:rPr>
        <w:t>Drivers and potential benefits of citizen engagement</w:t>
      </w:r>
    </w:p>
    <w:p w14:paraId="6E5DC5C1"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While there is still a long way to go before all governments see ‘citizens as partners’ (OECD, 2001), the debate about citizen engagement has evolved quickly – most policy-makers and senior public service managers in OECD countries now like to portray themselves as ‘listening to citizens’ or even ‘engaging citizens in public decision-making processes’. This means that the focus has shifted from normative ‘Why?’ questions, to issues of ‘How?’ (to engage the public effectively) and ‘Towards which end?’</w:t>
      </w:r>
    </w:p>
    <w:p w14:paraId="1E787527" w14:textId="77777777" w:rsidR="00950673" w:rsidRPr="00950673" w:rsidRDefault="00950673" w:rsidP="00950673">
      <w:pPr>
        <w:spacing w:after="0" w:line="240" w:lineRule="auto"/>
        <w:jc w:val="center"/>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noProof/>
          <w:color w:val="000000"/>
          <w:sz w:val="24"/>
          <w:szCs w:val="24"/>
          <w:lang w:eastAsia="en-GB"/>
        </w:rPr>
        <mc:AlternateContent>
          <mc:Choice Requires="wps">
            <w:drawing>
              <wp:inline distT="0" distB="0" distL="0" distR="0" wp14:anchorId="5B1E7179" wp14:editId="39F405BA">
                <wp:extent cx="304800" cy="304800"/>
                <wp:effectExtent l="0" t="0" r="0" b="0"/>
                <wp:docPr id="1" name="AutoShape 3" descr="Figure 22.2 Modes of public participa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3C5C4EC9" id="AutoShape 3" o:spid="_x0000_s1026" alt="Figure 22.2 Modes of public participa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" filled="f" stroked="f">
                <o:lock v:ext="edit" aspectratio="t"/>
                <w10:anchorlock/>
              </v:rect>
            </w:pict>
          </mc:Fallback>
        </mc:AlternateContent>
      </w:r>
    </w:p>
    <w:p w14:paraId="0E330C59" w14:textId="77777777" w:rsidR="00950673" w:rsidRPr="00950673" w:rsidRDefault="00A971A9" w:rsidP="00950673">
      <w:pPr>
        <w:spacing w:before="100" w:beforeAutospacing="1" w:after="100" w:afterAutospacing="1" w:line="240" w:lineRule="auto"/>
        <w:rPr>
          <w:rFonts w:ascii="LinLibertine" w:eastAsia="Times New Roman" w:hAnsi="LinLibertine" w:cs="Times New Roman"/>
          <w:color w:val="000000"/>
          <w:lang w:eastAsia="en-GB"/>
        </w:rPr>
      </w:pPr>
      <w:hyperlink r:id="rId32" w:anchor="bck_fig22_2" w:history="1">
        <w:r w:rsidR="00950673" w:rsidRPr="00950673">
          <w:rPr>
            <w:rFonts w:ascii="LinLibertine" w:eastAsia="Times New Roman" w:hAnsi="LinLibertine" w:cs="Times New Roman"/>
            <w:i/>
            <w:iCs/>
            <w:color w:val="0000FF"/>
            <w:sz w:val="19"/>
            <w:szCs w:val="19"/>
            <w:u w:val="single"/>
            <w:lang w:eastAsia="en-GB"/>
          </w:rPr>
          <w:t>Figure 22.2</w:t>
        </w:r>
      </w:hyperlink>
      <w:r w:rsidR="00950673" w:rsidRPr="00950673">
        <w:rPr>
          <w:rFonts w:ascii="LinLibertine" w:eastAsia="Times New Roman" w:hAnsi="LinLibertine" w:cs="Times New Roman"/>
          <w:color w:val="000000"/>
          <w:lang w:eastAsia="en-GB"/>
        </w:rPr>
        <w:t> Modes of public participation.</w:t>
      </w:r>
    </w:p>
    <w:p w14:paraId="576D6821" w14:textId="77777777" w:rsidR="00950673" w:rsidRPr="00950673" w:rsidRDefault="00950673" w:rsidP="00950673">
      <w:pPr>
        <w:spacing w:after="100" w:afterAutospacing="1" w:line="240" w:lineRule="auto"/>
        <w:rPr>
          <w:rFonts w:ascii="LinLibertine" w:eastAsia="Times New Roman" w:hAnsi="LinLibertine" w:cs="Times New Roman"/>
          <w:color w:val="000000"/>
          <w:lang w:eastAsia="en-GB"/>
        </w:rPr>
      </w:pPr>
      <w:r w:rsidRPr="00950673">
        <w:rPr>
          <w:rFonts w:ascii="LinLibertine" w:eastAsia="Times New Roman" w:hAnsi="LinLibertine" w:cs="Times New Roman"/>
          <w:color w:val="000000"/>
          <w:lang w:eastAsia="en-GB"/>
        </w:rPr>
        <w:t>Source: Adapted from Martin and Boaz (2000)</w:t>
      </w:r>
    </w:p>
    <w:p w14:paraId="1B40A3DD" w14:textId="77777777" w:rsidR="00950673" w:rsidRPr="00950673" w:rsidRDefault="00950673" w:rsidP="00950673">
      <w:pPr>
        <w:spacing w:after="240" w:line="240" w:lineRule="auto"/>
        <w:rPr>
          <w:rFonts w:ascii="LinLibertine" w:eastAsia="Times New Roman" w:hAnsi="LinLibertine" w:cs="Times New Roman"/>
          <w:b/>
          <w:bCs/>
          <w:color w:val="000000"/>
          <w:sz w:val="31"/>
          <w:szCs w:val="31"/>
          <w:lang w:eastAsia="en-GB"/>
        </w:rPr>
      </w:pPr>
      <w:r w:rsidRPr="00950673">
        <w:rPr>
          <w:rFonts w:ascii="LinLibertine" w:eastAsia="Times New Roman" w:hAnsi="LinLibertine" w:cs="Times New Roman"/>
          <w:b/>
          <w:bCs/>
          <w:color w:val="000000"/>
          <w:sz w:val="31"/>
          <w:szCs w:val="31"/>
          <w:lang w:eastAsia="en-GB"/>
        </w:rPr>
        <w:t>Box 22.3 Citizen engagement agendas at global, national, regional and local levels</w:t>
      </w:r>
    </w:p>
    <w:p w14:paraId="19DB2204"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Since the foundation of the Open Government Partnership in 2011, 65 countries have endorsed the Open Government Declaration, committing themselves to ‘foster a global culture of open government that empowers and delivers for citizens, and advances the ideals of open and participatory 21st century government’ – see </w:t>
      </w:r>
      <w:hyperlink r:id="rId33" w:history="1">
        <w:r w:rsidRPr="00950673">
          <w:rPr>
            <w:rFonts w:ascii="LinLibertine" w:eastAsia="Times New Roman" w:hAnsi="LinLibertine" w:cs="Times New Roman"/>
            <w:color w:val="0000FF"/>
            <w:sz w:val="24"/>
            <w:szCs w:val="24"/>
            <w:u w:val="single"/>
            <w:lang w:eastAsia="en-GB"/>
          </w:rPr>
          <w:t>www.opengovpartnership.org</w:t>
        </w:r>
      </w:hyperlink>
      <w:r w:rsidRPr="00950673">
        <w:rPr>
          <w:rFonts w:ascii="LinLibertine" w:eastAsia="Times New Roman" w:hAnsi="LinLibertine" w:cs="Times New Roman"/>
          <w:color w:val="000000"/>
          <w:sz w:val="24"/>
          <w:szCs w:val="24"/>
          <w:lang w:eastAsia="en-GB"/>
        </w:rPr>
        <w:t>.</w:t>
      </w:r>
    </w:p>
    <w:p w14:paraId="06B4A6EF"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In 2013 the UK National Health Service (NHS) launched a new initiative, ‘the NHS Citizen’, to strengthen citizen engagement in health care – see </w:t>
      </w:r>
      <w:hyperlink r:id="rId34" w:history="1">
        <w:r w:rsidRPr="00950673">
          <w:rPr>
            <w:rFonts w:ascii="LinLibertine" w:eastAsia="Times New Roman" w:hAnsi="LinLibertine" w:cs="Times New Roman"/>
            <w:color w:val="0000FF"/>
            <w:sz w:val="24"/>
            <w:szCs w:val="24"/>
            <w:u w:val="single"/>
            <w:lang w:eastAsia="en-GB"/>
          </w:rPr>
          <w:t>www.nhscitizen.org.uk</w:t>
        </w:r>
      </w:hyperlink>
      <w:r w:rsidRPr="00950673">
        <w:rPr>
          <w:rFonts w:ascii="LinLibertine" w:eastAsia="Times New Roman" w:hAnsi="LinLibertine" w:cs="Times New Roman"/>
          <w:color w:val="000000"/>
          <w:sz w:val="24"/>
          <w:szCs w:val="24"/>
          <w:lang w:eastAsia="en-GB"/>
        </w:rPr>
        <w:t>.</w:t>
      </w:r>
    </w:p>
    <w:p w14:paraId="5B74CA22" w14:textId="77777777" w:rsidR="00950673" w:rsidRPr="00950673" w:rsidRDefault="00950673" w:rsidP="00950673">
      <w:pPr>
        <w:spacing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At local government level, the Swedish Association of Local and Regional Authorities (SALAR), together with the Ministry of Integration and Gender Equality, ran a project during 2008–2013 to develop, test and spread methods that employ IT Solutions for Civic Dialogues – see </w:t>
      </w:r>
      <w:hyperlink r:id="rId35" w:history="1">
        <w:r w:rsidRPr="00950673">
          <w:rPr>
            <w:rFonts w:ascii="LinLibertine" w:eastAsia="Times New Roman" w:hAnsi="LinLibertine" w:cs="Times New Roman"/>
            <w:color w:val="0000FF"/>
            <w:sz w:val="24"/>
            <w:szCs w:val="24"/>
            <w:u w:val="single"/>
            <w:lang w:eastAsia="en-GB"/>
          </w:rPr>
          <w:t>http://skl.se/tjanster/englishpages/activities/dialoguewithcitizens/itsolutionsforcitizensdialogues.1424.html</w:t>
        </w:r>
      </w:hyperlink>
      <w:r w:rsidRPr="00950673">
        <w:rPr>
          <w:rFonts w:ascii="LinLibertine" w:eastAsia="Times New Roman" w:hAnsi="LinLibertine" w:cs="Times New Roman"/>
          <w:color w:val="000000"/>
          <w:sz w:val="24"/>
          <w:szCs w:val="24"/>
          <w:lang w:eastAsia="en-GB"/>
        </w:rPr>
        <w:t>.</w:t>
      </w:r>
    </w:p>
    <w:p w14:paraId="2A7B53BE"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So what are the drivers of wider and deeper citizen engagement? Jones and </w:t>
      </w:r>
      <w:proofErr w:type="spellStart"/>
      <w:r w:rsidRPr="00950673">
        <w:rPr>
          <w:rFonts w:ascii="LinLibertine" w:eastAsia="Times New Roman" w:hAnsi="LinLibertine" w:cs="Times New Roman"/>
          <w:color w:val="000000"/>
          <w:sz w:val="24"/>
          <w:szCs w:val="24"/>
          <w:lang w:eastAsia="en-GB"/>
        </w:rPr>
        <w:t>Gammel</w:t>
      </w:r>
      <w:proofErr w:type="spellEnd"/>
      <w:r w:rsidRPr="00950673">
        <w:rPr>
          <w:rFonts w:ascii="LinLibertine" w:eastAsia="Times New Roman" w:hAnsi="LinLibertine" w:cs="Times New Roman"/>
          <w:color w:val="000000"/>
          <w:sz w:val="24"/>
          <w:szCs w:val="24"/>
          <w:lang w:eastAsia="en-GB"/>
        </w:rPr>
        <w:t xml:space="preserve"> (2009) explain the increased appetite for consultation in terms of:</w:t>
      </w:r>
    </w:p>
    <w:p w14:paraId="58486E3F" w14:textId="77777777" w:rsidR="00950673" w:rsidRPr="00950673" w:rsidRDefault="00950673" w:rsidP="00950673">
      <w:pPr>
        <w:numPr>
          <w:ilvl w:val="0"/>
          <w:numId w:val="5"/>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growing awareness of the democratic deficit;</w:t>
      </w:r>
    </w:p>
    <w:p w14:paraId="6DBA5900" w14:textId="77777777" w:rsidR="00950673" w:rsidRPr="00950673" w:rsidRDefault="00950673" w:rsidP="00950673">
      <w:pPr>
        <w:numPr>
          <w:ilvl w:val="0"/>
          <w:numId w:val="5"/>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rise of evidence-based policy-making;</w:t>
      </w:r>
    </w:p>
    <w:p w14:paraId="20F54758" w14:textId="77777777" w:rsidR="00950673" w:rsidRPr="00950673" w:rsidRDefault="00950673" w:rsidP="00950673">
      <w:pPr>
        <w:numPr>
          <w:ilvl w:val="0"/>
          <w:numId w:val="5"/>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‘transparency’ trend; and</w:t>
      </w:r>
    </w:p>
    <w:p w14:paraId="7CBEB5A2" w14:textId="77777777" w:rsidR="00950673" w:rsidRPr="00950673" w:rsidRDefault="00950673" w:rsidP="00950673">
      <w:pPr>
        <w:numPr>
          <w:ilvl w:val="0"/>
          <w:numId w:val="5"/>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changing expectations of citizens.</w:t>
      </w:r>
    </w:p>
    <w:p w14:paraId="3B4B10AC"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This means that citizen engagement is now driven both top down, e.g. by the desire of some politicians to remedy the democratic deficit, and bottom up, by citizens wishing to make their voices heard.</w:t>
      </w:r>
    </w:p>
    <w:p w14:paraId="49CB6409"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But why do citizens get engaged? The Dutch Scientific Council for Government Policy (WRR, 2012: 11) suggests that they first respond to challenges by resisting change, trying to keep things the way they are. However, their second response is exploration – they start looking for better alternatives to the existing situation, which may lead to learning and innovation. Consequently, citizens not only get engaged when policy-makers invite them to do so but increasingly on their own initiative, through more direct channels such as social media. Some forms of citizen engagement seek to balance these top-down and bottom-up drivers, such as the ‘participatory budget’ in Berlin-Lichtenberg (see </w:t>
      </w:r>
      <w:hyperlink r:id="rId36" w:anchor="ce22_1" w:history="1">
        <w:r w:rsidRPr="00950673">
          <w:rPr>
            <w:rFonts w:ascii="LinLibertine" w:eastAsia="Times New Roman" w:hAnsi="LinLibertine" w:cs="Times New Roman"/>
            <w:color w:val="0000FF"/>
            <w:sz w:val="24"/>
            <w:szCs w:val="24"/>
            <w:u w:val="single"/>
            <w:lang w:eastAsia="en-GB"/>
          </w:rPr>
          <w:t>Case example 22.3</w:t>
        </w:r>
      </w:hyperlink>
      <w:r w:rsidRPr="00950673">
        <w:rPr>
          <w:rFonts w:ascii="LinLibertine" w:eastAsia="Times New Roman" w:hAnsi="LinLibertine" w:cs="Times New Roman"/>
          <w:color w:val="000000"/>
          <w:sz w:val="24"/>
          <w:szCs w:val="24"/>
          <w:lang w:eastAsia="en-GB"/>
        </w:rPr>
        <w:t>).</w:t>
      </w:r>
    </w:p>
    <w:p w14:paraId="1AC98709"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In order to make citizen engagement sustainable, all key stakeholders need to gain benefits. The OECD (2001) argued that strengthening citizen-government relations was ‘core to good governance’. Building on its analysis, the benefits from citizen engagement can include:</w:t>
      </w:r>
    </w:p>
    <w:p w14:paraId="404E2EF9" w14:textId="77777777" w:rsidR="00950673" w:rsidRPr="00950673" w:rsidRDefault="00950673" w:rsidP="00950673">
      <w:pPr>
        <w:numPr>
          <w:ilvl w:val="0"/>
          <w:numId w:val="6"/>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improving the quality of policy-making by allowing government to tap wider sources of information, perspectives and potential solutions;</w:t>
      </w:r>
    </w:p>
    <w:p w14:paraId="126CE3F8" w14:textId="77777777" w:rsidR="00950673" w:rsidRPr="00950673" w:rsidRDefault="00950673" w:rsidP="00950673">
      <w:pPr>
        <w:numPr>
          <w:ilvl w:val="0"/>
          <w:numId w:val="6"/>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facilitating greater and faster interaction between citizens and governments;</w:t>
      </w:r>
    </w:p>
    <w:p w14:paraId="76726EF1" w14:textId="77777777" w:rsidR="00950673" w:rsidRPr="00950673" w:rsidRDefault="00950673" w:rsidP="00950673">
      <w:pPr>
        <w:numPr>
          <w:ilvl w:val="0"/>
          <w:numId w:val="6"/>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lastRenderedPageBreak/>
        <w:t>increasing accountability and transparency, which in turn increase …</w:t>
      </w:r>
    </w:p>
    <w:p w14:paraId="1F170931" w14:textId="77777777" w:rsidR="00950673" w:rsidRPr="00950673" w:rsidRDefault="00950673" w:rsidP="00950673">
      <w:pPr>
        <w:numPr>
          <w:ilvl w:val="0"/>
          <w:numId w:val="6"/>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representativeness, legitimacy and public confidence.</w:t>
      </w:r>
    </w:p>
    <w:p w14:paraId="51C8572B" w14:textId="77777777" w:rsidR="00950673" w:rsidRPr="00950673" w:rsidRDefault="00A971A9" w:rsidP="00950673">
      <w:pPr>
        <w:spacing w:after="240" w:line="240" w:lineRule="auto"/>
        <w:rPr>
          <w:rFonts w:ascii="LinLibertine" w:eastAsia="Times New Roman" w:hAnsi="LinLibertine" w:cs="Times New Roman"/>
          <w:b/>
          <w:bCs/>
          <w:color w:val="000000"/>
          <w:sz w:val="31"/>
          <w:szCs w:val="31"/>
          <w:lang w:eastAsia="en-GB"/>
        </w:rPr>
      </w:pPr>
      <w:hyperlink r:id="rId37" w:anchor="bck_ce22_3" w:history="1">
        <w:r w:rsidR="00950673" w:rsidRPr="00950673">
          <w:rPr>
            <w:rFonts w:ascii="LinLibertine" w:eastAsia="Times New Roman" w:hAnsi="LinLibertine" w:cs="Times New Roman"/>
            <w:b/>
            <w:bCs/>
            <w:color w:val="0000FF"/>
            <w:sz w:val="31"/>
            <w:szCs w:val="31"/>
            <w:u w:val="single"/>
            <w:lang w:eastAsia="en-GB"/>
          </w:rPr>
          <w:t>Case example 22.3</w:t>
        </w:r>
      </w:hyperlink>
      <w:r w:rsidR="00950673" w:rsidRPr="00950673">
        <w:rPr>
          <w:rFonts w:ascii="LinLibertine" w:eastAsia="Times New Roman" w:hAnsi="LinLibertine" w:cs="Times New Roman"/>
          <w:b/>
          <w:bCs/>
          <w:color w:val="000000"/>
          <w:sz w:val="31"/>
          <w:szCs w:val="31"/>
          <w:lang w:eastAsia="en-GB"/>
        </w:rPr>
        <w:t> Citizen proposals and citizen-led neighbourhood budgets in Berlin-Lichtenberg</w:t>
      </w:r>
    </w:p>
    <w:p w14:paraId="0DC4F992"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Borough of Berlin-Lichtenberg is one of 12 boroughs in the City-State of Berlin, with about 265,000 inhabitants. Its citizen engagement process was formally started by an all-party decision in 2004, with the strong support of the directly elected mayor. Citizens were invited to submit and then discuss proposals related to the public services within the responsibility of the Borough, in a five-stage process:</w:t>
      </w:r>
    </w:p>
    <w:p w14:paraId="58A70D8F" w14:textId="77777777" w:rsidR="00950673" w:rsidRPr="00950673" w:rsidRDefault="00950673" w:rsidP="00950673">
      <w:pPr>
        <w:numPr>
          <w:ilvl w:val="0"/>
          <w:numId w:val="7"/>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 launch meeting for all Borough residents (September 2005);</w:t>
      </w:r>
    </w:p>
    <w:p w14:paraId="1BC017A5" w14:textId="77777777" w:rsidR="00950673" w:rsidRPr="00950673" w:rsidRDefault="00950673" w:rsidP="00950673">
      <w:pPr>
        <w:numPr>
          <w:ilvl w:val="0"/>
          <w:numId w:val="7"/>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five citizen meetings in decentralized Borough neighbourhoods, where residents could submit and vote on proposals;</w:t>
      </w:r>
    </w:p>
    <w:p w14:paraId="3357CF9D" w14:textId="77777777" w:rsidR="00950673" w:rsidRPr="00950673" w:rsidRDefault="00950673" w:rsidP="00950673">
      <w:pPr>
        <w:numPr>
          <w:ilvl w:val="0"/>
          <w:numId w:val="7"/>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 one-day meeting of ‘citizen journalists’ to edit and aggregate the 20 most popular proposals from each of the five neighbourhood meetings;</w:t>
      </w:r>
    </w:p>
    <w:p w14:paraId="4AC47621" w14:textId="77777777" w:rsidR="00950673" w:rsidRPr="00950673" w:rsidRDefault="00950673" w:rsidP="00950673">
      <w:pPr>
        <w:numPr>
          <w:ilvl w:val="0"/>
          <w:numId w:val="7"/>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 general citizen assembly in January 2006, an Internet vote and a written vote to select the overall 20 best proposals from the set submitted by the ‘citizen journalists’;</w:t>
      </w:r>
    </w:p>
    <w:p w14:paraId="6DF49D63" w14:textId="77777777" w:rsidR="00950673" w:rsidRPr="00950673" w:rsidRDefault="00950673" w:rsidP="00950673">
      <w:pPr>
        <w:numPr>
          <w:ilvl w:val="0"/>
          <w:numId w:val="7"/>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 citizen survey to check the reactions to the prioritized proposals by citizens who had not previously participated.</w:t>
      </w:r>
    </w:p>
    <w:p w14:paraId="5C46D127"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At the end of this process, the Borough Council debated the proposals at several public meetings and took final decisions on the proposals in May 2006.</w:t>
      </w:r>
    </w:p>
    <w:p w14:paraId="23D2BE7B" w14:textId="77777777" w:rsidR="00950673" w:rsidRPr="00950673" w:rsidRDefault="00950673" w:rsidP="00950673">
      <w:pPr>
        <w:spacing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Although known as the Berlin-Lichtenberg ‘participatory budget’, the citizens do not, strictly speaking, set the budget, but rather the service and outcome priorities in the annual budgetary process. Since 2006, the process has been developed further. In particular, the Borough drew up smaller neighbourhoods so that they seemed more relevant to citizens – an important lesson for other countries (like the UK) where ‘neighbourhoods’ are often very large. Again, since not everybody is up for strategic deliberation – some people just want to </w:t>
      </w:r>
      <w:r w:rsidRPr="00950673">
        <w:rPr>
          <w:rFonts w:ascii="LinLibertine" w:eastAsia="Times New Roman" w:hAnsi="LinLibertine" w:cs="Times New Roman"/>
          <w:i/>
          <w:iCs/>
          <w:color w:val="000000"/>
          <w:sz w:val="24"/>
          <w:szCs w:val="24"/>
          <w:lang w:eastAsia="en-GB"/>
        </w:rPr>
        <w:t>do</w:t>
      </w:r>
      <w:r w:rsidRPr="00950673">
        <w:rPr>
          <w:rFonts w:ascii="LinLibertine" w:eastAsia="Times New Roman" w:hAnsi="LinLibertine" w:cs="Times New Roman"/>
          <w:color w:val="000000"/>
          <w:sz w:val="24"/>
          <w:szCs w:val="24"/>
          <w:lang w:eastAsia="en-GB"/>
        </w:rPr>
        <w:t> things for and with other people around them – in 2010 the Borough introduced ‘neighbourhood budgets’ (</w:t>
      </w:r>
      <w:proofErr w:type="spellStart"/>
      <w:r w:rsidRPr="00950673">
        <w:rPr>
          <w:rFonts w:ascii="LinLibertine" w:eastAsia="Times New Roman" w:hAnsi="LinLibertine" w:cs="Times New Roman"/>
          <w:color w:val="000000"/>
          <w:sz w:val="24"/>
          <w:szCs w:val="24"/>
          <w:lang w:eastAsia="en-GB"/>
        </w:rPr>
        <w:t>Kiezfonds</w:t>
      </w:r>
      <w:proofErr w:type="spellEnd"/>
      <w:r w:rsidRPr="00950673">
        <w:rPr>
          <w:rFonts w:ascii="LinLibertine" w:eastAsia="Times New Roman" w:hAnsi="LinLibertine" w:cs="Times New Roman"/>
          <w:color w:val="000000"/>
          <w:sz w:val="24"/>
          <w:szCs w:val="24"/>
          <w:lang w:eastAsia="en-GB"/>
        </w:rPr>
        <w:t>), currently of about €7,000 in each neighbourhood, managed by citizen committees. This provides citizen activists with seed funding to organize events, tackle local environmental problems or take other actions which improve key outcomes at neighbourhood level. The Berlin-Lichtenberg approach is now the longest-standing ‘participatory budgeting’ approach in Germany and is strongly supported by the new mayor, elected in 2015.</w:t>
      </w:r>
    </w:p>
    <w:p w14:paraId="66E22B14"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While this may sound impressive, these ‘fuzzy’ benefits are difficult to assess. For example, in order to generate evidence that citizen engagement leads to better public decisions, experiments would be needed (ideally, randomized control trials) which would compare the effects on public decisions in areas with and without citizen engagement – this would be difficult to put into practice. Consequently, it is often hard for engagement officers and participation-oriented policy-makers to make a business case for citizen engagement. This is particularly awkward in times of austerity, when sceptics are especially likely to demand evidence that investment in citizen engagement ‘makes a difference’ and is worthwhile. This may be one of the reasons behind the volatility in government policy towards citizen engagement – see </w:t>
      </w:r>
      <w:hyperlink r:id="rId38" w:anchor="ce22_2" w:history="1">
        <w:r w:rsidRPr="00950673">
          <w:rPr>
            <w:rFonts w:ascii="LinLibertine" w:eastAsia="Times New Roman" w:hAnsi="LinLibertine" w:cs="Times New Roman"/>
            <w:color w:val="0000FF"/>
            <w:sz w:val="24"/>
            <w:szCs w:val="24"/>
            <w:u w:val="single"/>
            <w:lang w:eastAsia="en-GB"/>
          </w:rPr>
          <w:t>Case example 22.4</w:t>
        </w:r>
      </w:hyperlink>
      <w:r w:rsidRPr="00950673">
        <w:rPr>
          <w:rFonts w:ascii="LinLibertine" w:eastAsia="Times New Roman" w:hAnsi="LinLibertine" w:cs="Times New Roman"/>
          <w:color w:val="000000"/>
          <w:sz w:val="24"/>
          <w:szCs w:val="24"/>
          <w:lang w:eastAsia="en-GB"/>
        </w:rPr>
        <w:t xml:space="preserve">. We will now </w:t>
      </w:r>
      <w:r w:rsidRPr="00950673">
        <w:rPr>
          <w:rFonts w:ascii="LinLibertine" w:eastAsia="Times New Roman" w:hAnsi="LinLibertine" w:cs="Times New Roman"/>
          <w:color w:val="000000"/>
          <w:sz w:val="24"/>
          <w:szCs w:val="24"/>
          <w:lang w:eastAsia="en-GB"/>
        </w:rPr>
        <w:lastRenderedPageBreak/>
        <w:t>consider approaches to each of the forms of engagement – information, consultation, participation and co-production – and look at some of the empirical evidence.</w:t>
      </w:r>
    </w:p>
    <w:p w14:paraId="0D9B9987" w14:textId="77777777" w:rsidR="00950673" w:rsidRPr="00950673" w:rsidRDefault="00A971A9" w:rsidP="00950673">
      <w:pPr>
        <w:spacing w:after="240" w:line="240" w:lineRule="auto"/>
        <w:rPr>
          <w:rFonts w:ascii="LinLibertine" w:eastAsia="Times New Roman" w:hAnsi="LinLibertine" w:cs="Times New Roman"/>
          <w:b/>
          <w:bCs/>
          <w:color w:val="000000"/>
          <w:sz w:val="31"/>
          <w:szCs w:val="31"/>
          <w:lang w:eastAsia="en-GB"/>
        </w:rPr>
      </w:pPr>
      <w:hyperlink r:id="rId39" w:anchor="bck_ce22_4" w:history="1">
        <w:r w:rsidR="00950673" w:rsidRPr="00950673">
          <w:rPr>
            <w:rFonts w:ascii="LinLibertine" w:eastAsia="Times New Roman" w:hAnsi="LinLibertine" w:cs="Times New Roman"/>
            <w:b/>
            <w:bCs/>
            <w:color w:val="0000FF"/>
            <w:sz w:val="31"/>
            <w:szCs w:val="31"/>
            <w:u w:val="single"/>
            <w:lang w:eastAsia="en-GB"/>
          </w:rPr>
          <w:t>Case example 22.4</w:t>
        </w:r>
      </w:hyperlink>
      <w:r w:rsidR="00950673" w:rsidRPr="00950673">
        <w:rPr>
          <w:rFonts w:ascii="LinLibertine" w:eastAsia="Times New Roman" w:hAnsi="LinLibertine" w:cs="Times New Roman"/>
          <w:b/>
          <w:bCs/>
          <w:color w:val="000000"/>
          <w:sz w:val="31"/>
          <w:szCs w:val="31"/>
          <w:lang w:eastAsia="en-GB"/>
        </w:rPr>
        <w:t> Volatility of government policy on citizen engagement in the UK</w:t>
      </w:r>
    </w:p>
    <w:p w14:paraId="255D7BCE"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emphasis on increased public involvement in the planning and delivery of local services in the UK was reflected in Clause 3.1 of the 1999 Local Government Act, which required local councils, police and fire authorities and a range of other statutory agencies to consult not only service users and taxpayers (both individuals and businesses) but also anyone else whom they deemed to have legitimate interest in the area (which might, for example, include commuters, tourists and representatives of voluntary and community organizations).</w:t>
      </w:r>
    </w:p>
    <w:p w14:paraId="0E634450"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These requirements undoubtedly increased both the scale and scope of engagement by local authorities with local people. Many councils in England introduced consultation into services where there was previously little direct contact with the public and adopted new, more interactive approaches to reach communities and groups with which they had traditionally not engaged (Martin </w:t>
      </w:r>
      <w:r w:rsidRPr="00950673">
        <w:rPr>
          <w:rFonts w:ascii="LinLibertine" w:eastAsia="Times New Roman" w:hAnsi="LinLibertine" w:cs="Times New Roman"/>
          <w:i/>
          <w:iCs/>
          <w:color w:val="000000"/>
          <w:sz w:val="24"/>
          <w:szCs w:val="24"/>
          <w:lang w:eastAsia="en-GB"/>
        </w:rPr>
        <w:t>et al</w:t>
      </w:r>
      <w:r w:rsidRPr="00950673">
        <w:rPr>
          <w:rFonts w:ascii="LinLibertine" w:eastAsia="Times New Roman" w:hAnsi="LinLibertine" w:cs="Times New Roman"/>
          <w:color w:val="000000"/>
          <w:sz w:val="24"/>
          <w:szCs w:val="24"/>
          <w:lang w:eastAsia="en-GB"/>
        </w:rPr>
        <w:t>., 2001).</w:t>
      </w:r>
    </w:p>
    <w:p w14:paraId="11406691"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Some years later, UK ministers preached the need for ‘double devolution’, whereby power would be dispersed from central to local government and local councils, which would then hand over increased control to neighbourhoods and local communities. The Local Government and Public Involvement in Health Act 2007 gave local authorities a new duty to ‘inform, consult and involve’ local people.</w:t>
      </w:r>
    </w:p>
    <w:p w14:paraId="6EAB704F" w14:textId="77777777" w:rsidR="00950673" w:rsidRPr="00950673" w:rsidRDefault="00950673" w:rsidP="00950673">
      <w:pPr>
        <w:spacing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policies of the new coalition government elected in 2010 showed some continuity with these earlier policies. Its Localism Act 2011 publicly espoused ‘localism’, introducing new Community Rights to Challenge (to provide any service currently provided by a council) and the Community Right to Bid (to run local community facilities) (Bovaird, 2012). However, it also abolished many of the key instruments for community involvement, including the duty to inform, consult and involve, the national survey of citizen satisfaction with local areas and local authorities, and the national collection of outcome indicators. It also launched the complete redesign of the recently instituted system of local citizen involvement networks (</w:t>
      </w:r>
      <w:proofErr w:type="spellStart"/>
      <w:r w:rsidRPr="00950673">
        <w:rPr>
          <w:rFonts w:ascii="LinLibertine" w:eastAsia="Times New Roman" w:hAnsi="LinLibertine" w:cs="Times New Roman"/>
          <w:color w:val="000000"/>
          <w:sz w:val="24"/>
          <w:szCs w:val="24"/>
          <w:lang w:eastAsia="en-GB"/>
        </w:rPr>
        <w:t>LINks</w:t>
      </w:r>
      <w:proofErr w:type="spellEnd"/>
      <w:r w:rsidRPr="00950673">
        <w:rPr>
          <w:rFonts w:ascii="LinLibertine" w:eastAsia="Times New Roman" w:hAnsi="LinLibertine" w:cs="Times New Roman"/>
          <w:color w:val="000000"/>
          <w:sz w:val="24"/>
          <w:szCs w:val="24"/>
          <w:lang w:eastAsia="en-GB"/>
        </w:rPr>
        <w:t>), although these were later abolished. While it simultaneously committed itself to empowering the ‘Big Society’, this policy, in turn, did not survive long.</w:t>
      </w:r>
    </w:p>
    <w:p w14:paraId="42008A46" w14:textId="77777777" w:rsidR="00950673" w:rsidRPr="00950673" w:rsidRDefault="00950673" w:rsidP="00950673">
      <w:pPr>
        <w:spacing w:before="480" w:after="240" w:line="468" w:lineRule="atLeast"/>
        <w:outlineLvl w:val="1"/>
        <w:rPr>
          <w:rFonts w:ascii="LinLibertine" w:eastAsia="Times New Roman" w:hAnsi="LinLibertine" w:cs="Times New Roman"/>
          <w:b/>
          <w:bCs/>
          <w:color w:val="000000"/>
          <w:sz w:val="36"/>
          <w:szCs w:val="36"/>
          <w:lang w:eastAsia="en-GB"/>
        </w:rPr>
      </w:pPr>
      <w:r w:rsidRPr="00950673">
        <w:rPr>
          <w:rFonts w:ascii="LinLibertine" w:eastAsia="Times New Roman" w:hAnsi="LinLibertine" w:cs="Times New Roman"/>
          <w:b/>
          <w:bCs/>
          <w:color w:val="000000"/>
          <w:sz w:val="36"/>
          <w:szCs w:val="36"/>
          <w:lang w:eastAsia="en-GB"/>
        </w:rPr>
        <w:t>Obstacles to effective engagement</w:t>
      </w:r>
    </w:p>
    <w:p w14:paraId="29C577C6" w14:textId="77777777" w:rsidR="00950673" w:rsidRPr="00950673" w:rsidRDefault="00950673" w:rsidP="00950673">
      <w:pPr>
        <w:spacing w:before="480" w:after="240" w:line="374" w:lineRule="atLeast"/>
        <w:outlineLvl w:val="2"/>
        <w:rPr>
          <w:rFonts w:ascii="LinLibertine" w:eastAsia="Times New Roman" w:hAnsi="LinLibertine" w:cs="Times New Roman"/>
          <w:b/>
          <w:bCs/>
          <w:i/>
          <w:iCs/>
          <w:color w:val="000000"/>
          <w:sz w:val="29"/>
          <w:szCs w:val="29"/>
          <w:lang w:eastAsia="en-GB"/>
        </w:rPr>
      </w:pPr>
      <w:r w:rsidRPr="00950673">
        <w:rPr>
          <w:rFonts w:ascii="LinLibertine" w:eastAsia="Times New Roman" w:hAnsi="LinLibertine" w:cs="Times New Roman"/>
          <w:b/>
          <w:bCs/>
          <w:i/>
          <w:iCs/>
          <w:color w:val="000000"/>
          <w:sz w:val="29"/>
          <w:szCs w:val="29"/>
          <w:lang w:eastAsia="en-GB"/>
        </w:rPr>
        <w:t>Power to the people?</w:t>
      </w:r>
    </w:p>
    <w:p w14:paraId="1790A054"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Increased public engagement does not enjoy unqualified support among public officials and politicians. Not surprisingly, some see it as a threat to their professional judgement or democratic legitimacy, fearing ‘government by referendum’ in which their role is reduced to that of ‘rubber-stamping’ decisions made by the public or brokering the views of different groups in the community. Some authors have even argued that participation (admittedly, mainly in the context of development and poverty alleviation) is tyrannical, in that it allows the illegitimate and/or unjust exercise of power by unrepresentative groups (Cooke and Kothari, 2001).</w:t>
      </w:r>
    </w:p>
    <w:p w14:paraId="22636F3D" w14:textId="77777777" w:rsidR="00950673" w:rsidRPr="00950673" w:rsidRDefault="00950673" w:rsidP="00950673">
      <w:pPr>
        <w:spacing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lastRenderedPageBreak/>
        <w:t>Unravelling the interests of different groups in our services will be one of the key roles of councillors; their job will be to act as community leaders and to act as brokers, balancing the different interests of different groups and developing integrated policies which meet local needs best.</w:t>
      </w:r>
    </w:p>
    <w:p w14:paraId="5BAF3DE4" w14:textId="77777777" w:rsidR="00950673" w:rsidRPr="00950673" w:rsidRDefault="00950673" w:rsidP="00950673">
      <w:pPr>
        <w:spacing w:before="24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Source: City of York Council</w:t>
      </w:r>
    </w:p>
    <w:p w14:paraId="6CE63FA6"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However, in practice, engagement with service users and citizens does not obviate the need for professional expertise or for political judgement. In most cases, it simply provides more information about the range of (often conflicting) views and priorities among the public. Politicians and officials still need to decide how best to reconcile competing interests and to allocate resources accordingly, as the quote from York City Council demonstrates.</w:t>
      </w:r>
    </w:p>
    <w:p w14:paraId="5824ABC1" w14:textId="77777777" w:rsidR="00950673" w:rsidRPr="00950673" w:rsidRDefault="00950673" w:rsidP="00950673">
      <w:pPr>
        <w:spacing w:before="480" w:after="240" w:line="374" w:lineRule="atLeast"/>
        <w:outlineLvl w:val="2"/>
        <w:rPr>
          <w:rFonts w:ascii="LinLibertine" w:eastAsia="Times New Roman" w:hAnsi="LinLibertine" w:cs="Times New Roman"/>
          <w:b/>
          <w:bCs/>
          <w:i/>
          <w:iCs/>
          <w:color w:val="000000"/>
          <w:sz w:val="29"/>
          <w:szCs w:val="29"/>
          <w:lang w:eastAsia="en-GB"/>
        </w:rPr>
      </w:pPr>
      <w:r w:rsidRPr="00950673">
        <w:rPr>
          <w:rFonts w:ascii="LinLibertine" w:eastAsia="Times New Roman" w:hAnsi="LinLibertine" w:cs="Times New Roman"/>
          <w:b/>
          <w:bCs/>
          <w:i/>
          <w:iCs/>
          <w:color w:val="000000"/>
          <w:sz w:val="29"/>
          <w:szCs w:val="29"/>
          <w:lang w:eastAsia="en-GB"/>
        </w:rPr>
        <w:t>Have we got the right approach?</w:t>
      </w:r>
    </w:p>
    <w:p w14:paraId="11DDED0C"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Many public sector organizations focus a great deal of effort on choosing the ‘right’ approach to public participation. In practice, however, there is rarely one correct method. Some of the approaches adopted, for example public meetings, citizens’ juries and focus groups, offer high levels of interaction but reach only a small proportion of the population. They are also relatively costly, time-consuming and require skilled facilitation. Other methods, such as surveys of residents and citizen or user panels offer breadth of coverage and can be relatively cheap, but provide less in-depth interaction.</w:t>
      </w:r>
    </w:p>
    <w:p w14:paraId="09DBA859"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Most organizations therefore need to have a balanced portfolio of approaches that fit:</w:t>
      </w:r>
    </w:p>
    <w:p w14:paraId="4AD620A5" w14:textId="77777777" w:rsidR="00950673" w:rsidRPr="00950673" w:rsidRDefault="00950673" w:rsidP="00950673">
      <w:pPr>
        <w:numPr>
          <w:ilvl w:val="0"/>
          <w:numId w:val="8"/>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objectives of engaging with users and citizens;</w:t>
      </w:r>
    </w:p>
    <w:p w14:paraId="13AF2A44" w14:textId="77777777" w:rsidR="00950673" w:rsidRPr="00950673" w:rsidRDefault="00950673" w:rsidP="00950673">
      <w:pPr>
        <w:numPr>
          <w:ilvl w:val="0"/>
          <w:numId w:val="8"/>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resources available to those managing the process;</w:t>
      </w:r>
    </w:p>
    <w:p w14:paraId="41F541C1" w14:textId="77777777" w:rsidR="00950673" w:rsidRPr="00950673" w:rsidRDefault="00950673" w:rsidP="00950673">
      <w:pPr>
        <w:numPr>
          <w:ilvl w:val="0"/>
          <w:numId w:val="8"/>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timescale for the decision-making process; and</w:t>
      </w:r>
    </w:p>
    <w:p w14:paraId="78E854CA" w14:textId="77777777" w:rsidR="00950673" w:rsidRPr="00950673" w:rsidRDefault="00950673" w:rsidP="00950673">
      <w:pPr>
        <w:numPr>
          <w:ilvl w:val="0"/>
          <w:numId w:val="8"/>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capacity of the respondents.</w:t>
      </w:r>
    </w:p>
    <w:p w14:paraId="0409B4C2" w14:textId="77777777" w:rsidR="00950673" w:rsidRPr="00950673" w:rsidRDefault="00950673" w:rsidP="00950673">
      <w:pPr>
        <w:spacing w:before="480" w:after="240" w:line="374" w:lineRule="atLeast"/>
        <w:outlineLvl w:val="2"/>
        <w:rPr>
          <w:rFonts w:ascii="LinLibertine" w:eastAsia="Times New Roman" w:hAnsi="LinLibertine" w:cs="Times New Roman"/>
          <w:b/>
          <w:bCs/>
          <w:i/>
          <w:iCs/>
          <w:color w:val="000000"/>
          <w:sz w:val="29"/>
          <w:szCs w:val="29"/>
          <w:lang w:eastAsia="en-GB"/>
        </w:rPr>
      </w:pPr>
      <w:r w:rsidRPr="00950673">
        <w:rPr>
          <w:rFonts w:ascii="LinLibertine" w:eastAsia="Times New Roman" w:hAnsi="LinLibertine" w:cs="Times New Roman"/>
          <w:b/>
          <w:bCs/>
          <w:i/>
          <w:iCs/>
          <w:color w:val="000000"/>
          <w:sz w:val="29"/>
          <w:szCs w:val="29"/>
          <w:lang w:eastAsia="en-GB"/>
        </w:rPr>
        <w:t>Let’s work together</w:t>
      </w:r>
    </w:p>
    <w:p w14:paraId="03683532"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It is quite common for several local agencies, or even international organizations, to pursue very similar consultation exercises in parallel with each other, unaware that their efforts are being duplicated. In some cases, organizations repeat consultations unnecessarily, not realizing that they already have the information on file. This is problematic for two reasons. First, it is a waste of resources. Second, it increases the risk of ‘consultation fatigue’ among the public.</w:t>
      </w:r>
    </w:p>
    <w:p w14:paraId="4FCD73EA" w14:textId="77777777" w:rsidR="00950673" w:rsidRPr="00950673" w:rsidRDefault="00950673" w:rsidP="00950673">
      <w:pPr>
        <w:spacing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We usually ask a question ten times and use the information once. We must learn to ask once and use the answer ten times in different settings.</w:t>
      </w:r>
    </w:p>
    <w:p w14:paraId="17E4AD0E" w14:textId="77777777" w:rsidR="00950673" w:rsidRPr="00950673" w:rsidRDefault="00950673" w:rsidP="00950673">
      <w:pPr>
        <w:spacing w:before="24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Source: Local authority Chief Executive</w:t>
      </w:r>
    </w:p>
    <w:p w14:paraId="3ACFABC8"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In order to avoid duplication and bring together disparate initiatives, some organizations have developed databases of previous consultations. And in some areas joint consultation strategies are being developed by local councils, health authorities, the police and other agencies to ensure that they coordinate their initiatives better or, better still, pool their resources.</w:t>
      </w:r>
    </w:p>
    <w:p w14:paraId="4BFDEC40" w14:textId="77777777" w:rsidR="00950673" w:rsidRPr="00950673" w:rsidRDefault="00950673" w:rsidP="00950673">
      <w:pPr>
        <w:spacing w:before="480" w:after="240" w:line="374" w:lineRule="atLeast"/>
        <w:outlineLvl w:val="2"/>
        <w:rPr>
          <w:rFonts w:ascii="LinLibertine" w:eastAsia="Times New Roman" w:hAnsi="LinLibertine" w:cs="Times New Roman"/>
          <w:b/>
          <w:bCs/>
          <w:i/>
          <w:iCs/>
          <w:color w:val="000000"/>
          <w:sz w:val="29"/>
          <w:szCs w:val="29"/>
          <w:lang w:eastAsia="en-GB"/>
        </w:rPr>
      </w:pPr>
      <w:r w:rsidRPr="00950673">
        <w:rPr>
          <w:rFonts w:ascii="LinLibertine" w:eastAsia="Times New Roman" w:hAnsi="LinLibertine" w:cs="Times New Roman"/>
          <w:b/>
          <w:bCs/>
          <w:i/>
          <w:iCs/>
          <w:color w:val="000000"/>
          <w:sz w:val="29"/>
          <w:szCs w:val="29"/>
          <w:lang w:eastAsia="en-GB"/>
        </w:rPr>
        <w:lastRenderedPageBreak/>
        <w:t>Overcoming apathy</w:t>
      </w:r>
    </w:p>
    <w:p w14:paraId="675D2FDC"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We have already reported research that suggests that one in five UK citizens wants to engage more closely with their local authority (</w:t>
      </w:r>
      <w:hyperlink r:id="rId40" w:anchor="box22_2" w:history="1">
        <w:r w:rsidRPr="00950673">
          <w:rPr>
            <w:rFonts w:ascii="LinLibertine" w:eastAsia="Times New Roman" w:hAnsi="LinLibertine" w:cs="Times New Roman"/>
            <w:color w:val="0000FF"/>
            <w:sz w:val="24"/>
            <w:szCs w:val="24"/>
            <w:u w:val="single"/>
            <w:lang w:eastAsia="en-GB"/>
          </w:rPr>
          <w:t>Box 22.2</w:t>
        </w:r>
      </w:hyperlink>
      <w:r w:rsidRPr="00950673">
        <w:rPr>
          <w:rFonts w:ascii="LinLibertine" w:eastAsia="Times New Roman" w:hAnsi="LinLibertine" w:cs="Times New Roman"/>
          <w:color w:val="000000"/>
          <w:sz w:val="24"/>
          <w:szCs w:val="24"/>
          <w:lang w:eastAsia="en-GB"/>
        </w:rPr>
        <w:t>). By definition, the minority who do get involved are unlikely to be representative of the community as a whole, particularly because the most vulnerable groups, those on lower incomes, young people, older people, members of households with a disabled person and members of ethnic minority communities, are usually the least inclined to be involved. Moreover, most people express a strong preference for relatively passive forms of engagement. A survey in the UK showed that the public strongly favoured one-off consultations conducted via postal surveys and face-to-face interviews. Very few were prepared to participate in in-depth consultations – only 13 per cent said they would be willing to go to public meetings, just 6 per cent said they would participate in a citizens’ panel and only 3 per cent would take part in a citizens’ jury (Martin and Boaz, 2000).</w:t>
      </w:r>
    </w:p>
    <w:p w14:paraId="7D01F83D"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One way of alleviating this problem is to focus on those policies and issues that citizens say matter most to them – usually issues such as community safety, street cleaning, leisure facilities for young people. Almost all citizens care about at least one issue or service – but sometimes service providers do not take sufficient care to ensure that they are consulting each citizen about the things in which that citizen is most interested. Given that local supermarkets can now send customers highly relevant offers, based on their recent spending, it seems odd that their local council can’t tailor its communication and engagement strategies to individuals’ needs.</w:t>
      </w:r>
    </w:p>
    <w:p w14:paraId="4F9D3CE3"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Another approach is to use the consultation methods that members of the public say they are most comfortable with – and avoid those they dislike. For example, participatory budgeting in the UK has put a strong focus on public meetings, even though this makes it very hard to attract those people who usually do not get engaged in any form of consultation.</w:t>
      </w:r>
    </w:p>
    <w:p w14:paraId="5E35ACB3"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It is also vital to give feedback on how results are used – what decisions were taken and why – so that people can see their views were taken seriously and made a real difference. This need only involve short flyers with attractive layouts (ideally including photos of consultees and the issues consulted on), with the clear messages ‘This is what you said’ and ‘This is what we are going to do’. This means reducing the number of consultation exercises in order to do a smaller number properly, but this may be a price worth paying.</w:t>
      </w:r>
    </w:p>
    <w:p w14:paraId="4C2F3FDE"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Finally, some public service providers that have made important strides in engaging with the public have been less adept at consulting their own staff. This is a missed opportunity, because front-line staff often live locally, and they and their families therefore use local services and are in a position to provide valuable feedback.</w:t>
      </w:r>
    </w:p>
    <w:p w14:paraId="4BB2169E" w14:textId="77777777" w:rsidR="00950673" w:rsidRPr="00950673" w:rsidRDefault="00950673" w:rsidP="00950673">
      <w:pPr>
        <w:spacing w:before="480" w:after="240" w:line="374" w:lineRule="atLeast"/>
        <w:outlineLvl w:val="2"/>
        <w:rPr>
          <w:rFonts w:ascii="LinLibertine" w:eastAsia="Times New Roman" w:hAnsi="LinLibertine" w:cs="Times New Roman"/>
          <w:b/>
          <w:bCs/>
          <w:i/>
          <w:iCs/>
          <w:color w:val="000000"/>
          <w:sz w:val="29"/>
          <w:szCs w:val="29"/>
          <w:lang w:eastAsia="en-GB"/>
        </w:rPr>
      </w:pPr>
      <w:r w:rsidRPr="00950673">
        <w:rPr>
          <w:rFonts w:ascii="LinLibertine" w:eastAsia="Times New Roman" w:hAnsi="LinLibertine" w:cs="Times New Roman"/>
          <w:b/>
          <w:bCs/>
          <w:i/>
          <w:iCs/>
          <w:color w:val="000000"/>
          <w:sz w:val="29"/>
          <w:szCs w:val="29"/>
          <w:lang w:eastAsia="en-GB"/>
        </w:rPr>
        <w:t>Ensuring it makes a difference</w:t>
      </w:r>
    </w:p>
    <w:p w14:paraId="0A1A859E"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A major reason for citizens’ unwillingness to engage is scepticism about whether governments and public service providers will respond to public opinion. And, indeed, in many cases the scope for action is constrained because an agency has only limited control over a policy area. Local authorities in the UK, for example, have little or no direct influence over many of the key issues about which local people feel most strongly, including health, community safety and employment, and may have limited room for manoeuvre even in their own services due to centrally determined performance targets </w:t>
      </w:r>
      <w:r w:rsidRPr="00950673">
        <w:rPr>
          <w:rFonts w:ascii="LinLibertine" w:eastAsia="Times New Roman" w:hAnsi="LinLibertine" w:cs="Times New Roman"/>
          <w:color w:val="000000"/>
          <w:sz w:val="24"/>
          <w:szCs w:val="24"/>
          <w:lang w:eastAsia="en-GB"/>
        </w:rPr>
        <w:lastRenderedPageBreak/>
        <w:t>and ‘ring-fenced’ budgets. Indeed, even a former Mayor of London expressed scepticism about how much citizens can achieve in the face of central government ‘control freakery’ (see insert).</w:t>
      </w:r>
    </w:p>
    <w:p w14:paraId="3684A630" w14:textId="77777777" w:rsidR="00950673" w:rsidRPr="00950673" w:rsidRDefault="00950673" w:rsidP="00950673">
      <w:pPr>
        <w:spacing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If voting changed anything, they’d abolish it.</w:t>
      </w:r>
    </w:p>
    <w:p w14:paraId="19E84439" w14:textId="77777777" w:rsidR="00950673" w:rsidRPr="00950673" w:rsidRDefault="00950673" w:rsidP="00950673">
      <w:pPr>
        <w:spacing w:before="24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Source: Ken Livingstone, Mayor of London (2000–2008)</w:t>
      </w:r>
    </w:p>
    <w:p w14:paraId="7E8E0ECD"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It is therefore important to make clear at the outset what the parameters of engagement are, what issues are up for negotiation, what changes are possible and what is ‘off-limits’. It is also crucial that there is effective communication with users and citizens throughout the process and, where possible, that some early ‘wins’ are achieved and celebrated – communities often complain that decision-making processes are too slow, and they lose interest if improvements do not materialize fairly rapidly.</w:t>
      </w:r>
    </w:p>
    <w:p w14:paraId="2ADAD558" w14:textId="77777777" w:rsidR="00950673" w:rsidRPr="00950673" w:rsidRDefault="00950673" w:rsidP="00950673">
      <w:pPr>
        <w:spacing w:before="480" w:after="240" w:line="468" w:lineRule="atLeast"/>
        <w:outlineLvl w:val="1"/>
        <w:rPr>
          <w:rFonts w:ascii="LinLibertine" w:eastAsia="Times New Roman" w:hAnsi="LinLibertine" w:cs="Times New Roman"/>
          <w:b/>
          <w:bCs/>
          <w:color w:val="000000"/>
          <w:sz w:val="36"/>
          <w:szCs w:val="36"/>
          <w:lang w:eastAsia="en-GB"/>
        </w:rPr>
      </w:pPr>
      <w:r w:rsidRPr="00950673">
        <w:rPr>
          <w:rFonts w:ascii="LinLibertine" w:eastAsia="Times New Roman" w:hAnsi="LinLibertine" w:cs="Times New Roman"/>
          <w:b/>
          <w:bCs/>
          <w:color w:val="000000"/>
          <w:sz w:val="36"/>
          <w:szCs w:val="36"/>
          <w:lang w:eastAsia="en-GB"/>
        </w:rPr>
        <w:t>Summary</w:t>
      </w:r>
    </w:p>
    <w:p w14:paraId="28376903"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Engaging service users and citizens in policy-making and in design and delivery of public services can take many forms. Less interactive approaches involve a one-way flow of information from policy-makers and public service managers to the public. More interactive approaches include consultation – a two-way flow of information, views and perspectives between policy-makers/managers and users/citizens – and participation in policy-making. The most interactive approach is co-production, in which providers and the public harness each other’s resources to improve services and outcomes.</w:t>
      </w:r>
    </w:p>
    <w:p w14:paraId="70C45BF9"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Engagement may include a range of different stakeholder groups. In some circumstances it is appropriate to engage first and foremost with service users. In others it is necessary to involve the public as a whole. In some cases it is important to work with particular communities of place or interest.</w:t>
      </w:r>
    </w:p>
    <w:p w14:paraId="38094F07"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There is a vast array of techniques for public engagement. What matters most is that the tools used by an organization are fit for purpose and appropriate to its own capacity and that of the groups with which it is seeking to engage and that the organization considers carefully the scope for coordinating with other local agencies.</w:t>
      </w:r>
    </w:p>
    <w:p w14:paraId="582984DA"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Citizen engagement offers a range of potential benefits but also entails formidable challenges. There is a lot of experience that can be tapped from across a range of services and different countries. It is important that policy-makers, politicians and public service managers take enough time and are sufficiently open-minded to draw upon this growing body of evidence when developing their own organization’s approach to public engagement.</w:t>
      </w:r>
    </w:p>
    <w:p w14:paraId="4BDA79B5" w14:textId="77777777" w:rsidR="00950673" w:rsidRPr="00950673" w:rsidRDefault="00950673" w:rsidP="00950673">
      <w:pPr>
        <w:spacing w:before="480" w:after="240" w:line="468" w:lineRule="atLeast"/>
        <w:outlineLvl w:val="1"/>
        <w:rPr>
          <w:rFonts w:ascii="LinLibertine" w:eastAsia="Times New Roman" w:hAnsi="LinLibertine" w:cs="Times New Roman"/>
          <w:b/>
          <w:bCs/>
          <w:color w:val="000000"/>
          <w:sz w:val="36"/>
          <w:szCs w:val="36"/>
          <w:lang w:eastAsia="en-GB"/>
        </w:rPr>
      </w:pPr>
      <w:r w:rsidRPr="00950673">
        <w:rPr>
          <w:rFonts w:ascii="LinLibertine" w:eastAsia="Times New Roman" w:hAnsi="LinLibertine" w:cs="Times New Roman"/>
          <w:b/>
          <w:bCs/>
          <w:color w:val="000000"/>
          <w:sz w:val="36"/>
          <w:szCs w:val="36"/>
          <w:lang w:eastAsia="en-GB"/>
        </w:rPr>
        <w:t>Questions for review and discussion</w:t>
      </w:r>
    </w:p>
    <w:p w14:paraId="177BFEC8" w14:textId="77777777" w:rsidR="00950673" w:rsidRPr="00950673" w:rsidRDefault="00950673" w:rsidP="00950673">
      <w:pPr>
        <w:numPr>
          <w:ilvl w:val="0"/>
          <w:numId w:val="9"/>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In what ways can engagement with citizens enhance public policies and public services?</w:t>
      </w:r>
    </w:p>
    <w:p w14:paraId="0AE9F2F6" w14:textId="77777777" w:rsidR="00950673" w:rsidRPr="00950673" w:rsidRDefault="00950673" w:rsidP="00950673">
      <w:pPr>
        <w:numPr>
          <w:ilvl w:val="0"/>
          <w:numId w:val="9"/>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What are the benefits of representative democracy? How can these be reconciled with increasing citizen engagement in policy decisions?</w:t>
      </w:r>
    </w:p>
    <w:p w14:paraId="4C1A729A" w14:textId="77777777" w:rsidR="00950673" w:rsidRPr="00950673" w:rsidRDefault="00950673" w:rsidP="00950673">
      <w:pPr>
        <w:spacing w:before="480" w:after="240" w:line="468" w:lineRule="atLeast"/>
        <w:outlineLvl w:val="1"/>
        <w:rPr>
          <w:rFonts w:ascii="LinLibertine" w:eastAsia="Times New Roman" w:hAnsi="LinLibertine" w:cs="Times New Roman"/>
          <w:b/>
          <w:bCs/>
          <w:color w:val="000000"/>
          <w:sz w:val="36"/>
          <w:szCs w:val="36"/>
          <w:lang w:eastAsia="en-GB"/>
        </w:rPr>
      </w:pPr>
      <w:r w:rsidRPr="00950673">
        <w:rPr>
          <w:rFonts w:ascii="LinLibertine" w:eastAsia="Times New Roman" w:hAnsi="LinLibertine" w:cs="Times New Roman"/>
          <w:b/>
          <w:bCs/>
          <w:color w:val="000000"/>
          <w:sz w:val="36"/>
          <w:szCs w:val="36"/>
          <w:lang w:eastAsia="en-GB"/>
        </w:rPr>
        <w:t>Reader exercises</w:t>
      </w:r>
    </w:p>
    <w:p w14:paraId="2DAB505E" w14:textId="77777777" w:rsidR="00950673" w:rsidRPr="00950673" w:rsidRDefault="00950673" w:rsidP="00950673">
      <w:pPr>
        <w:numPr>
          <w:ilvl w:val="0"/>
          <w:numId w:val="10"/>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lastRenderedPageBreak/>
        <w:t>Think of your own experience as a user of public services. What services or issues would you like to have more influence over? How might the organization(s) responsible for these services engage most effectively with you?</w:t>
      </w:r>
    </w:p>
    <w:p w14:paraId="2036F87F" w14:textId="77777777" w:rsidR="00950673" w:rsidRPr="00950673" w:rsidRDefault="00950673" w:rsidP="00950673">
      <w:pPr>
        <w:numPr>
          <w:ilvl w:val="0"/>
          <w:numId w:val="10"/>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Interview a local councillor to get his or her views on how his or her role has changed as a result of more public engagement.</w:t>
      </w:r>
    </w:p>
    <w:p w14:paraId="77E7EB83" w14:textId="77777777" w:rsidR="00950673" w:rsidRPr="00950673" w:rsidRDefault="00950673" w:rsidP="00950673">
      <w:pPr>
        <w:spacing w:before="480" w:after="240" w:line="468" w:lineRule="atLeast"/>
        <w:outlineLvl w:val="1"/>
        <w:rPr>
          <w:rFonts w:ascii="LinLibertine" w:eastAsia="Times New Roman" w:hAnsi="LinLibertine" w:cs="Times New Roman"/>
          <w:b/>
          <w:bCs/>
          <w:color w:val="000000"/>
          <w:sz w:val="36"/>
          <w:szCs w:val="36"/>
          <w:lang w:eastAsia="en-GB"/>
        </w:rPr>
      </w:pPr>
      <w:r w:rsidRPr="00950673">
        <w:rPr>
          <w:rFonts w:ascii="LinLibertine" w:eastAsia="Times New Roman" w:hAnsi="LinLibertine" w:cs="Times New Roman"/>
          <w:b/>
          <w:bCs/>
          <w:color w:val="000000"/>
          <w:sz w:val="36"/>
          <w:szCs w:val="36"/>
          <w:lang w:eastAsia="en-GB"/>
        </w:rPr>
        <w:t>Class exercise</w:t>
      </w:r>
    </w:p>
    <w:p w14:paraId="1742F674"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Work in groups on this exercise.</w:t>
      </w:r>
    </w:p>
    <w:p w14:paraId="7EF58F56" w14:textId="77777777" w:rsidR="00950673" w:rsidRPr="00950673" w:rsidRDefault="00950673" w:rsidP="00950673">
      <w:pPr>
        <w:spacing w:after="0" w:line="240" w:lineRule="auto"/>
        <w:ind w:firstLine="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Access information provided to residents by a local authority (ideally the council where you study, work or live). You may want to look at:</w:t>
      </w:r>
    </w:p>
    <w:p w14:paraId="2D88D639" w14:textId="77777777" w:rsidR="00950673" w:rsidRPr="00950673" w:rsidRDefault="00950673" w:rsidP="00950673">
      <w:pPr>
        <w:numPr>
          <w:ilvl w:val="0"/>
          <w:numId w:val="11"/>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its website;</w:t>
      </w:r>
    </w:p>
    <w:p w14:paraId="758F0579" w14:textId="77777777" w:rsidR="00950673" w:rsidRPr="00950673" w:rsidRDefault="00950673" w:rsidP="00950673">
      <w:pPr>
        <w:numPr>
          <w:ilvl w:val="0"/>
          <w:numId w:val="11"/>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information it provides with council tax bills;</w:t>
      </w:r>
    </w:p>
    <w:p w14:paraId="0AD1D8B7" w14:textId="77777777" w:rsidR="00950673" w:rsidRPr="00950673" w:rsidRDefault="00950673" w:rsidP="00950673">
      <w:pPr>
        <w:numPr>
          <w:ilvl w:val="0"/>
          <w:numId w:val="11"/>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the council newspaper (if it has one);</w:t>
      </w:r>
    </w:p>
    <w:p w14:paraId="2F738B5F" w14:textId="77777777" w:rsidR="00950673" w:rsidRPr="00950673" w:rsidRDefault="00950673" w:rsidP="00950673">
      <w:pPr>
        <w:numPr>
          <w:ilvl w:val="0"/>
          <w:numId w:val="11"/>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information about council services provided in libraries or council offices.</w:t>
      </w:r>
    </w:p>
    <w:p w14:paraId="7EB67966"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Write a short report on the strengths and weaknesses of the council’s communications, taking into account questions such as:</w:t>
      </w:r>
    </w:p>
    <w:p w14:paraId="395C3F9B" w14:textId="77777777" w:rsidR="00950673" w:rsidRPr="00950673" w:rsidRDefault="00950673" w:rsidP="00950673">
      <w:pPr>
        <w:numPr>
          <w:ilvl w:val="0"/>
          <w:numId w:val="1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How easy was it to obtain information?</w:t>
      </w:r>
    </w:p>
    <w:p w14:paraId="2300F966" w14:textId="77777777" w:rsidR="00950673" w:rsidRPr="00950673" w:rsidRDefault="00950673" w:rsidP="00950673">
      <w:pPr>
        <w:numPr>
          <w:ilvl w:val="0"/>
          <w:numId w:val="1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How user-friendly is it?</w:t>
      </w:r>
    </w:p>
    <w:p w14:paraId="776C7A98" w14:textId="77777777" w:rsidR="00950673" w:rsidRPr="00950673" w:rsidRDefault="00950673" w:rsidP="00950673">
      <w:pPr>
        <w:numPr>
          <w:ilvl w:val="0"/>
          <w:numId w:val="1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Is it sufficiently comprehensive?</w:t>
      </w:r>
    </w:p>
    <w:p w14:paraId="17A8106F" w14:textId="77777777" w:rsidR="00950673" w:rsidRPr="00950673" w:rsidRDefault="00950673" w:rsidP="00950673">
      <w:pPr>
        <w:numPr>
          <w:ilvl w:val="0"/>
          <w:numId w:val="1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In your view is it likely to be useful to local people?</w:t>
      </w:r>
    </w:p>
    <w:p w14:paraId="258B2581" w14:textId="77777777" w:rsidR="00950673" w:rsidRPr="00950673" w:rsidRDefault="00950673" w:rsidP="00950673">
      <w:pPr>
        <w:numPr>
          <w:ilvl w:val="0"/>
          <w:numId w:val="1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Is there adequate provision for those with particular communication needs (e.g. are translations and large-print versions available)?</w:t>
      </w:r>
    </w:p>
    <w:p w14:paraId="662A7BA9" w14:textId="77777777" w:rsidR="00950673" w:rsidRPr="00950673" w:rsidRDefault="00950673" w:rsidP="00950673">
      <w:pPr>
        <w:numPr>
          <w:ilvl w:val="0"/>
          <w:numId w:val="1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Does it communicate a clear sense of the organization’s values and mission?</w:t>
      </w:r>
    </w:p>
    <w:p w14:paraId="06D6EC46" w14:textId="77777777" w:rsidR="00950673" w:rsidRPr="00950673" w:rsidRDefault="00950673" w:rsidP="00950673">
      <w:pPr>
        <w:numPr>
          <w:ilvl w:val="0"/>
          <w:numId w:val="1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Does it make clear how local people can contact the council with queries and complaints?</w:t>
      </w:r>
    </w:p>
    <w:p w14:paraId="7E32DFCA" w14:textId="77777777" w:rsidR="00950673" w:rsidRPr="00950673" w:rsidRDefault="00950673" w:rsidP="00950673">
      <w:pPr>
        <w:numPr>
          <w:ilvl w:val="0"/>
          <w:numId w:val="1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Is there provision for people to feed back their views to the council easily?</w:t>
      </w:r>
    </w:p>
    <w:p w14:paraId="00C04897" w14:textId="77777777" w:rsidR="00950673" w:rsidRPr="00950673" w:rsidRDefault="00950673" w:rsidP="00950673">
      <w:pPr>
        <w:numPr>
          <w:ilvl w:val="0"/>
          <w:numId w:val="1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Does it invite people to engage more intensively in further participation or co-production activities?</w:t>
      </w:r>
    </w:p>
    <w:p w14:paraId="6BAD743D" w14:textId="77777777" w:rsidR="00950673" w:rsidRPr="00950673" w:rsidRDefault="00950673" w:rsidP="00950673">
      <w:pPr>
        <w:spacing w:before="240" w:after="0" w:line="240" w:lineRule="auto"/>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Draw up an action plan to address the weaknesses that you have identified in the council’s communications approach. Explain your proposals to the other groups.</w:t>
      </w:r>
    </w:p>
    <w:p w14:paraId="78512884" w14:textId="77777777" w:rsidR="00950673" w:rsidRPr="00950673" w:rsidRDefault="00950673" w:rsidP="00950673">
      <w:pPr>
        <w:spacing w:before="480" w:after="240" w:line="468" w:lineRule="atLeast"/>
        <w:outlineLvl w:val="1"/>
        <w:rPr>
          <w:rFonts w:ascii="LinLibertine" w:eastAsia="Times New Roman" w:hAnsi="LinLibertine" w:cs="Times New Roman"/>
          <w:b/>
          <w:bCs/>
          <w:color w:val="000000"/>
          <w:sz w:val="36"/>
          <w:szCs w:val="36"/>
          <w:lang w:eastAsia="en-GB"/>
        </w:rPr>
      </w:pPr>
      <w:r w:rsidRPr="00950673">
        <w:rPr>
          <w:rFonts w:ascii="LinLibertine" w:eastAsia="Times New Roman" w:hAnsi="LinLibertine" w:cs="Times New Roman"/>
          <w:b/>
          <w:bCs/>
          <w:color w:val="000000"/>
          <w:sz w:val="36"/>
          <w:szCs w:val="36"/>
          <w:lang w:eastAsia="en-GB"/>
        </w:rPr>
        <w:t>Further reading</w:t>
      </w:r>
    </w:p>
    <w:p w14:paraId="5C8C4BF5"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Abelson and François-Pierre Gauvin (2006), </w:t>
      </w:r>
      <w:r w:rsidRPr="00950673">
        <w:rPr>
          <w:rFonts w:ascii="LinLibertine" w:eastAsia="Times New Roman" w:hAnsi="LinLibertine" w:cs="Times New Roman"/>
          <w:i/>
          <w:iCs/>
          <w:color w:val="000000"/>
          <w:sz w:val="24"/>
          <w:szCs w:val="24"/>
          <w:lang w:eastAsia="en-GB"/>
        </w:rPr>
        <w:t>Assessing the impacts of public participation: concepts, evidence, and policy implications</w:t>
      </w:r>
      <w:r w:rsidRPr="00950673">
        <w:rPr>
          <w:rFonts w:ascii="LinLibertine" w:eastAsia="Times New Roman" w:hAnsi="LinLibertine" w:cs="Times New Roman"/>
          <w:color w:val="000000"/>
          <w:sz w:val="24"/>
          <w:szCs w:val="24"/>
          <w:lang w:eastAsia="en-GB"/>
        </w:rPr>
        <w:t>. Ottawa: Canadian Policy Research Networks Inc.</w:t>
      </w:r>
    </w:p>
    <w:p w14:paraId="0D4AE786" w14:textId="77777777" w:rsidR="00950673" w:rsidRPr="00950673" w:rsidRDefault="00950673" w:rsidP="00950673">
      <w:pPr>
        <w:spacing w:after="0" w:line="240" w:lineRule="auto"/>
        <w:ind w:left="360" w:hanging="360"/>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Rhys Andrews, Richard Cowell, James </w:t>
      </w:r>
      <w:proofErr w:type="spellStart"/>
      <w:r w:rsidRPr="00950673">
        <w:rPr>
          <w:rFonts w:ascii="LinLibertine" w:eastAsia="Times New Roman" w:hAnsi="LinLibertine" w:cs="Times New Roman"/>
          <w:color w:val="000000"/>
          <w:sz w:val="24"/>
          <w:szCs w:val="24"/>
          <w:lang w:eastAsia="en-GB"/>
        </w:rPr>
        <w:t>Downe</w:t>
      </w:r>
      <w:proofErr w:type="spellEnd"/>
      <w:r w:rsidRPr="00950673">
        <w:rPr>
          <w:rFonts w:ascii="LinLibertine" w:eastAsia="Times New Roman" w:hAnsi="LinLibertine" w:cs="Times New Roman"/>
          <w:color w:val="000000"/>
          <w:sz w:val="24"/>
          <w:szCs w:val="24"/>
          <w:lang w:eastAsia="en-GB"/>
        </w:rPr>
        <w:t>, Steve Martin and David Turner (2006), </w:t>
      </w:r>
      <w:r w:rsidRPr="00950673">
        <w:rPr>
          <w:rFonts w:ascii="LinLibertine" w:eastAsia="Times New Roman" w:hAnsi="LinLibertine" w:cs="Times New Roman"/>
          <w:i/>
          <w:iCs/>
          <w:color w:val="000000"/>
          <w:sz w:val="24"/>
          <w:szCs w:val="24"/>
          <w:lang w:eastAsia="en-GB"/>
        </w:rPr>
        <w:t>Promoting effective citizenship and community empowerment</w:t>
      </w:r>
      <w:r w:rsidRPr="00950673">
        <w:rPr>
          <w:rFonts w:ascii="LinLibertine" w:eastAsia="Times New Roman" w:hAnsi="LinLibertine" w:cs="Times New Roman"/>
          <w:color w:val="000000"/>
          <w:sz w:val="24"/>
          <w:szCs w:val="24"/>
          <w:lang w:eastAsia="en-GB"/>
        </w:rPr>
        <w:t>. London: Office of the Deputy Prime Minister, </w:t>
      </w:r>
      <w:hyperlink r:id="rId41" w:history="1">
        <w:r w:rsidRPr="00950673">
          <w:rPr>
            <w:rFonts w:ascii="LinLibertine" w:eastAsia="Times New Roman" w:hAnsi="LinLibertine" w:cs="Times New Roman"/>
            <w:color w:val="0000FF"/>
            <w:sz w:val="24"/>
            <w:szCs w:val="24"/>
            <w:u w:val="single"/>
            <w:lang w:eastAsia="en-GB"/>
          </w:rPr>
          <w:t>www.communities.gov.uk/documents/communities/pdf/143519.pdf</w:t>
        </w:r>
      </w:hyperlink>
      <w:r w:rsidRPr="00950673">
        <w:rPr>
          <w:rFonts w:ascii="LinLibertine" w:eastAsia="Times New Roman" w:hAnsi="LinLibertine" w:cs="Times New Roman"/>
          <w:color w:val="000000"/>
          <w:sz w:val="24"/>
          <w:szCs w:val="24"/>
          <w:lang w:eastAsia="en-GB"/>
        </w:rPr>
        <w:t> (accessed on 16 May 2008).</w:t>
      </w:r>
    </w:p>
    <w:p w14:paraId="0DA0BA47" w14:textId="77777777" w:rsidR="00950673" w:rsidRPr="00950673" w:rsidRDefault="00950673" w:rsidP="00950673">
      <w:pPr>
        <w:spacing w:before="480" w:after="240" w:line="468" w:lineRule="atLeast"/>
        <w:outlineLvl w:val="1"/>
        <w:rPr>
          <w:rFonts w:ascii="LinLibertine" w:eastAsia="Times New Roman" w:hAnsi="LinLibertine" w:cs="Times New Roman"/>
          <w:b/>
          <w:bCs/>
          <w:color w:val="000000"/>
          <w:sz w:val="36"/>
          <w:szCs w:val="36"/>
          <w:lang w:eastAsia="en-GB"/>
        </w:rPr>
      </w:pPr>
      <w:r w:rsidRPr="00950673">
        <w:rPr>
          <w:rFonts w:ascii="LinLibertine" w:eastAsia="Times New Roman" w:hAnsi="LinLibertine" w:cs="Times New Roman"/>
          <w:b/>
          <w:bCs/>
          <w:color w:val="000000"/>
          <w:sz w:val="36"/>
          <w:szCs w:val="36"/>
          <w:lang w:eastAsia="en-GB"/>
        </w:rPr>
        <w:lastRenderedPageBreak/>
        <w:t>References</w:t>
      </w:r>
    </w:p>
    <w:p w14:paraId="6A16EAEA"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Julia Abelson and François-Pierre Gauvin (2006), </w:t>
      </w:r>
      <w:r w:rsidRPr="00950673">
        <w:rPr>
          <w:rFonts w:ascii="LinLibertine" w:eastAsia="Times New Roman" w:hAnsi="LinLibertine" w:cs="Times New Roman"/>
          <w:i/>
          <w:iCs/>
          <w:color w:val="000000"/>
          <w:sz w:val="24"/>
          <w:szCs w:val="24"/>
          <w:lang w:eastAsia="en-GB"/>
        </w:rPr>
        <w:t>Assessing the impacts of public participation: concepts, evidence, and policy implications</w:t>
      </w:r>
      <w:r w:rsidRPr="00950673">
        <w:rPr>
          <w:rFonts w:ascii="LinLibertine" w:eastAsia="Times New Roman" w:hAnsi="LinLibertine" w:cs="Times New Roman"/>
          <w:color w:val="000000"/>
          <w:sz w:val="24"/>
          <w:szCs w:val="24"/>
          <w:lang w:eastAsia="en-GB"/>
        </w:rPr>
        <w:t>. Ottawa: Canadian Policy Research Networks Inc.</w:t>
      </w:r>
    </w:p>
    <w:p w14:paraId="0C3F0AE6"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Sherry </w:t>
      </w:r>
      <w:proofErr w:type="spellStart"/>
      <w:r w:rsidRPr="00950673">
        <w:rPr>
          <w:rFonts w:ascii="LinLibertine" w:eastAsia="Times New Roman" w:hAnsi="LinLibertine" w:cs="Times New Roman"/>
          <w:color w:val="000000"/>
          <w:sz w:val="24"/>
          <w:szCs w:val="24"/>
          <w:lang w:eastAsia="en-GB"/>
        </w:rPr>
        <w:t>Arnstein</w:t>
      </w:r>
      <w:proofErr w:type="spellEnd"/>
      <w:r w:rsidRPr="00950673">
        <w:rPr>
          <w:rFonts w:ascii="LinLibertine" w:eastAsia="Times New Roman" w:hAnsi="LinLibertine" w:cs="Times New Roman"/>
          <w:color w:val="000000"/>
          <w:sz w:val="24"/>
          <w:szCs w:val="24"/>
          <w:lang w:eastAsia="en-GB"/>
        </w:rPr>
        <w:t xml:space="preserve"> (1969), ‘The ladder of citizen participation’, </w:t>
      </w:r>
      <w:r w:rsidRPr="00950673">
        <w:rPr>
          <w:rFonts w:ascii="LinLibertine" w:eastAsia="Times New Roman" w:hAnsi="LinLibertine" w:cs="Times New Roman"/>
          <w:i/>
          <w:iCs/>
          <w:color w:val="000000"/>
          <w:sz w:val="24"/>
          <w:szCs w:val="24"/>
          <w:lang w:eastAsia="en-GB"/>
        </w:rPr>
        <w:t>Journal of the American Institute of Planners</w:t>
      </w:r>
      <w:r w:rsidRPr="00950673">
        <w:rPr>
          <w:rFonts w:ascii="LinLibertine" w:eastAsia="Times New Roman" w:hAnsi="LinLibertine" w:cs="Times New Roman"/>
          <w:color w:val="000000"/>
          <w:sz w:val="24"/>
          <w:szCs w:val="24"/>
          <w:lang w:eastAsia="en-GB"/>
        </w:rPr>
        <w:t>, 35 (4): 216–224.</w:t>
      </w:r>
    </w:p>
    <w:p w14:paraId="6991BEA4" w14:textId="77777777" w:rsidR="00950673" w:rsidRPr="00950673" w:rsidRDefault="00950673" w:rsidP="00950673">
      <w:pPr>
        <w:spacing w:after="0" w:line="240" w:lineRule="auto"/>
        <w:ind w:left="360" w:hanging="360"/>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Alexandra Albert and Eleanor Passmore (2008), </w:t>
      </w:r>
      <w:r w:rsidRPr="00950673">
        <w:rPr>
          <w:rFonts w:ascii="LinLibertine" w:eastAsia="Times New Roman" w:hAnsi="LinLibertine" w:cs="Times New Roman"/>
          <w:i/>
          <w:iCs/>
          <w:color w:val="000000"/>
          <w:sz w:val="24"/>
          <w:szCs w:val="24"/>
          <w:lang w:eastAsia="en-GB"/>
        </w:rPr>
        <w:t>Public value and participation. A literature review for Scottish Government</w:t>
      </w:r>
      <w:r w:rsidRPr="00950673">
        <w:rPr>
          <w:rFonts w:ascii="LinLibertine" w:eastAsia="Times New Roman" w:hAnsi="LinLibertine" w:cs="Times New Roman"/>
          <w:color w:val="000000"/>
          <w:sz w:val="24"/>
          <w:szCs w:val="24"/>
          <w:lang w:eastAsia="en-GB"/>
        </w:rPr>
        <w:t>. Edinburgh: Scottish Government Social Research, </w:t>
      </w:r>
      <w:hyperlink r:id="rId42" w:history="1">
        <w:r w:rsidRPr="00950673">
          <w:rPr>
            <w:rFonts w:ascii="LinLibertine" w:eastAsia="Times New Roman" w:hAnsi="LinLibertine" w:cs="Times New Roman"/>
            <w:color w:val="0000FF"/>
            <w:sz w:val="24"/>
            <w:szCs w:val="24"/>
            <w:u w:val="single"/>
            <w:lang w:eastAsia="en-GB"/>
          </w:rPr>
          <w:t>www.scotland.gov.uk/resource/doc/216076/0057753.pdf</w:t>
        </w:r>
      </w:hyperlink>
      <w:r w:rsidRPr="00950673">
        <w:rPr>
          <w:rFonts w:ascii="LinLibertine" w:eastAsia="Times New Roman" w:hAnsi="LinLibertine" w:cs="Times New Roman"/>
          <w:color w:val="000000"/>
          <w:sz w:val="24"/>
          <w:szCs w:val="24"/>
          <w:lang w:eastAsia="en-GB"/>
        </w:rPr>
        <w:t> (accessed on 21 January 2015).</w:t>
      </w:r>
    </w:p>
    <w:p w14:paraId="174B9669"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Tony Bovaird (2012), ‘Community rights to challenge and take over services and to buy public assets’, in J.W. Raine C. Staite (eds), </w:t>
      </w:r>
      <w:r w:rsidRPr="00950673">
        <w:rPr>
          <w:rFonts w:ascii="LinLibertine" w:eastAsia="Times New Roman" w:hAnsi="LinLibertine" w:cs="Times New Roman"/>
          <w:i/>
          <w:iCs/>
          <w:color w:val="000000"/>
          <w:sz w:val="24"/>
          <w:szCs w:val="24"/>
          <w:lang w:eastAsia="en-GB"/>
        </w:rPr>
        <w:t>The world is your oyster? Perspectives from INLOGOV on the Localism Bill</w:t>
      </w:r>
      <w:r w:rsidRPr="00950673">
        <w:rPr>
          <w:rFonts w:ascii="LinLibertine" w:eastAsia="Times New Roman" w:hAnsi="LinLibertine" w:cs="Times New Roman"/>
          <w:color w:val="000000"/>
          <w:sz w:val="24"/>
          <w:szCs w:val="24"/>
          <w:lang w:eastAsia="en-GB"/>
        </w:rPr>
        <w:t xml:space="preserve"> (2nd </w:t>
      </w:r>
      <w:proofErr w:type="spellStart"/>
      <w:r w:rsidRPr="00950673">
        <w:rPr>
          <w:rFonts w:ascii="LinLibertine" w:eastAsia="Times New Roman" w:hAnsi="LinLibertine" w:cs="Times New Roman"/>
          <w:color w:val="000000"/>
          <w:sz w:val="24"/>
          <w:szCs w:val="24"/>
          <w:lang w:eastAsia="en-GB"/>
        </w:rPr>
        <w:t>edn</w:t>
      </w:r>
      <w:proofErr w:type="spellEnd"/>
      <w:r w:rsidRPr="00950673">
        <w:rPr>
          <w:rFonts w:ascii="LinLibertine" w:eastAsia="Times New Roman" w:hAnsi="LinLibertine" w:cs="Times New Roman"/>
          <w:color w:val="000000"/>
          <w:sz w:val="24"/>
          <w:szCs w:val="24"/>
          <w:lang w:eastAsia="en-GB"/>
        </w:rPr>
        <w:t>). Birmingham: INLOGOV.</w:t>
      </w:r>
    </w:p>
    <w:p w14:paraId="49D60526"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Stephen Coleman and John </w:t>
      </w:r>
      <w:proofErr w:type="spellStart"/>
      <w:r w:rsidRPr="00950673">
        <w:rPr>
          <w:rFonts w:ascii="LinLibertine" w:eastAsia="Times New Roman" w:hAnsi="LinLibertine" w:cs="Times New Roman"/>
          <w:color w:val="000000"/>
          <w:sz w:val="24"/>
          <w:szCs w:val="24"/>
          <w:lang w:eastAsia="en-GB"/>
        </w:rPr>
        <w:t>G⊘tze</w:t>
      </w:r>
      <w:proofErr w:type="spellEnd"/>
      <w:r w:rsidRPr="00950673">
        <w:rPr>
          <w:rFonts w:ascii="LinLibertine" w:eastAsia="Times New Roman" w:hAnsi="LinLibertine" w:cs="Times New Roman"/>
          <w:color w:val="000000"/>
          <w:sz w:val="24"/>
          <w:szCs w:val="24"/>
          <w:lang w:eastAsia="en-GB"/>
        </w:rPr>
        <w:t xml:space="preserve"> (2001), </w:t>
      </w:r>
      <w:r w:rsidRPr="00950673">
        <w:rPr>
          <w:rFonts w:ascii="LinLibertine" w:eastAsia="Times New Roman" w:hAnsi="LinLibertine" w:cs="Times New Roman"/>
          <w:i/>
          <w:iCs/>
          <w:color w:val="000000"/>
          <w:sz w:val="24"/>
          <w:szCs w:val="24"/>
          <w:lang w:eastAsia="en-GB"/>
        </w:rPr>
        <w:t>Bowling together: online public engagement in policy deliberation</w:t>
      </w:r>
      <w:r w:rsidRPr="00950673">
        <w:rPr>
          <w:rFonts w:ascii="LinLibertine" w:eastAsia="Times New Roman" w:hAnsi="LinLibertine" w:cs="Times New Roman"/>
          <w:color w:val="000000"/>
          <w:sz w:val="24"/>
          <w:szCs w:val="24"/>
          <w:lang w:eastAsia="en-GB"/>
        </w:rPr>
        <w:t>. London: Hansard Society.</w:t>
      </w:r>
    </w:p>
    <w:p w14:paraId="329055D4" w14:textId="77777777" w:rsidR="00950673" w:rsidRPr="00950673" w:rsidRDefault="00950673" w:rsidP="00950673">
      <w:pPr>
        <w:spacing w:after="0" w:line="240" w:lineRule="auto"/>
        <w:ind w:left="360" w:hanging="360"/>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Consultation Institute (2012), </w:t>
      </w:r>
      <w:r w:rsidRPr="00950673">
        <w:rPr>
          <w:rFonts w:ascii="LinLibertine" w:eastAsia="Times New Roman" w:hAnsi="LinLibertine" w:cs="Times New Roman"/>
          <w:i/>
          <w:iCs/>
          <w:color w:val="000000"/>
          <w:sz w:val="24"/>
          <w:szCs w:val="24"/>
          <w:lang w:eastAsia="en-GB"/>
        </w:rPr>
        <w:t>The current state of public consultation in the public sector: survey results</w:t>
      </w:r>
      <w:r w:rsidRPr="00950673">
        <w:rPr>
          <w:rFonts w:ascii="LinLibertine" w:eastAsia="Times New Roman" w:hAnsi="LinLibertine" w:cs="Times New Roman"/>
          <w:color w:val="000000"/>
          <w:sz w:val="24"/>
          <w:szCs w:val="24"/>
          <w:lang w:eastAsia="en-GB"/>
        </w:rPr>
        <w:t>. Consultation Institute, </w:t>
      </w:r>
      <w:hyperlink r:id="rId43" w:history="1">
        <w:r w:rsidRPr="00950673">
          <w:rPr>
            <w:rFonts w:ascii="LinLibertine" w:eastAsia="Times New Roman" w:hAnsi="LinLibertine" w:cs="Times New Roman"/>
            <w:color w:val="0000FF"/>
            <w:sz w:val="24"/>
            <w:szCs w:val="24"/>
            <w:u w:val="single"/>
            <w:lang w:eastAsia="en-GB"/>
          </w:rPr>
          <w:t>www.communityresearch.co.uk/resources/assets/files/The_Public_Sector_Survey_Report_April_2012.pdf</w:t>
        </w:r>
      </w:hyperlink>
      <w:r w:rsidRPr="00950673">
        <w:rPr>
          <w:rFonts w:ascii="LinLibertine" w:eastAsia="Times New Roman" w:hAnsi="LinLibertine" w:cs="Times New Roman"/>
          <w:color w:val="000000"/>
          <w:sz w:val="24"/>
          <w:szCs w:val="24"/>
          <w:lang w:eastAsia="en-GB"/>
        </w:rPr>
        <w:t>.</w:t>
      </w:r>
    </w:p>
    <w:p w14:paraId="66396361"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Bill Cooke and Uma Kothari (2001), </w:t>
      </w:r>
      <w:r w:rsidRPr="00950673">
        <w:rPr>
          <w:rFonts w:ascii="LinLibertine" w:eastAsia="Times New Roman" w:hAnsi="LinLibertine" w:cs="Times New Roman"/>
          <w:i/>
          <w:iCs/>
          <w:color w:val="000000"/>
          <w:sz w:val="24"/>
          <w:szCs w:val="24"/>
          <w:lang w:eastAsia="en-GB"/>
        </w:rPr>
        <w:t>Participation: the new tyranny</w:t>
      </w:r>
      <w:r w:rsidRPr="00950673">
        <w:rPr>
          <w:rFonts w:ascii="LinLibertine" w:eastAsia="Times New Roman" w:hAnsi="LinLibertine" w:cs="Times New Roman"/>
          <w:color w:val="000000"/>
          <w:sz w:val="24"/>
          <w:szCs w:val="24"/>
          <w:lang w:eastAsia="en-GB"/>
        </w:rPr>
        <w:t>. London: Zed Books.</w:t>
      </w:r>
    </w:p>
    <w:p w14:paraId="42A67760"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Angela Coulter and Jo </w:t>
      </w:r>
      <w:proofErr w:type="spellStart"/>
      <w:r w:rsidRPr="00950673">
        <w:rPr>
          <w:rFonts w:ascii="LinLibertine" w:eastAsia="Times New Roman" w:hAnsi="LinLibertine" w:cs="Times New Roman"/>
          <w:color w:val="000000"/>
          <w:sz w:val="24"/>
          <w:szCs w:val="24"/>
          <w:lang w:eastAsia="en-GB"/>
        </w:rPr>
        <w:t>Ellins</w:t>
      </w:r>
      <w:proofErr w:type="spellEnd"/>
      <w:r w:rsidRPr="00950673">
        <w:rPr>
          <w:rFonts w:ascii="LinLibertine" w:eastAsia="Times New Roman" w:hAnsi="LinLibertine" w:cs="Times New Roman"/>
          <w:color w:val="000000"/>
          <w:sz w:val="24"/>
          <w:szCs w:val="24"/>
          <w:lang w:eastAsia="en-GB"/>
        </w:rPr>
        <w:t xml:space="preserve"> (2006), </w:t>
      </w:r>
      <w:r w:rsidRPr="00950673">
        <w:rPr>
          <w:rFonts w:ascii="LinLibertine" w:eastAsia="Times New Roman" w:hAnsi="LinLibertine" w:cs="Times New Roman"/>
          <w:i/>
          <w:iCs/>
          <w:color w:val="000000"/>
          <w:sz w:val="24"/>
          <w:szCs w:val="24"/>
          <w:lang w:eastAsia="en-GB"/>
        </w:rPr>
        <w:t>Patient-focused interventions: a review of the evidence</w:t>
      </w:r>
      <w:r w:rsidRPr="00950673">
        <w:rPr>
          <w:rFonts w:ascii="LinLibertine" w:eastAsia="Times New Roman" w:hAnsi="LinLibertine" w:cs="Times New Roman"/>
          <w:color w:val="000000"/>
          <w:sz w:val="24"/>
          <w:szCs w:val="24"/>
          <w:lang w:eastAsia="en-GB"/>
        </w:rPr>
        <w:t>. London: Health Foundation.</w:t>
      </w:r>
    </w:p>
    <w:p w14:paraId="073E7060"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John </w:t>
      </w:r>
      <w:proofErr w:type="spellStart"/>
      <w:r w:rsidRPr="00950673">
        <w:rPr>
          <w:rFonts w:ascii="LinLibertine" w:eastAsia="Times New Roman" w:hAnsi="LinLibertine" w:cs="Times New Roman"/>
          <w:color w:val="000000"/>
          <w:sz w:val="24"/>
          <w:szCs w:val="24"/>
          <w:lang w:eastAsia="en-GB"/>
        </w:rPr>
        <w:t>Gaventa</w:t>
      </w:r>
      <w:proofErr w:type="spellEnd"/>
      <w:r w:rsidRPr="00950673">
        <w:rPr>
          <w:rFonts w:ascii="LinLibertine" w:eastAsia="Times New Roman" w:hAnsi="LinLibertine" w:cs="Times New Roman"/>
          <w:color w:val="000000"/>
          <w:sz w:val="24"/>
          <w:szCs w:val="24"/>
          <w:lang w:eastAsia="en-GB"/>
        </w:rPr>
        <w:t xml:space="preserve"> and Gregory Barrett (2010), </w:t>
      </w:r>
      <w:r w:rsidRPr="00950673">
        <w:rPr>
          <w:rFonts w:ascii="LinLibertine" w:eastAsia="Times New Roman" w:hAnsi="LinLibertine" w:cs="Times New Roman"/>
          <w:i/>
          <w:iCs/>
          <w:color w:val="000000"/>
          <w:sz w:val="24"/>
          <w:szCs w:val="24"/>
          <w:lang w:eastAsia="en-GB"/>
        </w:rPr>
        <w:t>So what difference does it make? Mapping the outcomes of citizen engagement</w:t>
      </w:r>
      <w:r w:rsidRPr="00950673">
        <w:rPr>
          <w:rFonts w:ascii="LinLibertine" w:eastAsia="Times New Roman" w:hAnsi="LinLibertine" w:cs="Times New Roman"/>
          <w:color w:val="000000"/>
          <w:sz w:val="24"/>
          <w:szCs w:val="24"/>
          <w:lang w:eastAsia="en-GB"/>
        </w:rPr>
        <w:t>, IDS Working Paper 347. Brighton: Institute of Development Studies.</w:t>
      </w:r>
    </w:p>
    <w:p w14:paraId="0169C5D5"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proofErr w:type="spellStart"/>
      <w:r w:rsidRPr="00950673">
        <w:rPr>
          <w:rFonts w:ascii="LinLibertine" w:eastAsia="Times New Roman" w:hAnsi="LinLibertine" w:cs="Times New Roman"/>
          <w:color w:val="000000"/>
          <w:sz w:val="24"/>
          <w:szCs w:val="24"/>
          <w:lang w:eastAsia="en-GB"/>
        </w:rPr>
        <w:t>Rhion</w:t>
      </w:r>
      <w:proofErr w:type="spellEnd"/>
      <w:r w:rsidRPr="00950673">
        <w:rPr>
          <w:rFonts w:ascii="LinLibertine" w:eastAsia="Times New Roman" w:hAnsi="LinLibertine" w:cs="Times New Roman"/>
          <w:color w:val="000000"/>
          <w:sz w:val="24"/>
          <w:szCs w:val="24"/>
          <w:lang w:eastAsia="en-GB"/>
        </w:rPr>
        <w:t xml:space="preserve"> Jones and Elizabeth </w:t>
      </w:r>
      <w:proofErr w:type="spellStart"/>
      <w:r w:rsidRPr="00950673">
        <w:rPr>
          <w:rFonts w:ascii="LinLibertine" w:eastAsia="Times New Roman" w:hAnsi="LinLibertine" w:cs="Times New Roman"/>
          <w:color w:val="000000"/>
          <w:sz w:val="24"/>
          <w:szCs w:val="24"/>
          <w:lang w:eastAsia="en-GB"/>
        </w:rPr>
        <w:t>Gammel</w:t>
      </w:r>
      <w:proofErr w:type="spellEnd"/>
      <w:r w:rsidRPr="00950673">
        <w:rPr>
          <w:rFonts w:ascii="LinLibertine" w:eastAsia="Times New Roman" w:hAnsi="LinLibertine" w:cs="Times New Roman"/>
          <w:color w:val="000000"/>
          <w:sz w:val="24"/>
          <w:szCs w:val="24"/>
          <w:lang w:eastAsia="en-GB"/>
        </w:rPr>
        <w:t xml:space="preserve"> (2009), </w:t>
      </w:r>
      <w:r w:rsidRPr="00950673">
        <w:rPr>
          <w:rFonts w:ascii="LinLibertine" w:eastAsia="Times New Roman" w:hAnsi="LinLibertine" w:cs="Times New Roman"/>
          <w:i/>
          <w:iCs/>
          <w:color w:val="000000"/>
          <w:sz w:val="24"/>
          <w:szCs w:val="24"/>
          <w:lang w:eastAsia="en-GB"/>
        </w:rPr>
        <w:t>The art of consultation. Public dialogues in a noisy world</w:t>
      </w:r>
      <w:r w:rsidRPr="00950673">
        <w:rPr>
          <w:rFonts w:ascii="LinLibertine" w:eastAsia="Times New Roman" w:hAnsi="LinLibertine" w:cs="Times New Roman"/>
          <w:color w:val="000000"/>
          <w:sz w:val="24"/>
          <w:szCs w:val="24"/>
          <w:lang w:eastAsia="en-GB"/>
        </w:rPr>
        <w:t xml:space="preserve">. London: </w:t>
      </w:r>
      <w:proofErr w:type="spellStart"/>
      <w:r w:rsidRPr="00950673">
        <w:rPr>
          <w:rFonts w:ascii="LinLibertine" w:eastAsia="Times New Roman" w:hAnsi="LinLibertine" w:cs="Times New Roman"/>
          <w:color w:val="000000"/>
          <w:sz w:val="24"/>
          <w:szCs w:val="24"/>
          <w:lang w:eastAsia="en-GB"/>
        </w:rPr>
        <w:t>Biteback</w:t>
      </w:r>
      <w:proofErr w:type="spellEnd"/>
      <w:r w:rsidRPr="00950673">
        <w:rPr>
          <w:rFonts w:ascii="LinLibertine" w:eastAsia="Times New Roman" w:hAnsi="LinLibertine" w:cs="Times New Roman"/>
          <w:color w:val="000000"/>
          <w:sz w:val="24"/>
          <w:szCs w:val="24"/>
          <w:lang w:eastAsia="en-GB"/>
        </w:rPr>
        <w:t xml:space="preserve"> Publishing.</w:t>
      </w:r>
    </w:p>
    <w:p w14:paraId="51D71D46"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Steve Martin and Annette Boaz (2000), ‘Public participation and citizen-centred local government: lessons from the Best Value and Better Government for Older People pilot programmes’, </w:t>
      </w:r>
      <w:r w:rsidRPr="00950673">
        <w:rPr>
          <w:rFonts w:ascii="LinLibertine" w:eastAsia="Times New Roman" w:hAnsi="LinLibertine" w:cs="Times New Roman"/>
          <w:i/>
          <w:iCs/>
          <w:color w:val="000000"/>
          <w:sz w:val="24"/>
          <w:szCs w:val="24"/>
          <w:lang w:eastAsia="en-GB"/>
        </w:rPr>
        <w:t>Public Money and Management</w:t>
      </w:r>
      <w:r w:rsidRPr="00950673">
        <w:rPr>
          <w:rFonts w:ascii="LinLibertine" w:eastAsia="Times New Roman" w:hAnsi="LinLibertine" w:cs="Times New Roman"/>
          <w:color w:val="000000"/>
          <w:sz w:val="24"/>
          <w:szCs w:val="24"/>
          <w:lang w:eastAsia="en-GB"/>
        </w:rPr>
        <w:t>, 20 (2): 47–54.</w:t>
      </w:r>
    </w:p>
    <w:p w14:paraId="448AD64E"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Steve Martin, Howard Davis, Tony </w:t>
      </w:r>
      <w:proofErr w:type="spellStart"/>
      <w:r w:rsidRPr="00950673">
        <w:rPr>
          <w:rFonts w:ascii="LinLibertine" w:eastAsia="Times New Roman" w:hAnsi="LinLibertine" w:cs="Times New Roman"/>
          <w:color w:val="000000"/>
          <w:sz w:val="24"/>
          <w:szCs w:val="24"/>
          <w:lang w:eastAsia="en-GB"/>
        </w:rPr>
        <w:t>Bovaird</w:t>
      </w:r>
      <w:proofErr w:type="spellEnd"/>
      <w:r w:rsidRPr="00950673">
        <w:rPr>
          <w:rFonts w:ascii="LinLibertine" w:eastAsia="Times New Roman" w:hAnsi="LinLibertine" w:cs="Times New Roman"/>
          <w:color w:val="000000"/>
          <w:sz w:val="24"/>
          <w:szCs w:val="24"/>
          <w:lang w:eastAsia="en-GB"/>
        </w:rPr>
        <w:t xml:space="preserve">, James </w:t>
      </w:r>
      <w:proofErr w:type="spellStart"/>
      <w:r w:rsidRPr="00950673">
        <w:rPr>
          <w:rFonts w:ascii="LinLibertine" w:eastAsia="Times New Roman" w:hAnsi="LinLibertine" w:cs="Times New Roman"/>
          <w:color w:val="000000"/>
          <w:sz w:val="24"/>
          <w:szCs w:val="24"/>
          <w:lang w:eastAsia="en-GB"/>
        </w:rPr>
        <w:t>Downe</w:t>
      </w:r>
      <w:proofErr w:type="spellEnd"/>
      <w:r w:rsidRPr="00950673">
        <w:rPr>
          <w:rFonts w:ascii="LinLibertine" w:eastAsia="Times New Roman" w:hAnsi="LinLibertine" w:cs="Times New Roman"/>
          <w:color w:val="000000"/>
          <w:sz w:val="24"/>
          <w:szCs w:val="24"/>
          <w:lang w:eastAsia="en-GB"/>
        </w:rPr>
        <w:t xml:space="preserve">, Mike Geddes, Jean Hartley, Michael Lewis, Ian Sanderson and Phil </w:t>
      </w:r>
      <w:proofErr w:type="spellStart"/>
      <w:r w:rsidRPr="00950673">
        <w:rPr>
          <w:rFonts w:ascii="LinLibertine" w:eastAsia="Times New Roman" w:hAnsi="LinLibertine" w:cs="Times New Roman"/>
          <w:color w:val="000000"/>
          <w:sz w:val="24"/>
          <w:szCs w:val="24"/>
          <w:lang w:eastAsia="en-GB"/>
        </w:rPr>
        <w:t>Sapwell</w:t>
      </w:r>
      <w:proofErr w:type="spellEnd"/>
      <w:r w:rsidRPr="00950673">
        <w:rPr>
          <w:rFonts w:ascii="LinLibertine" w:eastAsia="Times New Roman" w:hAnsi="LinLibertine" w:cs="Times New Roman"/>
          <w:color w:val="000000"/>
          <w:sz w:val="24"/>
          <w:szCs w:val="24"/>
          <w:lang w:eastAsia="en-GB"/>
        </w:rPr>
        <w:t xml:space="preserve"> (2001), </w:t>
      </w:r>
      <w:r w:rsidRPr="00950673">
        <w:rPr>
          <w:rFonts w:ascii="LinLibertine" w:eastAsia="Times New Roman" w:hAnsi="LinLibertine" w:cs="Times New Roman"/>
          <w:i/>
          <w:iCs/>
          <w:color w:val="000000"/>
          <w:sz w:val="24"/>
          <w:szCs w:val="24"/>
          <w:lang w:eastAsia="en-GB"/>
        </w:rPr>
        <w:t>Improving local public services: final evaluation of the Best Value pilot programme</w:t>
      </w:r>
      <w:r w:rsidRPr="00950673">
        <w:rPr>
          <w:rFonts w:ascii="LinLibertine" w:eastAsia="Times New Roman" w:hAnsi="LinLibertine" w:cs="Times New Roman"/>
          <w:color w:val="000000"/>
          <w:sz w:val="24"/>
          <w:szCs w:val="24"/>
          <w:lang w:eastAsia="en-GB"/>
        </w:rPr>
        <w:t>. London: Stationery Office.</w:t>
      </w:r>
    </w:p>
    <w:p w14:paraId="1D4C4568"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George H. </w:t>
      </w:r>
      <w:proofErr w:type="spellStart"/>
      <w:r w:rsidRPr="00950673">
        <w:rPr>
          <w:rFonts w:ascii="LinLibertine" w:eastAsia="Times New Roman" w:hAnsi="LinLibertine" w:cs="Times New Roman"/>
          <w:color w:val="000000"/>
          <w:sz w:val="24"/>
          <w:szCs w:val="24"/>
          <w:lang w:eastAsia="en-GB"/>
        </w:rPr>
        <w:t>Noell</w:t>
      </w:r>
      <w:proofErr w:type="spellEnd"/>
      <w:r w:rsidRPr="00950673">
        <w:rPr>
          <w:rFonts w:ascii="LinLibertine" w:eastAsia="Times New Roman" w:hAnsi="LinLibertine" w:cs="Times New Roman"/>
          <w:color w:val="000000"/>
          <w:sz w:val="24"/>
          <w:szCs w:val="24"/>
          <w:lang w:eastAsia="en-GB"/>
        </w:rPr>
        <w:t xml:space="preserve"> and Joseph C. Witt (1999), ‘When does consultation lead to intervention implementation? Critical issues for research and practice’, </w:t>
      </w:r>
      <w:r w:rsidRPr="00950673">
        <w:rPr>
          <w:rFonts w:ascii="LinLibertine" w:eastAsia="Times New Roman" w:hAnsi="LinLibertine" w:cs="Times New Roman"/>
          <w:i/>
          <w:iCs/>
          <w:color w:val="000000"/>
          <w:sz w:val="24"/>
          <w:szCs w:val="24"/>
          <w:lang w:eastAsia="en-GB"/>
        </w:rPr>
        <w:t>Journal of Special Education</w:t>
      </w:r>
      <w:r w:rsidRPr="00950673">
        <w:rPr>
          <w:rFonts w:ascii="LinLibertine" w:eastAsia="Times New Roman" w:hAnsi="LinLibertine" w:cs="Times New Roman"/>
          <w:color w:val="000000"/>
          <w:sz w:val="24"/>
          <w:szCs w:val="24"/>
          <w:lang w:eastAsia="en-GB"/>
        </w:rPr>
        <w:t>, 33 (1): 29–35.</w:t>
      </w:r>
    </w:p>
    <w:p w14:paraId="120F5CCF" w14:textId="77777777" w:rsidR="00950673" w:rsidRPr="00950673" w:rsidRDefault="00950673" w:rsidP="00950673">
      <w:pPr>
        <w:spacing w:after="0" w:line="240" w:lineRule="auto"/>
        <w:ind w:left="360" w:hanging="360"/>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OECD (2001), </w:t>
      </w:r>
      <w:r w:rsidRPr="00950673">
        <w:rPr>
          <w:rFonts w:ascii="LinLibertine" w:eastAsia="Times New Roman" w:hAnsi="LinLibertine" w:cs="Times New Roman"/>
          <w:i/>
          <w:iCs/>
          <w:color w:val="000000"/>
          <w:sz w:val="24"/>
          <w:szCs w:val="24"/>
          <w:lang w:eastAsia="en-GB"/>
        </w:rPr>
        <w:t>Citizens as partners: OECD handbook on information, consultation and public participation in policy-making</w:t>
      </w:r>
      <w:r w:rsidRPr="00950673">
        <w:rPr>
          <w:rFonts w:ascii="LinLibertine" w:eastAsia="Times New Roman" w:hAnsi="LinLibertine" w:cs="Times New Roman"/>
          <w:color w:val="000000"/>
          <w:sz w:val="24"/>
          <w:szCs w:val="24"/>
          <w:lang w:eastAsia="en-GB"/>
        </w:rPr>
        <w:t>. Paris: OECD, </w:t>
      </w:r>
      <w:hyperlink r:id="rId44" w:history="1">
        <w:r w:rsidRPr="00950673">
          <w:rPr>
            <w:rFonts w:ascii="LinLibertine" w:eastAsia="Times New Roman" w:hAnsi="LinLibertine" w:cs="Times New Roman"/>
            <w:color w:val="0000FF"/>
            <w:sz w:val="24"/>
            <w:szCs w:val="24"/>
            <w:u w:val="single"/>
            <w:lang w:eastAsia="en-GB"/>
          </w:rPr>
          <w:t>www.partnershipsforwater.net/psp/tc/TC_Tools/022T_Citizens%20as%20Partners.pdf</w:t>
        </w:r>
      </w:hyperlink>
      <w:r w:rsidRPr="00950673">
        <w:rPr>
          <w:rFonts w:ascii="LinLibertine" w:eastAsia="Times New Roman" w:hAnsi="LinLibertine" w:cs="Times New Roman"/>
          <w:color w:val="000000"/>
          <w:sz w:val="24"/>
          <w:szCs w:val="24"/>
          <w:lang w:eastAsia="en-GB"/>
        </w:rPr>
        <w:t> (accessed on 16 May 2008).</w:t>
      </w:r>
    </w:p>
    <w:p w14:paraId="72682340"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OECD (2005), </w:t>
      </w:r>
      <w:r w:rsidRPr="00950673">
        <w:rPr>
          <w:rFonts w:ascii="LinLibertine" w:eastAsia="Times New Roman" w:hAnsi="LinLibertine" w:cs="Times New Roman"/>
          <w:i/>
          <w:iCs/>
          <w:color w:val="000000"/>
          <w:sz w:val="24"/>
          <w:szCs w:val="24"/>
          <w:lang w:eastAsia="en-GB"/>
        </w:rPr>
        <w:t>Evaluating public participation in policy making</w:t>
      </w:r>
      <w:r w:rsidRPr="00950673">
        <w:rPr>
          <w:rFonts w:ascii="LinLibertine" w:eastAsia="Times New Roman" w:hAnsi="LinLibertine" w:cs="Times New Roman"/>
          <w:color w:val="000000"/>
          <w:sz w:val="24"/>
          <w:szCs w:val="24"/>
          <w:lang w:eastAsia="en-GB"/>
        </w:rPr>
        <w:t>. Paris: OECD.</w:t>
      </w:r>
    </w:p>
    <w:p w14:paraId="201D34FB"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Judith Petts and Barbara Leach (2000), </w:t>
      </w:r>
      <w:r w:rsidRPr="00950673">
        <w:rPr>
          <w:rFonts w:ascii="LinLibertine" w:eastAsia="Times New Roman" w:hAnsi="LinLibertine" w:cs="Times New Roman"/>
          <w:i/>
          <w:iCs/>
          <w:color w:val="000000"/>
          <w:sz w:val="24"/>
          <w:szCs w:val="24"/>
          <w:lang w:eastAsia="en-GB"/>
        </w:rPr>
        <w:t>Evaluation methods for public participation</w:t>
      </w:r>
      <w:r w:rsidRPr="00950673">
        <w:rPr>
          <w:rFonts w:ascii="LinLibertine" w:eastAsia="Times New Roman" w:hAnsi="LinLibertine" w:cs="Times New Roman"/>
          <w:color w:val="000000"/>
          <w:sz w:val="24"/>
          <w:szCs w:val="24"/>
          <w:lang w:eastAsia="en-GB"/>
        </w:rPr>
        <w:t xml:space="preserve">. Bristol: </w:t>
      </w:r>
      <w:proofErr w:type="spellStart"/>
      <w:r w:rsidRPr="00950673">
        <w:rPr>
          <w:rFonts w:ascii="LinLibertine" w:eastAsia="Times New Roman" w:hAnsi="LinLibertine" w:cs="Times New Roman"/>
          <w:color w:val="000000"/>
          <w:sz w:val="24"/>
          <w:szCs w:val="24"/>
          <w:lang w:eastAsia="en-GB"/>
        </w:rPr>
        <w:t>Enviroment</w:t>
      </w:r>
      <w:proofErr w:type="spellEnd"/>
      <w:r w:rsidRPr="00950673">
        <w:rPr>
          <w:rFonts w:ascii="LinLibertine" w:eastAsia="Times New Roman" w:hAnsi="LinLibertine" w:cs="Times New Roman"/>
          <w:color w:val="000000"/>
          <w:sz w:val="24"/>
          <w:szCs w:val="24"/>
          <w:lang w:eastAsia="en-GB"/>
        </w:rPr>
        <w:t xml:space="preserve"> Agency.</w:t>
      </w:r>
    </w:p>
    <w:p w14:paraId="1B8635DC"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proofErr w:type="spellStart"/>
      <w:r w:rsidRPr="00950673">
        <w:rPr>
          <w:rFonts w:ascii="LinLibertine" w:eastAsia="Times New Roman" w:hAnsi="LinLibertine" w:cs="Times New Roman"/>
          <w:color w:val="000000"/>
          <w:sz w:val="24"/>
          <w:szCs w:val="24"/>
          <w:lang w:eastAsia="en-GB"/>
        </w:rPr>
        <w:t>Ortwin</w:t>
      </w:r>
      <w:proofErr w:type="spellEnd"/>
      <w:r w:rsidRPr="00950673">
        <w:rPr>
          <w:rFonts w:ascii="LinLibertine" w:eastAsia="Times New Roman" w:hAnsi="LinLibertine" w:cs="Times New Roman"/>
          <w:color w:val="000000"/>
          <w:sz w:val="24"/>
          <w:szCs w:val="24"/>
          <w:lang w:eastAsia="en-GB"/>
        </w:rPr>
        <w:t xml:space="preserve"> </w:t>
      </w:r>
      <w:proofErr w:type="spellStart"/>
      <w:r w:rsidRPr="00950673">
        <w:rPr>
          <w:rFonts w:ascii="LinLibertine" w:eastAsia="Times New Roman" w:hAnsi="LinLibertine" w:cs="Times New Roman"/>
          <w:color w:val="000000"/>
          <w:sz w:val="24"/>
          <w:szCs w:val="24"/>
          <w:lang w:eastAsia="en-GB"/>
        </w:rPr>
        <w:t>Renn</w:t>
      </w:r>
      <w:proofErr w:type="spellEnd"/>
      <w:r w:rsidRPr="00950673">
        <w:rPr>
          <w:rFonts w:ascii="LinLibertine" w:eastAsia="Times New Roman" w:hAnsi="LinLibertine" w:cs="Times New Roman"/>
          <w:color w:val="000000"/>
          <w:sz w:val="24"/>
          <w:szCs w:val="24"/>
          <w:lang w:eastAsia="en-GB"/>
        </w:rPr>
        <w:t xml:space="preserve">, Thomas </w:t>
      </w:r>
      <w:proofErr w:type="spellStart"/>
      <w:r w:rsidRPr="00950673">
        <w:rPr>
          <w:rFonts w:ascii="LinLibertine" w:eastAsia="Times New Roman" w:hAnsi="LinLibertine" w:cs="Times New Roman"/>
          <w:color w:val="000000"/>
          <w:sz w:val="24"/>
          <w:szCs w:val="24"/>
          <w:lang w:eastAsia="en-GB"/>
        </w:rPr>
        <w:t>Webler</w:t>
      </w:r>
      <w:proofErr w:type="spellEnd"/>
      <w:r w:rsidRPr="00950673">
        <w:rPr>
          <w:rFonts w:ascii="LinLibertine" w:eastAsia="Times New Roman" w:hAnsi="LinLibertine" w:cs="Times New Roman"/>
          <w:color w:val="000000"/>
          <w:sz w:val="24"/>
          <w:szCs w:val="24"/>
          <w:lang w:eastAsia="en-GB"/>
        </w:rPr>
        <w:t xml:space="preserve"> and Peter Wiedemann (1995), </w:t>
      </w:r>
      <w:r w:rsidRPr="00950673">
        <w:rPr>
          <w:rFonts w:ascii="LinLibertine" w:eastAsia="Times New Roman" w:hAnsi="LinLibertine" w:cs="Times New Roman"/>
          <w:i/>
          <w:iCs/>
          <w:color w:val="000000"/>
          <w:sz w:val="24"/>
          <w:szCs w:val="24"/>
          <w:lang w:eastAsia="en-GB"/>
        </w:rPr>
        <w:t>Fairness and competence in citizen participation</w:t>
      </w:r>
      <w:r w:rsidRPr="00950673">
        <w:rPr>
          <w:rFonts w:ascii="LinLibertine" w:eastAsia="Times New Roman" w:hAnsi="LinLibertine" w:cs="Times New Roman"/>
          <w:color w:val="000000"/>
          <w:sz w:val="24"/>
          <w:szCs w:val="24"/>
          <w:lang w:eastAsia="en-GB"/>
        </w:rPr>
        <w:t>. Dordrecht: Kluwer Academic Publishers.</w:t>
      </w:r>
    </w:p>
    <w:p w14:paraId="06CD0700"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Gerry Stoker (2013), ‘Engaging citizens: can Westminster coexist with meaningful citizen-centric engagement?’, in Evert Lindquist Sam Vincent John </w:t>
      </w:r>
      <w:proofErr w:type="spellStart"/>
      <w:r w:rsidRPr="00950673">
        <w:rPr>
          <w:rFonts w:ascii="LinLibertine" w:eastAsia="Times New Roman" w:hAnsi="LinLibertine" w:cs="Times New Roman"/>
          <w:color w:val="000000"/>
          <w:sz w:val="24"/>
          <w:szCs w:val="24"/>
          <w:lang w:eastAsia="en-GB"/>
        </w:rPr>
        <w:t>Wanna</w:t>
      </w:r>
      <w:proofErr w:type="spellEnd"/>
      <w:r w:rsidRPr="00950673">
        <w:rPr>
          <w:rFonts w:ascii="LinLibertine" w:eastAsia="Times New Roman" w:hAnsi="LinLibertine" w:cs="Times New Roman"/>
          <w:color w:val="000000"/>
          <w:sz w:val="24"/>
          <w:szCs w:val="24"/>
          <w:lang w:eastAsia="en-GB"/>
        </w:rPr>
        <w:t xml:space="preserve"> </w:t>
      </w:r>
      <w:r w:rsidRPr="00950673">
        <w:rPr>
          <w:rFonts w:ascii="LinLibertine" w:eastAsia="Times New Roman" w:hAnsi="LinLibertine" w:cs="Times New Roman"/>
          <w:color w:val="000000"/>
          <w:sz w:val="24"/>
          <w:szCs w:val="24"/>
          <w:lang w:eastAsia="en-GB"/>
        </w:rPr>
        <w:lastRenderedPageBreak/>
        <w:t>(</w:t>
      </w:r>
      <w:proofErr w:type="spellStart"/>
      <w:r w:rsidRPr="00950673">
        <w:rPr>
          <w:rFonts w:ascii="LinLibertine" w:eastAsia="Times New Roman" w:hAnsi="LinLibertine" w:cs="Times New Roman"/>
          <w:color w:val="000000"/>
          <w:sz w:val="24"/>
          <w:szCs w:val="24"/>
          <w:lang w:eastAsia="en-GB"/>
        </w:rPr>
        <w:t>eds</w:t>
      </w:r>
      <w:proofErr w:type="spellEnd"/>
      <w:r w:rsidRPr="00950673">
        <w:rPr>
          <w:rFonts w:ascii="LinLibertine" w:eastAsia="Times New Roman" w:hAnsi="LinLibertine" w:cs="Times New Roman"/>
          <w:color w:val="000000"/>
          <w:sz w:val="24"/>
          <w:szCs w:val="24"/>
          <w:lang w:eastAsia="en-GB"/>
        </w:rPr>
        <w:t>), </w:t>
      </w:r>
      <w:r w:rsidRPr="00950673">
        <w:rPr>
          <w:rFonts w:ascii="LinLibertine" w:eastAsia="Times New Roman" w:hAnsi="LinLibertine" w:cs="Times New Roman"/>
          <w:i/>
          <w:iCs/>
          <w:color w:val="000000"/>
          <w:sz w:val="24"/>
          <w:szCs w:val="24"/>
          <w:lang w:eastAsia="en-GB"/>
        </w:rPr>
        <w:t>Putting citizens first: engagement in policy and service delivery for the 21st century</w:t>
      </w:r>
      <w:r w:rsidRPr="00950673">
        <w:rPr>
          <w:rFonts w:ascii="LinLibertine" w:eastAsia="Times New Roman" w:hAnsi="LinLibertine" w:cs="Times New Roman"/>
          <w:color w:val="000000"/>
          <w:sz w:val="24"/>
          <w:szCs w:val="24"/>
          <w:lang w:eastAsia="en-GB"/>
        </w:rPr>
        <w:t>. Canberra: ANU E Press.</w:t>
      </w:r>
    </w:p>
    <w:p w14:paraId="029248D2"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Caroline Tolbert and Karen </w:t>
      </w:r>
      <w:proofErr w:type="spellStart"/>
      <w:r w:rsidRPr="00950673">
        <w:rPr>
          <w:rFonts w:ascii="LinLibertine" w:eastAsia="Times New Roman" w:hAnsi="LinLibertine" w:cs="Times New Roman"/>
          <w:color w:val="000000"/>
          <w:sz w:val="24"/>
          <w:szCs w:val="24"/>
          <w:lang w:eastAsia="en-GB"/>
        </w:rPr>
        <w:t>Mossberger</w:t>
      </w:r>
      <w:proofErr w:type="spellEnd"/>
      <w:r w:rsidRPr="00950673">
        <w:rPr>
          <w:rFonts w:ascii="LinLibertine" w:eastAsia="Times New Roman" w:hAnsi="LinLibertine" w:cs="Times New Roman"/>
          <w:color w:val="000000"/>
          <w:sz w:val="24"/>
          <w:szCs w:val="24"/>
          <w:lang w:eastAsia="en-GB"/>
        </w:rPr>
        <w:t xml:space="preserve"> (2006), ‘The effects of e-government on trust and confidence in government’, </w:t>
      </w:r>
      <w:r w:rsidRPr="00950673">
        <w:rPr>
          <w:rFonts w:ascii="LinLibertine" w:eastAsia="Times New Roman" w:hAnsi="LinLibertine" w:cs="Times New Roman"/>
          <w:i/>
          <w:iCs/>
          <w:color w:val="000000"/>
          <w:sz w:val="24"/>
          <w:szCs w:val="24"/>
          <w:lang w:eastAsia="en-GB"/>
        </w:rPr>
        <w:t>Public Administration Review</w:t>
      </w:r>
      <w:r w:rsidRPr="00950673">
        <w:rPr>
          <w:rFonts w:ascii="LinLibertine" w:eastAsia="Times New Roman" w:hAnsi="LinLibertine" w:cs="Times New Roman"/>
          <w:color w:val="000000"/>
          <w:sz w:val="24"/>
          <w:szCs w:val="24"/>
          <w:lang w:eastAsia="en-GB"/>
        </w:rPr>
        <w:t>, 66 (3): 354–369.</w:t>
      </w:r>
    </w:p>
    <w:p w14:paraId="41004E25" w14:textId="77777777" w:rsidR="00950673" w:rsidRPr="00950673" w:rsidRDefault="00950673" w:rsidP="00950673">
      <w:pPr>
        <w:spacing w:after="0" w:line="240" w:lineRule="auto"/>
        <w:ind w:left="360" w:hanging="360"/>
        <w:jc w:val="both"/>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 xml:space="preserve">Jonathan Q. </w:t>
      </w:r>
      <w:proofErr w:type="spellStart"/>
      <w:r w:rsidRPr="00950673">
        <w:rPr>
          <w:rFonts w:ascii="LinLibertine" w:eastAsia="Times New Roman" w:hAnsi="LinLibertine" w:cs="Times New Roman"/>
          <w:color w:val="000000"/>
          <w:sz w:val="24"/>
          <w:szCs w:val="24"/>
          <w:lang w:eastAsia="en-GB"/>
        </w:rPr>
        <w:t>Tritter</w:t>
      </w:r>
      <w:proofErr w:type="spellEnd"/>
      <w:r w:rsidRPr="00950673">
        <w:rPr>
          <w:rFonts w:ascii="LinLibertine" w:eastAsia="Times New Roman" w:hAnsi="LinLibertine" w:cs="Times New Roman"/>
          <w:color w:val="000000"/>
          <w:sz w:val="24"/>
          <w:szCs w:val="24"/>
          <w:lang w:eastAsia="en-GB"/>
        </w:rPr>
        <w:t xml:space="preserve"> and Alison McCallum (2006), ‘The snakes and ladders of user involvement: moving beyond </w:t>
      </w:r>
      <w:proofErr w:type="spellStart"/>
      <w:r w:rsidRPr="00950673">
        <w:rPr>
          <w:rFonts w:ascii="LinLibertine" w:eastAsia="Times New Roman" w:hAnsi="LinLibertine" w:cs="Times New Roman"/>
          <w:color w:val="000000"/>
          <w:sz w:val="24"/>
          <w:szCs w:val="24"/>
          <w:lang w:eastAsia="en-GB"/>
        </w:rPr>
        <w:t>Arnstein</w:t>
      </w:r>
      <w:proofErr w:type="spellEnd"/>
      <w:r w:rsidRPr="00950673">
        <w:rPr>
          <w:rFonts w:ascii="LinLibertine" w:eastAsia="Times New Roman" w:hAnsi="LinLibertine" w:cs="Times New Roman"/>
          <w:color w:val="000000"/>
          <w:sz w:val="24"/>
          <w:szCs w:val="24"/>
          <w:lang w:eastAsia="en-GB"/>
        </w:rPr>
        <w:t>’, </w:t>
      </w:r>
      <w:r w:rsidRPr="00950673">
        <w:rPr>
          <w:rFonts w:ascii="LinLibertine" w:eastAsia="Times New Roman" w:hAnsi="LinLibertine" w:cs="Times New Roman"/>
          <w:i/>
          <w:iCs/>
          <w:color w:val="000000"/>
          <w:sz w:val="24"/>
          <w:szCs w:val="24"/>
          <w:lang w:eastAsia="en-GB"/>
        </w:rPr>
        <w:t>Health Policy</w:t>
      </w:r>
      <w:r w:rsidRPr="00950673">
        <w:rPr>
          <w:rFonts w:ascii="LinLibertine" w:eastAsia="Times New Roman" w:hAnsi="LinLibertine" w:cs="Times New Roman"/>
          <w:color w:val="000000"/>
          <w:sz w:val="24"/>
          <w:szCs w:val="24"/>
          <w:lang w:eastAsia="en-GB"/>
        </w:rPr>
        <w:t>, 76: 156–168.</w:t>
      </w:r>
    </w:p>
    <w:p w14:paraId="43C2C194" w14:textId="77777777" w:rsidR="00950673" w:rsidRPr="00950673" w:rsidRDefault="00950673" w:rsidP="00950673">
      <w:pPr>
        <w:spacing w:after="0" w:line="240" w:lineRule="auto"/>
        <w:ind w:left="360" w:hanging="360"/>
        <w:rPr>
          <w:rFonts w:ascii="LinLibertine" w:eastAsia="Times New Roman" w:hAnsi="LinLibertine" w:cs="Times New Roman"/>
          <w:color w:val="000000"/>
          <w:sz w:val="24"/>
          <w:szCs w:val="24"/>
          <w:lang w:eastAsia="en-GB"/>
        </w:rPr>
      </w:pPr>
      <w:r w:rsidRPr="00950673">
        <w:rPr>
          <w:rFonts w:ascii="LinLibertine" w:eastAsia="Times New Roman" w:hAnsi="LinLibertine" w:cs="Times New Roman"/>
          <w:color w:val="000000"/>
          <w:sz w:val="24"/>
          <w:szCs w:val="24"/>
          <w:lang w:eastAsia="en-GB"/>
        </w:rPr>
        <w:t>WRR (2012), ‘Confidence in citizens, summary of report no. 88’, Scientific Council for Government Policy, </w:t>
      </w:r>
      <w:hyperlink r:id="rId45" w:history="1">
        <w:r w:rsidRPr="00950673">
          <w:rPr>
            <w:rFonts w:ascii="LinLibertine" w:eastAsia="Times New Roman" w:hAnsi="LinLibertine" w:cs="Times New Roman"/>
            <w:color w:val="0000FF"/>
            <w:sz w:val="24"/>
            <w:szCs w:val="24"/>
            <w:u w:val="single"/>
            <w:lang w:eastAsia="en-GB"/>
          </w:rPr>
          <w:t>www.wrr.nl/fileadmin/en/publicaties/PDF-samenvattingen/Confidence_in_Citizens.pdf</w:t>
        </w:r>
      </w:hyperlink>
      <w:r w:rsidRPr="00950673">
        <w:rPr>
          <w:rFonts w:ascii="LinLibertine" w:eastAsia="Times New Roman" w:hAnsi="LinLibertine" w:cs="Times New Roman"/>
          <w:color w:val="000000"/>
          <w:sz w:val="24"/>
          <w:szCs w:val="24"/>
          <w:lang w:eastAsia="en-GB"/>
        </w:rPr>
        <w:t> (accessed on 31 January 2015).</w:t>
      </w:r>
    </w:p>
    <w:p w14:paraId="7513922A" w14:textId="77777777" w:rsidR="0001453D" w:rsidRDefault="0001453D"/>
    <w:sectPr w:rsidR="0001453D" w:rsidSect="00F71E44">
      <w:headerReference w:type="even" r:id="rId46"/>
      <w:headerReference w:type="default" r:id="rId47"/>
      <w:footerReference w:type="even" r:id="rId48"/>
      <w:footerReference w:type="default" r:id="rId49"/>
      <w:headerReference w:type="first" r:id="rId50"/>
      <w:footerReference w:type="first" r:id="rId51"/>
      <w:pgSz w:w="11906" w:h="16838"/>
      <w:pgMar w:top="1440" w:right="1440" w:bottom="1440" w:left="1440" w:header="708" w:footer="708" w:gutter="0"/>
      <w:pgNumType w:start="22"/>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FBB4EC" w14:textId="77777777" w:rsidR="00F71E44" w:rsidRDefault="00F71E44" w:rsidP="00F71E44">
      <w:pPr>
        <w:spacing w:after="0" w:line="240" w:lineRule="auto"/>
      </w:pPr>
      <w:r>
        <w:separator/>
      </w:r>
    </w:p>
  </w:endnote>
  <w:endnote w:type="continuationSeparator" w:id="0">
    <w:p w14:paraId="1DBFA623" w14:textId="77777777" w:rsidR="00F71E44" w:rsidRDefault="00F71E44" w:rsidP="00F71E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LinLibertine">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05981A" w14:textId="77777777" w:rsidR="00F71E44" w:rsidRDefault="00F71E4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8658591"/>
      <w:docPartObj>
        <w:docPartGallery w:val="Page Numbers (Bottom of Page)"/>
        <w:docPartUnique/>
      </w:docPartObj>
    </w:sdtPr>
    <w:sdtEndPr>
      <w:rPr>
        <w:noProof/>
      </w:rPr>
    </w:sdtEndPr>
    <w:sdtContent>
      <w:p w14:paraId="19463458" w14:textId="44CE3CAC" w:rsidR="00F71E44" w:rsidRDefault="00F71E44">
        <w:pPr>
          <w:pStyle w:val="Footer"/>
          <w:jc w:val="right"/>
        </w:pPr>
        <w:r>
          <w:fldChar w:fldCharType="begin"/>
        </w:r>
        <w:r>
          <w:instrText xml:space="preserve"> PAGE   \* MERGEFORMAT </w:instrText>
        </w:r>
        <w:r>
          <w:fldChar w:fldCharType="separate"/>
        </w:r>
        <w:r w:rsidR="00A971A9">
          <w:rPr>
            <w:noProof/>
          </w:rPr>
          <w:t>22</w:t>
        </w:r>
        <w:r>
          <w:rPr>
            <w:noProof/>
          </w:rPr>
          <w:fldChar w:fldCharType="end"/>
        </w:r>
      </w:p>
    </w:sdtContent>
  </w:sdt>
  <w:p w14:paraId="13845F66" w14:textId="77777777" w:rsidR="00F71E44" w:rsidRDefault="00F71E4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995E83" w14:textId="77777777" w:rsidR="00F71E44" w:rsidRDefault="00F71E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166A75" w14:textId="77777777" w:rsidR="00F71E44" w:rsidRDefault="00F71E44" w:rsidP="00F71E44">
      <w:pPr>
        <w:spacing w:after="0" w:line="240" w:lineRule="auto"/>
      </w:pPr>
      <w:r>
        <w:separator/>
      </w:r>
    </w:p>
  </w:footnote>
  <w:footnote w:type="continuationSeparator" w:id="0">
    <w:p w14:paraId="03811412" w14:textId="77777777" w:rsidR="00F71E44" w:rsidRDefault="00F71E44" w:rsidP="00F71E4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BFD020" w14:textId="77777777" w:rsidR="00F71E44" w:rsidRDefault="00F71E4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CE2C4C" w14:textId="6DCDF2B2" w:rsidR="00F71E44" w:rsidRDefault="00A971A9">
    <w:pPr>
      <w:pStyle w:val="Header"/>
    </w:pPr>
    <w:r>
      <w:t xml:space="preserve">… </w:t>
    </w:r>
    <w:proofErr w:type="gramStart"/>
    <w:r w:rsidRPr="00A971A9">
      <w:t>in</w:t>
    </w:r>
    <w:proofErr w:type="gramEnd"/>
    <w:r w:rsidRPr="00A971A9">
      <w:t xml:space="preserve"> </w:t>
    </w:r>
    <w:proofErr w:type="spellStart"/>
    <w:r w:rsidRPr="00A971A9">
      <w:t>Bovaird</w:t>
    </w:r>
    <w:proofErr w:type="spellEnd"/>
    <w:r w:rsidRPr="00A971A9">
      <w:t xml:space="preserve">, T. and </w:t>
    </w:r>
    <w:proofErr w:type="spellStart"/>
    <w:r w:rsidRPr="00A971A9">
      <w:t>Loeffler</w:t>
    </w:r>
    <w:proofErr w:type="spellEnd"/>
    <w:r w:rsidRPr="00A971A9">
      <w:t>, E. (</w:t>
    </w:r>
    <w:proofErr w:type="spellStart"/>
    <w:r w:rsidRPr="00A971A9">
      <w:t>eds</w:t>
    </w:r>
    <w:proofErr w:type="spellEnd"/>
    <w:r w:rsidRPr="00A971A9">
      <w:t>) (2016) Public Management and Governance 3rd edition. Abingdon: Routledge</w:t>
    </w:r>
    <w:bookmarkStart w:id="0" w:name="_GoBack"/>
    <w:bookmarkEnd w:id="0"/>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2CFCF0" w14:textId="77777777" w:rsidR="00F71E44" w:rsidRDefault="00F71E4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235C0"/>
    <w:multiLevelType w:val="multilevel"/>
    <w:tmpl w:val="86F27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544CB7"/>
    <w:multiLevelType w:val="multilevel"/>
    <w:tmpl w:val="B6020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977FA0"/>
    <w:multiLevelType w:val="multilevel"/>
    <w:tmpl w:val="D48EC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A62C52"/>
    <w:multiLevelType w:val="multilevel"/>
    <w:tmpl w:val="E1F6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DD68DC"/>
    <w:multiLevelType w:val="multilevel"/>
    <w:tmpl w:val="400C7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2EE40D7"/>
    <w:multiLevelType w:val="multilevel"/>
    <w:tmpl w:val="8C342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6F00896"/>
    <w:multiLevelType w:val="multilevel"/>
    <w:tmpl w:val="25741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D9922D2"/>
    <w:multiLevelType w:val="multilevel"/>
    <w:tmpl w:val="08224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DDD6A0E"/>
    <w:multiLevelType w:val="multilevel"/>
    <w:tmpl w:val="B9FEE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0661469"/>
    <w:multiLevelType w:val="multilevel"/>
    <w:tmpl w:val="4836A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877121D"/>
    <w:multiLevelType w:val="multilevel"/>
    <w:tmpl w:val="29E46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B3C3947"/>
    <w:multiLevelType w:val="multilevel"/>
    <w:tmpl w:val="118A41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2"/>
  </w:num>
  <w:num w:numId="3">
    <w:abstractNumId w:val="3"/>
  </w:num>
  <w:num w:numId="4">
    <w:abstractNumId w:val="1"/>
  </w:num>
  <w:num w:numId="5">
    <w:abstractNumId w:val="0"/>
  </w:num>
  <w:num w:numId="6">
    <w:abstractNumId w:val="7"/>
  </w:num>
  <w:num w:numId="7">
    <w:abstractNumId w:val="8"/>
  </w:num>
  <w:num w:numId="8">
    <w:abstractNumId w:val="4"/>
  </w:num>
  <w:num w:numId="9">
    <w:abstractNumId w:val="11"/>
  </w:num>
  <w:num w:numId="10">
    <w:abstractNumId w:val="10"/>
  </w:num>
  <w:num w:numId="11">
    <w:abstractNumId w:val="5"/>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C0B"/>
    <w:rsid w:val="0001453D"/>
    <w:rsid w:val="006E1E9A"/>
    <w:rsid w:val="00950673"/>
    <w:rsid w:val="0097226F"/>
    <w:rsid w:val="00A971A9"/>
    <w:rsid w:val="00DB1C0B"/>
    <w:rsid w:val="00F71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15A5ACCD-17AA-4BD1-BDD7-46F8B422C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1E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E44"/>
  </w:style>
  <w:style w:type="paragraph" w:styleId="Footer">
    <w:name w:val="footer"/>
    <w:basedOn w:val="Normal"/>
    <w:link w:val="FooterChar"/>
    <w:uiPriority w:val="99"/>
    <w:unhideWhenUsed/>
    <w:rsid w:val="00F71E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E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7432457">
      <w:bodyDiv w:val="1"/>
      <w:marLeft w:val="0"/>
      <w:marRight w:val="0"/>
      <w:marTop w:val="0"/>
      <w:marBottom w:val="0"/>
      <w:divBdr>
        <w:top w:val="none" w:sz="0" w:space="0" w:color="auto"/>
        <w:left w:val="none" w:sz="0" w:space="0" w:color="auto"/>
        <w:bottom w:val="none" w:sz="0" w:space="0" w:color="auto"/>
        <w:right w:val="none" w:sz="0" w:space="0" w:color="auto"/>
      </w:divBdr>
      <w:divsChild>
        <w:div w:id="1024668585">
          <w:marLeft w:val="0"/>
          <w:marRight w:val="0"/>
          <w:marTop w:val="0"/>
          <w:marBottom w:val="0"/>
          <w:divBdr>
            <w:top w:val="none" w:sz="0" w:space="0" w:color="auto"/>
            <w:left w:val="none" w:sz="0" w:space="0" w:color="auto"/>
            <w:bottom w:val="none" w:sz="0" w:space="0" w:color="auto"/>
            <w:right w:val="none" w:sz="0" w:space="0" w:color="auto"/>
          </w:divBdr>
          <w:divsChild>
            <w:div w:id="1878808717">
              <w:marLeft w:val="0"/>
              <w:marRight w:val="0"/>
              <w:marTop w:val="240"/>
              <w:marBottom w:val="240"/>
              <w:divBdr>
                <w:top w:val="none" w:sz="0" w:space="0" w:color="auto"/>
                <w:left w:val="none" w:sz="0" w:space="0" w:color="auto"/>
                <w:bottom w:val="none" w:sz="0" w:space="0" w:color="auto"/>
                <w:right w:val="none" w:sz="0" w:space="0" w:color="auto"/>
              </w:divBdr>
            </w:div>
          </w:divsChild>
        </w:div>
        <w:div w:id="251007881">
          <w:marLeft w:val="0"/>
          <w:marRight w:val="0"/>
          <w:marTop w:val="0"/>
          <w:marBottom w:val="0"/>
          <w:divBdr>
            <w:top w:val="none" w:sz="0" w:space="0" w:color="auto"/>
            <w:left w:val="none" w:sz="0" w:space="0" w:color="auto"/>
            <w:bottom w:val="none" w:sz="0" w:space="0" w:color="auto"/>
            <w:right w:val="none" w:sz="0" w:space="0" w:color="auto"/>
          </w:divBdr>
          <w:divsChild>
            <w:div w:id="1599562245">
              <w:marLeft w:val="0"/>
              <w:marRight w:val="0"/>
              <w:marTop w:val="240"/>
              <w:marBottom w:val="240"/>
              <w:divBdr>
                <w:top w:val="none" w:sz="0" w:space="0" w:color="auto"/>
                <w:left w:val="none" w:sz="0" w:space="0" w:color="auto"/>
                <w:bottom w:val="none" w:sz="0" w:space="0" w:color="auto"/>
                <w:right w:val="none" w:sz="0" w:space="0" w:color="auto"/>
              </w:divBdr>
            </w:div>
            <w:div w:id="793062063">
              <w:marLeft w:val="0"/>
              <w:marRight w:val="0"/>
              <w:marTop w:val="0"/>
              <w:marBottom w:val="0"/>
              <w:divBdr>
                <w:top w:val="none" w:sz="0" w:space="0" w:color="auto"/>
                <w:left w:val="none" w:sz="0" w:space="0" w:color="auto"/>
                <w:bottom w:val="none" w:sz="0" w:space="0" w:color="auto"/>
                <w:right w:val="none" w:sz="0" w:space="0" w:color="auto"/>
              </w:divBdr>
              <w:divsChild>
                <w:div w:id="1006447038">
                  <w:marLeft w:val="0"/>
                  <w:marRight w:val="0"/>
                  <w:marTop w:val="240"/>
                  <w:marBottom w:val="240"/>
                  <w:divBdr>
                    <w:top w:val="none" w:sz="0" w:space="0" w:color="auto"/>
                    <w:left w:val="none" w:sz="0" w:space="0" w:color="auto"/>
                    <w:bottom w:val="none" w:sz="0" w:space="0" w:color="auto"/>
                    <w:right w:val="none" w:sz="0" w:space="0" w:color="auto"/>
                  </w:divBdr>
                </w:div>
                <w:div w:id="2102094173">
                  <w:marLeft w:val="0"/>
                  <w:marRight w:val="0"/>
                  <w:marTop w:val="240"/>
                  <w:marBottom w:val="240"/>
                  <w:divBdr>
                    <w:top w:val="single" w:sz="24" w:space="12" w:color="auto"/>
                    <w:left w:val="single" w:sz="24" w:space="12" w:color="auto"/>
                    <w:bottom w:val="single" w:sz="24" w:space="12" w:color="auto"/>
                    <w:right w:val="single" w:sz="24" w:space="12" w:color="auto"/>
                  </w:divBdr>
                </w:div>
              </w:divsChild>
            </w:div>
            <w:div w:id="503133360">
              <w:marLeft w:val="0"/>
              <w:marRight w:val="0"/>
              <w:marTop w:val="0"/>
              <w:marBottom w:val="0"/>
              <w:divBdr>
                <w:top w:val="none" w:sz="0" w:space="0" w:color="auto"/>
                <w:left w:val="none" w:sz="0" w:space="0" w:color="auto"/>
                <w:bottom w:val="none" w:sz="0" w:space="0" w:color="auto"/>
                <w:right w:val="none" w:sz="0" w:space="0" w:color="auto"/>
              </w:divBdr>
            </w:div>
            <w:div w:id="938831250">
              <w:marLeft w:val="0"/>
              <w:marRight w:val="0"/>
              <w:marTop w:val="0"/>
              <w:marBottom w:val="0"/>
              <w:divBdr>
                <w:top w:val="none" w:sz="0" w:space="0" w:color="auto"/>
                <w:left w:val="none" w:sz="0" w:space="0" w:color="auto"/>
                <w:bottom w:val="none" w:sz="0" w:space="0" w:color="auto"/>
                <w:right w:val="none" w:sz="0" w:space="0" w:color="auto"/>
              </w:divBdr>
              <w:divsChild>
                <w:div w:id="1670403806">
                  <w:marLeft w:val="0"/>
                  <w:marRight w:val="0"/>
                  <w:marTop w:val="240"/>
                  <w:marBottom w:val="240"/>
                  <w:divBdr>
                    <w:top w:val="single" w:sz="24" w:space="12" w:color="auto"/>
                    <w:left w:val="single" w:sz="24" w:space="12" w:color="auto"/>
                    <w:bottom w:val="single" w:sz="24" w:space="12" w:color="auto"/>
                    <w:right w:val="single" w:sz="24" w:space="12" w:color="auto"/>
                  </w:divBdr>
                </w:div>
                <w:div w:id="2144349921">
                  <w:marLeft w:val="0"/>
                  <w:marRight w:val="0"/>
                  <w:marTop w:val="240"/>
                  <w:marBottom w:val="240"/>
                  <w:divBdr>
                    <w:top w:val="single" w:sz="24" w:space="12" w:color="auto"/>
                    <w:left w:val="single" w:sz="24" w:space="12" w:color="auto"/>
                    <w:bottom w:val="single" w:sz="24" w:space="12" w:color="auto"/>
                    <w:right w:val="single" w:sz="24" w:space="12" w:color="auto"/>
                  </w:divBdr>
                </w:div>
                <w:div w:id="313996723">
                  <w:marLeft w:val="0"/>
                  <w:marRight w:val="0"/>
                  <w:marTop w:val="240"/>
                  <w:marBottom w:val="240"/>
                  <w:divBdr>
                    <w:top w:val="single" w:sz="24" w:space="12" w:color="auto"/>
                    <w:left w:val="single" w:sz="24" w:space="12" w:color="auto"/>
                    <w:bottom w:val="single" w:sz="24" w:space="12" w:color="auto"/>
                    <w:right w:val="single" w:sz="24" w:space="12" w:color="auto"/>
                  </w:divBdr>
                </w:div>
              </w:divsChild>
            </w:div>
            <w:div w:id="812404805">
              <w:marLeft w:val="0"/>
              <w:marRight w:val="0"/>
              <w:marTop w:val="0"/>
              <w:marBottom w:val="0"/>
              <w:divBdr>
                <w:top w:val="none" w:sz="0" w:space="0" w:color="auto"/>
                <w:left w:val="none" w:sz="0" w:space="0" w:color="auto"/>
                <w:bottom w:val="none" w:sz="0" w:space="0" w:color="auto"/>
                <w:right w:val="none" w:sz="0" w:space="0" w:color="auto"/>
              </w:divBdr>
            </w:div>
          </w:divsChild>
        </w:div>
        <w:div w:id="986782218">
          <w:marLeft w:val="0"/>
          <w:marRight w:val="0"/>
          <w:marTop w:val="0"/>
          <w:marBottom w:val="0"/>
          <w:divBdr>
            <w:top w:val="none" w:sz="0" w:space="0" w:color="auto"/>
            <w:left w:val="none" w:sz="0" w:space="0" w:color="auto"/>
            <w:bottom w:val="none" w:sz="0" w:space="0" w:color="auto"/>
            <w:right w:val="none" w:sz="0" w:space="0" w:color="auto"/>
          </w:divBdr>
        </w:div>
        <w:div w:id="1184977031">
          <w:marLeft w:val="0"/>
          <w:marRight w:val="0"/>
          <w:marTop w:val="0"/>
          <w:marBottom w:val="0"/>
          <w:divBdr>
            <w:top w:val="none" w:sz="0" w:space="0" w:color="auto"/>
            <w:left w:val="none" w:sz="0" w:space="0" w:color="auto"/>
            <w:bottom w:val="none" w:sz="0" w:space="0" w:color="auto"/>
            <w:right w:val="none" w:sz="0" w:space="0" w:color="auto"/>
          </w:divBdr>
          <w:divsChild>
            <w:div w:id="276719984">
              <w:marLeft w:val="0"/>
              <w:marRight w:val="0"/>
              <w:marTop w:val="240"/>
              <w:marBottom w:val="240"/>
              <w:divBdr>
                <w:top w:val="none" w:sz="0" w:space="0" w:color="auto"/>
                <w:left w:val="none" w:sz="0" w:space="0" w:color="auto"/>
                <w:bottom w:val="none" w:sz="0" w:space="0" w:color="auto"/>
                <w:right w:val="none" w:sz="0" w:space="0" w:color="auto"/>
              </w:divBdr>
            </w:div>
            <w:div w:id="214238929">
              <w:marLeft w:val="0"/>
              <w:marRight w:val="0"/>
              <w:marTop w:val="240"/>
              <w:marBottom w:val="240"/>
              <w:divBdr>
                <w:top w:val="single" w:sz="24" w:space="12" w:color="auto"/>
                <w:left w:val="single" w:sz="24" w:space="12" w:color="auto"/>
                <w:bottom w:val="single" w:sz="24" w:space="12" w:color="auto"/>
                <w:right w:val="single" w:sz="24" w:space="12" w:color="auto"/>
              </w:divBdr>
            </w:div>
            <w:div w:id="1948393113">
              <w:marLeft w:val="0"/>
              <w:marRight w:val="0"/>
              <w:marTop w:val="240"/>
              <w:marBottom w:val="240"/>
              <w:divBdr>
                <w:top w:val="single" w:sz="24" w:space="12" w:color="auto"/>
                <w:left w:val="single" w:sz="24" w:space="12" w:color="auto"/>
                <w:bottom w:val="single" w:sz="24" w:space="12" w:color="auto"/>
                <w:right w:val="single" w:sz="24" w:space="12" w:color="auto"/>
              </w:divBdr>
            </w:div>
            <w:div w:id="1829052854">
              <w:marLeft w:val="0"/>
              <w:marRight w:val="0"/>
              <w:marTop w:val="240"/>
              <w:marBottom w:val="240"/>
              <w:divBdr>
                <w:top w:val="single" w:sz="24" w:space="12" w:color="auto"/>
                <w:left w:val="single" w:sz="24" w:space="12" w:color="auto"/>
                <w:bottom w:val="single" w:sz="24" w:space="12" w:color="auto"/>
                <w:right w:val="single" w:sz="24" w:space="12" w:color="auto"/>
              </w:divBdr>
            </w:div>
          </w:divsChild>
        </w:div>
        <w:div w:id="608587845">
          <w:marLeft w:val="0"/>
          <w:marRight w:val="0"/>
          <w:marTop w:val="0"/>
          <w:marBottom w:val="0"/>
          <w:divBdr>
            <w:top w:val="none" w:sz="0" w:space="0" w:color="auto"/>
            <w:left w:val="none" w:sz="0" w:space="0" w:color="auto"/>
            <w:bottom w:val="none" w:sz="0" w:space="0" w:color="auto"/>
            <w:right w:val="none" w:sz="0" w:space="0" w:color="auto"/>
          </w:divBdr>
          <w:divsChild>
            <w:div w:id="885219749">
              <w:marLeft w:val="0"/>
              <w:marRight w:val="0"/>
              <w:marTop w:val="0"/>
              <w:marBottom w:val="0"/>
              <w:divBdr>
                <w:top w:val="none" w:sz="0" w:space="0" w:color="auto"/>
                <w:left w:val="none" w:sz="0" w:space="0" w:color="auto"/>
                <w:bottom w:val="none" w:sz="0" w:space="0" w:color="auto"/>
                <w:right w:val="none" w:sz="0" w:space="0" w:color="auto"/>
              </w:divBdr>
              <w:divsChild>
                <w:div w:id="1845703431">
                  <w:marLeft w:val="0"/>
                  <w:marRight w:val="0"/>
                  <w:marTop w:val="240"/>
                  <w:marBottom w:val="240"/>
                  <w:divBdr>
                    <w:top w:val="single" w:sz="24" w:space="12" w:color="auto"/>
                    <w:left w:val="single" w:sz="24" w:space="12" w:color="auto"/>
                    <w:bottom w:val="single" w:sz="24" w:space="12" w:color="auto"/>
                    <w:right w:val="single" w:sz="24" w:space="12" w:color="auto"/>
                  </w:divBdr>
                </w:div>
              </w:divsChild>
            </w:div>
            <w:div w:id="412239619">
              <w:marLeft w:val="0"/>
              <w:marRight w:val="0"/>
              <w:marTop w:val="0"/>
              <w:marBottom w:val="0"/>
              <w:divBdr>
                <w:top w:val="none" w:sz="0" w:space="0" w:color="auto"/>
                <w:left w:val="none" w:sz="0" w:space="0" w:color="auto"/>
                <w:bottom w:val="none" w:sz="0" w:space="0" w:color="auto"/>
                <w:right w:val="none" w:sz="0" w:space="0" w:color="auto"/>
              </w:divBdr>
            </w:div>
            <w:div w:id="1340932639">
              <w:marLeft w:val="0"/>
              <w:marRight w:val="0"/>
              <w:marTop w:val="0"/>
              <w:marBottom w:val="0"/>
              <w:divBdr>
                <w:top w:val="none" w:sz="0" w:space="0" w:color="auto"/>
                <w:left w:val="none" w:sz="0" w:space="0" w:color="auto"/>
                <w:bottom w:val="none" w:sz="0" w:space="0" w:color="auto"/>
                <w:right w:val="none" w:sz="0" w:space="0" w:color="auto"/>
              </w:divBdr>
              <w:divsChild>
                <w:div w:id="1266308955">
                  <w:marLeft w:val="0"/>
                  <w:marRight w:val="0"/>
                  <w:marTop w:val="240"/>
                  <w:marBottom w:val="240"/>
                  <w:divBdr>
                    <w:top w:val="single" w:sz="24" w:space="12" w:color="auto"/>
                    <w:left w:val="single" w:sz="24" w:space="12" w:color="auto"/>
                    <w:bottom w:val="single" w:sz="24" w:space="12" w:color="auto"/>
                    <w:right w:val="single" w:sz="24" w:space="12" w:color="auto"/>
                  </w:divBdr>
                </w:div>
              </w:divsChild>
            </w:div>
            <w:div w:id="1421096064">
              <w:marLeft w:val="0"/>
              <w:marRight w:val="0"/>
              <w:marTop w:val="0"/>
              <w:marBottom w:val="0"/>
              <w:divBdr>
                <w:top w:val="none" w:sz="0" w:space="0" w:color="auto"/>
                <w:left w:val="none" w:sz="0" w:space="0" w:color="auto"/>
                <w:bottom w:val="none" w:sz="0" w:space="0" w:color="auto"/>
                <w:right w:val="none" w:sz="0" w:space="0" w:color="auto"/>
              </w:divBdr>
            </w:div>
            <w:div w:id="1818953436">
              <w:marLeft w:val="0"/>
              <w:marRight w:val="0"/>
              <w:marTop w:val="0"/>
              <w:marBottom w:val="0"/>
              <w:divBdr>
                <w:top w:val="none" w:sz="0" w:space="0" w:color="auto"/>
                <w:left w:val="none" w:sz="0" w:space="0" w:color="auto"/>
                <w:bottom w:val="none" w:sz="0" w:space="0" w:color="auto"/>
                <w:right w:val="none" w:sz="0" w:space="0" w:color="auto"/>
              </w:divBdr>
              <w:divsChild>
                <w:div w:id="592663547">
                  <w:marLeft w:val="0"/>
                  <w:marRight w:val="0"/>
                  <w:marTop w:val="240"/>
                  <w:marBottom w:val="240"/>
                  <w:divBdr>
                    <w:top w:val="single" w:sz="24" w:space="12" w:color="auto"/>
                    <w:left w:val="single" w:sz="24" w:space="12" w:color="auto"/>
                    <w:bottom w:val="single" w:sz="24" w:space="12" w:color="auto"/>
                    <w:right w:val="single" w:sz="24" w:space="12" w:color="auto"/>
                  </w:divBdr>
                </w:div>
              </w:divsChild>
            </w:div>
          </w:divsChild>
        </w:div>
        <w:div w:id="125782054">
          <w:marLeft w:val="0"/>
          <w:marRight w:val="0"/>
          <w:marTop w:val="0"/>
          <w:marBottom w:val="0"/>
          <w:divBdr>
            <w:top w:val="none" w:sz="0" w:space="0" w:color="auto"/>
            <w:left w:val="none" w:sz="0" w:space="0" w:color="auto"/>
            <w:bottom w:val="none" w:sz="0" w:space="0" w:color="auto"/>
            <w:right w:val="none" w:sz="0" w:space="0" w:color="auto"/>
          </w:divBdr>
        </w:div>
        <w:div w:id="819468585">
          <w:marLeft w:val="0"/>
          <w:marRight w:val="0"/>
          <w:marTop w:val="0"/>
          <w:marBottom w:val="0"/>
          <w:divBdr>
            <w:top w:val="none" w:sz="0" w:space="0" w:color="auto"/>
            <w:left w:val="none" w:sz="0" w:space="0" w:color="auto"/>
            <w:bottom w:val="none" w:sz="0" w:space="0" w:color="auto"/>
            <w:right w:val="none" w:sz="0" w:space="0" w:color="auto"/>
          </w:divBdr>
        </w:div>
        <w:div w:id="1158040492">
          <w:marLeft w:val="0"/>
          <w:marRight w:val="0"/>
          <w:marTop w:val="0"/>
          <w:marBottom w:val="0"/>
          <w:divBdr>
            <w:top w:val="none" w:sz="0" w:space="0" w:color="auto"/>
            <w:left w:val="none" w:sz="0" w:space="0" w:color="auto"/>
            <w:bottom w:val="none" w:sz="0" w:space="0" w:color="auto"/>
            <w:right w:val="none" w:sz="0" w:space="0" w:color="auto"/>
          </w:divBdr>
        </w:div>
        <w:div w:id="6866418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igsaw.vitalsource.com/books/9781317435839/epub/OEBPS/xhtml/Ch022.xhtml" TargetMode="External"/><Relationship Id="rId18" Type="http://schemas.openxmlformats.org/officeDocument/2006/relationships/hyperlink" Target="http://www.govint.org/good-practice/interviews/alasdair-mangham-interview" TargetMode="External"/><Relationship Id="rId26" Type="http://schemas.openxmlformats.org/officeDocument/2006/relationships/hyperlink" Target="http://wales.gov.uk/topics/people-and-communities/regeneration/communitiesfirst/faqs/?lang=en" TargetMode="External"/><Relationship Id="rId39" Type="http://schemas.openxmlformats.org/officeDocument/2006/relationships/hyperlink" Target="https://jigsaw.vitalsource.com/books/9781317435839/epub/OEBPS/xhtml/caseexamples.xhtml" TargetMode="External"/><Relationship Id="rId3" Type="http://schemas.openxmlformats.org/officeDocument/2006/relationships/settings" Target="settings.xml"/><Relationship Id="rId21" Type="http://schemas.openxmlformats.org/officeDocument/2006/relationships/hyperlink" Target="https://jigsaw.vitalsource.com/books/9781317435839/epub/OEBPS/xhtml/Ch022.xhtml" TargetMode="External"/><Relationship Id="rId34" Type="http://schemas.openxmlformats.org/officeDocument/2006/relationships/hyperlink" Target="http://www.nhscitizen.org.uk/" TargetMode="External"/><Relationship Id="rId42" Type="http://schemas.openxmlformats.org/officeDocument/2006/relationships/hyperlink" Target="http://www.scotland.gov.uk/resource/doc/216076/0057753.pdf" TargetMode="External"/><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hyperlink" Target="https://jigsaw.vitalsource.com/books/9781317435839/epub/OEBPS/xhtml/Ch022.xhtml" TargetMode="External"/><Relationship Id="rId12" Type="http://schemas.openxmlformats.org/officeDocument/2006/relationships/hyperlink" Target="https://jigsaw.vitalsource.com/books/9781317435839/epub/OEBPS/xhtml/Ch010.xhtml" TargetMode="External"/><Relationship Id="rId17" Type="http://schemas.openxmlformats.org/officeDocument/2006/relationships/hyperlink" Target="https://jigsaw.vitalsource.com/books/9781317435839/epub/OEBPS/xhtml/caseexamples.xhtml" TargetMode="External"/><Relationship Id="rId25" Type="http://schemas.openxmlformats.org/officeDocument/2006/relationships/hyperlink" Target="https://jigsaw.vitalsource.com/books/9781317435839/epub/OEBPS/xhtml/caseexamples.xhtml" TargetMode="External"/><Relationship Id="rId33" Type="http://schemas.openxmlformats.org/officeDocument/2006/relationships/hyperlink" Target="http://www.opengovpartnership.org/" TargetMode="External"/><Relationship Id="rId38" Type="http://schemas.openxmlformats.org/officeDocument/2006/relationships/hyperlink" Target="https://jigsaw.vitalsource.com/books/9781317435839/epub/OEBPS/xhtml/Ch022.xhtml" TargetMode="External"/><Relationship Id="rId46"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theguardian.com/politics/2013/may/02/nudge-unit-has-it-worked" TargetMode="External"/><Relationship Id="rId20" Type="http://schemas.openxmlformats.org/officeDocument/2006/relationships/hyperlink" Target="https://jigsaw.vitalsource.com/books/9781317435839/epub/OEBPS/xhtml/Ch022.xhtml" TargetMode="External"/><Relationship Id="rId29" Type="http://schemas.openxmlformats.org/officeDocument/2006/relationships/hyperlink" Target="https://jigsaw.vitalsource.com/books/9781317435839/epub/OEBPS/xhtml/Ch015.xhtml" TargetMode="External"/><Relationship Id="rId41" Type="http://schemas.openxmlformats.org/officeDocument/2006/relationships/hyperlink" Target="http://www.communities.gov.uk/documents/communities/pdf/143519.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igsaw.vitalsource.com/books/9781317435839/epub/OEBPS/xhtml/tables.xhtml" TargetMode="External"/><Relationship Id="rId24" Type="http://schemas.openxmlformats.org/officeDocument/2006/relationships/hyperlink" Target="https://jigsaw.vitalsource.com/books/9781317435839/epub/OEBPS/xhtml/Ch027.xhtml" TargetMode="External"/><Relationship Id="rId32" Type="http://schemas.openxmlformats.org/officeDocument/2006/relationships/hyperlink" Target="https://jigsaw.vitalsource.com/books/9781317435839/epub/OEBPS/xhtml/figures.xhtml" TargetMode="External"/><Relationship Id="rId37" Type="http://schemas.openxmlformats.org/officeDocument/2006/relationships/hyperlink" Target="https://jigsaw.vitalsource.com/books/9781317435839/epub/OEBPS/xhtml/caseexamples.xhtml" TargetMode="External"/><Relationship Id="rId40" Type="http://schemas.openxmlformats.org/officeDocument/2006/relationships/hyperlink" Target="https://jigsaw.vitalsource.com/books/9781317435839/epub/OEBPS/xhtml/Ch022.xhtml" TargetMode="External"/><Relationship Id="rId45" Type="http://schemas.openxmlformats.org/officeDocument/2006/relationships/hyperlink" Target="http://www.wrr.nl/fileadmin/en/publicaties/PDF-samenvattingen/Confidence_in_Citizens.pdf"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behaviouralinsights.co.uk/" TargetMode="External"/><Relationship Id="rId23" Type="http://schemas.openxmlformats.org/officeDocument/2006/relationships/hyperlink" Target="https://jigsaw.vitalsource.com/books/9781317435839/epub/OEBPS/xhtml/Ch022.xhtml" TargetMode="External"/><Relationship Id="rId28" Type="http://schemas.openxmlformats.org/officeDocument/2006/relationships/hyperlink" Target="https://jigsaw.vitalsource.com/books/9781317435839/epub/OEBPS/xhtml/Ch06.xhtml" TargetMode="External"/><Relationship Id="rId36" Type="http://schemas.openxmlformats.org/officeDocument/2006/relationships/hyperlink" Target="https://jigsaw.vitalsource.com/books/9781317435839/epub/OEBPS/xhtml/Ch022.xhtml" TargetMode="External"/><Relationship Id="rId49" Type="http://schemas.openxmlformats.org/officeDocument/2006/relationships/footer" Target="footer2.xml"/><Relationship Id="rId10" Type="http://schemas.openxmlformats.org/officeDocument/2006/relationships/hyperlink" Target="https://jigsaw.vitalsource.com/books/9781317435839/epub/OEBPS/xhtml/Ch022.xhtml" TargetMode="External"/><Relationship Id="rId19" Type="http://schemas.openxmlformats.org/officeDocument/2006/relationships/hyperlink" Target="https://jigsaw.vitalsource.com/books/9781317435839/epub/OEBPS/xhtml/Ch022.xhtml" TargetMode="External"/><Relationship Id="rId31" Type="http://schemas.openxmlformats.org/officeDocument/2006/relationships/hyperlink" Target="https://jigsaw.vitalsource.com/books/9781317435839/epub/OEBPS/xhtml/Ch022.xhtml" TargetMode="External"/><Relationship Id="rId44" Type="http://schemas.openxmlformats.org/officeDocument/2006/relationships/hyperlink" Target="http://www.partnershipsforwater.net/psp/tc/TC_Tools/022T_Citizens%20as%20Partners.pdf"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igsaw.vitalsource.com/books/9781317435839/epub/OEBPS/xhtml/Ch022.xhtml" TargetMode="External"/><Relationship Id="rId14" Type="http://schemas.openxmlformats.org/officeDocument/2006/relationships/hyperlink" Target="https://jigsaw.vitalsource.com/books/9781317435839/epub/OEBPS/xhtml/Ch023.xhtml" TargetMode="External"/><Relationship Id="rId22" Type="http://schemas.openxmlformats.org/officeDocument/2006/relationships/hyperlink" Target="https://jigsaw.vitalsource.com/books/9781317435839/epub/OEBPS/xhtml/Ch022.xhtml" TargetMode="External"/><Relationship Id="rId27" Type="http://schemas.openxmlformats.org/officeDocument/2006/relationships/hyperlink" Target="https://jigsaw.vitalsource.com/books/9781317435839/epub/OEBPS/xhtml/Ch023.xhtml" TargetMode="External"/><Relationship Id="rId30" Type="http://schemas.openxmlformats.org/officeDocument/2006/relationships/hyperlink" Target="https://jigsaw.vitalsource.com/books/9781317435839/epub/OEBPS/xhtml/Ch022.xhtml" TargetMode="External"/><Relationship Id="rId35" Type="http://schemas.openxmlformats.org/officeDocument/2006/relationships/hyperlink" Target="http://skl.se/tjanster/englishpages/activities/dialoguewithcitizens/itsolutionsforcitizensdialogues.1424.html" TargetMode="External"/><Relationship Id="rId43" Type="http://schemas.openxmlformats.org/officeDocument/2006/relationships/hyperlink" Target="http://www.communityresearch.co.uk/resources/assets/files/The_Public_Sector_Survey_Report_April_2012.pdf" TargetMode="External"/><Relationship Id="rId48" Type="http://schemas.openxmlformats.org/officeDocument/2006/relationships/footer" Target="footer1.xml"/><Relationship Id="rId8" Type="http://schemas.openxmlformats.org/officeDocument/2006/relationships/hyperlink" Target="https://jigsaw.vitalsource.com/books/9781317435839/epub/OEBPS/xhtml/figures.xhtml" TargetMode="External"/><Relationship Id="rId51"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18</Pages>
  <Words>8568</Words>
  <Characters>48842</Characters>
  <Application>Microsoft Office Word</Application>
  <DocSecurity>0</DocSecurity>
  <Lines>407</Lines>
  <Paragraphs>114</Paragraphs>
  <ScaleCrop>false</ScaleCrop>
  <Company/>
  <LinksUpToDate>false</LinksUpToDate>
  <CharactersWithSpaces>57296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4</cp:revision>
  <dcterms:created xsi:type="dcterms:W3CDTF">2019-01-30T11:08:00Z</dcterms:created>
  <dcterms:modified xsi:type="dcterms:W3CDTF">2019-09-02T12:17:00Z</dcterms:modified>
</cp:coreProperties>
</file>