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F9BE0" w14:textId="77777777" w:rsidR="00E81CDC" w:rsidRDefault="00E81CDC" w:rsidP="00E81CDC">
      <w:r>
        <w:rPr>
          <w:noProof/>
        </w:rPr>
        <w:drawing>
          <wp:inline distT="0" distB="0" distL="0" distR="0" wp14:anchorId="5E5A7C89" wp14:editId="5068764D">
            <wp:extent cx="2028825" cy="704850"/>
            <wp:effectExtent l="0" t="0" r="0" b="0"/>
            <wp:docPr id="2007465704" name="Picture 2007465704"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CCBAF7F" w14:textId="77777777" w:rsidR="00E81CDC" w:rsidRPr="00A47621" w:rsidRDefault="00E81CDC" w:rsidP="00E81CDC">
      <w:pPr>
        <w:rPr>
          <w:rFonts w:ascii="Times New Roman" w:hAnsi="Times New Roman" w:cs="Times New Roman"/>
          <w:sz w:val="24"/>
          <w:szCs w:val="24"/>
        </w:rPr>
      </w:pPr>
    </w:p>
    <w:p w14:paraId="2D189426" w14:textId="77777777" w:rsidR="00E81CDC" w:rsidRPr="00F927A1" w:rsidRDefault="00E81CDC" w:rsidP="00E81CDC">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22F836C5" w14:textId="77777777" w:rsidR="00E81CDC" w:rsidRPr="00DC2924" w:rsidRDefault="00E81CDC" w:rsidP="00E81CD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759E98D" w14:textId="77777777" w:rsidR="00E81CDC" w:rsidRPr="0085230E" w:rsidRDefault="00E81CDC" w:rsidP="00E81CD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F6192BA" w14:textId="77777777" w:rsidR="00E81CDC" w:rsidRDefault="00E81CDC" w:rsidP="00E81CDC">
      <w:pPr>
        <w:overflowPunct/>
        <w:autoSpaceDE/>
        <w:autoSpaceDN/>
        <w:adjustRightInd/>
        <w:ind w:right="-957"/>
        <w:textAlignment w:val="auto"/>
        <w:rPr>
          <w:rFonts w:ascii="Times New Roman" w:hAnsi="Times New Roman" w:cs="Times New Roman"/>
          <w:b/>
          <w:color w:val="auto"/>
          <w:sz w:val="48"/>
        </w:rPr>
      </w:pPr>
    </w:p>
    <w:p w14:paraId="1D46AE82" w14:textId="77777777" w:rsidR="00E81CDC" w:rsidRPr="00FE5F90" w:rsidRDefault="00E81CDC" w:rsidP="00E81CDC">
      <w:pPr>
        <w:overflowPunct/>
        <w:autoSpaceDE/>
        <w:autoSpaceDN/>
        <w:adjustRightInd/>
        <w:ind w:right="-957"/>
        <w:textAlignment w:val="auto"/>
        <w:rPr>
          <w:rFonts w:ascii="Times New Roman" w:hAnsi="Times New Roman" w:cs="Times New Roman"/>
          <w:b/>
          <w:color w:val="auto"/>
          <w:sz w:val="18"/>
          <w:szCs w:val="2"/>
        </w:rPr>
      </w:pPr>
    </w:p>
    <w:p w14:paraId="3BA168E6" w14:textId="77777777" w:rsidR="00E81CDC" w:rsidRPr="00F927A1" w:rsidRDefault="00E81CDC" w:rsidP="00E81CD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3A4217D2" w14:textId="77777777" w:rsidR="00E81CDC" w:rsidRPr="00706BB5" w:rsidRDefault="00E81CDC" w:rsidP="00E81CDC">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1498AC15" w14:textId="77777777" w:rsidR="00E81CDC" w:rsidRPr="00FE5F90" w:rsidRDefault="00E81CDC" w:rsidP="00E81CDC">
      <w:pPr>
        <w:overflowPunct/>
        <w:autoSpaceDE/>
        <w:autoSpaceDN/>
        <w:adjustRightInd/>
        <w:ind w:right="-957"/>
        <w:textAlignment w:val="auto"/>
        <w:rPr>
          <w:rFonts w:ascii="Times New Roman" w:hAnsi="Times New Roman" w:cs="Times New Roman"/>
          <w:b/>
          <w:color w:val="auto"/>
          <w:sz w:val="14"/>
          <w:szCs w:val="2"/>
        </w:rPr>
      </w:pPr>
    </w:p>
    <w:p w14:paraId="400E5E79" w14:textId="77777777" w:rsidR="00E81CDC" w:rsidRPr="00F927A1" w:rsidRDefault="00E81CDC" w:rsidP="00E81CDC">
      <w:pPr>
        <w:overflowPunct/>
        <w:autoSpaceDE/>
        <w:autoSpaceDN/>
        <w:adjustRightInd/>
        <w:ind w:right="-957"/>
        <w:textAlignment w:val="auto"/>
        <w:rPr>
          <w:rFonts w:ascii="Times New Roman" w:hAnsi="Times New Roman" w:cs="Times New Roman"/>
          <w:b/>
          <w:color w:val="auto"/>
          <w:sz w:val="48"/>
        </w:rPr>
      </w:pPr>
    </w:p>
    <w:tbl>
      <w:tblPr>
        <w:tblW w:w="11052" w:type="dxa"/>
        <w:tblInd w:w="-4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2"/>
      </w:tblGrid>
      <w:tr w:rsidR="00E81CDC" w:rsidRPr="005D3F07" w14:paraId="027E8D6B" w14:textId="77777777" w:rsidTr="00AF040C">
        <w:tc>
          <w:tcPr>
            <w:tcW w:w="11052" w:type="dxa"/>
          </w:tcPr>
          <w:p w14:paraId="024B0E52" w14:textId="77777777" w:rsidR="00E81CDC" w:rsidRDefault="00E81CDC" w:rsidP="00AF040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Catrin Kelsey</w:t>
            </w:r>
          </w:p>
          <w:p w14:paraId="14710269" w14:textId="77777777" w:rsidR="00E81CDC" w:rsidRDefault="00E81CDC" w:rsidP="00AF040C">
            <w:pPr>
              <w:overflowPunct/>
              <w:autoSpaceDE/>
              <w:autoSpaceDN/>
              <w:adjustRightInd/>
              <w:ind w:right="-957"/>
              <w:textAlignment w:val="auto"/>
              <w:rPr>
                <w:rFonts w:ascii="Times New Roman" w:hAnsi="Times New Roman" w:cs="Times New Roman"/>
                <w:b/>
                <w:color w:val="auto"/>
                <w:sz w:val="48"/>
              </w:rPr>
            </w:pPr>
          </w:p>
          <w:p w14:paraId="4E76267A" w14:textId="77777777" w:rsidR="00E81CDC" w:rsidRDefault="00E81CDC" w:rsidP="00AF040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Catrin_1990@hotmail.co.uk</w:t>
            </w:r>
          </w:p>
          <w:p w14:paraId="25AEE6DF" w14:textId="77777777" w:rsidR="00E81CDC" w:rsidRDefault="00E81CDC" w:rsidP="00AF040C">
            <w:pPr>
              <w:overflowPunct/>
              <w:autoSpaceDE/>
              <w:autoSpaceDN/>
              <w:adjustRightInd/>
              <w:ind w:right="-957"/>
              <w:textAlignment w:val="auto"/>
              <w:rPr>
                <w:rFonts w:ascii="Times New Roman" w:hAnsi="Times New Roman" w:cs="Times New Roman"/>
                <w:b/>
                <w:color w:val="auto"/>
                <w:sz w:val="48"/>
              </w:rPr>
            </w:pPr>
          </w:p>
          <w:p w14:paraId="41DBB69A" w14:textId="77777777" w:rsidR="00E81CDC" w:rsidRPr="005D3F07" w:rsidRDefault="00E81CDC" w:rsidP="00AF040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w:t>
            </w:r>
            <w:r>
              <w:rPr>
                <w:rFonts w:ascii="Times New Roman" w:hAnsi="Times New Roman" w:cs="Times New Roman"/>
                <w:b/>
                <w:color w:val="auto"/>
                <w:sz w:val="48"/>
              </w:rPr>
              <w:t>istration</w:t>
            </w:r>
            <w:r w:rsidRPr="005D3F07">
              <w:rPr>
                <w:rFonts w:ascii="Times New Roman" w:hAnsi="Times New Roman" w:cs="Times New Roman"/>
                <w:b/>
                <w:color w:val="auto"/>
                <w:sz w:val="48"/>
              </w:rPr>
              <w:t xml:space="preserve"> Number:</w:t>
            </w:r>
            <w:r w:rsidRPr="00DB5EB5">
              <w:rPr>
                <w:rFonts w:ascii="Source Sans Pro" w:hAnsi="Source Sans Pro"/>
                <w:color w:val="242130"/>
                <w:sz w:val="21"/>
                <w:szCs w:val="21"/>
                <w:shd w:val="clear" w:color="auto" w:fill="FFFFFF"/>
              </w:rPr>
              <w:t xml:space="preserve"> </w:t>
            </w:r>
            <w:r w:rsidRPr="00DB5EB5">
              <w:rPr>
                <w:rFonts w:ascii="Times New Roman" w:hAnsi="Times New Roman" w:cs="Times New Roman"/>
                <w:b/>
                <w:color w:val="auto"/>
                <w:sz w:val="48"/>
              </w:rPr>
              <w:t>2328682</w:t>
            </w:r>
          </w:p>
          <w:p w14:paraId="24F917A0" w14:textId="77777777" w:rsidR="00E81CDC" w:rsidRPr="005D3F07" w:rsidRDefault="00E81CDC" w:rsidP="00AF040C">
            <w:pPr>
              <w:overflowPunct/>
              <w:autoSpaceDE/>
              <w:autoSpaceDN/>
              <w:adjustRightInd/>
              <w:ind w:right="-957"/>
              <w:textAlignment w:val="auto"/>
              <w:rPr>
                <w:rFonts w:ascii="Times New Roman" w:hAnsi="Times New Roman" w:cs="Times New Roman"/>
                <w:b/>
                <w:color w:val="auto"/>
                <w:sz w:val="48"/>
              </w:rPr>
            </w:pPr>
          </w:p>
          <w:p w14:paraId="030C1B43" w14:textId="77777777" w:rsidR="00E81CDC" w:rsidRPr="005D3F07" w:rsidRDefault="00E81CDC" w:rsidP="00AF040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2023</w:t>
            </w:r>
          </w:p>
        </w:tc>
      </w:tr>
    </w:tbl>
    <w:p w14:paraId="4C03FE91" w14:textId="77777777" w:rsidR="00E81CDC" w:rsidRPr="00F927A1" w:rsidRDefault="00E81CDC" w:rsidP="00E81CD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5049D018" w14:textId="77777777" w:rsidR="00E81CDC" w:rsidRPr="00F927A1" w:rsidRDefault="00E81CDC" w:rsidP="00E81CDC">
      <w:pPr>
        <w:overflowPunct/>
        <w:autoSpaceDE/>
        <w:autoSpaceDN/>
        <w:adjustRightInd/>
        <w:textAlignment w:val="auto"/>
        <w:rPr>
          <w:rFonts w:ascii="Times New Roman" w:hAnsi="Times New Roman" w:cs="Times New Roman"/>
          <w:color w:val="auto"/>
          <w:sz w:val="24"/>
        </w:rPr>
      </w:pPr>
    </w:p>
    <w:p w14:paraId="3AC10F99" w14:textId="77777777" w:rsidR="00E81CDC" w:rsidRDefault="00E81CDC" w:rsidP="00E81CDC">
      <w:pPr>
        <w:rPr>
          <w:rFonts w:ascii="Times New Roman" w:hAnsi="Times New Roman" w:cs="Times New Roman"/>
          <w:b/>
          <w:color w:val="auto"/>
          <w:sz w:val="48"/>
        </w:rPr>
      </w:pPr>
    </w:p>
    <w:p w14:paraId="1B80231F" w14:textId="77777777" w:rsidR="00E81CDC" w:rsidRDefault="00E81CDC" w:rsidP="00E81CDC">
      <w:pPr>
        <w:rPr>
          <w:b/>
          <w:sz w:val="24"/>
          <w:szCs w:val="24"/>
        </w:rPr>
      </w:pPr>
    </w:p>
    <w:p w14:paraId="1DD01B21" w14:textId="77777777" w:rsidR="00E81CDC" w:rsidRDefault="00E81CDC" w:rsidP="00E81CDC">
      <w:pPr>
        <w:rPr>
          <w:b/>
          <w:sz w:val="24"/>
          <w:szCs w:val="24"/>
        </w:rPr>
      </w:pPr>
    </w:p>
    <w:p w14:paraId="53AD83AC" w14:textId="77777777" w:rsidR="00E81CDC" w:rsidRPr="000A41C1" w:rsidRDefault="00E81CDC" w:rsidP="00E81CDC">
      <w:pPr>
        <w:rPr>
          <w:b/>
          <w:sz w:val="24"/>
          <w:szCs w:val="24"/>
        </w:rPr>
      </w:pPr>
    </w:p>
    <w:p w14:paraId="06FBB790" w14:textId="77777777" w:rsidR="00B962BB" w:rsidRPr="00EE5BC3" w:rsidRDefault="00B962BB" w:rsidP="00B962BB">
      <w:pPr>
        <w:jc w:val="center"/>
        <w:rPr>
          <w:b/>
          <w:sz w:val="28"/>
          <w:szCs w:val="28"/>
        </w:rPr>
      </w:pPr>
      <w:r w:rsidRPr="00EE5BC3">
        <w:rPr>
          <w:b/>
          <w:sz w:val="28"/>
          <w:szCs w:val="28"/>
        </w:rPr>
        <w:lastRenderedPageBreak/>
        <w:t>Task 4</w:t>
      </w:r>
    </w:p>
    <w:p w14:paraId="01BDCC15" w14:textId="77777777" w:rsidR="00B962BB" w:rsidRPr="00EE5BC3" w:rsidRDefault="00B962BB" w:rsidP="00B962BB">
      <w:pPr>
        <w:jc w:val="center"/>
        <w:rPr>
          <w:b/>
          <w:sz w:val="28"/>
          <w:szCs w:val="28"/>
        </w:rPr>
      </w:pPr>
    </w:p>
    <w:p w14:paraId="694B0104" w14:textId="77777777" w:rsidR="00B962BB" w:rsidRPr="00EE5BC3" w:rsidRDefault="00B962BB" w:rsidP="00B962BB">
      <w:pPr>
        <w:jc w:val="center"/>
        <w:rPr>
          <w:b/>
          <w:sz w:val="28"/>
          <w:szCs w:val="28"/>
        </w:rPr>
      </w:pPr>
      <w:r w:rsidRPr="00EE5BC3">
        <w:rPr>
          <w:b/>
          <w:sz w:val="28"/>
          <w:szCs w:val="28"/>
        </w:rPr>
        <w:t>Safeguarding</w:t>
      </w:r>
      <w:r>
        <w:rPr>
          <w:b/>
          <w:sz w:val="28"/>
          <w:szCs w:val="28"/>
        </w:rPr>
        <w:t xml:space="preserve"> in an area which is not your main area of work</w:t>
      </w:r>
    </w:p>
    <w:p w14:paraId="7D72E9EB" w14:textId="77777777" w:rsidR="00B962BB" w:rsidRPr="008B28E7" w:rsidRDefault="00B962BB" w:rsidP="00B962BB">
      <w:pPr>
        <w:jc w:val="both"/>
        <w:rPr>
          <w:b/>
          <w:sz w:val="24"/>
          <w:szCs w:val="24"/>
        </w:rPr>
      </w:pPr>
    </w:p>
    <w:p w14:paraId="3C84C9B1" w14:textId="77777777" w:rsidR="00B962BB" w:rsidRPr="00EE5BC3" w:rsidRDefault="00B962BB" w:rsidP="00B962BB">
      <w:pPr>
        <w:ind w:left="-90"/>
        <w:jc w:val="both"/>
        <w:rPr>
          <w:b/>
          <w:i/>
          <w:sz w:val="24"/>
          <w:szCs w:val="24"/>
        </w:rPr>
      </w:pPr>
      <w:r w:rsidRPr="00EE5BC3">
        <w:rPr>
          <w:b/>
          <w:i/>
          <w:sz w:val="24"/>
          <w:szCs w:val="24"/>
        </w:rPr>
        <w:t xml:space="preserve">Guidance: </w:t>
      </w:r>
    </w:p>
    <w:p w14:paraId="4D3A65BD" w14:textId="77777777" w:rsidR="00B962BB" w:rsidRPr="00706BB5" w:rsidRDefault="00B962BB" w:rsidP="00B962BB">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545DE6B7" w14:textId="77777777" w:rsidR="00B962BB" w:rsidRPr="008B28E7" w:rsidRDefault="00B962BB" w:rsidP="00B962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B962BB" w:rsidRPr="008B28E7" w14:paraId="09FBB0B0" w14:textId="77777777" w:rsidTr="004B66D9">
        <w:tc>
          <w:tcPr>
            <w:tcW w:w="10188" w:type="dxa"/>
          </w:tcPr>
          <w:p w14:paraId="3168D944" w14:textId="77777777" w:rsidR="00B962BB" w:rsidRPr="00EB695F" w:rsidRDefault="00B962BB" w:rsidP="004B66D9">
            <w:pPr>
              <w:jc w:val="both"/>
              <w:rPr>
                <w:b/>
                <w:sz w:val="24"/>
                <w:szCs w:val="24"/>
              </w:rPr>
            </w:pPr>
            <w:r w:rsidRPr="00EB695F">
              <w:rPr>
                <w:b/>
                <w:sz w:val="24"/>
                <w:szCs w:val="24"/>
              </w:rPr>
              <w:t>Question</w:t>
            </w:r>
            <w:r>
              <w:rPr>
                <w:b/>
                <w:sz w:val="24"/>
                <w:szCs w:val="24"/>
              </w:rPr>
              <w:t xml:space="preserve"> a:</w:t>
            </w:r>
          </w:p>
          <w:p w14:paraId="1E63D6EE" w14:textId="77777777" w:rsidR="00B962BB" w:rsidRDefault="00B962BB" w:rsidP="004B66D9">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7739180A" w14:textId="77777777" w:rsidR="00B962BB" w:rsidRDefault="00B962BB" w:rsidP="004B66D9">
            <w:pPr>
              <w:jc w:val="both"/>
              <w:rPr>
                <w:sz w:val="24"/>
                <w:szCs w:val="24"/>
              </w:rPr>
            </w:pPr>
          </w:p>
          <w:p w14:paraId="645C1E95" w14:textId="77777777" w:rsidR="00B962BB" w:rsidRDefault="00B962BB" w:rsidP="004B66D9">
            <w:pPr>
              <w:jc w:val="both"/>
              <w:rPr>
                <w:sz w:val="24"/>
                <w:szCs w:val="24"/>
              </w:rPr>
            </w:pPr>
          </w:p>
          <w:p w14:paraId="3D0E2A26" w14:textId="77777777" w:rsidR="00B962BB" w:rsidRDefault="00B962BB" w:rsidP="004B66D9">
            <w:pPr>
              <w:jc w:val="both"/>
              <w:rPr>
                <w:sz w:val="24"/>
                <w:szCs w:val="24"/>
              </w:rPr>
            </w:pPr>
          </w:p>
          <w:p w14:paraId="6373BC7C" w14:textId="77777777" w:rsidR="00B962BB" w:rsidRDefault="00B962BB" w:rsidP="004B66D9">
            <w:pPr>
              <w:jc w:val="both"/>
              <w:rPr>
                <w:sz w:val="24"/>
                <w:szCs w:val="24"/>
              </w:rPr>
            </w:pPr>
          </w:p>
          <w:p w14:paraId="6A12C23A" w14:textId="77777777" w:rsidR="00B962BB" w:rsidRDefault="00B962BB" w:rsidP="004B66D9">
            <w:pPr>
              <w:jc w:val="both"/>
              <w:rPr>
                <w:sz w:val="24"/>
                <w:szCs w:val="24"/>
              </w:rPr>
            </w:pPr>
          </w:p>
          <w:p w14:paraId="6CB21B76" w14:textId="77777777" w:rsidR="00B962BB" w:rsidRDefault="00B962BB" w:rsidP="004B66D9">
            <w:pPr>
              <w:jc w:val="both"/>
              <w:rPr>
                <w:sz w:val="24"/>
                <w:szCs w:val="24"/>
              </w:rPr>
            </w:pPr>
          </w:p>
          <w:p w14:paraId="07D46965" w14:textId="77777777" w:rsidR="00B962BB" w:rsidRDefault="00B962BB" w:rsidP="004B66D9">
            <w:pPr>
              <w:jc w:val="both"/>
              <w:rPr>
                <w:sz w:val="24"/>
                <w:szCs w:val="24"/>
              </w:rPr>
            </w:pPr>
          </w:p>
          <w:p w14:paraId="7ADBEDFA" w14:textId="77777777" w:rsidR="00B962BB" w:rsidRDefault="00B962BB" w:rsidP="004B66D9">
            <w:pPr>
              <w:jc w:val="both"/>
              <w:rPr>
                <w:sz w:val="24"/>
                <w:szCs w:val="24"/>
              </w:rPr>
            </w:pPr>
          </w:p>
          <w:p w14:paraId="6245890D" w14:textId="77777777" w:rsidR="00B962BB" w:rsidRDefault="00B962BB" w:rsidP="004B66D9">
            <w:pPr>
              <w:jc w:val="both"/>
              <w:rPr>
                <w:sz w:val="24"/>
                <w:szCs w:val="24"/>
              </w:rPr>
            </w:pPr>
          </w:p>
          <w:p w14:paraId="20A7B408" w14:textId="77777777" w:rsidR="00B962BB" w:rsidRPr="006108C9" w:rsidRDefault="00B962BB" w:rsidP="004B66D9">
            <w:pPr>
              <w:jc w:val="both"/>
              <w:rPr>
                <w:sz w:val="24"/>
                <w:szCs w:val="24"/>
              </w:rPr>
            </w:pPr>
          </w:p>
          <w:p w14:paraId="5CB2577E" w14:textId="77777777" w:rsidR="00B962BB" w:rsidRDefault="00B962BB" w:rsidP="004B66D9">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40D36CA4" w14:textId="77777777" w:rsidR="00B962BB" w:rsidRPr="008B28E7" w:rsidRDefault="00B962BB" w:rsidP="004B66D9">
            <w:pPr>
              <w:jc w:val="both"/>
              <w:rPr>
                <w:b/>
                <w:sz w:val="24"/>
                <w:szCs w:val="24"/>
              </w:rPr>
            </w:pPr>
          </w:p>
        </w:tc>
      </w:tr>
    </w:tbl>
    <w:p w14:paraId="40CE4F38" w14:textId="77777777" w:rsidR="00E81CDC" w:rsidRDefault="00E81CDC" w:rsidP="00E81CDC">
      <w:pPr>
        <w:jc w:val="both"/>
        <w:rPr>
          <w:sz w:val="22"/>
          <w:szCs w:val="22"/>
        </w:rPr>
      </w:pPr>
    </w:p>
    <w:p w14:paraId="45C200EB" w14:textId="77777777" w:rsidR="00E81CDC" w:rsidRPr="00F77854" w:rsidRDefault="00E81CDC" w:rsidP="00F77854">
      <w:pPr>
        <w:spacing w:line="480" w:lineRule="auto"/>
        <w:jc w:val="both"/>
        <w:rPr>
          <w:sz w:val="22"/>
          <w:szCs w:val="22"/>
        </w:rPr>
      </w:pPr>
    </w:p>
    <w:p w14:paraId="79E8BA31" w14:textId="77777777" w:rsidR="00E56566" w:rsidRPr="00E56566" w:rsidRDefault="00E56566" w:rsidP="00E56566">
      <w:pPr>
        <w:spacing w:line="480" w:lineRule="auto"/>
        <w:rPr>
          <w:sz w:val="22"/>
          <w:szCs w:val="22"/>
        </w:rPr>
      </w:pPr>
      <w:r w:rsidRPr="00E56566">
        <w:rPr>
          <w:sz w:val="22"/>
          <w:szCs w:val="22"/>
        </w:rPr>
        <w:t>Safeguarding children is a fundamental responsibility of social workers and central to everyday professional practice. Social workers have a statutory duty to protect children from abuse, neglect and harm, while also promoting their welfare and development. Practitioners are required to balance protection with support, working in partnership with children, families and multi-agency professionals. In Wales, children’s safeguarding is underpinned by a clear legislative framework and supported by national, regional and organisational policies that guide decision making and multi-agency practice.</w:t>
      </w:r>
    </w:p>
    <w:p w14:paraId="1C961FEB" w14:textId="465341DA" w:rsidR="00E56566" w:rsidRDefault="00E56566" w:rsidP="00E56566">
      <w:pPr>
        <w:spacing w:line="480" w:lineRule="auto"/>
        <w:rPr>
          <w:sz w:val="22"/>
          <w:szCs w:val="22"/>
        </w:rPr>
      </w:pPr>
      <w:r w:rsidRPr="00E56566">
        <w:rPr>
          <w:sz w:val="22"/>
          <w:szCs w:val="22"/>
        </w:rPr>
        <w:t xml:space="preserve">The Social Services and Well-being (Wales) Act (SSWBA) 2014 provides the overarching safeguarding framework. Part 7 introduces a statutory duty for relevant partners to report children at risk (Section 130) and establishes Regional Safeguarding Boards, reinforcing shared responsibility across agencies. The SSWBWA (2014) promotes a strengths-based, preventative and outcomes-focused approach, </w:t>
      </w:r>
      <w:r w:rsidRPr="00E56566">
        <w:rPr>
          <w:sz w:val="22"/>
          <w:szCs w:val="22"/>
        </w:rPr>
        <w:lastRenderedPageBreak/>
        <w:t>requiring social workers to exercise professional judgement when balancing risk with empowerment and the child’s voice. The Well-being of Future Generations (Wales) Act 2015 further supports early intervention, collaboration and long-term well-being.</w:t>
      </w:r>
    </w:p>
    <w:p w14:paraId="6B54320F" w14:textId="77777777" w:rsidR="00E56566" w:rsidRPr="00E56566" w:rsidRDefault="00E56566" w:rsidP="00E56566">
      <w:pPr>
        <w:spacing w:line="480" w:lineRule="auto"/>
        <w:rPr>
          <w:sz w:val="22"/>
          <w:szCs w:val="22"/>
        </w:rPr>
      </w:pPr>
    </w:p>
    <w:p w14:paraId="452E1E74" w14:textId="77777777" w:rsidR="00E56566" w:rsidRPr="00E56566" w:rsidRDefault="00E56566" w:rsidP="00E56566">
      <w:pPr>
        <w:spacing w:line="480" w:lineRule="auto"/>
        <w:rPr>
          <w:sz w:val="22"/>
          <w:szCs w:val="22"/>
        </w:rPr>
      </w:pPr>
      <w:r w:rsidRPr="00E56566">
        <w:rPr>
          <w:sz w:val="22"/>
          <w:szCs w:val="22"/>
        </w:rPr>
        <w:t>Alongside this, the Children Act (CA) 1989 remains central to safeguarding legislation. It establishes that the welfare of the child is paramount and that children should be supported within their families wherever this is compatible with their safety. Section 47 requires local authorities to make enquiries where there is reasonable cause to suspect that a child is suffering, or is likely to suffer, significant harm. However, the previous duties under Section 17 have now been superseded and replaced by Parts 3 and 4 of the SSWBA 2014, which set out new arrangements for assessing and responding to care and support needs. These combined duties define thresholds for statutory intervention and shape the social worker’s role in assessment, planning and protective action.</w:t>
      </w:r>
    </w:p>
    <w:p w14:paraId="6B0FC261" w14:textId="77777777" w:rsidR="00E56566" w:rsidRDefault="00E56566" w:rsidP="00E56566">
      <w:pPr>
        <w:spacing w:line="480" w:lineRule="auto"/>
        <w:rPr>
          <w:sz w:val="22"/>
          <w:szCs w:val="22"/>
        </w:rPr>
      </w:pPr>
    </w:p>
    <w:p w14:paraId="15531E16" w14:textId="18114EFB" w:rsidR="00E56566" w:rsidRPr="00E56566" w:rsidRDefault="00E56566" w:rsidP="00E56566">
      <w:pPr>
        <w:spacing w:line="480" w:lineRule="auto"/>
        <w:rPr>
          <w:sz w:val="22"/>
          <w:szCs w:val="22"/>
        </w:rPr>
      </w:pPr>
      <w:r w:rsidRPr="00E56566">
        <w:rPr>
          <w:sz w:val="22"/>
          <w:szCs w:val="22"/>
        </w:rPr>
        <w:t xml:space="preserve">National safeguarding policy is set out in </w:t>
      </w:r>
      <w:r w:rsidRPr="00E56566">
        <w:rPr>
          <w:i/>
          <w:iCs/>
          <w:sz w:val="22"/>
          <w:szCs w:val="22"/>
        </w:rPr>
        <w:t>Working Together to Safeguard People: Volume 5 – Handling Individual Cases to Protect Children at Risk</w:t>
      </w:r>
      <w:r w:rsidRPr="00E56566">
        <w:rPr>
          <w:sz w:val="22"/>
          <w:szCs w:val="22"/>
        </w:rPr>
        <w:t xml:space="preserve"> (Welsh Government, 2019), issued under section 28 of the CA 2004. This statutory guidance defines abuse as maltreatment of a child, involving harm or failure to prevent harm. It identifies four main categories: physical, emotional, sexual and neglect (Welsh Government, 2019). It also outlines expectations for information sharing, assessment, decision making and timescales, including strategy discussions and child protection enquiries. These principles are delivered through the Wales Safeguarding Procedures 2019, which give consistent guidance on thresholds, roles and joint working in Wales.</w:t>
      </w:r>
    </w:p>
    <w:p w14:paraId="7A05381B" w14:textId="77777777" w:rsidR="00E56566" w:rsidRDefault="00E56566" w:rsidP="00E56566">
      <w:pPr>
        <w:spacing w:line="480" w:lineRule="auto"/>
        <w:rPr>
          <w:sz w:val="22"/>
          <w:szCs w:val="22"/>
        </w:rPr>
      </w:pPr>
    </w:p>
    <w:p w14:paraId="30B5F295" w14:textId="56A10337" w:rsidR="00E56566" w:rsidRDefault="00E56566" w:rsidP="00E56566">
      <w:pPr>
        <w:spacing w:line="480" w:lineRule="auto"/>
        <w:rPr>
          <w:sz w:val="22"/>
          <w:szCs w:val="22"/>
        </w:rPr>
      </w:pPr>
      <w:r w:rsidRPr="00E56566">
        <w:rPr>
          <w:sz w:val="22"/>
          <w:szCs w:val="22"/>
        </w:rPr>
        <w:t xml:space="preserve">At local and organisational levels, Regional Safeguarding Boards oversee safeguarding arrangements and monitor practice effectiveness. Local authority policies turn national guidance into procedures for social workers, including referral pathways, recording standards, escalation processes and supervision </w:t>
      </w:r>
      <w:r w:rsidRPr="00E56566">
        <w:rPr>
          <w:sz w:val="22"/>
          <w:szCs w:val="22"/>
        </w:rPr>
        <w:lastRenderedPageBreak/>
        <w:t>requirements. These frameworks support accountability and help social workers make defensible decisions in complex and high-risk situations.</w:t>
      </w:r>
    </w:p>
    <w:p w14:paraId="6A40A459" w14:textId="77777777" w:rsidR="00E56566" w:rsidRPr="00E56566" w:rsidRDefault="00E56566" w:rsidP="00E56566">
      <w:pPr>
        <w:spacing w:line="480" w:lineRule="auto"/>
        <w:rPr>
          <w:sz w:val="22"/>
          <w:szCs w:val="22"/>
        </w:rPr>
      </w:pPr>
    </w:p>
    <w:p w14:paraId="4F2807A2" w14:textId="77777777" w:rsidR="00E56566" w:rsidRPr="00E56566" w:rsidRDefault="00E56566" w:rsidP="00E56566">
      <w:pPr>
        <w:spacing w:line="480" w:lineRule="auto"/>
        <w:rPr>
          <w:sz w:val="22"/>
          <w:szCs w:val="22"/>
        </w:rPr>
      </w:pPr>
      <w:r w:rsidRPr="00E56566">
        <w:rPr>
          <w:sz w:val="22"/>
          <w:szCs w:val="22"/>
        </w:rPr>
        <w:t>Children may be identified as at risk due to parental substance misuse, domestic abuse, mental ill health, poverty or social isolation. Indicators of harm include unexplained injuries, poor hygiene, developmental delay, withdrawn or aggressive behaviour, poor school attendance or disclosures by the child. Neglect may present through inadequate supervision or unmet medical, emotional or educational needs.</w:t>
      </w:r>
    </w:p>
    <w:p w14:paraId="5A1B2BAE" w14:textId="77777777" w:rsidR="00E56566" w:rsidRDefault="00E56566" w:rsidP="00E56566">
      <w:pPr>
        <w:spacing w:line="480" w:lineRule="auto"/>
        <w:rPr>
          <w:sz w:val="22"/>
          <w:szCs w:val="22"/>
        </w:rPr>
      </w:pPr>
    </w:p>
    <w:p w14:paraId="4DB9B2F5" w14:textId="4CEDCE96" w:rsidR="00E56566" w:rsidRPr="00E56566" w:rsidRDefault="00E56566" w:rsidP="00E56566">
      <w:pPr>
        <w:spacing w:line="480" w:lineRule="auto"/>
        <w:rPr>
          <w:sz w:val="22"/>
          <w:szCs w:val="22"/>
        </w:rPr>
      </w:pPr>
      <w:r w:rsidRPr="00E56566">
        <w:rPr>
          <w:sz w:val="22"/>
          <w:szCs w:val="22"/>
        </w:rPr>
        <w:t>Establishing clear, preferred outcomes is essential in safeguarding practice. Outcomes-focused interventions ensure safeguarding responses are child-centred and aim to improve safety, stability and well-being for children, families and carers, rather than only managing risk (Featherstone et al., 2018). This reflects the professional role of social workers in promoting meaningful and sustainable change (Munro, 2011).</w:t>
      </w:r>
    </w:p>
    <w:p w14:paraId="770E9C86" w14:textId="77777777" w:rsidR="00E81CDC" w:rsidRPr="00667D40" w:rsidRDefault="00E81CDC" w:rsidP="00E81CDC">
      <w:pPr>
        <w:spacing w:line="480" w:lineRule="auto"/>
        <w:rPr>
          <w:sz w:val="22"/>
          <w:szCs w:val="22"/>
        </w:rPr>
      </w:pPr>
    </w:p>
    <w:p w14:paraId="0697BC77" w14:textId="77777777" w:rsidR="00E81CDC" w:rsidRDefault="00E81CDC" w:rsidP="00E81CDC">
      <w:pPr>
        <w:spacing w:after="160" w:line="259" w:lineRule="auto"/>
        <w:rPr>
          <w:b/>
          <w:bCs/>
          <w:sz w:val="22"/>
          <w:szCs w:val="22"/>
        </w:rPr>
      </w:pPr>
    </w:p>
    <w:p w14:paraId="0625D768" w14:textId="22C7FCA5" w:rsidR="00E81CDC" w:rsidRPr="00667D40" w:rsidRDefault="00E81CDC" w:rsidP="00E81CDC">
      <w:pPr>
        <w:spacing w:after="160" w:line="259" w:lineRule="auto"/>
        <w:rPr>
          <w:b/>
          <w:bCs/>
          <w:sz w:val="22"/>
          <w:szCs w:val="22"/>
        </w:rPr>
      </w:pPr>
      <w:r w:rsidRPr="00667D40">
        <w:rPr>
          <w:b/>
          <w:bCs/>
          <w:sz w:val="22"/>
          <w:szCs w:val="22"/>
        </w:rPr>
        <w:t>Words: 5</w:t>
      </w:r>
      <w:r w:rsidR="00BF3D28">
        <w:rPr>
          <w:b/>
          <w:bCs/>
          <w:sz w:val="22"/>
          <w:szCs w:val="22"/>
        </w:rPr>
        <w:t>4</w:t>
      </w:r>
      <w:r w:rsidR="00E56566">
        <w:rPr>
          <w:b/>
          <w:bCs/>
          <w:sz w:val="22"/>
          <w:szCs w:val="22"/>
        </w:rPr>
        <w:t>8</w:t>
      </w:r>
    </w:p>
    <w:p w14:paraId="74C570C4" w14:textId="77777777" w:rsidR="00E81CDC" w:rsidRPr="00793F88" w:rsidRDefault="00E81CDC" w:rsidP="00E81CDC">
      <w:pPr>
        <w:spacing w:after="160" w:line="259" w:lineRule="auto"/>
        <w:rPr>
          <w:b/>
          <w:bCs/>
          <w:sz w:val="22"/>
          <w:szCs w:val="22"/>
        </w:rPr>
      </w:pPr>
    </w:p>
    <w:p w14:paraId="5584140D" w14:textId="77777777" w:rsidR="00E81CDC" w:rsidRDefault="00E81CDC" w:rsidP="00E81CDC">
      <w:pPr>
        <w:jc w:val="both"/>
        <w:rPr>
          <w:sz w:val="22"/>
          <w:szCs w:val="22"/>
        </w:rPr>
      </w:pPr>
    </w:p>
    <w:p w14:paraId="47021282" w14:textId="77777777" w:rsidR="00E81CDC" w:rsidRDefault="00E81CDC" w:rsidP="00E81CDC">
      <w:pPr>
        <w:jc w:val="both"/>
        <w:rPr>
          <w:sz w:val="22"/>
          <w:szCs w:val="22"/>
        </w:rPr>
      </w:pPr>
    </w:p>
    <w:p w14:paraId="358CF29F" w14:textId="77777777" w:rsidR="00E81CDC" w:rsidRDefault="00E81CDC" w:rsidP="00E81CDC">
      <w:pPr>
        <w:jc w:val="both"/>
        <w:rPr>
          <w:sz w:val="22"/>
          <w:szCs w:val="22"/>
        </w:rPr>
      </w:pPr>
    </w:p>
    <w:p w14:paraId="7B449F17" w14:textId="77777777" w:rsidR="00E81CDC" w:rsidRDefault="00E81CDC" w:rsidP="00E81CDC">
      <w:pPr>
        <w:jc w:val="both"/>
        <w:rPr>
          <w:sz w:val="22"/>
          <w:szCs w:val="22"/>
        </w:rPr>
      </w:pPr>
    </w:p>
    <w:p w14:paraId="129833B0" w14:textId="77777777" w:rsidR="00E81CDC" w:rsidRDefault="00E81CDC" w:rsidP="00E81CDC">
      <w:pPr>
        <w:jc w:val="both"/>
        <w:rPr>
          <w:sz w:val="22"/>
          <w:szCs w:val="22"/>
        </w:rPr>
      </w:pPr>
    </w:p>
    <w:p w14:paraId="7403A400" w14:textId="77777777" w:rsidR="00E81CDC" w:rsidRDefault="00E81CDC" w:rsidP="00E81CDC">
      <w:pPr>
        <w:jc w:val="both"/>
        <w:rPr>
          <w:sz w:val="22"/>
          <w:szCs w:val="22"/>
        </w:rPr>
      </w:pPr>
    </w:p>
    <w:p w14:paraId="4AB795A0" w14:textId="77777777" w:rsidR="00E81CDC" w:rsidRDefault="00E81CDC" w:rsidP="00E81CDC">
      <w:pPr>
        <w:jc w:val="both"/>
        <w:rPr>
          <w:sz w:val="22"/>
          <w:szCs w:val="22"/>
        </w:rPr>
      </w:pPr>
    </w:p>
    <w:p w14:paraId="7FF3FE40" w14:textId="77777777" w:rsidR="00E81CDC" w:rsidRDefault="00E81CDC" w:rsidP="00E81CDC">
      <w:pPr>
        <w:jc w:val="both"/>
        <w:rPr>
          <w:sz w:val="22"/>
          <w:szCs w:val="22"/>
        </w:rPr>
      </w:pPr>
    </w:p>
    <w:p w14:paraId="4E6DE95E" w14:textId="77777777" w:rsidR="00E81CDC" w:rsidRDefault="00E81CDC" w:rsidP="00E81CDC">
      <w:pPr>
        <w:jc w:val="both"/>
        <w:rPr>
          <w:sz w:val="22"/>
          <w:szCs w:val="22"/>
        </w:rPr>
      </w:pPr>
    </w:p>
    <w:p w14:paraId="699E8866" w14:textId="77777777" w:rsidR="00E81CDC" w:rsidRDefault="00E81CDC" w:rsidP="00E81CDC">
      <w:pPr>
        <w:jc w:val="both"/>
        <w:rPr>
          <w:sz w:val="22"/>
          <w:szCs w:val="22"/>
        </w:rPr>
      </w:pPr>
    </w:p>
    <w:p w14:paraId="01E39550" w14:textId="77777777" w:rsidR="00E81CDC" w:rsidRDefault="00E81CDC" w:rsidP="00E81CDC">
      <w:pPr>
        <w:jc w:val="both"/>
        <w:rPr>
          <w:sz w:val="22"/>
          <w:szCs w:val="22"/>
        </w:rPr>
      </w:pPr>
    </w:p>
    <w:p w14:paraId="55B8F18F" w14:textId="77777777" w:rsidR="00E81CDC" w:rsidRDefault="00E81CDC" w:rsidP="00E81CDC">
      <w:pPr>
        <w:jc w:val="both"/>
        <w:rPr>
          <w:sz w:val="22"/>
          <w:szCs w:val="22"/>
        </w:rPr>
      </w:pPr>
    </w:p>
    <w:p w14:paraId="02F935BD" w14:textId="77777777" w:rsidR="00E56566" w:rsidRDefault="00E56566" w:rsidP="00E81CDC">
      <w:pPr>
        <w:jc w:val="both"/>
        <w:rPr>
          <w:sz w:val="22"/>
          <w:szCs w:val="22"/>
        </w:rPr>
      </w:pPr>
    </w:p>
    <w:p w14:paraId="3317EFFD" w14:textId="77777777" w:rsidR="00E81CDC" w:rsidRDefault="00E81CDC" w:rsidP="00E81CDC">
      <w:pPr>
        <w:jc w:val="both"/>
        <w:rPr>
          <w:sz w:val="22"/>
          <w:szCs w:val="22"/>
        </w:rPr>
      </w:pPr>
    </w:p>
    <w:p w14:paraId="385E8C1C" w14:textId="77777777" w:rsidR="00E81CDC" w:rsidRPr="00667D40" w:rsidRDefault="00E81CDC" w:rsidP="00E81CDC">
      <w:pPr>
        <w:jc w:val="both"/>
        <w:rPr>
          <w:sz w:val="22"/>
          <w:szCs w:val="22"/>
        </w:rPr>
      </w:pPr>
    </w:p>
    <w:p w14:paraId="10A07C6E" w14:textId="77777777" w:rsidR="00E81CDC" w:rsidRDefault="00E81CDC" w:rsidP="00E81CDC">
      <w:pPr>
        <w:spacing w:after="160" w:line="480" w:lineRule="auto"/>
        <w:rPr>
          <w:sz w:val="22"/>
          <w:szCs w:val="22"/>
        </w:rPr>
      </w:pPr>
    </w:p>
    <w:p w14:paraId="491D807C" w14:textId="77777777" w:rsidR="00463D6B" w:rsidRDefault="00463D6B" w:rsidP="00463D6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3D6B" w:rsidRPr="008B28E7" w14:paraId="2B87E866" w14:textId="77777777" w:rsidTr="004B66D9">
        <w:tc>
          <w:tcPr>
            <w:tcW w:w="10278" w:type="dxa"/>
          </w:tcPr>
          <w:p w14:paraId="0BD6E4B3" w14:textId="77777777" w:rsidR="00463D6B" w:rsidRPr="00EB695F" w:rsidRDefault="00463D6B" w:rsidP="004B66D9">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4E105DB9" w14:textId="77777777" w:rsidR="00463D6B" w:rsidRDefault="00463D6B" w:rsidP="004B66D9">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64E872F9" w14:textId="77777777" w:rsidR="00463D6B" w:rsidRDefault="00463D6B" w:rsidP="004B66D9">
            <w:pPr>
              <w:jc w:val="both"/>
              <w:rPr>
                <w:sz w:val="24"/>
                <w:szCs w:val="24"/>
              </w:rPr>
            </w:pPr>
          </w:p>
          <w:p w14:paraId="448FA275" w14:textId="77777777" w:rsidR="00463D6B" w:rsidRDefault="00463D6B" w:rsidP="004B66D9">
            <w:pPr>
              <w:jc w:val="both"/>
              <w:rPr>
                <w:sz w:val="24"/>
                <w:szCs w:val="24"/>
              </w:rPr>
            </w:pPr>
          </w:p>
          <w:p w14:paraId="555840D6" w14:textId="77777777" w:rsidR="00463D6B" w:rsidRDefault="00463D6B" w:rsidP="004B66D9">
            <w:pPr>
              <w:jc w:val="both"/>
              <w:rPr>
                <w:sz w:val="24"/>
                <w:szCs w:val="24"/>
              </w:rPr>
            </w:pPr>
          </w:p>
          <w:p w14:paraId="35BC45E2" w14:textId="77777777" w:rsidR="00463D6B" w:rsidRDefault="00463D6B" w:rsidP="004B66D9">
            <w:pPr>
              <w:jc w:val="both"/>
              <w:rPr>
                <w:sz w:val="24"/>
                <w:szCs w:val="24"/>
              </w:rPr>
            </w:pPr>
          </w:p>
          <w:p w14:paraId="12D1B769" w14:textId="77777777" w:rsidR="00463D6B" w:rsidRDefault="00463D6B" w:rsidP="004B66D9">
            <w:pPr>
              <w:jc w:val="both"/>
              <w:rPr>
                <w:sz w:val="24"/>
                <w:szCs w:val="24"/>
              </w:rPr>
            </w:pPr>
          </w:p>
          <w:p w14:paraId="1275F57D" w14:textId="77777777" w:rsidR="00463D6B" w:rsidRDefault="00463D6B" w:rsidP="004B66D9">
            <w:pPr>
              <w:jc w:val="both"/>
              <w:rPr>
                <w:sz w:val="24"/>
                <w:szCs w:val="24"/>
              </w:rPr>
            </w:pPr>
          </w:p>
          <w:p w14:paraId="525774AE" w14:textId="77777777" w:rsidR="00463D6B" w:rsidRDefault="00463D6B" w:rsidP="004B66D9">
            <w:pPr>
              <w:jc w:val="both"/>
              <w:rPr>
                <w:sz w:val="24"/>
                <w:szCs w:val="24"/>
              </w:rPr>
            </w:pPr>
          </w:p>
          <w:p w14:paraId="002420DD" w14:textId="77777777" w:rsidR="00463D6B" w:rsidRDefault="00463D6B" w:rsidP="004B66D9">
            <w:pPr>
              <w:jc w:val="both"/>
              <w:rPr>
                <w:sz w:val="24"/>
                <w:szCs w:val="24"/>
              </w:rPr>
            </w:pPr>
          </w:p>
          <w:p w14:paraId="050D761C" w14:textId="77777777" w:rsidR="00463D6B" w:rsidRDefault="00463D6B" w:rsidP="004B66D9">
            <w:pPr>
              <w:jc w:val="both"/>
              <w:rPr>
                <w:sz w:val="24"/>
                <w:szCs w:val="24"/>
              </w:rPr>
            </w:pPr>
          </w:p>
          <w:p w14:paraId="7078D002" w14:textId="77777777" w:rsidR="00463D6B" w:rsidRPr="006108C9" w:rsidRDefault="00463D6B" w:rsidP="004B66D9">
            <w:pPr>
              <w:jc w:val="both"/>
              <w:rPr>
                <w:sz w:val="24"/>
                <w:szCs w:val="24"/>
              </w:rPr>
            </w:pPr>
          </w:p>
          <w:p w14:paraId="65D0E202" w14:textId="77777777" w:rsidR="00463D6B" w:rsidRDefault="00463D6B" w:rsidP="004B66D9">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197B5566" w14:textId="77777777" w:rsidR="00463D6B" w:rsidRPr="006108C9" w:rsidRDefault="00463D6B" w:rsidP="004B66D9">
            <w:pPr>
              <w:jc w:val="both"/>
              <w:rPr>
                <w:sz w:val="24"/>
                <w:szCs w:val="24"/>
              </w:rPr>
            </w:pPr>
          </w:p>
        </w:tc>
      </w:tr>
    </w:tbl>
    <w:p w14:paraId="7010A1D6" w14:textId="77777777" w:rsidR="00463D6B" w:rsidRPr="00E56566" w:rsidRDefault="00463D6B" w:rsidP="00E81CDC">
      <w:pPr>
        <w:spacing w:after="160" w:line="480" w:lineRule="auto"/>
        <w:rPr>
          <w:sz w:val="22"/>
          <w:szCs w:val="22"/>
        </w:rPr>
      </w:pPr>
    </w:p>
    <w:p w14:paraId="77D25270" w14:textId="77777777" w:rsidR="00E81CDC" w:rsidRPr="00E56566" w:rsidRDefault="00E81CDC" w:rsidP="00E81CDC">
      <w:pPr>
        <w:spacing w:after="160" w:line="480" w:lineRule="auto"/>
        <w:rPr>
          <w:sz w:val="22"/>
          <w:szCs w:val="22"/>
        </w:rPr>
      </w:pPr>
      <w:r w:rsidRPr="00E56566">
        <w:rPr>
          <w:sz w:val="22"/>
          <w:szCs w:val="22"/>
        </w:rPr>
        <w:t>Safeguarding practice with children, young people and adults shares the fundamental aim of preventing harm and promoting well</w:t>
      </w:r>
      <w:r w:rsidRPr="00E56566">
        <w:rPr>
          <w:sz w:val="22"/>
          <w:szCs w:val="22"/>
        </w:rPr>
        <w:noBreakHyphen/>
        <w:t>being. However, there are significant differences in the legal frameworks, thresholds for intervention and ethical considerations that shape social work practice.</w:t>
      </w:r>
    </w:p>
    <w:p w14:paraId="5AB181A8" w14:textId="53BC216F" w:rsidR="00E81CDC" w:rsidRPr="00E56566" w:rsidRDefault="00E81CDC" w:rsidP="00E81CDC">
      <w:pPr>
        <w:spacing w:after="160" w:line="480" w:lineRule="auto"/>
        <w:rPr>
          <w:sz w:val="22"/>
          <w:szCs w:val="22"/>
        </w:rPr>
      </w:pPr>
      <w:r w:rsidRPr="00E56566">
        <w:rPr>
          <w:sz w:val="22"/>
          <w:szCs w:val="22"/>
        </w:rPr>
        <w:t xml:space="preserve">A key similarity is that safeguarding for both adults and children in Wales is underpinned by the </w:t>
      </w:r>
      <w:r w:rsidRPr="00E56566">
        <w:rPr>
          <w:i/>
          <w:iCs/>
          <w:sz w:val="22"/>
          <w:szCs w:val="22"/>
        </w:rPr>
        <w:t>Social Services and Well</w:t>
      </w:r>
      <w:r w:rsidRPr="00E56566">
        <w:rPr>
          <w:i/>
          <w:iCs/>
          <w:sz w:val="22"/>
          <w:szCs w:val="22"/>
        </w:rPr>
        <w:noBreakHyphen/>
        <w:t>being (Wales) Act 2014</w:t>
      </w:r>
      <w:r w:rsidRPr="00E56566">
        <w:rPr>
          <w:sz w:val="22"/>
          <w:szCs w:val="22"/>
        </w:rPr>
        <w:t>. The Act promotes prevention, multi</w:t>
      </w:r>
      <w:r w:rsidRPr="00E56566">
        <w:rPr>
          <w:sz w:val="22"/>
          <w:szCs w:val="22"/>
        </w:rPr>
        <w:noBreakHyphen/>
        <w:t>agency working, and in both contexts social workers are required to recognise indicators of abuse or neglect, share information appropriately and work collaboratively with partner agencies (Welsh Government, 2014). Person</w:t>
      </w:r>
      <w:r w:rsidRPr="00E56566">
        <w:rPr>
          <w:sz w:val="22"/>
          <w:szCs w:val="22"/>
        </w:rPr>
        <w:noBreakHyphen/>
        <w:t>centred and outcomes</w:t>
      </w:r>
      <w:r w:rsidRPr="00E56566">
        <w:rPr>
          <w:sz w:val="22"/>
          <w:szCs w:val="22"/>
        </w:rPr>
        <w:noBreakHyphen/>
        <w:t>focused practice is central in both areas</w:t>
      </w:r>
      <w:r w:rsidR="00371C9A" w:rsidRPr="00E56566">
        <w:rPr>
          <w:sz w:val="22"/>
          <w:szCs w:val="22"/>
        </w:rPr>
        <w:t xml:space="preserve">, however how this is applied can differ </w:t>
      </w:r>
      <w:r w:rsidR="00287DA9" w:rsidRPr="00E56566">
        <w:rPr>
          <w:sz w:val="22"/>
          <w:szCs w:val="22"/>
        </w:rPr>
        <w:t xml:space="preserve">depending on the individual’s circumstances and level of risk. </w:t>
      </w:r>
      <w:r w:rsidRPr="00E56566">
        <w:rPr>
          <w:sz w:val="22"/>
          <w:szCs w:val="22"/>
        </w:rPr>
        <w:t xml:space="preserve"> </w:t>
      </w:r>
    </w:p>
    <w:p w14:paraId="66C7E451" w14:textId="77777777" w:rsidR="00E81CDC" w:rsidRPr="00E56566" w:rsidRDefault="00E81CDC" w:rsidP="00E81CDC">
      <w:pPr>
        <w:spacing w:after="160" w:line="480" w:lineRule="auto"/>
        <w:rPr>
          <w:sz w:val="22"/>
          <w:szCs w:val="22"/>
        </w:rPr>
      </w:pPr>
      <w:r w:rsidRPr="00E56566">
        <w:rPr>
          <w:sz w:val="22"/>
          <w:szCs w:val="22"/>
        </w:rPr>
        <w:t xml:space="preserve">A significant difference relates to capacity and consent. In adult safeguarding, the </w:t>
      </w:r>
      <w:r w:rsidRPr="00E56566">
        <w:rPr>
          <w:i/>
          <w:iCs/>
          <w:sz w:val="22"/>
          <w:szCs w:val="22"/>
        </w:rPr>
        <w:t>Mental Capacity Act 2005</w:t>
      </w:r>
      <w:r w:rsidRPr="00E56566">
        <w:rPr>
          <w:sz w:val="22"/>
          <w:szCs w:val="22"/>
        </w:rPr>
        <w:t xml:space="preserve"> provides the legal framework for decision</w:t>
      </w:r>
      <w:r w:rsidRPr="00E56566">
        <w:rPr>
          <w:sz w:val="22"/>
          <w:szCs w:val="22"/>
        </w:rPr>
        <w:noBreakHyphen/>
        <w:t>making. Adults are presumed to have capacity unless proven otherwise and are entitled to make unwise decisions, even where this involves risk (Mental Capacity Act 2005). Safeguarding interventions must therefore balance protection with respect for autonomy and informed consent. In contrast, in children’s safeguarding, the child’s welfare is paramount, and consent is not required to intervene where there are safeguarding concerns.</w:t>
      </w:r>
    </w:p>
    <w:p w14:paraId="1D8EF2E9" w14:textId="528FB89F" w:rsidR="00E81CDC" w:rsidRPr="00E56566" w:rsidRDefault="00E81CDC" w:rsidP="00E81CDC">
      <w:pPr>
        <w:spacing w:after="160" w:line="480" w:lineRule="auto"/>
        <w:rPr>
          <w:sz w:val="22"/>
          <w:szCs w:val="22"/>
        </w:rPr>
      </w:pPr>
      <w:r w:rsidRPr="00E56566">
        <w:rPr>
          <w:sz w:val="22"/>
          <w:szCs w:val="22"/>
        </w:rPr>
        <w:lastRenderedPageBreak/>
        <w:t xml:space="preserve">Although </w:t>
      </w:r>
      <w:r w:rsidRPr="00E56566">
        <w:rPr>
          <w:i/>
          <w:iCs/>
          <w:sz w:val="22"/>
          <w:szCs w:val="22"/>
        </w:rPr>
        <w:t>Gillick v West Norfolk and Wisbech AHA</w:t>
      </w:r>
      <w:r w:rsidRPr="00E56566">
        <w:rPr>
          <w:sz w:val="22"/>
          <w:szCs w:val="22"/>
        </w:rPr>
        <w:t xml:space="preserve"> (1986) allows some children under 16 to consent to specific decisions where they demonstrate sufficient understanding, safeguarding concerns override this where there is a risk of significant harm. This is particularly relevant for 16–17-year-olds, who may be considered adults for decision-making under the Mental Capacity Act 2005 but remain children for safeguarding purposes under the Children Act 1989. Social workers must apply both frameworks, recognising </w:t>
      </w:r>
      <w:r w:rsidR="00526189" w:rsidRPr="00E56566">
        <w:rPr>
          <w:sz w:val="22"/>
          <w:szCs w:val="22"/>
        </w:rPr>
        <w:t>developing</w:t>
      </w:r>
      <w:r w:rsidRPr="00E56566">
        <w:rPr>
          <w:sz w:val="22"/>
          <w:szCs w:val="22"/>
        </w:rPr>
        <w:t xml:space="preserve"> autonomy while ensuring protection.</w:t>
      </w:r>
    </w:p>
    <w:p w14:paraId="10099550" w14:textId="0823F704" w:rsidR="00E81CDC" w:rsidRPr="00E56566" w:rsidRDefault="00E81CDC" w:rsidP="00E81CDC">
      <w:pPr>
        <w:spacing w:after="160" w:line="480" w:lineRule="auto"/>
        <w:rPr>
          <w:sz w:val="22"/>
          <w:szCs w:val="22"/>
        </w:rPr>
      </w:pPr>
      <w:r w:rsidRPr="00E56566">
        <w:rPr>
          <w:sz w:val="22"/>
          <w:szCs w:val="22"/>
        </w:rPr>
        <w:t xml:space="preserve">Thresholds for intervention also differ. Children’s safeguarding </w:t>
      </w:r>
      <w:r w:rsidR="009368C3" w:rsidRPr="00E56566">
        <w:rPr>
          <w:sz w:val="22"/>
          <w:szCs w:val="22"/>
        </w:rPr>
        <w:t>works</w:t>
      </w:r>
      <w:r w:rsidRPr="00E56566">
        <w:rPr>
          <w:sz w:val="22"/>
          <w:szCs w:val="22"/>
        </w:rPr>
        <w:t xml:space="preserve"> around the concept of significant harm, which triggers statutory duties to assess and intervene, often through compulsory measures such as child protection enquiries and plans (Children Act 1989, s.47). Adult safeguarding more commonly relies on partnership and negotiation unless risks are severe, criminal or the individual lacks mental capacity (Welsh Government, 2014).</w:t>
      </w:r>
    </w:p>
    <w:p w14:paraId="5AB1C82C" w14:textId="77777777" w:rsidR="00E81CDC" w:rsidRPr="00E56566" w:rsidRDefault="00E81CDC" w:rsidP="00E81CDC">
      <w:pPr>
        <w:spacing w:after="160" w:line="480" w:lineRule="auto"/>
        <w:rPr>
          <w:sz w:val="22"/>
          <w:szCs w:val="22"/>
        </w:rPr>
      </w:pPr>
      <w:r w:rsidRPr="00E56566">
        <w:rPr>
          <w:sz w:val="22"/>
          <w:szCs w:val="22"/>
        </w:rPr>
        <w:t>Another key difference is the focus on parenting capacity in children’s work. Safeguarding children often involves assessing parents’ ability to meet a child’s needs and may lead to interventions that significantly impact family life. Adult safeguarding generally focuses on the individual’s circumstances, unless carers are implicated in abuse or neglect.</w:t>
      </w:r>
    </w:p>
    <w:p w14:paraId="29F5C960" w14:textId="77777777" w:rsidR="0018432F" w:rsidRPr="00E56566" w:rsidRDefault="0018432F" w:rsidP="0018432F">
      <w:pPr>
        <w:spacing w:after="160" w:line="480" w:lineRule="auto"/>
        <w:rPr>
          <w:sz w:val="22"/>
          <w:szCs w:val="22"/>
        </w:rPr>
      </w:pPr>
      <w:r w:rsidRPr="00E56566">
        <w:rPr>
          <w:sz w:val="22"/>
          <w:szCs w:val="22"/>
        </w:rPr>
        <w:t>Reflecting on these similarities and differences highlights the importance of adapting safeguarding practice to the relevant legal and ethical context, while consistently upholding core social work values of protection, empowerment and respect.</w:t>
      </w:r>
    </w:p>
    <w:p w14:paraId="17D4F9F4" w14:textId="77777777" w:rsidR="00E81CDC" w:rsidRDefault="00E81CDC" w:rsidP="00E81CDC">
      <w:pPr>
        <w:spacing w:line="480" w:lineRule="auto"/>
        <w:rPr>
          <w:sz w:val="22"/>
          <w:szCs w:val="22"/>
        </w:rPr>
      </w:pPr>
    </w:p>
    <w:p w14:paraId="6085BD3D" w14:textId="4626777D" w:rsidR="00E81CDC" w:rsidRPr="00CF3A23" w:rsidRDefault="00E81CDC" w:rsidP="00E81CDC">
      <w:pPr>
        <w:spacing w:line="480" w:lineRule="auto"/>
        <w:rPr>
          <w:b/>
          <w:bCs/>
          <w:sz w:val="22"/>
          <w:szCs w:val="22"/>
        </w:rPr>
      </w:pPr>
      <w:r w:rsidRPr="00CF3A23">
        <w:rPr>
          <w:b/>
          <w:bCs/>
          <w:sz w:val="22"/>
          <w:szCs w:val="22"/>
        </w:rPr>
        <w:t>Words: 4</w:t>
      </w:r>
      <w:r w:rsidR="0018432F">
        <w:rPr>
          <w:b/>
          <w:bCs/>
          <w:sz w:val="22"/>
          <w:szCs w:val="22"/>
        </w:rPr>
        <w:t>23</w:t>
      </w:r>
    </w:p>
    <w:p w14:paraId="05B9B577" w14:textId="77777777" w:rsidR="00E81CDC" w:rsidRDefault="00E81CDC" w:rsidP="00E81CDC">
      <w:pPr>
        <w:spacing w:line="480" w:lineRule="auto"/>
        <w:rPr>
          <w:sz w:val="22"/>
          <w:szCs w:val="22"/>
        </w:rPr>
      </w:pPr>
    </w:p>
    <w:p w14:paraId="2A86F381" w14:textId="77777777" w:rsidR="0018432F" w:rsidRPr="00667D40" w:rsidRDefault="0018432F" w:rsidP="00E81CDC">
      <w:pPr>
        <w:spacing w:line="480" w:lineRule="auto"/>
        <w:rPr>
          <w:sz w:val="22"/>
          <w:szCs w:val="22"/>
        </w:rPr>
      </w:pPr>
    </w:p>
    <w:p w14:paraId="407343B6" w14:textId="77777777" w:rsidR="00E81CDC" w:rsidRPr="00667D40" w:rsidRDefault="00E81CDC" w:rsidP="00E81CDC">
      <w:pPr>
        <w:rPr>
          <w:sz w:val="22"/>
          <w:szCs w:val="22"/>
        </w:rPr>
      </w:pPr>
    </w:p>
    <w:p w14:paraId="20F980C6" w14:textId="77777777" w:rsidR="00E81CDC" w:rsidRPr="00667D40" w:rsidRDefault="00E81CDC" w:rsidP="00E81CDC">
      <w:pPr>
        <w:rPr>
          <w:sz w:val="22"/>
          <w:szCs w:val="22"/>
        </w:rPr>
      </w:pPr>
    </w:p>
    <w:p w14:paraId="1ECDF5BD" w14:textId="77777777" w:rsidR="00E81CDC" w:rsidRPr="00667D40" w:rsidRDefault="00E81CDC" w:rsidP="00E81CDC">
      <w:pPr>
        <w:rPr>
          <w:sz w:val="22"/>
          <w:szCs w:val="22"/>
        </w:rPr>
      </w:pPr>
    </w:p>
    <w:p w14:paraId="44F7257D" w14:textId="77777777" w:rsidR="008B31FE" w:rsidRDefault="008B31FE" w:rsidP="00FC0334">
      <w:pPr>
        <w:rPr>
          <w:sz w:val="24"/>
          <w:szCs w:val="24"/>
        </w:rPr>
      </w:pPr>
    </w:p>
    <w:sectPr w:rsidR="008B31FE"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6DCA1" w14:textId="77777777" w:rsidR="00F85D22" w:rsidRDefault="00F85D22">
      <w:r>
        <w:separator/>
      </w:r>
    </w:p>
  </w:endnote>
  <w:endnote w:type="continuationSeparator" w:id="0">
    <w:p w14:paraId="33A2BA20" w14:textId="77777777" w:rsidR="00F85D22" w:rsidRDefault="00F85D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B134D" w14:textId="77777777" w:rsidR="00F85D22" w:rsidRDefault="00F85D22">
      <w:r>
        <w:separator/>
      </w:r>
    </w:p>
  </w:footnote>
  <w:footnote w:type="continuationSeparator" w:id="0">
    <w:p w14:paraId="2B512E09" w14:textId="77777777" w:rsidR="00F85D22" w:rsidRDefault="00F85D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889"/>
    <w:rsid w:val="0002440E"/>
    <w:rsid w:val="0002759A"/>
    <w:rsid w:val="00027B1F"/>
    <w:rsid w:val="0003088B"/>
    <w:rsid w:val="000325D9"/>
    <w:rsid w:val="000372B2"/>
    <w:rsid w:val="0004079F"/>
    <w:rsid w:val="00042AAD"/>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1C1"/>
    <w:rsid w:val="000A4240"/>
    <w:rsid w:val="000A469A"/>
    <w:rsid w:val="000A584A"/>
    <w:rsid w:val="000A6458"/>
    <w:rsid w:val="000B22EA"/>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59DF"/>
    <w:rsid w:val="000F6196"/>
    <w:rsid w:val="000F6BC3"/>
    <w:rsid w:val="0010312C"/>
    <w:rsid w:val="00105026"/>
    <w:rsid w:val="0010662B"/>
    <w:rsid w:val="00106DC7"/>
    <w:rsid w:val="00112391"/>
    <w:rsid w:val="00114F52"/>
    <w:rsid w:val="00130119"/>
    <w:rsid w:val="001324DB"/>
    <w:rsid w:val="00132812"/>
    <w:rsid w:val="001347F8"/>
    <w:rsid w:val="001359EE"/>
    <w:rsid w:val="00135AB0"/>
    <w:rsid w:val="00137BB5"/>
    <w:rsid w:val="00137E05"/>
    <w:rsid w:val="001447F6"/>
    <w:rsid w:val="00147DE3"/>
    <w:rsid w:val="00150794"/>
    <w:rsid w:val="00151DA6"/>
    <w:rsid w:val="001608C4"/>
    <w:rsid w:val="00164832"/>
    <w:rsid w:val="00171418"/>
    <w:rsid w:val="001772BF"/>
    <w:rsid w:val="001772DE"/>
    <w:rsid w:val="00180A90"/>
    <w:rsid w:val="0018432F"/>
    <w:rsid w:val="0019496C"/>
    <w:rsid w:val="001961CF"/>
    <w:rsid w:val="001A59BB"/>
    <w:rsid w:val="001A607E"/>
    <w:rsid w:val="001A6A51"/>
    <w:rsid w:val="001A79C4"/>
    <w:rsid w:val="001B331A"/>
    <w:rsid w:val="001C0237"/>
    <w:rsid w:val="001C0E74"/>
    <w:rsid w:val="001C4DB8"/>
    <w:rsid w:val="001C50B8"/>
    <w:rsid w:val="001D229F"/>
    <w:rsid w:val="001E05DE"/>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DA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4F40"/>
    <w:rsid w:val="002D5A92"/>
    <w:rsid w:val="002D65D2"/>
    <w:rsid w:val="002D6B31"/>
    <w:rsid w:val="002E5BD5"/>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1C9A"/>
    <w:rsid w:val="00372DB4"/>
    <w:rsid w:val="00373A36"/>
    <w:rsid w:val="0037419E"/>
    <w:rsid w:val="00375AF5"/>
    <w:rsid w:val="003761BD"/>
    <w:rsid w:val="00377448"/>
    <w:rsid w:val="00377884"/>
    <w:rsid w:val="003826BD"/>
    <w:rsid w:val="003853F2"/>
    <w:rsid w:val="00385414"/>
    <w:rsid w:val="00390074"/>
    <w:rsid w:val="00390284"/>
    <w:rsid w:val="00392F73"/>
    <w:rsid w:val="00393600"/>
    <w:rsid w:val="0039762B"/>
    <w:rsid w:val="003A0C37"/>
    <w:rsid w:val="003A1B6B"/>
    <w:rsid w:val="003A46C0"/>
    <w:rsid w:val="003A53E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CDC"/>
    <w:rsid w:val="00401FDA"/>
    <w:rsid w:val="004046F0"/>
    <w:rsid w:val="0040668F"/>
    <w:rsid w:val="00411EF7"/>
    <w:rsid w:val="00412677"/>
    <w:rsid w:val="004138B2"/>
    <w:rsid w:val="00425160"/>
    <w:rsid w:val="00425C82"/>
    <w:rsid w:val="00430DE3"/>
    <w:rsid w:val="004348AE"/>
    <w:rsid w:val="004376C0"/>
    <w:rsid w:val="0044223A"/>
    <w:rsid w:val="00450B67"/>
    <w:rsid w:val="00451851"/>
    <w:rsid w:val="0045189A"/>
    <w:rsid w:val="00453343"/>
    <w:rsid w:val="004538C3"/>
    <w:rsid w:val="004608B9"/>
    <w:rsid w:val="00463B55"/>
    <w:rsid w:val="00463D6B"/>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428E"/>
    <w:rsid w:val="004968E2"/>
    <w:rsid w:val="004A2A49"/>
    <w:rsid w:val="004A5A64"/>
    <w:rsid w:val="004A7F9A"/>
    <w:rsid w:val="004B5553"/>
    <w:rsid w:val="004B600B"/>
    <w:rsid w:val="004B6822"/>
    <w:rsid w:val="004B69F6"/>
    <w:rsid w:val="004C2D3A"/>
    <w:rsid w:val="004D03C4"/>
    <w:rsid w:val="004D0BF1"/>
    <w:rsid w:val="004D0F4E"/>
    <w:rsid w:val="004D3278"/>
    <w:rsid w:val="004D35A4"/>
    <w:rsid w:val="004D445F"/>
    <w:rsid w:val="004E07AD"/>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189"/>
    <w:rsid w:val="005305C6"/>
    <w:rsid w:val="0053113C"/>
    <w:rsid w:val="00533053"/>
    <w:rsid w:val="00540EEC"/>
    <w:rsid w:val="005414F4"/>
    <w:rsid w:val="00546187"/>
    <w:rsid w:val="00547B11"/>
    <w:rsid w:val="00557D77"/>
    <w:rsid w:val="00562EAA"/>
    <w:rsid w:val="00563B58"/>
    <w:rsid w:val="005640C4"/>
    <w:rsid w:val="0056684C"/>
    <w:rsid w:val="00573D6C"/>
    <w:rsid w:val="00574A0C"/>
    <w:rsid w:val="0057780F"/>
    <w:rsid w:val="00581E0A"/>
    <w:rsid w:val="005838D1"/>
    <w:rsid w:val="00585AB2"/>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B27"/>
    <w:rsid w:val="005E13EA"/>
    <w:rsid w:val="005E17F1"/>
    <w:rsid w:val="005F64AA"/>
    <w:rsid w:val="005F7851"/>
    <w:rsid w:val="00603B57"/>
    <w:rsid w:val="00606E27"/>
    <w:rsid w:val="006108C9"/>
    <w:rsid w:val="00614DF7"/>
    <w:rsid w:val="00615F92"/>
    <w:rsid w:val="006179BB"/>
    <w:rsid w:val="0062158D"/>
    <w:rsid w:val="006223FD"/>
    <w:rsid w:val="006326D1"/>
    <w:rsid w:val="00632E0A"/>
    <w:rsid w:val="00633165"/>
    <w:rsid w:val="006447DE"/>
    <w:rsid w:val="00644889"/>
    <w:rsid w:val="00651945"/>
    <w:rsid w:val="0065276E"/>
    <w:rsid w:val="00654329"/>
    <w:rsid w:val="00654CEC"/>
    <w:rsid w:val="00655507"/>
    <w:rsid w:val="006579FD"/>
    <w:rsid w:val="006635E3"/>
    <w:rsid w:val="006669F3"/>
    <w:rsid w:val="00667D40"/>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7068"/>
    <w:rsid w:val="007D0A07"/>
    <w:rsid w:val="007D0F11"/>
    <w:rsid w:val="007D133D"/>
    <w:rsid w:val="007D3EB4"/>
    <w:rsid w:val="007D3F16"/>
    <w:rsid w:val="007F10BD"/>
    <w:rsid w:val="007F312E"/>
    <w:rsid w:val="007F3F7E"/>
    <w:rsid w:val="007F4BA4"/>
    <w:rsid w:val="007F612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645"/>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1FE"/>
    <w:rsid w:val="008B67F6"/>
    <w:rsid w:val="008C14C7"/>
    <w:rsid w:val="008C2FFB"/>
    <w:rsid w:val="008C633F"/>
    <w:rsid w:val="008C6EEA"/>
    <w:rsid w:val="008C7770"/>
    <w:rsid w:val="008C79C7"/>
    <w:rsid w:val="008D03B0"/>
    <w:rsid w:val="008D1E7D"/>
    <w:rsid w:val="008D2150"/>
    <w:rsid w:val="008D5813"/>
    <w:rsid w:val="008D5999"/>
    <w:rsid w:val="008D634E"/>
    <w:rsid w:val="008D778A"/>
    <w:rsid w:val="008D78C9"/>
    <w:rsid w:val="008E3195"/>
    <w:rsid w:val="008E4E3F"/>
    <w:rsid w:val="008E5A35"/>
    <w:rsid w:val="008F127E"/>
    <w:rsid w:val="008F32D9"/>
    <w:rsid w:val="00902A65"/>
    <w:rsid w:val="00903932"/>
    <w:rsid w:val="009079BD"/>
    <w:rsid w:val="00912BD9"/>
    <w:rsid w:val="00916FB2"/>
    <w:rsid w:val="00920E5B"/>
    <w:rsid w:val="00926436"/>
    <w:rsid w:val="00926C53"/>
    <w:rsid w:val="0093018C"/>
    <w:rsid w:val="0093100C"/>
    <w:rsid w:val="009368C3"/>
    <w:rsid w:val="0094495F"/>
    <w:rsid w:val="009544C0"/>
    <w:rsid w:val="00954FA4"/>
    <w:rsid w:val="00956AE9"/>
    <w:rsid w:val="00964CC6"/>
    <w:rsid w:val="00967BFA"/>
    <w:rsid w:val="0097661B"/>
    <w:rsid w:val="0098262C"/>
    <w:rsid w:val="0098427C"/>
    <w:rsid w:val="00986B43"/>
    <w:rsid w:val="00986C0B"/>
    <w:rsid w:val="00986D46"/>
    <w:rsid w:val="00991FDA"/>
    <w:rsid w:val="00992ACA"/>
    <w:rsid w:val="009A4C67"/>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F01"/>
    <w:rsid w:val="009E4D2C"/>
    <w:rsid w:val="009E78EA"/>
    <w:rsid w:val="009F0978"/>
    <w:rsid w:val="009F3AEC"/>
    <w:rsid w:val="009F6801"/>
    <w:rsid w:val="00A00081"/>
    <w:rsid w:val="00A06422"/>
    <w:rsid w:val="00A10D56"/>
    <w:rsid w:val="00A12AAE"/>
    <w:rsid w:val="00A12F22"/>
    <w:rsid w:val="00A16BDC"/>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3F82"/>
    <w:rsid w:val="00A7489E"/>
    <w:rsid w:val="00A8015F"/>
    <w:rsid w:val="00A85039"/>
    <w:rsid w:val="00A873A2"/>
    <w:rsid w:val="00A906AA"/>
    <w:rsid w:val="00A94C5E"/>
    <w:rsid w:val="00AA252C"/>
    <w:rsid w:val="00AA666E"/>
    <w:rsid w:val="00AA7960"/>
    <w:rsid w:val="00AB5518"/>
    <w:rsid w:val="00AC3A0E"/>
    <w:rsid w:val="00AC4A04"/>
    <w:rsid w:val="00AC5679"/>
    <w:rsid w:val="00AD336F"/>
    <w:rsid w:val="00AD6B70"/>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77661"/>
    <w:rsid w:val="00B82CC2"/>
    <w:rsid w:val="00B84A89"/>
    <w:rsid w:val="00B9256C"/>
    <w:rsid w:val="00B92BEF"/>
    <w:rsid w:val="00B94443"/>
    <w:rsid w:val="00B962BB"/>
    <w:rsid w:val="00B9689A"/>
    <w:rsid w:val="00B97056"/>
    <w:rsid w:val="00BA531E"/>
    <w:rsid w:val="00BA728B"/>
    <w:rsid w:val="00BB06CB"/>
    <w:rsid w:val="00BB261F"/>
    <w:rsid w:val="00BB2887"/>
    <w:rsid w:val="00BB3B56"/>
    <w:rsid w:val="00BB5EAA"/>
    <w:rsid w:val="00BB5F11"/>
    <w:rsid w:val="00BB6638"/>
    <w:rsid w:val="00BB780C"/>
    <w:rsid w:val="00BB7FD2"/>
    <w:rsid w:val="00BC04FA"/>
    <w:rsid w:val="00BC1C22"/>
    <w:rsid w:val="00BC460B"/>
    <w:rsid w:val="00BC4ED3"/>
    <w:rsid w:val="00BC5725"/>
    <w:rsid w:val="00BD30B1"/>
    <w:rsid w:val="00BE0F7B"/>
    <w:rsid w:val="00BE10C2"/>
    <w:rsid w:val="00BF0D6C"/>
    <w:rsid w:val="00BF3D28"/>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E64"/>
    <w:rsid w:val="00D44F8E"/>
    <w:rsid w:val="00D51FD5"/>
    <w:rsid w:val="00D55DE0"/>
    <w:rsid w:val="00D607EF"/>
    <w:rsid w:val="00D60F88"/>
    <w:rsid w:val="00D646BD"/>
    <w:rsid w:val="00D65558"/>
    <w:rsid w:val="00D65723"/>
    <w:rsid w:val="00D71201"/>
    <w:rsid w:val="00D720C7"/>
    <w:rsid w:val="00D84841"/>
    <w:rsid w:val="00D876E6"/>
    <w:rsid w:val="00D90958"/>
    <w:rsid w:val="00D91189"/>
    <w:rsid w:val="00DA1025"/>
    <w:rsid w:val="00DA22EC"/>
    <w:rsid w:val="00DA5682"/>
    <w:rsid w:val="00DA5860"/>
    <w:rsid w:val="00DA5C0C"/>
    <w:rsid w:val="00DB2767"/>
    <w:rsid w:val="00DC0300"/>
    <w:rsid w:val="00DC1B10"/>
    <w:rsid w:val="00DC2924"/>
    <w:rsid w:val="00DC38D6"/>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6566"/>
    <w:rsid w:val="00E60F42"/>
    <w:rsid w:val="00E643CF"/>
    <w:rsid w:val="00E6746C"/>
    <w:rsid w:val="00E7086E"/>
    <w:rsid w:val="00E71248"/>
    <w:rsid w:val="00E73C41"/>
    <w:rsid w:val="00E75911"/>
    <w:rsid w:val="00E7598F"/>
    <w:rsid w:val="00E76F60"/>
    <w:rsid w:val="00E812B5"/>
    <w:rsid w:val="00E81CDC"/>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EF8"/>
    <w:rsid w:val="00ED1B30"/>
    <w:rsid w:val="00ED5D03"/>
    <w:rsid w:val="00EE01ED"/>
    <w:rsid w:val="00EE1AC1"/>
    <w:rsid w:val="00EE39D6"/>
    <w:rsid w:val="00EE52AD"/>
    <w:rsid w:val="00EE5BC3"/>
    <w:rsid w:val="00EE6FAB"/>
    <w:rsid w:val="00EF328C"/>
    <w:rsid w:val="00EF68BB"/>
    <w:rsid w:val="00F01F92"/>
    <w:rsid w:val="00F030D4"/>
    <w:rsid w:val="00F04053"/>
    <w:rsid w:val="00F05A4C"/>
    <w:rsid w:val="00F06573"/>
    <w:rsid w:val="00F10A08"/>
    <w:rsid w:val="00F15354"/>
    <w:rsid w:val="00F22AC5"/>
    <w:rsid w:val="00F2431B"/>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2952"/>
    <w:rsid w:val="00F72AFE"/>
    <w:rsid w:val="00F77854"/>
    <w:rsid w:val="00F81FEC"/>
    <w:rsid w:val="00F85D22"/>
    <w:rsid w:val="00F927A1"/>
    <w:rsid w:val="00F92E4D"/>
    <w:rsid w:val="00F95D08"/>
    <w:rsid w:val="00FA0497"/>
    <w:rsid w:val="00FA23BD"/>
    <w:rsid w:val="00FA3294"/>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A56"/>
    <w:rsid w:val="00FF5F6A"/>
    <w:rsid w:val="00FF7784"/>
    <w:rsid w:val="00FF7EBB"/>
    <w:rsid w:val="01563B37"/>
    <w:rsid w:val="025C6127"/>
    <w:rsid w:val="0283E5F0"/>
    <w:rsid w:val="035CE563"/>
    <w:rsid w:val="03CC700C"/>
    <w:rsid w:val="03D0C10C"/>
    <w:rsid w:val="04770B8A"/>
    <w:rsid w:val="04D3B2CE"/>
    <w:rsid w:val="053D23C6"/>
    <w:rsid w:val="06783AA2"/>
    <w:rsid w:val="06D13DAE"/>
    <w:rsid w:val="06F34FBA"/>
    <w:rsid w:val="07AF858D"/>
    <w:rsid w:val="0895A14B"/>
    <w:rsid w:val="0A27561F"/>
    <w:rsid w:val="0B0347E0"/>
    <w:rsid w:val="0CE8605B"/>
    <w:rsid w:val="0D193B7D"/>
    <w:rsid w:val="0D30B9DB"/>
    <w:rsid w:val="0D80B037"/>
    <w:rsid w:val="0D8C05F9"/>
    <w:rsid w:val="0D9ECDFA"/>
    <w:rsid w:val="0EDBA8BD"/>
    <w:rsid w:val="0F04A057"/>
    <w:rsid w:val="0F2B140F"/>
    <w:rsid w:val="0F77E214"/>
    <w:rsid w:val="102A3950"/>
    <w:rsid w:val="10904BF9"/>
    <w:rsid w:val="10D749D5"/>
    <w:rsid w:val="121FB1B7"/>
    <w:rsid w:val="129BB562"/>
    <w:rsid w:val="12F46C8C"/>
    <w:rsid w:val="14E55E54"/>
    <w:rsid w:val="15B21EA4"/>
    <w:rsid w:val="1627A047"/>
    <w:rsid w:val="165F8B78"/>
    <w:rsid w:val="1661DBBC"/>
    <w:rsid w:val="16BDB770"/>
    <w:rsid w:val="1714F66E"/>
    <w:rsid w:val="182D0C30"/>
    <w:rsid w:val="18FA07C0"/>
    <w:rsid w:val="19A0B2E9"/>
    <w:rsid w:val="1A28A58D"/>
    <w:rsid w:val="1B0FBC5A"/>
    <w:rsid w:val="1B4C882E"/>
    <w:rsid w:val="1D53B054"/>
    <w:rsid w:val="1D6670C0"/>
    <w:rsid w:val="20D0D72A"/>
    <w:rsid w:val="219BBE44"/>
    <w:rsid w:val="21CFAFAE"/>
    <w:rsid w:val="22365B0D"/>
    <w:rsid w:val="230FA6B9"/>
    <w:rsid w:val="23E1EC10"/>
    <w:rsid w:val="240100B1"/>
    <w:rsid w:val="24D4E93A"/>
    <w:rsid w:val="250C393B"/>
    <w:rsid w:val="25F327FB"/>
    <w:rsid w:val="26BF57ED"/>
    <w:rsid w:val="26D0797D"/>
    <w:rsid w:val="26DE1846"/>
    <w:rsid w:val="27747A2E"/>
    <w:rsid w:val="27B81414"/>
    <w:rsid w:val="289DDE72"/>
    <w:rsid w:val="28F1FF9E"/>
    <w:rsid w:val="2A4A597C"/>
    <w:rsid w:val="2A776DC6"/>
    <w:rsid w:val="2C030924"/>
    <w:rsid w:val="2CD7C7CC"/>
    <w:rsid w:val="2CDFB560"/>
    <w:rsid w:val="2DC87C98"/>
    <w:rsid w:val="2E55808E"/>
    <w:rsid w:val="2E5939F5"/>
    <w:rsid w:val="2F90E210"/>
    <w:rsid w:val="30A6948F"/>
    <w:rsid w:val="322513AD"/>
    <w:rsid w:val="325D08EF"/>
    <w:rsid w:val="3353280C"/>
    <w:rsid w:val="3459924E"/>
    <w:rsid w:val="3498D05F"/>
    <w:rsid w:val="34A1032C"/>
    <w:rsid w:val="350F702B"/>
    <w:rsid w:val="3517D1D9"/>
    <w:rsid w:val="35B8C759"/>
    <w:rsid w:val="364AF8A5"/>
    <w:rsid w:val="369C8267"/>
    <w:rsid w:val="373C8626"/>
    <w:rsid w:val="38BEC60B"/>
    <w:rsid w:val="39C47EB7"/>
    <w:rsid w:val="3ADF03BE"/>
    <w:rsid w:val="3AE51EC7"/>
    <w:rsid w:val="3B2446CA"/>
    <w:rsid w:val="3B2C4091"/>
    <w:rsid w:val="3BE7216C"/>
    <w:rsid w:val="3C06DA9E"/>
    <w:rsid w:val="3C19B94A"/>
    <w:rsid w:val="3CA50B99"/>
    <w:rsid w:val="3CD2139F"/>
    <w:rsid w:val="3CE7CBA8"/>
    <w:rsid w:val="3D962690"/>
    <w:rsid w:val="3EE31E8D"/>
    <w:rsid w:val="41349B64"/>
    <w:rsid w:val="41A5A573"/>
    <w:rsid w:val="41FCAF4A"/>
    <w:rsid w:val="423437F1"/>
    <w:rsid w:val="44EA68F2"/>
    <w:rsid w:val="4599DD80"/>
    <w:rsid w:val="46B58F97"/>
    <w:rsid w:val="46E38972"/>
    <w:rsid w:val="4748DA08"/>
    <w:rsid w:val="483EEF6C"/>
    <w:rsid w:val="4868D652"/>
    <w:rsid w:val="488A33B2"/>
    <w:rsid w:val="48C1DA54"/>
    <w:rsid w:val="48D4DF14"/>
    <w:rsid w:val="49A08C4F"/>
    <w:rsid w:val="49E38CDA"/>
    <w:rsid w:val="49FF326B"/>
    <w:rsid w:val="4A356110"/>
    <w:rsid w:val="4B675CE8"/>
    <w:rsid w:val="4BCDE19D"/>
    <w:rsid w:val="4C850C3C"/>
    <w:rsid w:val="4D2D8025"/>
    <w:rsid w:val="4DDB9A02"/>
    <w:rsid w:val="4EC15626"/>
    <w:rsid w:val="4EC4A02F"/>
    <w:rsid w:val="4ECF827F"/>
    <w:rsid w:val="4ED61B9A"/>
    <w:rsid w:val="513585DA"/>
    <w:rsid w:val="5158DB01"/>
    <w:rsid w:val="51C116BA"/>
    <w:rsid w:val="51C6510E"/>
    <w:rsid w:val="530471D7"/>
    <w:rsid w:val="5329D3D3"/>
    <w:rsid w:val="534A9052"/>
    <w:rsid w:val="53BAD3F4"/>
    <w:rsid w:val="577E9AE8"/>
    <w:rsid w:val="57ADAFCF"/>
    <w:rsid w:val="581D9493"/>
    <w:rsid w:val="59656D0C"/>
    <w:rsid w:val="59EF9C14"/>
    <w:rsid w:val="5A0AA691"/>
    <w:rsid w:val="5A453747"/>
    <w:rsid w:val="5A9E357D"/>
    <w:rsid w:val="5C371BFF"/>
    <w:rsid w:val="5E75AB87"/>
    <w:rsid w:val="5EE62511"/>
    <w:rsid w:val="5F031A6E"/>
    <w:rsid w:val="6065166A"/>
    <w:rsid w:val="60F81712"/>
    <w:rsid w:val="6185776C"/>
    <w:rsid w:val="623F2A43"/>
    <w:rsid w:val="63A0D8E5"/>
    <w:rsid w:val="63A1FAF3"/>
    <w:rsid w:val="64106B7E"/>
    <w:rsid w:val="64AA70F5"/>
    <w:rsid w:val="6531D631"/>
    <w:rsid w:val="66231B09"/>
    <w:rsid w:val="678A7E8E"/>
    <w:rsid w:val="68CCE75A"/>
    <w:rsid w:val="69904927"/>
    <w:rsid w:val="69CA8342"/>
    <w:rsid w:val="6A6BA477"/>
    <w:rsid w:val="6A854C79"/>
    <w:rsid w:val="6B2D15C8"/>
    <w:rsid w:val="6BADAB3E"/>
    <w:rsid w:val="6D1724F2"/>
    <w:rsid w:val="6D1B720D"/>
    <w:rsid w:val="6D4748C2"/>
    <w:rsid w:val="6DBA418C"/>
    <w:rsid w:val="6E091275"/>
    <w:rsid w:val="6E4F6729"/>
    <w:rsid w:val="6EEF356E"/>
    <w:rsid w:val="70A81A81"/>
    <w:rsid w:val="72451E0B"/>
    <w:rsid w:val="72B097EA"/>
    <w:rsid w:val="72B54B54"/>
    <w:rsid w:val="72F8E4F6"/>
    <w:rsid w:val="732985A0"/>
    <w:rsid w:val="7331E4ED"/>
    <w:rsid w:val="73636EC2"/>
    <w:rsid w:val="7368B423"/>
    <w:rsid w:val="7371B8BF"/>
    <w:rsid w:val="745329EC"/>
    <w:rsid w:val="748B3D85"/>
    <w:rsid w:val="756EEE2D"/>
    <w:rsid w:val="7645D2F6"/>
    <w:rsid w:val="77387C12"/>
    <w:rsid w:val="78FE2415"/>
    <w:rsid w:val="79EFF70A"/>
    <w:rsid w:val="79F82AFD"/>
    <w:rsid w:val="7A20EDA6"/>
    <w:rsid w:val="7AAB400D"/>
    <w:rsid w:val="7AC29F21"/>
    <w:rsid w:val="7B2CF1A9"/>
    <w:rsid w:val="7C995B2A"/>
    <w:rsid w:val="7D512AF8"/>
    <w:rsid w:val="7E7C0A15"/>
    <w:rsid w:val="7E95C208"/>
    <w:rsid w:val="7E97696C"/>
    <w:rsid w:val="7EEB6B90"/>
    <w:rsid w:val="7F2B57DC"/>
    <w:rsid w:val="7F3C03E7"/>
    <w:rsid w:val="7FD8067A"/>
    <w:rsid w:val="7FFB75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4D0E449D-05CB-49F2-BE6F-5D47BEE68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C03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929787">
      <w:bodyDiv w:val="1"/>
      <w:marLeft w:val="0"/>
      <w:marRight w:val="0"/>
      <w:marTop w:val="0"/>
      <w:marBottom w:val="0"/>
      <w:divBdr>
        <w:top w:val="none" w:sz="0" w:space="0" w:color="auto"/>
        <w:left w:val="none" w:sz="0" w:space="0" w:color="auto"/>
        <w:bottom w:val="none" w:sz="0" w:space="0" w:color="auto"/>
        <w:right w:val="none" w:sz="0" w:space="0" w:color="auto"/>
      </w:divBdr>
      <w:divsChild>
        <w:div w:id="350834891">
          <w:marLeft w:val="0"/>
          <w:marRight w:val="0"/>
          <w:marTop w:val="0"/>
          <w:marBottom w:val="0"/>
          <w:divBdr>
            <w:top w:val="none" w:sz="0" w:space="0" w:color="auto"/>
            <w:left w:val="none" w:sz="0" w:space="0" w:color="auto"/>
            <w:bottom w:val="none" w:sz="0" w:space="0" w:color="auto"/>
            <w:right w:val="none" w:sz="0" w:space="0" w:color="auto"/>
          </w:divBdr>
        </w:div>
      </w:divsChild>
    </w:div>
    <w:div w:id="274018911">
      <w:bodyDiv w:val="1"/>
      <w:marLeft w:val="0"/>
      <w:marRight w:val="0"/>
      <w:marTop w:val="0"/>
      <w:marBottom w:val="0"/>
      <w:divBdr>
        <w:top w:val="none" w:sz="0" w:space="0" w:color="auto"/>
        <w:left w:val="none" w:sz="0" w:space="0" w:color="auto"/>
        <w:bottom w:val="none" w:sz="0" w:space="0" w:color="auto"/>
        <w:right w:val="none" w:sz="0" w:space="0" w:color="auto"/>
      </w:divBdr>
      <w:divsChild>
        <w:div w:id="359429212">
          <w:marLeft w:val="0"/>
          <w:marRight w:val="0"/>
          <w:marTop w:val="0"/>
          <w:marBottom w:val="0"/>
          <w:divBdr>
            <w:top w:val="none" w:sz="0" w:space="0" w:color="auto"/>
            <w:left w:val="none" w:sz="0" w:space="0" w:color="auto"/>
            <w:bottom w:val="none" w:sz="0" w:space="0" w:color="auto"/>
            <w:right w:val="none" w:sz="0" w:space="0" w:color="auto"/>
          </w:divBdr>
        </w:div>
      </w:divsChild>
    </w:div>
    <w:div w:id="388001323">
      <w:bodyDiv w:val="1"/>
      <w:marLeft w:val="0"/>
      <w:marRight w:val="0"/>
      <w:marTop w:val="0"/>
      <w:marBottom w:val="0"/>
      <w:divBdr>
        <w:top w:val="none" w:sz="0" w:space="0" w:color="auto"/>
        <w:left w:val="none" w:sz="0" w:space="0" w:color="auto"/>
        <w:bottom w:val="none" w:sz="0" w:space="0" w:color="auto"/>
        <w:right w:val="none" w:sz="0" w:space="0" w:color="auto"/>
      </w:divBdr>
    </w:div>
    <w:div w:id="407581649">
      <w:bodyDiv w:val="1"/>
      <w:marLeft w:val="0"/>
      <w:marRight w:val="0"/>
      <w:marTop w:val="0"/>
      <w:marBottom w:val="0"/>
      <w:divBdr>
        <w:top w:val="none" w:sz="0" w:space="0" w:color="auto"/>
        <w:left w:val="none" w:sz="0" w:space="0" w:color="auto"/>
        <w:bottom w:val="none" w:sz="0" w:space="0" w:color="auto"/>
        <w:right w:val="none" w:sz="0" w:space="0" w:color="auto"/>
      </w:divBdr>
      <w:divsChild>
        <w:div w:id="945768790">
          <w:marLeft w:val="0"/>
          <w:marRight w:val="0"/>
          <w:marTop w:val="0"/>
          <w:marBottom w:val="0"/>
          <w:divBdr>
            <w:top w:val="none" w:sz="0" w:space="0" w:color="auto"/>
            <w:left w:val="none" w:sz="0" w:space="0" w:color="auto"/>
            <w:bottom w:val="none" w:sz="0" w:space="0" w:color="auto"/>
            <w:right w:val="none" w:sz="0" w:space="0" w:color="auto"/>
          </w:divBdr>
        </w:div>
      </w:divsChild>
    </w:div>
    <w:div w:id="486634013">
      <w:bodyDiv w:val="1"/>
      <w:marLeft w:val="0"/>
      <w:marRight w:val="0"/>
      <w:marTop w:val="0"/>
      <w:marBottom w:val="0"/>
      <w:divBdr>
        <w:top w:val="none" w:sz="0" w:space="0" w:color="auto"/>
        <w:left w:val="none" w:sz="0" w:space="0" w:color="auto"/>
        <w:bottom w:val="none" w:sz="0" w:space="0" w:color="auto"/>
        <w:right w:val="none" w:sz="0" w:space="0" w:color="auto"/>
      </w:divBdr>
      <w:divsChild>
        <w:div w:id="989213086">
          <w:marLeft w:val="0"/>
          <w:marRight w:val="0"/>
          <w:marTop w:val="0"/>
          <w:marBottom w:val="0"/>
          <w:divBdr>
            <w:top w:val="none" w:sz="0" w:space="0" w:color="auto"/>
            <w:left w:val="none" w:sz="0" w:space="0" w:color="auto"/>
            <w:bottom w:val="none" w:sz="0" w:space="0" w:color="auto"/>
            <w:right w:val="none" w:sz="0" w:space="0" w:color="auto"/>
          </w:divBdr>
        </w:div>
      </w:divsChild>
    </w:div>
    <w:div w:id="633755156">
      <w:bodyDiv w:val="1"/>
      <w:marLeft w:val="0"/>
      <w:marRight w:val="0"/>
      <w:marTop w:val="0"/>
      <w:marBottom w:val="0"/>
      <w:divBdr>
        <w:top w:val="none" w:sz="0" w:space="0" w:color="auto"/>
        <w:left w:val="none" w:sz="0" w:space="0" w:color="auto"/>
        <w:bottom w:val="none" w:sz="0" w:space="0" w:color="auto"/>
        <w:right w:val="none" w:sz="0" w:space="0" w:color="auto"/>
      </w:divBdr>
      <w:divsChild>
        <w:div w:id="215245311">
          <w:marLeft w:val="0"/>
          <w:marRight w:val="0"/>
          <w:marTop w:val="0"/>
          <w:marBottom w:val="0"/>
          <w:divBdr>
            <w:top w:val="none" w:sz="0" w:space="0" w:color="auto"/>
            <w:left w:val="none" w:sz="0" w:space="0" w:color="auto"/>
            <w:bottom w:val="none" w:sz="0" w:space="0" w:color="auto"/>
            <w:right w:val="none" w:sz="0" w:space="0" w:color="auto"/>
          </w:divBdr>
        </w:div>
      </w:divsChild>
    </w:div>
    <w:div w:id="70818250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46582078">
      <w:bodyDiv w:val="1"/>
      <w:marLeft w:val="0"/>
      <w:marRight w:val="0"/>
      <w:marTop w:val="0"/>
      <w:marBottom w:val="0"/>
      <w:divBdr>
        <w:top w:val="none" w:sz="0" w:space="0" w:color="auto"/>
        <w:left w:val="none" w:sz="0" w:space="0" w:color="auto"/>
        <w:bottom w:val="none" w:sz="0" w:space="0" w:color="auto"/>
        <w:right w:val="none" w:sz="0" w:space="0" w:color="auto"/>
      </w:divBdr>
      <w:divsChild>
        <w:div w:id="59560176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0667657">
      <w:bodyDiv w:val="1"/>
      <w:marLeft w:val="0"/>
      <w:marRight w:val="0"/>
      <w:marTop w:val="0"/>
      <w:marBottom w:val="0"/>
      <w:divBdr>
        <w:top w:val="none" w:sz="0" w:space="0" w:color="auto"/>
        <w:left w:val="none" w:sz="0" w:space="0" w:color="auto"/>
        <w:bottom w:val="none" w:sz="0" w:space="0" w:color="auto"/>
        <w:right w:val="none" w:sz="0" w:space="0" w:color="auto"/>
      </w:divBdr>
      <w:divsChild>
        <w:div w:id="1037462698">
          <w:marLeft w:val="0"/>
          <w:marRight w:val="0"/>
          <w:marTop w:val="0"/>
          <w:marBottom w:val="0"/>
          <w:divBdr>
            <w:top w:val="none" w:sz="0" w:space="0" w:color="auto"/>
            <w:left w:val="none" w:sz="0" w:space="0" w:color="auto"/>
            <w:bottom w:val="none" w:sz="0" w:space="0" w:color="auto"/>
            <w:right w:val="none" w:sz="0" w:space="0" w:color="auto"/>
          </w:divBdr>
        </w:div>
      </w:divsChild>
    </w:div>
    <w:div w:id="1596353839">
      <w:bodyDiv w:val="1"/>
      <w:marLeft w:val="0"/>
      <w:marRight w:val="0"/>
      <w:marTop w:val="0"/>
      <w:marBottom w:val="0"/>
      <w:divBdr>
        <w:top w:val="none" w:sz="0" w:space="0" w:color="auto"/>
        <w:left w:val="none" w:sz="0" w:space="0" w:color="auto"/>
        <w:bottom w:val="none" w:sz="0" w:space="0" w:color="auto"/>
        <w:right w:val="none" w:sz="0" w:space="0" w:color="auto"/>
      </w:divBdr>
    </w:div>
    <w:div w:id="1896891899">
      <w:bodyDiv w:val="1"/>
      <w:marLeft w:val="0"/>
      <w:marRight w:val="0"/>
      <w:marTop w:val="0"/>
      <w:marBottom w:val="0"/>
      <w:divBdr>
        <w:top w:val="none" w:sz="0" w:space="0" w:color="auto"/>
        <w:left w:val="none" w:sz="0" w:space="0" w:color="auto"/>
        <w:bottom w:val="none" w:sz="0" w:space="0" w:color="auto"/>
        <w:right w:val="none" w:sz="0" w:space="0" w:color="auto"/>
      </w:divBdr>
      <w:divsChild>
        <w:div w:id="1683045563">
          <w:marLeft w:val="0"/>
          <w:marRight w:val="0"/>
          <w:marTop w:val="0"/>
          <w:marBottom w:val="0"/>
          <w:divBdr>
            <w:top w:val="none" w:sz="0" w:space="0" w:color="auto"/>
            <w:left w:val="none" w:sz="0" w:space="0" w:color="auto"/>
            <w:bottom w:val="none" w:sz="0" w:space="0" w:color="auto"/>
            <w:right w:val="none" w:sz="0" w:space="0" w:color="auto"/>
          </w:divBdr>
        </w:div>
      </w:divsChild>
    </w:div>
    <w:div w:id="19559433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F0B331A3592484994A33F735A963EF1" ma:contentTypeVersion="6" ma:contentTypeDescription="Create a new document." ma:contentTypeScope="" ma:versionID="e00d530d8ef3ab336976edb20ed66033">
  <xsd:schema xmlns:xsd="http://www.w3.org/2001/XMLSchema" xmlns:xs="http://www.w3.org/2001/XMLSchema" xmlns:p="http://schemas.microsoft.com/office/2006/metadata/properties" xmlns:ns2="c524e033-9d3a-460b-9b7d-ff25581b02f5" xmlns:ns3="3dd42fbc-72c6-46a7-98de-79ca0768b3bf" targetNamespace="http://schemas.microsoft.com/office/2006/metadata/properties" ma:root="true" ma:fieldsID="059a41ccaac05b7119862e62b48a3e45" ns2:_="" ns3:_="">
    <xsd:import namespace="c524e033-9d3a-460b-9b7d-ff25581b02f5"/>
    <xsd:import namespace="3dd42fbc-72c6-46a7-98de-79ca0768b3b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24e033-9d3a-460b-9b7d-ff25581b02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d42fbc-72c6-46a7-98de-79ca0768b3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ACFFFD45-C4ED-4AF3-AE8A-A555E7FCE8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24e033-9d3a-460b-9b7d-ff25581b02f5"/>
    <ds:schemaRef ds:uri="3dd42fbc-72c6-46a7-98de-79ca0768b3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F1191081-64CC-44F0-8901-DED29EC866B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1187</Words>
  <Characters>7291</Characters>
  <Application>Microsoft Office Word</Application>
  <DocSecurity>0</DocSecurity>
  <Lines>177</Lines>
  <Paragraphs>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Kelsey</cp:lastModifiedBy>
  <cp:revision>4</cp:revision>
  <cp:lastPrinted>2020-02-12T03:20:00Z</cp:lastPrinted>
  <dcterms:created xsi:type="dcterms:W3CDTF">2026-02-10T22:32:00Z</dcterms:created>
  <dcterms:modified xsi:type="dcterms:W3CDTF">2026-02-10T22:44:00Z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0x010100FF0B331A3592484994A33F735A963EF1</vt:lpwstr>
  </property>
</Properties>
</file>