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rFonts w:ascii="Arial" w:cs="Arial" w:hAnsi="Arial" w:eastAsia="Arial"/>
          <w:u w:val="single"/>
        </w:rPr>
      </w:pPr>
    </w:p>
    <w:p>
      <w:pPr>
        <w:pStyle w:val="Body"/>
        <w:jc w:val="center"/>
        <w:rPr>
          <w:rFonts w:ascii="Arial" w:cs="Arial" w:hAnsi="Arial" w:eastAsia="Arial"/>
          <w:u w:val="single"/>
        </w:rPr>
      </w:pPr>
      <w:r>
        <w:rPr>
          <w:rFonts w:ascii="Arial" w:cs="Arial" w:hAnsi="Arial" w:eastAsia="Arial"/>
          <w:u w:val="single"/>
        </w:rPr>
        <w:drawing>
          <wp:anchor distT="0" distB="0" distL="0" distR="0" simplePos="0" relativeHeight="251659264" behindDoc="0" locked="0" layoutInCell="1" allowOverlap="1">
            <wp:simplePos x="0" y="0"/>
            <wp:positionH relativeFrom="margin">
              <wp:posOffset>0</wp:posOffset>
            </wp:positionH>
            <wp:positionV relativeFrom="line">
              <wp:posOffset>4762</wp:posOffset>
            </wp:positionV>
            <wp:extent cx="1908049" cy="635661"/>
            <wp:effectExtent l="0" t="0" r="0" b="0"/>
            <wp:wrapTopAndBottom distT="0" dist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8049" cy="635661"/>
                    </a:xfrm>
                    <a:prstGeom prst="rect">
                      <a:avLst/>
                    </a:prstGeom>
                    <a:ln w="9525" cap="flat">
                      <a:solidFill>
                        <a:srgbClr val="7E786C"/>
                      </a:solidFill>
                      <a:prstDash val="solid"/>
                      <a:miter lim="400000"/>
                    </a:ln>
                    <a:effectLst>
                      <a:outerShdw sx="100000" sy="100000" kx="0" ky="0" algn="b" rotWithShape="0" blurRad="25400" dist="12700" dir="4080000">
                        <a:srgbClr val="000000">
                          <a:alpha val="50000"/>
                        </a:srgbClr>
                      </a:outerShdw>
                    </a:effectLst>
                  </pic:spPr>
                </pic:pic>
              </a:graphicData>
            </a:graphic>
          </wp:anchor>
        </w:drawing>
      </w: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14:textOutline>
            <w14:noFill/>
          </w14:textOutline>
          <w14:textFill>
            <w14:solidFill>
              <w14:srgbClr w14:val="000000"/>
            </w14:solidFill>
          </w14:textFill>
        </w:rPr>
        <w:t xml:space="preserv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14:textOutline>
            <w14:noFill/>
          </w14:textOutline>
          <w14:textFill>
            <w14:solidFill>
              <w14:srgbClr w14:val="000000"/>
            </w14:solidFill>
          </w14:textFill>
        </w:rPr>
        <w:t>Assignment coversheet &amp; feedback form</w:t>
      </w:r>
    </w:p>
    <w:p>
      <w:pPr>
        <w:pStyle w:val="Heading 3"/>
        <w:pBdr>
          <w:top w:val="nil"/>
          <w:left w:val="nil"/>
          <w:bottom w:val="nil"/>
          <w:right w:val="nil"/>
        </w:pBdr>
        <w:bidi w:val="0"/>
        <w:spacing w:before="0" w:after="0" w:line="240" w:lineRule="auto"/>
        <w:ind w:left="720" w:right="0" w:firstLine="0"/>
        <w:jc w:val="center"/>
        <w:outlineLvl w:val="2"/>
        <w:rPr>
          <w:rFonts w:ascii="Tahoma" w:cs="Tahoma" w:hAnsi="Tahoma" w:eastAsia="Tahoma"/>
          <w:b w:val="1"/>
          <w:bCs w:val="1"/>
          <w:spacing w:val="0"/>
          <w:sz w:val="20"/>
          <w:szCs w:val="20"/>
          <w:u w:color="000000"/>
          <w:rtl w:val="0"/>
        </w:rPr>
      </w:pPr>
      <w:r>
        <w:rPr>
          <w:rFonts w:ascii="Tahoma" w:hAnsi="Tahoma"/>
          <w:b w:val="1"/>
          <w:bCs w:val="1"/>
          <w:spacing w:val="0"/>
          <w:sz w:val="20"/>
          <w:szCs w:val="20"/>
          <w:u w:color="000000"/>
          <w:rtl w:val="0"/>
        </w:rPr>
        <w:t>THIS SHEET MUST BE THE FIRST PAGE OF THE ASSIGNMENT YOU ARE SUBMITTING  (DO NOT SEND AS A SEPARATE FILE)</w:t>
      </w:r>
    </w:p>
    <w:p>
      <w:pPr>
        <w:pStyle w:val="Heading 3"/>
        <w:pBdr>
          <w:top w:val="nil"/>
          <w:left w:val="nil"/>
          <w:bottom w:val="nil"/>
          <w:right w:val="nil"/>
        </w:pBdr>
        <w:bidi w:val="0"/>
        <w:spacing w:before="0" w:after="0" w:line="240" w:lineRule="auto"/>
        <w:ind w:left="720" w:right="0" w:firstLine="0"/>
        <w:jc w:val="center"/>
        <w:outlineLvl w:val="2"/>
        <w:rPr>
          <w:rFonts w:ascii="Trebuchet MS" w:cs="Trebuchet MS" w:hAnsi="Trebuchet MS" w:eastAsia="Trebuchet MS"/>
          <w:b w:val="1"/>
          <w:bCs w:val="1"/>
          <w:spacing w:val="0"/>
          <w:sz w:val="20"/>
          <w:szCs w:val="20"/>
          <w:u w:color="000000"/>
          <w:rtl w:val="0"/>
          <w:lang w:val="en-US"/>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Kerry Cross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Student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vertAlign w:val="baseline"/>
                <w:rtl w:val="0"/>
                <w:lang w:val="en-US"/>
                <w14:textOutline>
                  <w14:noFill/>
                </w14:textOutline>
                <w14:textFill>
                  <w14:solidFill>
                    <w14:srgbClr w14:val="000000"/>
                  </w14:solidFill>
                </w14:textFill>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Email: </w:t>
            </w:r>
            <w:r>
              <w:rPr>
                <w:rStyle w:val="Hyperlink.0"/>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14:textOutline>
                  <w14:noFill/>
                </w14:textOutline>
                <w14:textFill>
                  <w14:solidFill>
                    <w14:srgbClr w14:val="0000FF"/>
                  </w14:solidFill>
                </w14:textFill>
              </w:rPr>
              <w:fldChar w:fldCharType="begin" w:fldLock="0"/>
            </w:r>
            <w:r>
              <w:rPr>
                <w:rStyle w:val="Hyperlink.0"/>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14:textOutline>
                  <w14:noFill/>
                </w14:textOutline>
                <w14:textFill>
                  <w14:solidFill>
                    <w14:srgbClr w14:val="0000FF"/>
                  </w14:solidFill>
                </w14:textFill>
              </w:rPr>
              <w:instrText xml:space="preserve"> HYPERLINK "mailto:1911472@student.uwtsd.ac.uk"</w:instrText>
            </w:r>
            <w:r>
              <w:rPr>
                <w:rStyle w:val="Hyperlink.0"/>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14:textOutline>
                  <w14:noFill/>
                </w14:textOutline>
                <w14:textFill>
                  <w14:solidFill>
                    <w14:srgbClr w14:val="0000FF"/>
                  </w14:solidFill>
                </w14:textFill>
              </w:rPr>
              <w:fldChar w:fldCharType="separate" w:fldLock="0"/>
            </w:r>
            <w:r>
              <w:rPr>
                <w:rStyle w:val="Hyperlink.0"/>
                <w:rFonts w:ascii="Arial" w:cs="Arial Unicode MS" w:hAnsi="Arial"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noFill/>
                </w14:textOutline>
                <w14:textFill>
                  <w14:solidFill>
                    <w14:srgbClr w14:val="0000FF"/>
                  </w14:solidFill>
                </w14:textFill>
              </w:rPr>
              <w:t>1911472@student.uwtsd.ac.uk</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fldChar w:fldCharType="end" w:fldLock="0"/>
            </w:r>
          </w:p>
        </w:tc>
      </w:tr>
      <w:tr>
        <w:tblPrEx>
          <w:shd w:val="clear" w:color="auto" w:fill="ced7e7"/>
        </w:tblPrEx>
        <w:trPr>
          <w:trHeight w:val="144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HPCA7001</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Foundations in Cultural Astronomy and Astrology</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Student ID number:</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1911472</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Assignment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A Critical Comparison of Two JSTOR Papers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23/03/2020</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This assignment is for the       1</w:t>
            </w:r>
            <w:r>
              <w:rPr>
                <w:rFonts w:ascii="Arial" w:hAnsi="Arial"/>
                <w:u w:color="000000"/>
                <w:vertAlign w:val="superscript"/>
                <w:rtl w:val="0"/>
                <w:lang w:val="en-US"/>
              </w:rPr>
              <w:t xml:space="preserve">st </w:t>
            </w:r>
            <w:r>
              <w:rPr>
                <w:rFonts w:ascii="Arial" w:hAnsi="Arial"/>
                <w:u w:color="000000"/>
                <w:rtl w:val="0"/>
                <w:lang w:val="en-US"/>
              </w:rPr>
              <w:t xml:space="preserve">   </w:t>
            </w:r>
            <w:r>
              <w:rPr>
                <w:rFonts w:ascii="Arial" w:hAnsi="Arial"/>
                <w:b w:val="1"/>
                <w:bCs w:val="1"/>
                <w:u w:color="000000"/>
                <w:rtl w:val="0"/>
                <w:lang w:val="en-US"/>
              </w:rPr>
              <w:t xml:space="preserve">   </w:t>
            </w:r>
            <w:r>
              <w:rPr>
                <w:rFonts w:ascii="Arial" w:hAnsi="Arial"/>
                <w:u w:color="000000"/>
                <w:rtl w:val="0"/>
                <w:lang w:val="en-US"/>
              </w:rPr>
              <w:t>module of the degree</w:t>
            </w:r>
          </w:p>
        </w:tc>
      </w:tr>
      <w:tr>
        <w:tblPrEx>
          <w:shd w:val="clear" w:color="auto" w:fill="ced7e7"/>
        </w:tblPrEx>
        <w:trPr>
          <w:trHeight w:val="209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Signed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KERRY CROSS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vertAlign w:val="baseline"/>
                <w:rtl w:val="0"/>
                <w14:textOutline>
                  <w14:noFill/>
                </w14:textOutline>
                <w14:textFill>
                  <w14:solidFill>
                    <w14:srgbClr w14:val="000000"/>
                  </w14:solidFill>
                </w14:textFill>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14:textOutline>
                  <w14:noFill/>
                </w14:textOutline>
                <w14:textFill>
                  <w14:solidFill>
                    <w14:srgbClr w14:val="000000"/>
                  </w14:solidFill>
                </w14:textFill>
              </w:rPr>
              <w:t xml:space="preserve">Email submission:if you are submitting this form via email, please tick this box </w:t>
            </w:r>
            <w:r>
              <w:rPr>
                <w:rFonts w:ascii="Calibri" w:cs="Calibri" w:hAnsi="Calibri" w:eastAsia="Calibri" w:hint="default"/>
                <w:b w:val="1"/>
                <w:bCs w:val="1"/>
                <w:i w:val="0"/>
                <w:iCs w:val="0"/>
                <w:caps w:val="0"/>
                <w:smallCaps w:val="0"/>
                <w:strike w:val="0"/>
                <w:dstrike w:val="0"/>
                <w:outline w:val="0"/>
                <w:color w:val="000000"/>
                <w:spacing w:val="0"/>
                <w:kern w:val="0"/>
                <w:position w:val="0"/>
                <w:sz w:val="44"/>
                <w:szCs w:val="44"/>
                <w:u w:val="none" w:color="000000"/>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14:textOutline>
                  <w14:noFill/>
                </w14:textOutline>
                <w14:textFill>
                  <w14:solidFill>
                    <w14:srgbClr w14:val="000000"/>
                  </w14:solidFill>
                </w14:textFill>
              </w:rPr>
              <w:t>(as a substitute for your signature) to confirm that you agree to the above declaration.</w:t>
            </w:r>
          </w:p>
        </w:tc>
      </w:tr>
      <w:tr>
        <w:tblPrEx>
          <w:shd w:val="clear" w:color="auto" w:fill="ced7e7"/>
        </w:tblPrEx>
        <w:trPr>
          <w:trHeight w:val="62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sz w:val="24"/>
                <w:szCs w:val="24"/>
                <w:u w:color="000000"/>
                <w:rtl w:val="0"/>
                <w:lang w:val="en-US"/>
              </w:rPr>
            </w:pPr>
          </w:p>
          <w:p>
            <w:pPr>
              <w:pStyle w:val="Body"/>
              <w:jc w:val="left"/>
              <w:rPr>
                <w:rFonts w:ascii="Arial" w:cs="Arial" w:hAnsi="Arial" w:eastAsia="Arial"/>
                <w:sz w:val="24"/>
                <w:szCs w:val="24"/>
                <w:u w:color="000000"/>
              </w:rPr>
            </w:pPr>
            <w:r>
              <w:rPr>
                <w:rFonts w:ascii="Arial" w:hAnsi="Arial"/>
                <w:b w:val="1"/>
                <w:bCs w:val="1"/>
                <w:sz w:val="24"/>
                <w:szCs w:val="24"/>
                <w:u w:color="000000"/>
                <w:rtl w:val="0"/>
                <w:lang w:val="en-US"/>
              </w:rPr>
              <w:t>Assignment Mark</w:t>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1</w:t>
            </w:r>
            <w:r>
              <w:rPr>
                <w:rFonts w:ascii="Arial" w:hAnsi="Arial"/>
                <w:sz w:val="20"/>
                <w:szCs w:val="20"/>
                <w:u w:color="000000"/>
                <w:vertAlign w:val="superscript"/>
                <w:rtl w:val="0"/>
                <w:lang w:val="en-US"/>
              </w:rPr>
              <w:t>st</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2</w:t>
            </w:r>
            <w:r>
              <w:rPr>
                <w:rFonts w:ascii="Arial" w:hAnsi="Arial"/>
                <w:sz w:val="20"/>
                <w:szCs w:val="20"/>
                <w:u w:color="000000"/>
                <w:vertAlign w:val="superscript"/>
                <w:rtl w:val="0"/>
                <w:lang w:val="en-US"/>
              </w:rPr>
              <w:t>nd</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s/Moderator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External Examiner</w:t>
            </w:r>
            <w:r>
              <w:rPr>
                <w:rFonts w:ascii="Arial" w:hAnsi="Arial" w:hint="default"/>
                <w:sz w:val="20"/>
                <w:szCs w:val="20"/>
                <w:u w:color="000000"/>
                <w:rtl w:val="0"/>
                <w:lang w:val="en-US"/>
              </w:rPr>
              <w:t>’</w:t>
            </w:r>
            <w:r>
              <w:rPr>
                <w:rFonts w:ascii="Arial" w:hAnsi="Arial"/>
                <w:sz w:val="20"/>
                <w:szCs w:val="20"/>
                <w:u w:color="000000"/>
                <w:rtl w:val="0"/>
                <w:lang w:val="en-US"/>
              </w:rPr>
              <w:t>s mark (if relevant)</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b w:val="1"/>
                <w:bCs w:val="1"/>
                <w:sz w:val="20"/>
                <w:szCs w:val="20"/>
                <w:u w:color="000000"/>
                <w:rtl w:val="0"/>
              </w:rPr>
            </w:pPr>
            <w:r>
              <w:rPr>
                <w:rFonts w:ascii="Arial" w:hAnsi="Arial"/>
                <w:b w:val="1"/>
                <w:bCs w:val="1"/>
                <w:sz w:val="20"/>
                <w:szCs w:val="20"/>
                <w:u w:color="000000"/>
                <w:rtl w:val="0"/>
                <w:lang w:val="en-US"/>
              </w:rPr>
              <w:t>Final Mark</w:t>
            </w:r>
          </w:p>
          <w:p>
            <w:pPr>
              <w:pStyle w:val="Body"/>
              <w:bidi w:val="0"/>
              <w:ind w:left="0" w:right="0" w:firstLine="0"/>
              <w:jc w:val="left"/>
              <w:rPr>
                <w:rFonts w:ascii="Arial" w:cs="Arial" w:hAnsi="Arial" w:eastAsia="Arial"/>
                <w:b w:val="1"/>
                <w:bCs w:val="1"/>
                <w:sz w:val="20"/>
                <w:szCs w:val="20"/>
                <w:u w:color="000000"/>
                <w:rtl w:val="0"/>
              </w:rPr>
            </w:pPr>
            <w:r>
              <w:rPr>
                <w:rFonts w:ascii="Arial" w:cs="Arial" w:hAnsi="Arial" w:eastAsia="Arial"/>
                <w:b w:val="1"/>
                <w:bCs w:val="1"/>
                <w:sz w:val="20"/>
                <w:szCs w:val="20"/>
                <w:u w:color="000000"/>
                <w:rtl w:val="0"/>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Comments:</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u w:color="000000"/>
                <w:rtl w:val="0"/>
              </w:rPr>
            </w:pPr>
            <w:r>
              <w:rPr>
                <w:rFonts w:ascii="Arial" w:hAnsi="Arial"/>
                <w:b w:val="1"/>
                <w:bCs w:val="1"/>
                <w:u w:color="000000"/>
                <w:rtl w:val="0"/>
                <w:lang w:val="en-US"/>
              </w:rPr>
              <w:t>External Examiner</w:t>
            </w:r>
            <w:r>
              <w:rPr>
                <w:rFonts w:ascii="Arial" w:hAnsi="Arial" w:hint="default"/>
                <w:b w:val="1"/>
                <w:bCs w:val="1"/>
                <w:u w:color="000000"/>
                <w:rtl w:val="0"/>
                <w:lang w:val="en-US"/>
              </w:rPr>
              <w:t>’</w:t>
            </w:r>
            <w:r>
              <w:rPr>
                <w:rFonts w:ascii="Arial" w:hAnsi="Arial"/>
                <w:b w:val="1"/>
                <w:bCs w:val="1"/>
                <w:u w:color="000000"/>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External Examiner</w:t>
            </w:r>
            <w:r>
              <w:rPr>
                <w:rFonts w:ascii="Arial" w:hAnsi="Arial" w:hint="default"/>
                <w:u w:color="000000"/>
                <w:rtl w:val="0"/>
                <w:lang w:val="en-US"/>
              </w:rPr>
              <w:t>’</w:t>
            </w:r>
            <w:r>
              <w:rPr>
                <w:rFonts w:ascii="Arial" w:hAnsi="Arial"/>
                <w:u w:color="000000"/>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Date:</w:t>
            </w:r>
          </w:p>
        </w:tc>
      </w:tr>
    </w:tbl>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p>
    <w:p>
      <w:pPr>
        <w:pStyle w:val="Body"/>
        <w:jc w:val="center"/>
        <w:rPr>
          <w:rFonts w:ascii="Arial" w:cs="Arial" w:hAnsi="Arial" w:eastAsia="Arial"/>
          <w:u w:val="single"/>
        </w:rPr>
      </w:pPr>
      <w:r>
        <w:rPr>
          <w:rFonts w:ascii="Arial" w:hAnsi="Arial"/>
          <w:u w:val="single"/>
          <w:rtl w:val="0"/>
          <w:lang w:val="en-US"/>
        </w:rPr>
        <w:t>A Critical Comparison of Two JSTOR Papers</w:t>
      </w:r>
    </w:p>
    <w:p>
      <w:pPr>
        <w:pStyle w:val="Body"/>
        <w:jc w:val="center"/>
        <w:rPr>
          <w:rFonts w:ascii="Arial" w:cs="Arial" w:hAnsi="Arial" w:eastAsia="Arial"/>
          <w:u w:val="single"/>
        </w:rPr>
      </w:pPr>
    </w:p>
    <w:p>
      <w:pPr>
        <w:pStyle w:val="Body"/>
        <w:jc w:val="center"/>
        <w:rPr>
          <w:rFonts w:ascii="Arial" w:cs="Arial" w:hAnsi="Arial" w:eastAsia="Arial"/>
        </w:rPr>
      </w:pPr>
      <w:r>
        <w:rPr>
          <w:rFonts w:ascii="Arial" w:hAnsi="Arial"/>
          <w:rtl w:val="0"/>
          <w:lang w:val="en-US"/>
        </w:rPr>
        <w:t>Word count: 1,507</w:t>
      </w:r>
    </w:p>
    <w:p>
      <w:pPr>
        <w:pStyle w:val="Body"/>
        <w:jc w:val="center"/>
        <w:rPr>
          <w:rFonts w:ascii="Arial" w:cs="Arial" w:hAnsi="Arial" w:eastAsia="Arial"/>
          <w:u w:val="single"/>
        </w:rPr>
      </w:pPr>
    </w:p>
    <w:p>
      <w:pPr>
        <w:pStyle w:val="Body"/>
        <w:jc w:val="left"/>
        <w:rPr>
          <w:rFonts w:ascii="Arial" w:cs="Arial" w:hAnsi="Arial" w:eastAsia="Arial"/>
        </w:rPr>
      </w:pPr>
      <w:r>
        <w:rPr>
          <w:rFonts w:ascii="Arial" w:hAnsi="Arial"/>
          <w:rtl w:val="0"/>
          <w:lang w:val="en-US"/>
        </w:rPr>
        <w:t xml:space="preserve">This essay critically compares and contrasts two JSTOR papers, using the search terms </w:t>
      </w:r>
      <w:r>
        <w:rPr>
          <w:rFonts w:ascii="Arial" w:hAnsi="Arial" w:hint="default"/>
          <w:rtl w:val="0"/>
          <w:lang w:val="en-US"/>
        </w:rPr>
        <w:t>‘</w:t>
      </w:r>
      <w:r>
        <w:rPr>
          <w:rFonts w:ascii="Arial" w:hAnsi="Arial"/>
          <w:rtl w:val="0"/>
          <w:lang w:val="en-US"/>
        </w:rPr>
        <w:t>Cosmology</w:t>
      </w:r>
      <w:r>
        <w:rPr>
          <w:rFonts w:ascii="Arial" w:hAnsi="Arial" w:hint="default"/>
          <w:rtl w:val="0"/>
          <w:lang w:val="en-US"/>
        </w:rPr>
        <w:t xml:space="preserve">’ </w:t>
      </w:r>
      <w:r>
        <w:rPr>
          <w:rFonts w:ascii="Arial" w:hAnsi="Arial"/>
          <w:rtl w:val="0"/>
          <w:lang w:val="en-US"/>
        </w:rPr>
        <w:t xml:space="preserve">and </w:t>
      </w:r>
      <w:r>
        <w:rPr>
          <w:rFonts w:ascii="Arial" w:hAnsi="Arial" w:hint="default"/>
          <w:rtl w:val="0"/>
          <w:lang w:val="en-US"/>
        </w:rPr>
        <w:t>‘</w:t>
      </w:r>
      <w:r>
        <w:rPr>
          <w:rFonts w:ascii="Arial" w:hAnsi="Arial"/>
          <w:rtl w:val="0"/>
          <w:lang w:val="en-US"/>
        </w:rPr>
        <w:t>Culture</w:t>
      </w:r>
      <w:r>
        <w:rPr>
          <w:rFonts w:ascii="Arial" w:hAnsi="Arial" w:hint="default"/>
          <w:rtl w:val="0"/>
          <w:lang w:val="en-US"/>
        </w:rPr>
        <w:t>’</w:t>
      </w:r>
      <w:r>
        <w:rPr>
          <w:rFonts w:ascii="Arial" w:hAnsi="Arial"/>
          <w:rtl w:val="0"/>
          <w:lang w:val="en-US"/>
        </w:rPr>
        <w:t>. The papers chosen are Wayne Elzey, "The Nahua Myth of the Suns: History and Cosmology in Pre-Hispanic Mexician Religions', Numen, 23:2 (Aug., 1976), 114-135, and Nancy M. Farriss, 'Remembering the Future, Anticipating the Past: History, Time and Cosmology among the Maya of Yucatan',</w:t>
      </w:r>
      <w:r>
        <w:rPr>
          <w:rFonts w:ascii="Arial" w:hAnsi="Arial" w:hint="default"/>
          <w:rtl w:val="0"/>
          <w:lang w:val="en-US"/>
        </w:rPr>
        <w:t> </w:t>
      </w:r>
      <w:r>
        <w:rPr>
          <w:rFonts w:ascii="Arial" w:hAnsi="Arial"/>
          <w:rtl w:val="0"/>
          <w:lang w:val="en-US"/>
        </w:rPr>
        <w:t>Comparative Studies in Society and History, 29:3 (Jul., 1987), 566-593. The essay will consider how Elzey and Farriss each consider the Mesoamerican people</w:t>
      </w:r>
      <w:r>
        <w:rPr>
          <w:rFonts w:ascii="Arial" w:hAnsi="Arial" w:hint="default"/>
          <w:rtl w:val="0"/>
          <w:lang w:val="en-US"/>
        </w:rPr>
        <w:t>’</w:t>
      </w:r>
      <w:r>
        <w:rPr>
          <w:rFonts w:ascii="Arial" w:hAnsi="Arial"/>
          <w:rtl w:val="0"/>
          <w:lang w:val="en-US"/>
        </w:rPr>
        <w:t>s understanding of and relationship with linear and cyclical time, if the authors approach the idea of the Mayan ritual calendar in the same way and finally how the authors use both of these explorations to consider cosmological order and chaos and to what extent their conclusions are similar.</w:t>
      </w:r>
    </w:p>
    <w:p>
      <w:pPr>
        <w:pStyle w:val="Body"/>
        <w:jc w:val="left"/>
        <w:rPr>
          <w:rFonts w:ascii="Arial" w:cs="Arial" w:hAnsi="Arial" w:eastAsia="Arial"/>
        </w:rPr>
      </w:pPr>
    </w:p>
    <w:p>
      <w:pPr>
        <w:pStyle w:val="Body"/>
        <w:jc w:val="left"/>
        <w:rPr>
          <w:rFonts w:ascii="Arial" w:cs="Arial" w:hAnsi="Arial" w:eastAsia="Arial"/>
        </w:rPr>
      </w:pPr>
      <w:r>
        <w:rPr>
          <w:rFonts w:ascii="Arial" w:hAnsi="Arial"/>
          <w:rtl w:val="0"/>
          <w:lang w:val="en-US"/>
        </w:rPr>
        <w:t xml:space="preserve">The concept of linear and cyclical time is an important feature in Mesoamerican cosmology. Linear time can be defined as </w:t>
      </w:r>
      <w:r>
        <w:rPr>
          <w:rFonts w:ascii="Arial" w:hAnsi="Arial" w:hint="default"/>
          <w:rtl w:val="0"/>
          <w:lang w:val="en-US"/>
        </w:rPr>
        <w:t>‘</w:t>
      </w:r>
      <w:r>
        <w:rPr>
          <w:rFonts w:ascii="Arial" w:hAnsi="Arial"/>
          <w:rtl w:val="0"/>
          <w:lang w:val="en-US"/>
        </w:rPr>
        <w:t>a continuous, unidirectional, chronological line or flow from past to present to future</w:t>
      </w:r>
      <w:r>
        <w:rPr>
          <w:rFonts w:ascii="Arial" w:hAnsi="Arial" w:hint="default"/>
          <w:rtl w:val="0"/>
          <w:lang w:val="en-US"/>
        </w:rPr>
        <w:t xml:space="preserve">’ </w:t>
      </w:r>
      <w:r>
        <w:rPr>
          <w:rFonts w:ascii="Arial" w:hAnsi="Arial"/>
          <w:rtl w:val="0"/>
          <w:lang w:val="en-US"/>
        </w:rPr>
        <w:t xml:space="preserve">(Rice, 2008, pp.279), and this the notion of time that the modern Western world is most familiar with as it is measured by our calendars and clocks. Cyclical time is </w:t>
      </w:r>
      <w:r>
        <w:rPr>
          <w:rFonts w:ascii="Arial" w:hAnsi="Arial" w:hint="default"/>
          <w:rtl w:val="0"/>
          <w:lang w:val="en-US"/>
        </w:rPr>
        <w:t>‘</w:t>
      </w:r>
      <w:r>
        <w:rPr>
          <w:rFonts w:ascii="Arial" w:hAnsi="Arial"/>
          <w:rtl w:val="0"/>
          <w:lang w:val="en-US"/>
        </w:rPr>
        <w:t>intervals in which events repeat in roughly the same order or as periodically recurring sequences of events</w:t>
      </w:r>
      <w:r>
        <w:rPr>
          <w:rFonts w:ascii="Arial" w:hAnsi="Arial" w:hint="default"/>
          <w:rtl w:val="0"/>
          <w:lang w:val="en-US"/>
        </w:rPr>
        <w:t xml:space="preserve">’ </w:t>
      </w:r>
      <w:r>
        <w:rPr>
          <w:rFonts w:ascii="Arial" w:hAnsi="Arial"/>
          <w:rtl w:val="0"/>
        </w:rPr>
        <w:t>(Rice, 2008, pp.279)</w:t>
      </w:r>
      <w:r>
        <w:rPr>
          <w:rFonts w:ascii="Arial" w:hAnsi="Arial"/>
          <w:rtl w:val="0"/>
          <w:lang w:val="en-US"/>
        </w:rPr>
        <w:t xml:space="preserve">. It is most recognisable in the natural world, such as high and low tides and phases of the moon. Some academics argue that linear and cyclical are the only two notions of time, whilst others assert that time is not one or the other, but that societies can possess both </w:t>
      </w:r>
      <w:r>
        <w:rPr>
          <w:rFonts w:ascii="Arial" w:hAnsi="Arial"/>
          <w:rtl w:val="0"/>
        </w:rPr>
        <w:t>(Rice, 2008</w:t>
      </w:r>
      <w:r>
        <w:rPr>
          <w:rFonts w:ascii="Arial" w:hAnsi="Arial"/>
          <w:rtl w:val="0"/>
          <w:lang w:val="en-US"/>
        </w:rPr>
        <w:t>, pp.279</w:t>
      </w:r>
      <w:r>
        <w:rPr>
          <w:rFonts w:ascii="Arial" w:hAnsi="Arial"/>
          <w:rtl w:val="0"/>
        </w:rPr>
        <w:t>)</w:t>
      </w:r>
      <w:r>
        <w:rPr>
          <w:rFonts w:ascii="Arial" w:hAnsi="Arial"/>
          <w:rtl w:val="0"/>
          <w:lang w:val="en-US"/>
        </w:rPr>
        <w:t>. In her paper, Farriss (1987, pp.572) suggests that the unrepeatable events of linear time and the repetitive cycles of cyclical time can in fact co-exist, but that one would be more dominant over the other.</w:t>
      </w:r>
    </w:p>
    <w:p>
      <w:pPr>
        <w:pStyle w:val="Body"/>
        <w:jc w:val="left"/>
        <w:rPr>
          <w:rFonts w:ascii="Arial" w:cs="Arial" w:hAnsi="Arial" w:eastAsia="Arial"/>
        </w:rPr>
      </w:pPr>
    </w:p>
    <w:p>
      <w:pPr>
        <w:pStyle w:val="Body"/>
        <w:jc w:val="left"/>
        <w:rPr>
          <w:rFonts w:ascii="Arial" w:cs="Arial" w:hAnsi="Arial" w:eastAsia="Arial"/>
        </w:rPr>
      </w:pPr>
      <w:r>
        <w:rPr>
          <w:rFonts w:ascii="Arial" w:hAnsi="Arial"/>
          <w:rtl w:val="0"/>
          <w:lang w:val="en-US"/>
        </w:rPr>
        <w:t xml:space="preserve">Farriss (1987, pp.572) argues that the Western tradition, that is to say the Spanish Christian conquest of Mesoamercia at this time, is a predominantly linear time based society which incorporates cyclical elements. Despite having an annually repeating religious calendar, Christianity embraces the belief </w:t>
      </w:r>
      <w:r>
        <w:rPr>
          <w:rFonts w:ascii="Arial" w:hAnsi="Arial" w:hint="default"/>
          <w:rtl w:val="0"/>
          <w:lang w:val="en-US"/>
        </w:rPr>
        <w:t>‘</w:t>
      </w:r>
      <w:r>
        <w:rPr>
          <w:rFonts w:ascii="Arial" w:hAnsi="Arial"/>
          <w:rtl w:val="0"/>
          <w:lang w:val="en-US"/>
        </w:rPr>
        <w:t>the end times</w:t>
      </w:r>
      <w:r>
        <w:rPr>
          <w:rFonts w:ascii="Arial" w:hAnsi="Arial" w:hint="default"/>
          <w:rtl w:val="0"/>
          <w:lang w:val="en-US"/>
        </w:rPr>
        <w:t xml:space="preserve">’ </w:t>
      </w:r>
      <w:r>
        <w:rPr>
          <w:rFonts w:ascii="Arial" w:hAnsi="Arial"/>
          <w:rtl w:val="0"/>
          <w:lang w:val="en-US"/>
        </w:rPr>
        <w:t xml:space="preserve">or the Last Judgement which is unrepeatable and is </w:t>
      </w:r>
      <w:r>
        <w:rPr>
          <w:rFonts w:ascii="Arial" w:hAnsi="Arial" w:hint="default"/>
          <w:rtl w:val="0"/>
          <w:lang w:val="en-US"/>
        </w:rPr>
        <w:t>‘</w:t>
      </w:r>
      <w:r>
        <w:rPr>
          <w:rFonts w:ascii="Arial" w:hAnsi="Arial"/>
          <w:rtl w:val="0"/>
          <w:lang w:val="en-US"/>
        </w:rPr>
        <w:t>the culmination of a relatively linear progression</w:t>
      </w:r>
      <w:r>
        <w:rPr>
          <w:rFonts w:ascii="Arial" w:hAnsi="Arial" w:hint="default"/>
          <w:rtl w:val="0"/>
          <w:lang w:val="en-US"/>
        </w:rPr>
        <w:t xml:space="preserve">’ </w:t>
      </w:r>
      <w:r>
        <w:rPr>
          <w:rFonts w:ascii="Arial" w:hAnsi="Arial"/>
          <w:rtl w:val="0"/>
          <w:lang w:val="en-US"/>
        </w:rPr>
        <w:t xml:space="preserve">(Farriss, 197, pp.572). On the other hand, the Mayans invert this relationship by incorporating elements of linear time into an all-encompassing cyclical order. As Farriss (1987, pp.573) states </w:t>
      </w:r>
      <w:r>
        <w:rPr>
          <w:rFonts w:ascii="Arial" w:hAnsi="Arial" w:hint="default"/>
          <w:rtl w:val="0"/>
          <w:lang w:val="en-US"/>
        </w:rPr>
        <w:t>‘</w:t>
      </w:r>
      <w:r>
        <w:rPr>
          <w:rFonts w:ascii="Arial" w:hAnsi="Arial"/>
          <w:rtl w:val="0"/>
          <w:lang w:val="en-US"/>
        </w:rPr>
        <w:t>if events appear to follow an irreversible sequence, creating the illusion of time as a linear movement, that is only the fault of a limited perspective</w:t>
      </w:r>
      <w:r>
        <w:rPr>
          <w:rFonts w:ascii="Arial" w:hAnsi="Arial" w:hint="default"/>
          <w:rtl w:val="0"/>
          <w:lang w:val="en-US"/>
        </w:rPr>
        <w:t>’</w:t>
      </w:r>
      <w:r>
        <w:rPr>
          <w:rFonts w:ascii="Arial" w:hAnsi="Arial"/>
          <w:rtl w:val="0"/>
          <w:lang w:val="en-US"/>
        </w:rPr>
        <w:t xml:space="preserve">. </w:t>
      </w:r>
    </w:p>
    <w:p>
      <w:pPr>
        <w:pStyle w:val="Body"/>
        <w:jc w:val="left"/>
        <w:rPr>
          <w:rFonts w:ascii="Arial" w:cs="Arial" w:hAnsi="Arial" w:eastAsia="Arial"/>
        </w:rPr>
      </w:pPr>
    </w:p>
    <w:p>
      <w:pPr>
        <w:pStyle w:val="Body"/>
        <w:jc w:val="left"/>
        <w:rPr>
          <w:rFonts w:ascii="Arial" w:cs="Arial" w:hAnsi="Arial" w:eastAsia="Arial"/>
        </w:rPr>
      </w:pPr>
      <w:r>
        <w:rPr>
          <w:rFonts w:ascii="Arial" w:hAnsi="Arial"/>
          <w:rtl w:val="0"/>
          <w:lang w:val="en-US"/>
        </w:rPr>
        <w:t xml:space="preserve">Farriss maintains that linear and cyclical patterns of time can coexist but that one would have to be incorporated into the other and could not exist on an equal footing. In his paper, Elzey (1976) explores the concept of linear and cyclical time in relation to the Nahua myth of the Suns. This myth tells the story of how the world has passed through four cosmic ages and that we are currently in a fifth. The myth goes on to say that each of these cosmic periods came to an end due to a worldwide cataclysm. Linking this back to linear and cyclical time, Elzey asks the question </w:t>
      </w:r>
      <w:r>
        <w:rPr>
          <w:rFonts w:ascii="Arial" w:hAnsi="Arial" w:hint="default"/>
          <w:rtl w:val="0"/>
          <w:lang w:val="en-US"/>
        </w:rPr>
        <w:t>‘</w:t>
      </w:r>
      <w:r>
        <w:rPr>
          <w:rFonts w:ascii="Arial" w:hAnsi="Arial"/>
          <w:rtl w:val="0"/>
          <w:lang w:val="en-US"/>
        </w:rPr>
        <w:t xml:space="preserve">Is the view of history implicit in the myth best characterised as </w:t>
      </w:r>
      <w:r>
        <w:rPr>
          <w:rFonts w:ascii="Arial" w:hAnsi="Arial" w:hint="default"/>
          <w:rtl w:val="0"/>
          <w:lang w:val="en-US"/>
        </w:rPr>
        <w:t>‘</w:t>
      </w:r>
      <w:r>
        <w:rPr>
          <w:rFonts w:ascii="Arial" w:hAnsi="Arial"/>
          <w:rtl w:val="0"/>
          <w:lang w:val="en-US"/>
        </w:rPr>
        <w:t>linear</w:t>
      </w:r>
      <w:r>
        <w:rPr>
          <w:rFonts w:ascii="Arial" w:hAnsi="Arial" w:hint="default"/>
          <w:rtl w:val="0"/>
          <w:lang w:val="en-US"/>
        </w:rPr>
        <w:t>’</w:t>
      </w:r>
      <w:r>
        <w:rPr>
          <w:rFonts w:ascii="Arial" w:hAnsi="Arial"/>
          <w:rtl w:val="0"/>
          <w:lang w:val="en-US"/>
        </w:rPr>
        <w:t xml:space="preserve">, </w:t>
      </w:r>
      <w:r>
        <w:rPr>
          <w:rFonts w:ascii="Arial" w:hAnsi="Arial" w:hint="default"/>
          <w:rtl w:val="0"/>
          <w:lang w:val="en-US"/>
        </w:rPr>
        <w:t>‘</w:t>
      </w:r>
      <w:r>
        <w:rPr>
          <w:rFonts w:ascii="Arial" w:hAnsi="Arial"/>
          <w:rtl w:val="0"/>
          <w:lang w:val="en-US"/>
        </w:rPr>
        <w:t>cyclical</w:t>
      </w:r>
      <w:r>
        <w:rPr>
          <w:rFonts w:ascii="Arial" w:hAnsi="Arial" w:hint="default"/>
          <w:rtl w:val="0"/>
          <w:lang w:val="en-US"/>
        </w:rPr>
        <w:t>’</w:t>
      </w:r>
      <w:r>
        <w:rPr>
          <w:rFonts w:ascii="Arial" w:hAnsi="Arial"/>
          <w:rtl w:val="0"/>
          <w:lang w:val="en-US"/>
        </w:rPr>
        <w:t>, or does it follow some other pattern?</w:t>
      </w:r>
      <w:r>
        <w:rPr>
          <w:rFonts w:ascii="Arial" w:hAnsi="Arial" w:hint="default"/>
          <w:rtl w:val="0"/>
          <w:lang w:val="en-US"/>
        </w:rPr>
        <w:t xml:space="preserve">’ </w:t>
      </w:r>
      <w:r>
        <w:rPr>
          <w:rFonts w:ascii="Arial" w:hAnsi="Arial"/>
          <w:rtl w:val="0"/>
          <w:lang w:val="en-US"/>
        </w:rPr>
        <w:t xml:space="preserve">(pp.121). Elzey concludes by suggesting that the cosmic age we are currently living in is both the </w:t>
      </w:r>
      <w:r>
        <w:rPr>
          <w:rFonts w:ascii="Arial" w:hAnsi="Arial" w:hint="default"/>
          <w:rtl w:val="0"/>
          <w:lang w:val="en-US"/>
        </w:rPr>
        <w:t>‘</w:t>
      </w:r>
      <w:r>
        <w:rPr>
          <w:rFonts w:ascii="Arial" w:hAnsi="Arial"/>
          <w:rtl w:val="0"/>
          <w:lang w:val="en-US"/>
        </w:rPr>
        <w:t>final age of the world and the continuous repetition of the ages</w:t>
      </w:r>
      <w:r>
        <w:rPr>
          <w:rFonts w:ascii="Arial" w:hAnsi="Arial" w:hint="default"/>
          <w:rtl w:val="0"/>
          <w:lang w:val="en-US"/>
        </w:rPr>
        <w:t xml:space="preserve">’ </w:t>
      </w:r>
      <w:r>
        <w:rPr>
          <w:rFonts w:ascii="Arial" w:hAnsi="Arial"/>
          <w:rtl w:val="0"/>
          <w:lang w:val="en-US"/>
        </w:rPr>
        <w:t>(pp.133. This shows that Elzey also believes that both notions of time can coexist, but unlike Farriss he does not explore if one is dominant over the other.</w:t>
      </w:r>
    </w:p>
    <w:p>
      <w:pPr>
        <w:pStyle w:val="Body"/>
        <w:jc w:val="left"/>
        <w:rPr>
          <w:rFonts w:ascii="Arial" w:cs="Arial" w:hAnsi="Arial" w:eastAsia="Arial"/>
        </w:rPr>
      </w:pPr>
    </w:p>
    <w:p>
      <w:pPr>
        <w:pStyle w:val="Body"/>
        <w:jc w:val="left"/>
        <w:rPr>
          <w:rFonts w:ascii="Arial" w:cs="Arial" w:hAnsi="Arial" w:eastAsia="Arial"/>
        </w:rPr>
      </w:pPr>
      <w:r>
        <w:rPr>
          <w:rFonts w:ascii="Arial" w:hAnsi="Arial"/>
          <w:rtl w:val="0"/>
          <w:lang w:val="en-US"/>
        </w:rPr>
        <w:t xml:space="preserve">Linear and cyclical time can be linked to the Mayan calendar. To record cyclical time, the Mayans had two concurrently running calendars - one of 365 days and one of 260 days. These calendars were used to observe and record cyclical time, and likely linked to Mayan ritual activity (Gossen, 2013, pp.165). This </w:t>
      </w:r>
      <w:r>
        <w:rPr>
          <w:rFonts w:ascii="Arial" w:hAnsi="Arial" w:hint="default"/>
          <w:rtl w:val="0"/>
          <w:lang w:val="en-US"/>
        </w:rPr>
        <w:t>‘</w:t>
      </w:r>
      <w:r>
        <w:rPr>
          <w:rFonts w:ascii="Arial" w:hAnsi="Arial"/>
          <w:rtl w:val="0"/>
          <w:lang w:val="en-US"/>
        </w:rPr>
        <w:t>Calendar Round</w:t>
      </w:r>
      <w:r>
        <w:rPr>
          <w:rFonts w:ascii="Arial" w:hAnsi="Arial" w:hint="default"/>
          <w:rtl w:val="0"/>
          <w:lang w:val="en-US"/>
        </w:rPr>
        <w:t xml:space="preserve">’ </w:t>
      </w:r>
      <w:r>
        <w:rPr>
          <w:rFonts w:ascii="Arial" w:hAnsi="Arial"/>
          <w:rtl w:val="0"/>
          <w:lang w:val="en-US"/>
        </w:rPr>
        <w:t xml:space="preserve">was used alongside what is known as the </w:t>
      </w:r>
      <w:r>
        <w:rPr>
          <w:rFonts w:ascii="Arial" w:hAnsi="Arial" w:hint="default"/>
          <w:rtl w:val="0"/>
          <w:lang w:val="en-US"/>
        </w:rPr>
        <w:t>‘</w:t>
      </w:r>
      <w:r>
        <w:rPr>
          <w:rFonts w:ascii="Arial" w:hAnsi="Arial"/>
          <w:rtl w:val="0"/>
          <w:lang w:val="en-US"/>
        </w:rPr>
        <w:t>Long Count</w:t>
      </w:r>
      <w:r>
        <w:rPr>
          <w:rFonts w:ascii="Arial" w:hAnsi="Arial" w:hint="default"/>
          <w:rtl w:val="0"/>
          <w:lang w:val="en-US"/>
        </w:rPr>
        <w:t xml:space="preserve">’ </w:t>
      </w:r>
      <w:r>
        <w:rPr>
          <w:rFonts w:ascii="Arial" w:hAnsi="Arial"/>
          <w:rtl w:val="0"/>
          <w:lang w:val="en-US"/>
        </w:rPr>
        <w:t xml:space="preserve">which marked significant events by telling the days elapsed since the starting point of 11th August 3114BC (Rice, 2008, pp.282). This is a much more linear expression of time. Both Farriss and Elzey examine the role of the ritual calendar in Mesoamerican cosmology in their papers. In his paper, Elzey suggests that the myths of the Suns parallels the structure of the calendars (pp.124). When the Earth was created (which is the beginning of the fifth </w:t>
      </w:r>
      <w:r>
        <w:rPr>
          <w:rFonts w:ascii="Arial" w:hAnsi="Arial" w:hint="default"/>
          <w:rtl w:val="0"/>
          <w:lang w:val="en-US"/>
        </w:rPr>
        <w:t>‘</w:t>
      </w:r>
      <w:r>
        <w:rPr>
          <w:rFonts w:ascii="Arial" w:hAnsi="Arial"/>
          <w:rtl w:val="0"/>
          <w:lang w:val="en-US"/>
        </w:rPr>
        <w:t>Sun</w:t>
      </w:r>
      <w:r>
        <w:rPr>
          <w:rFonts w:ascii="Arial" w:hAnsi="Arial" w:hint="default"/>
          <w:rtl w:val="0"/>
          <w:lang w:val="en-US"/>
        </w:rPr>
        <w:t xml:space="preserve">’ </w:t>
      </w:r>
      <w:r>
        <w:rPr>
          <w:rFonts w:ascii="Arial" w:hAnsi="Arial"/>
          <w:rtl w:val="0"/>
          <w:lang w:val="en-US"/>
        </w:rPr>
        <w:t xml:space="preserve">or current age), the first four cosmic ages had already ended and Elzey believes that the distinction between the first four Suns and the fifth represent two cosmogonies and uses two of the </w:t>
      </w:r>
      <w:r>
        <w:rPr>
          <w:rFonts w:ascii="Arial" w:hAnsi="Arial" w:hint="default"/>
          <w:rtl w:val="0"/>
          <w:lang w:val="en-US"/>
        </w:rPr>
        <w:t>‘</w:t>
      </w:r>
      <w:r>
        <w:rPr>
          <w:rFonts w:ascii="Arial" w:hAnsi="Arial"/>
          <w:rtl w:val="0"/>
          <w:lang w:val="en-US"/>
        </w:rPr>
        <w:t>calendar stones</w:t>
      </w:r>
      <w:r>
        <w:rPr>
          <w:rFonts w:ascii="Arial" w:hAnsi="Arial" w:hint="default"/>
          <w:rtl w:val="0"/>
          <w:lang w:val="en-US"/>
        </w:rPr>
        <w:t xml:space="preserve">’ </w:t>
      </w:r>
      <w:r>
        <w:rPr>
          <w:rFonts w:ascii="Arial" w:hAnsi="Arial"/>
          <w:rtl w:val="0"/>
          <w:lang w:val="en-US"/>
        </w:rPr>
        <w:t xml:space="preserve">to support his interpretation (pp.125). The stones show, according to Elzey, the glyphs representing the first four suns </w:t>
      </w:r>
      <w:r>
        <w:rPr>
          <w:rFonts w:ascii="Arial" w:hAnsi="Arial" w:hint="default"/>
          <w:rtl w:val="0"/>
          <w:lang w:val="en-US"/>
        </w:rPr>
        <w:t>‘</w:t>
      </w:r>
      <w:r>
        <w:rPr>
          <w:rFonts w:ascii="Arial" w:hAnsi="Arial"/>
          <w:rtl w:val="0"/>
          <w:lang w:val="en-US"/>
        </w:rPr>
        <w:t>in the quadrants of a circle</w:t>
      </w:r>
      <w:r>
        <w:rPr>
          <w:rFonts w:ascii="Arial" w:hAnsi="Arial" w:hint="default"/>
          <w:rtl w:val="0"/>
          <w:lang w:val="en-US"/>
        </w:rPr>
        <w:t xml:space="preserve">’ </w:t>
      </w:r>
      <w:r>
        <w:rPr>
          <w:rFonts w:ascii="Arial" w:hAnsi="Arial"/>
          <w:rtl w:val="0"/>
          <w:lang w:val="en-US"/>
        </w:rPr>
        <w:t xml:space="preserve">whilst the fifth Sun glyph </w:t>
      </w:r>
      <w:r>
        <w:rPr>
          <w:rFonts w:ascii="Arial" w:hAnsi="Arial" w:hint="default"/>
          <w:rtl w:val="0"/>
          <w:lang w:val="en-US"/>
        </w:rPr>
        <w:t>‘</w:t>
      </w:r>
      <w:r>
        <w:rPr>
          <w:rFonts w:ascii="Arial" w:hAnsi="Arial"/>
          <w:rtl w:val="0"/>
          <w:lang w:val="en-US"/>
        </w:rPr>
        <w:t xml:space="preserve">stands in the centre (pp.125). This shows two different concepts of time not only coexisting, but dependant on one another; that is that one could not be in existence without the other. </w:t>
      </w:r>
    </w:p>
    <w:p>
      <w:pPr>
        <w:pStyle w:val="Body"/>
        <w:jc w:val="left"/>
        <w:rPr>
          <w:rFonts w:ascii="Arial" w:cs="Arial" w:hAnsi="Arial" w:eastAsia="Arial"/>
        </w:rPr>
      </w:pPr>
    </w:p>
    <w:p>
      <w:pPr>
        <w:pStyle w:val="Body"/>
        <w:jc w:val="left"/>
        <w:rPr>
          <w:rFonts w:ascii="Arial" w:cs="Arial" w:hAnsi="Arial" w:eastAsia="Arial"/>
        </w:rPr>
      </w:pPr>
      <w:r>
        <w:rPr>
          <w:rFonts w:ascii="Arial" w:hAnsi="Arial"/>
          <w:rtl w:val="0"/>
          <w:lang w:val="en-US"/>
        </w:rPr>
        <w:t xml:space="preserve">Whilst Farriss does not explore the parallels between the calendar and linear/cyclical time, she suggests that these notions of time are linked to ritual and the sacred, especially cyclical time. She states that the calendar </w:t>
      </w:r>
      <w:r>
        <w:rPr>
          <w:rFonts w:ascii="Arial" w:hAnsi="Arial" w:hint="default"/>
          <w:rtl w:val="0"/>
          <w:lang w:val="en-US"/>
        </w:rPr>
        <w:t>‘</w:t>
      </w:r>
      <w:r>
        <w:rPr>
          <w:rFonts w:ascii="Arial" w:hAnsi="Arial"/>
          <w:rtl w:val="0"/>
          <w:lang w:val="en-US"/>
        </w:rPr>
        <w:t>serves to integrate human affairs into the cosmic order</w:t>
      </w:r>
      <w:r>
        <w:rPr>
          <w:rFonts w:ascii="Arial" w:hAnsi="Arial" w:hint="default"/>
          <w:rtl w:val="0"/>
          <w:lang w:val="en-US"/>
        </w:rPr>
        <w:t xml:space="preserve">’ </w:t>
      </w:r>
      <w:r>
        <w:rPr>
          <w:rFonts w:ascii="Arial" w:hAnsi="Arial"/>
          <w:rtl w:val="0"/>
          <w:lang w:val="en-US"/>
        </w:rPr>
        <w:t xml:space="preserve">(pp.577-578). Rice  also supports this by stating </w:t>
      </w:r>
      <w:r>
        <w:rPr>
          <w:rFonts w:ascii="Arial" w:hAnsi="Arial" w:hint="default"/>
          <w:rtl w:val="0"/>
          <w:lang w:val="en-US"/>
        </w:rPr>
        <w:t>‘</w:t>
      </w:r>
      <w:r>
        <w:rPr>
          <w:rFonts w:ascii="Arial" w:hAnsi="Arial"/>
          <w:rtl w:val="0"/>
          <w:lang w:val="en-US"/>
        </w:rPr>
        <w:t>rituals always take the participants back to the same point in the mythical past</w:t>
      </w:r>
      <w:r>
        <w:rPr>
          <w:rFonts w:ascii="Arial" w:hAnsi="Arial" w:hint="default"/>
          <w:rtl w:val="0"/>
          <w:lang w:val="en-US"/>
        </w:rPr>
        <w:t xml:space="preserve">’ </w:t>
      </w:r>
      <w:r>
        <w:rPr>
          <w:rFonts w:ascii="Arial" w:hAnsi="Arial"/>
          <w:rtl w:val="0"/>
          <w:lang w:val="en-US"/>
        </w:rPr>
        <w:t>(2008, pp.280); as rituals are repeated on a particular date they are intertwined with the cyclical. Farriss not only links the cyclical time to the cosmic though, but to something closer to home. After the invasion of the Spanish, Farriss suggests that the Mayan</w:t>
      </w:r>
      <w:r>
        <w:rPr>
          <w:rFonts w:ascii="Arial" w:hAnsi="Arial" w:hint="default"/>
          <w:rtl w:val="0"/>
          <w:lang w:val="en-US"/>
        </w:rPr>
        <w:t>’</w:t>
      </w:r>
      <w:r>
        <w:rPr>
          <w:rFonts w:ascii="Arial" w:hAnsi="Arial"/>
          <w:rtl w:val="0"/>
          <w:lang w:val="en-US"/>
        </w:rPr>
        <w:t>s concept of cyclical time would have had a tranquillising effect (pp.585). The Mayans believed that the rule of the Spanish had an appointed and specific time to end, just like all things did according to their cyclical calendar. This is an important example of how the Mayan</w:t>
      </w:r>
      <w:r>
        <w:rPr>
          <w:rFonts w:ascii="Arial" w:hAnsi="Arial" w:hint="default"/>
          <w:rtl w:val="0"/>
          <w:lang w:val="en-US"/>
        </w:rPr>
        <w:t>’</w:t>
      </w:r>
      <w:r>
        <w:rPr>
          <w:rFonts w:ascii="Arial" w:hAnsi="Arial"/>
          <w:rtl w:val="0"/>
          <w:lang w:val="en-US"/>
        </w:rPr>
        <w:t>s cosmology affected every part of their lives.</w:t>
      </w:r>
    </w:p>
    <w:p>
      <w:pPr>
        <w:pStyle w:val="Body"/>
        <w:jc w:val="left"/>
        <w:rPr>
          <w:rFonts w:ascii="Arial" w:cs="Arial" w:hAnsi="Arial" w:eastAsia="Arial"/>
        </w:rPr>
      </w:pPr>
    </w:p>
    <w:p>
      <w:pPr>
        <w:pStyle w:val="Body"/>
        <w:jc w:val="left"/>
        <w:rPr>
          <w:rFonts w:ascii="Arial" w:cs="Arial" w:hAnsi="Arial" w:eastAsia="Arial"/>
        </w:rPr>
      </w:pPr>
      <w:r>
        <w:rPr>
          <w:rFonts w:ascii="Arial" w:hAnsi="Arial"/>
          <w:rtl w:val="0"/>
          <w:lang w:val="en-US"/>
        </w:rPr>
        <w:t xml:space="preserve">Elzey also explores the link between the sacred and the ritual calendar, linking it to the myths of the Suns. He affirms that </w:t>
      </w:r>
      <w:r>
        <w:rPr>
          <w:rFonts w:ascii="Arial" w:hAnsi="Arial" w:hint="default"/>
          <w:rtl w:val="0"/>
          <w:lang w:val="en-US"/>
        </w:rPr>
        <w:t>‘</w:t>
      </w:r>
      <w:r>
        <w:rPr>
          <w:rFonts w:ascii="Arial" w:hAnsi="Arial"/>
          <w:rtl w:val="0"/>
          <w:lang w:val="en-US"/>
        </w:rPr>
        <w:t>the homologies which might be shown between the periods of cosmic and calendrical time are numerous</w:t>
      </w:r>
      <w:r>
        <w:rPr>
          <w:rFonts w:ascii="Arial" w:hAnsi="Arial" w:hint="default"/>
          <w:rtl w:val="0"/>
          <w:lang w:val="en-US"/>
        </w:rPr>
        <w:t xml:space="preserve">’ </w:t>
      </w:r>
      <w:r>
        <w:rPr>
          <w:rFonts w:ascii="Arial" w:hAnsi="Arial"/>
          <w:rtl w:val="0"/>
          <w:lang w:val="en-US"/>
        </w:rPr>
        <w:t xml:space="preserve">(pp.126). One interesting example that Elzey gives is the </w:t>
      </w:r>
      <w:r>
        <w:rPr>
          <w:rFonts w:ascii="Arial" w:hAnsi="Arial" w:hint="default"/>
          <w:rtl w:val="0"/>
          <w:lang w:val="en-US"/>
        </w:rPr>
        <w:t>‘</w:t>
      </w:r>
      <w:r>
        <w:rPr>
          <w:rFonts w:ascii="Arial" w:hAnsi="Arial"/>
          <w:rtl w:val="0"/>
          <w:lang w:val="en-US"/>
        </w:rPr>
        <w:t>New Fire Ceremony</w:t>
      </w:r>
      <w:r>
        <w:rPr>
          <w:rFonts w:ascii="Arial" w:hAnsi="Arial" w:hint="default"/>
          <w:rtl w:val="0"/>
          <w:lang w:val="en-US"/>
        </w:rPr>
        <w:t xml:space="preserve">’ </w:t>
      </w:r>
      <w:r>
        <w:rPr>
          <w:rFonts w:ascii="Arial" w:hAnsi="Arial"/>
          <w:rtl w:val="0"/>
          <w:lang w:val="en-US"/>
        </w:rPr>
        <w:t xml:space="preserve">which, as the name suggests, was a renewal ceremony in which fires were put out, household utensils were destroyed and icons and statues of their gods were thrown into the water. This ceremony was timed to be performed every fifty-two years and established </w:t>
      </w:r>
      <w:r>
        <w:rPr>
          <w:rFonts w:ascii="Arial" w:hAnsi="Arial" w:hint="default"/>
          <w:rtl w:val="0"/>
          <w:lang w:val="en-US"/>
        </w:rPr>
        <w:t>‘</w:t>
      </w:r>
      <w:r>
        <w:rPr>
          <w:rFonts w:ascii="Arial" w:hAnsi="Arial"/>
          <w:rtl w:val="0"/>
          <w:lang w:val="en-US"/>
        </w:rPr>
        <w:t>not only a new age but a cosmology</w:t>
      </w:r>
      <w:r>
        <w:rPr>
          <w:rFonts w:ascii="Arial" w:hAnsi="Arial" w:hint="default"/>
          <w:rtl w:val="0"/>
          <w:lang w:val="en-US"/>
        </w:rPr>
        <w:t xml:space="preserve">’ </w:t>
      </w:r>
      <w:r>
        <w:rPr>
          <w:rFonts w:ascii="Arial" w:hAnsi="Arial"/>
          <w:rtl w:val="0"/>
          <w:lang w:val="en-US"/>
        </w:rPr>
        <w:t xml:space="preserve">(Elzey, 1976). Elzey highlights here how important such rituals were to the Mayans and their view of the world, calling the ceremony </w:t>
      </w:r>
      <w:r>
        <w:rPr>
          <w:rFonts w:ascii="Arial" w:hAnsi="Arial" w:hint="default"/>
          <w:rtl w:val="0"/>
          <w:lang w:val="en-US"/>
        </w:rPr>
        <w:t>‘</w:t>
      </w:r>
      <w:r>
        <w:rPr>
          <w:rFonts w:ascii="Arial" w:hAnsi="Arial"/>
          <w:rtl w:val="0"/>
          <w:lang w:val="en-US"/>
        </w:rPr>
        <w:t>structually analogous to the creation of a Sun</w:t>
      </w:r>
      <w:r>
        <w:rPr>
          <w:rFonts w:ascii="Arial" w:hAnsi="Arial" w:hint="default"/>
          <w:rtl w:val="0"/>
          <w:lang w:val="en-US"/>
        </w:rPr>
        <w:t xml:space="preserve">’ </w:t>
      </w:r>
      <w:r>
        <w:rPr>
          <w:rFonts w:ascii="Arial" w:hAnsi="Arial"/>
          <w:rtl w:val="0"/>
          <w:lang w:val="en-US"/>
        </w:rPr>
        <w:t>(pp.132); the fire ritual for the Mayans was literally a creation of a new age.</w:t>
      </w:r>
    </w:p>
    <w:p>
      <w:pPr>
        <w:pStyle w:val="Body"/>
        <w:jc w:val="left"/>
        <w:rPr>
          <w:rFonts w:ascii="Arial" w:cs="Arial" w:hAnsi="Arial" w:eastAsia="Arial"/>
        </w:rPr>
      </w:pPr>
    </w:p>
    <w:p>
      <w:pPr>
        <w:pStyle w:val="Body"/>
        <w:jc w:val="left"/>
        <w:rPr>
          <w:rFonts w:ascii="Arial" w:cs="Arial" w:hAnsi="Arial" w:eastAsia="Arial"/>
        </w:rPr>
      </w:pPr>
      <w:r>
        <w:rPr>
          <w:rFonts w:ascii="Arial" w:hAnsi="Arial"/>
          <w:rtl w:val="0"/>
          <w:lang w:val="en-US"/>
        </w:rPr>
        <w:t>An apparent question that comes up from examining these two themes in the papers of Elzey and Farriss is why was the concept of time and recording time so important to the Mayans? One theory that both authors seem to agree on is recording time and performing rituals at the appointed time meant maintaining cosmological order. Farriss suggests that the most vital factor in the Mesoamercian concept of time, and even in their whole cosmology, was the obsession with order (pp.574). Order was not something that could be taken for granted though - it was the responsibility  of all to replenish the divine energies (Farriss, 1987, pp.575) that sustained the cosmological order. The myth of the Suns, as explored by Elzey, could also be linked to Mesoamerican beliefs in maintaining cosmological order due to its</w:t>
      </w:r>
      <w:r>
        <w:rPr>
          <w:rFonts w:ascii="Arial" w:hAnsi="Arial" w:hint="default"/>
          <w:rtl w:val="0"/>
          <w:lang w:val="en-US"/>
        </w:rPr>
        <w:t xml:space="preserve">’ </w:t>
      </w:r>
      <w:r>
        <w:rPr>
          <w:rFonts w:ascii="Arial" w:hAnsi="Arial"/>
          <w:rtl w:val="0"/>
          <w:lang w:val="en-US"/>
        </w:rPr>
        <w:t xml:space="preserve">repetitive nature. As Campion (2012, pp.58) contends </w:t>
      </w:r>
      <w:r>
        <w:rPr>
          <w:rFonts w:ascii="Arial" w:hAnsi="Arial" w:hint="default"/>
          <w:rtl w:val="0"/>
          <w:lang w:val="en-US"/>
        </w:rPr>
        <w:t>‘</w:t>
      </w:r>
      <w:r>
        <w:rPr>
          <w:rFonts w:ascii="Arial" w:hAnsi="Arial"/>
          <w:rtl w:val="0"/>
          <w:lang w:val="en-US"/>
        </w:rPr>
        <w:t>such repetitive cosmogonies incorporate a dialectical relationship between chaos and order, with attendant hopes and fears - hope for order and fear of chaos</w:t>
      </w:r>
      <w:r>
        <w:rPr>
          <w:rFonts w:ascii="Arial" w:hAnsi="Arial" w:hint="default"/>
          <w:rtl w:val="0"/>
          <w:lang w:val="en-US"/>
        </w:rPr>
        <w:t>’</w:t>
      </w:r>
      <w:r>
        <w:rPr>
          <w:rFonts w:ascii="Arial" w:hAnsi="Arial"/>
          <w:rtl w:val="0"/>
          <w:lang w:val="en-US"/>
        </w:rPr>
        <w:t>. Through meticulously recording time and noting the most auspicious times to perform rituals, the Mesoamerican people sought to appease the divine and keep the chaos at bay.</w:t>
      </w:r>
    </w:p>
    <w:p>
      <w:pPr>
        <w:pStyle w:val="Body"/>
        <w:jc w:val="left"/>
        <w:rPr>
          <w:rFonts w:ascii="Arial" w:cs="Arial" w:hAnsi="Arial" w:eastAsia="Arial"/>
        </w:rPr>
      </w:pPr>
    </w:p>
    <w:p>
      <w:pPr>
        <w:pStyle w:val="Body"/>
        <w:jc w:val="left"/>
        <w:rPr>
          <w:rFonts w:ascii="Arial" w:cs="Arial" w:hAnsi="Arial" w:eastAsia="Arial"/>
        </w:rPr>
      </w:pPr>
      <w:r>
        <w:rPr>
          <w:rFonts w:ascii="Arial" w:hAnsi="Arial"/>
          <w:rtl w:val="0"/>
          <w:lang w:val="en-US"/>
        </w:rPr>
        <w:t>Both Farriss and Elzey examine the cosmologies and cultures of the Mesoamerican people. They look at linear and cyclical time and whilst it seems both believe that these two notions of time can coexist, Farriss goes one step further in defying their relationship by suggesting that one type of time would have to be dominant over the other for them to work alongside each other. Both authors also look at ritual calendars and how this links to linear and cyclical time, and have similar ideas that cyclical time in particular is tied in with divine worship. Finally both Elzey and Farriss look into cosmological order and chaos and they appear to agree that the Mesoamerican people felt obliged to perform specifically timed rituals in order to maintain the order in the world around them.</w:t>
      </w:r>
    </w:p>
    <w:p>
      <w:pPr>
        <w:pStyle w:val="Body"/>
        <w:jc w:val="left"/>
        <w:rPr>
          <w:rFonts w:ascii="Arial" w:cs="Arial" w:hAnsi="Arial" w:eastAsia="Arial"/>
        </w:rPr>
      </w:pPr>
    </w:p>
    <w:p>
      <w:pPr>
        <w:pStyle w:val="Body"/>
        <w:jc w:val="left"/>
      </w:pPr>
      <w:r>
        <w:rPr>
          <w:rFonts w:ascii="Arial Unicode MS" w:cs="Arial Unicode MS" w:hAnsi="Arial Unicode MS" w:eastAsia="Arial Unicode MS"/>
          <w:b w:val="0"/>
          <w:bCs w:val="0"/>
          <w:i w:val="0"/>
          <w:iCs w:val="0"/>
        </w:rPr>
        <w:br w:type="page"/>
      </w:r>
    </w:p>
    <w:p>
      <w:pPr>
        <w:pStyle w:val="Body"/>
        <w:jc w:val="left"/>
        <w:rPr>
          <w:rFonts w:ascii="Arial" w:cs="Arial" w:hAnsi="Arial" w:eastAsia="Arial"/>
        </w:rPr>
      </w:pPr>
    </w:p>
    <w:p>
      <w:pPr>
        <w:pStyle w:val="Body"/>
        <w:jc w:val="left"/>
        <w:rPr>
          <w:rFonts w:ascii="Arial" w:cs="Arial" w:hAnsi="Arial" w:eastAsia="Arial"/>
        </w:rPr>
      </w:pPr>
      <w:r>
        <w:rPr>
          <w:rFonts w:ascii="Arial" w:hAnsi="Arial"/>
          <w:rtl w:val="0"/>
          <w:lang w:val="en-US"/>
        </w:rPr>
        <w:t>Bibliography</w:t>
      </w:r>
    </w:p>
    <w:p>
      <w:pPr>
        <w:pStyle w:val="Body"/>
        <w:jc w:val="left"/>
        <w:rPr>
          <w:rFonts w:ascii="Arial" w:cs="Arial" w:hAnsi="Arial" w:eastAsia="Arial"/>
        </w:rPr>
      </w:pPr>
    </w:p>
    <w:p>
      <w:pPr>
        <w:pStyle w:val="Default"/>
        <w:bidi w:val="0"/>
        <w:ind w:left="0" w:right="0" w:firstLine="0"/>
        <w:jc w:val="left"/>
        <w:rPr>
          <w:rFonts w:ascii="Arial" w:cs="Arial" w:hAnsi="Arial" w:eastAsia="Arial"/>
          <w:shd w:val="clear" w:color="auto" w:fill="ffffff"/>
          <w:rtl w:val="0"/>
        </w:rPr>
      </w:pPr>
      <w:r>
        <w:rPr>
          <w:rFonts w:ascii="Arial" w:hAnsi="Arial"/>
          <w:shd w:val="clear" w:color="auto" w:fill="ffffff"/>
          <w:rtl w:val="0"/>
          <w:lang w:val="en-US"/>
        </w:rPr>
        <w:t xml:space="preserve">Campion, N., 2012. </w:t>
      </w:r>
      <w:r>
        <w:rPr>
          <w:rFonts w:ascii="Arial" w:hAnsi="Arial"/>
          <w:i w:val="1"/>
          <w:iCs w:val="1"/>
          <w:shd w:val="clear" w:color="auto" w:fill="ffffff"/>
          <w:rtl w:val="0"/>
          <w:lang w:val="en-US"/>
        </w:rPr>
        <w:t>Astrology and Cosmology in the World</w:t>
      </w:r>
      <w:r>
        <w:rPr>
          <w:rFonts w:ascii="Arial" w:hAnsi="Arial" w:hint="default"/>
          <w:i w:val="1"/>
          <w:iCs w:val="1"/>
          <w:shd w:val="clear" w:color="auto" w:fill="ffffff"/>
          <w:rtl w:val="0"/>
          <w:lang w:val="en-US"/>
        </w:rPr>
        <w:t>’</w:t>
      </w:r>
      <w:r>
        <w:rPr>
          <w:rFonts w:ascii="Arial" w:hAnsi="Arial"/>
          <w:i w:val="1"/>
          <w:iCs w:val="1"/>
          <w:shd w:val="clear" w:color="auto" w:fill="ffffff"/>
          <w:rtl w:val="0"/>
          <w:lang w:val="en-US"/>
        </w:rPr>
        <w:t>s Religions.</w:t>
      </w:r>
      <w:r>
        <w:rPr>
          <w:rFonts w:ascii="Arial" w:hAnsi="Arial"/>
          <w:shd w:val="clear" w:color="auto" w:fill="ffffff"/>
          <w:rtl w:val="0"/>
          <w:lang w:val="en-US"/>
        </w:rPr>
        <w:t xml:space="preserve"> London: New York University Press.</w:t>
      </w:r>
    </w:p>
    <w:p>
      <w:pPr>
        <w:pStyle w:val="Default"/>
        <w:bidi w:val="0"/>
        <w:ind w:left="0" w:right="0" w:firstLine="0"/>
        <w:jc w:val="left"/>
        <w:rPr>
          <w:rFonts w:ascii="Arial" w:cs="Arial" w:hAnsi="Arial" w:eastAsia="Arial"/>
          <w:shd w:val="clear" w:color="auto" w:fill="ffffff"/>
          <w:rtl w:val="0"/>
        </w:rPr>
      </w:pPr>
    </w:p>
    <w:p>
      <w:pPr>
        <w:pStyle w:val="Default"/>
        <w:bidi w:val="0"/>
        <w:ind w:left="0" w:right="0" w:firstLine="0"/>
        <w:jc w:val="left"/>
        <w:rPr>
          <w:rFonts w:ascii="Arial" w:cs="Arial" w:hAnsi="Arial" w:eastAsia="Arial"/>
          <w:shd w:val="clear" w:color="auto" w:fill="ffffff"/>
          <w:rtl w:val="0"/>
        </w:rPr>
      </w:pPr>
      <w:r>
        <w:rPr>
          <w:rFonts w:ascii="Arial" w:hAnsi="Arial"/>
          <w:shd w:val="clear" w:color="auto" w:fill="ffffff"/>
          <w:rtl w:val="0"/>
          <w:lang w:val="en-US"/>
        </w:rPr>
        <w:t xml:space="preserve">Elzey, W., 1976. The Nahua Myth of the Suns: History and Cosmology in Pre-Hispanic Mexican Religions. </w:t>
      </w:r>
      <w:r>
        <w:rPr>
          <w:rFonts w:ascii="Arial" w:hAnsi="Arial"/>
          <w:i w:val="1"/>
          <w:iCs w:val="1"/>
          <w:shd w:val="clear" w:color="auto" w:fill="ffffff"/>
          <w:rtl w:val="0"/>
          <w:lang w:val="en-US"/>
        </w:rPr>
        <w:t>Numen</w:t>
      </w:r>
      <w:r>
        <w:rPr>
          <w:rFonts w:ascii="Arial" w:hAnsi="Arial"/>
          <w:shd w:val="clear" w:color="auto" w:fill="ffffff"/>
          <w:rtl w:val="0"/>
          <w:lang w:val="en-US"/>
        </w:rPr>
        <w:t>, 23(2), pp.114-135.</w:t>
      </w:r>
    </w:p>
    <w:p>
      <w:pPr>
        <w:pStyle w:val="Default"/>
        <w:bidi w:val="0"/>
        <w:ind w:left="0" w:right="0" w:firstLine="0"/>
        <w:jc w:val="left"/>
        <w:rPr>
          <w:rFonts w:ascii="Arial" w:cs="Arial" w:hAnsi="Arial" w:eastAsia="Arial"/>
          <w:shd w:val="clear" w:color="auto" w:fill="ffffff"/>
          <w:rtl w:val="0"/>
        </w:rPr>
      </w:pPr>
    </w:p>
    <w:p>
      <w:pPr>
        <w:pStyle w:val="Default"/>
        <w:bidi w:val="0"/>
        <w:ind w:left="0" w:right="0" w:firstLine="0"/>
        <w:jc w:val="left"/>
        <w:rPr>
          <w:rFonts w:ascii="Arial" w:cs="Arial" w:hAnsi="Arial" w:eastAsia="Arial"/>
          <w:shd w:val="clear" w:color="auto" w:fill="ffffff"/>
          <w:rtl w:val="0"/>
        </w:rPr>
      </w:pPr>
      <w:r>
        <w:rPr>
          <w:rFonts w:ascii="Arial" w:hAnsi="Arial"/>
          <w:shd w:val="clear" w:color="auto" w:fill="ffffff"/>
          <w:rtl w:val="0"/>
          <w:lang w:val="en-US"/>
        </w:rPr>
        <w:t xml:space="preserve">Farriss, N. M., 1987. Remembering the Future, Anticipating the Past: History, Time and Cosmology among the Maya of Yucatan. </w:t>
      </w:r>
      <w:r>
        <w:rPr>
          <w:rFonts w:ascii="Arial" w:hAnsi="Arial"/>
          <w:i w:val="1"/>
          <w:iCs w:val="1"/>
          <w:shd w:val="clear" w:color="auto" w:fill="ffffff"/>
          <w:rtl w:val="0"/>
          <w:lang w:val="en-US"/>
        </w:rPr>
        <w:t>Comparative Studies in Society and History</w:t>
      </w:r>
      <w:r>
        <w:rPr>
          <w:rFonts w:ascii="Arial" w:hAnsi="Arial"/>
          <w:shd w:val="clear" w:color="auto" w:fill="ffffff"/>
          <w:rtl w:val="0"/>
          <w:lang w:val="en-US"/>
        </w:rPr>
        <w:t>, 29(3), pp.566-593.</w:t>
      </w:r>
    </w:p>
    <w:p>
      <w:pPr>
        <w:pStyle w:val="Default"/>
        <w:bidi w:val="0"/>
        <w:ind w:left="0" w:right="0" w:firstLine="0"/>
        <w:jc w:val="left"/>
        <w:rPr>
          <w:rFonts w:ascii="Arial" w:cs="Arial" w:hAnsi="Arial" w:eastAsia="Arial"/>
          <w:shd w:val="clear" w:color="auto" w:fill="ffffff"/>
          <w:rtl w:val="0"/>
        </w:rPr>
      </w:pPr>
    </w:p>
    <w:p>
      <w:pPr>
        <w:pStyle w:val="Default"/>
        <w:bidi w:val="0"/>
        <w:ind w:left="0" w:right="0" w:firstLine="0"/>
        <w:jc w:val="left"/>
        <w:rPr>
          <w:rFonts w:ascii="Arial" w:cs="Arial" w:hAnsi="Arial" w:eastAsia="Arial"/>
          <w:shd w:val="clear" w:color="auto" w:fill="ffffff"/>
          <w:rtl w:val="0"/>
        </w:rPr>
      </w:pPr>
      <w:r>
        <w:rPr>
          <w:rFonts w:ascii="Arial" w:hAnsi="Arial"/>
          <w:shd w:val="clear" w:color="auto" w:fill="ffffff"/>
          <w:rtl w:val="0"/>
          <w:lang w:val="en-US"/>
        </w:rPr>
        <w:t xml:space="preserve">Fuchs, T., 2018. The Cyclical Time of the Body and its Relation to Linear Time. </w:t>
      </w:r>
      <w:r>
        <w:rPr>
          <w:rFonts w:ascii="Arial" w:hAnsi="Arial"/>
          <w:i w:val="1"/>
          <w:iCs w:val="1"/>
          <w:shd w:val="clear" w:color="auto" w:fill="ffffff"/>
          <w:rtl w:val="0"/>
          <w:lang w:val="en-US"/>
        </w:rPr>
        <w:t>Journal of Consciousness Studies</w:t>
      </w:r>
      <w:r>
        <w:rPr>
          <w:rFonts w:ascii="Arial" w:hAnsi="Arial"/>
          <w:shd w:val="clear" w:color="auto" w:fill="ffffff"/>
          <w:rtl w:val="0"/>
          <w:lang w:val="en-US"/>
        </w:rPr>
        <w:t xml:space="preserve">, 25(7-8), pp. 47-65. </w:t>
      </w:r>
    </w:p>
    <w:p>
      <w:pPr>
        <w:pStyle w:val="Default"/>
        <w:bidi w:val="0"/>
        <w:ind w:left="0" w:right="0" w:firstLine="0"/>
        <w:jc w:val="left"/>
        <w:rPr>
          <w:rFonts w:ascii="Arial" w:cs="Arial" w:hAnsi="Arial" w:eastAsia="Arial"/>
          <w:shd w:val="clear" w:color="auto" w:fill="ffffff"/>
          <w:rtl w:val="0"/>
        </w:rPr>
      </w:pPr>
    </w:p>
    <w:p>
      <w:pPr>
        <w:pStyle w:val="Default"/>
        <w:bidi w:val="0"/>
        <w:ind w:left="0" w:right="0" w:firstLine="0"/>
        <w:jc w:val="left"/>
        <w:rPr>
          <w:rFonts w:ascii="Arial" w:cs="Arial" w:hAnsi="Arial" w:eastAsia="Arial"/>
          <w:shd w:val="clear" w:color="auto" w:fill="ffffff"/>
          <w:rtl w:val="0"/>
        </w:rPr>
      </w:pPr>
      <w:r>
        <w:rPr>
          <w:rFonts w:ascii="Arial" w:hAnsi="Arial"/>
          <w:shd w:val="clear" w:color="auto" w:fill="ffffff"/>
          <w:rtl w:val="0"/>
          <w:lang w:val="en-US"/>
        </w:rPr>
        <w:t xml:space="preserve">Gossen, G., 2013. </w:t>
      </w:r>
      <w:r>
        <w:rPr>
          <w:rFonts w:ascii="Arial" w:hAnsi="Arial"/>
          <w:i w:val="1"/>
          <w:iCs w:val="1"/>
          <w:shd w:val="clear" w:color="auto" w:fill="ffffff"/>
          <w:rtl w:val="0"/>
          <w:lang w:val="en-US"/>
        </w:rPr>
        <w:t xml:space="preserve">Telling Maya Tales: </w:t>
      </w:r>
      <w:r>
        <w:rPr>
          <w:rFonts w:ascii="Arial" w:hAnsi="Arial"/>
          <w:i w:val="1"/>
          <w:iCs w:val="1"/>
          <w:shd w:val="clear" w:color="auto" w:fill="ffffff"/>
          <w:rtl w:val="0"/>
          <w:lang w:val="nl-NL"/>
        </w:rPr>
        <w:t>Tzotzil Identities in Modern Mexico</w:t>
      </w:r>
      <w:r>
        <w:rPr>
          <w:rFonts w:ascii="Arial" w:hAnsi="Arial"/>
          <w:shd w:val="clear" w:color="auto" w:fill="ffffff"/>
          <w:rtl w:val="0"/>
          <w:lang w:val="en-US"/>
        </w:rPr>
        <w:t>. London: Routledge.</w:t>
      </w:r>
    </w:p>
    <w:p>
      <w:pPr>
        <w:pStyle w:val="Default"/>
        <w:bidi w:val="0"/>
        <w:ind w:left="0" w:right="0" w:firstLine="0"/>
        <w:jc w:val="left"/>
        <w:rPr>
          <w:rFonts w:ascii="Arial" w:cs="Arial" w:hAnsi="Arial" w:eastAsia="Arial"/>
          <w:shd w:val="clear" w:color="auto" w:fill="ffffff"/>
          <w:rtl w:val="0"/>
        </w:rPr>
      </w:pPr>
    </w:p>
    <w:p>
      <w:pPr>
        <w:pStyle w:val="Default"/>
        <w:bidi w:val="0"/>
        <w:ind w:left="0" w:right="0" w:firstLine="0"/>
        <w:jc w:val="left"/>
        <w:rPr>
          <w:rtl w:val="0"/>
        </w:rPr>
      </w:pPr>
      <w:r>
        <w:rPr>
          <w:rFonts w:ascii="Arial" w:hAnsi="Arial"/>
          <w:shd w:val="clear" w:color="auto" w:fill="ffffff"/>
          <w:rtl w:val="0"/>
          <w:lang w:val="en-US"/>
        </w:rPr>
        <w:t xml:space="preserve">Rice, P. M., 2008. Time, Power and the Maya. </w:t>
      </w:r>
      <w:r>
        <w:rPr>
          <w:rFonts w:ascii="Arial" w:hAnsi="Arial"/>
          <w:i w:val="1"/>
          <w:iCs w:val="1"/>
          <w:shd w:val="clear" w:color="auto" w:fill="ffffff"/>
          <w:rtl w:val="0"/>
          <w:lang w:val="en-US"/>
        </w:rPr>
        <w:t>Latin American Antiquity</w:t>
      </w:r>
      <w:r>
        <w:rPr>
          <w:rFonts w:ascii="Arial" w:hAnsi="Arial"/>
          <w:shd w:val="clear" w:color="auto" w:fill="ffffff"/>
          <w:rtl w:val="0"/>
          <w:lang w:val="en-US"/>
        </w:rPr>
        <w:t>, 19(3), pp. 275-298.</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Arial" w:hAnsi="Arial"/>
        <w:sz w:val="20"/>
        <w:szCs w:val="20"/>
        <w:rtl w:val="0"/>
        <w:lang w:val="en-US"/>
      </w:rPr>
      <w:t>Kerry Cross 1911472</w:t>
    </w:r>
    <w:r>
      <w:rPr>
        <w:rFonts w:ascii="Arial" w:cs="Arial" w:hAnsi="Arial" w:eastAsia="Arial"/>
        <w:sz w:val="20"/>
        <w:szCs w:val="20"/>
      </w:rPr>
      <w:tab/>
      <w:tab/>
    </w:r>
    <w:r>
      <w:rPr>
        <w:rFonts w:ascii="Arial" w:hAnsi="Arial"/>
        <w:sz w:val="20"/>
        <w:szCs w:val="20"/>
        <w:rtl w:val="0"/>
        <w:lang w:val="en-US"/>
      </w:rPr>
      <w:t xml:space="preserve">Page </w:t>
    </w:r>
    <w:r>
      <w:rPr>
        <w:rFonts w:ascii="Arial" w:cs="Arial" w:hAnsi="Arial" w:eastAsia="Arial"/>
        <w:sz w:val="20"/>
        <w:szCs w:val="20"/>
      </w:rPr>
      <w:fldChar w:fldCharType="begin" w:fldLock="0"/>
    </w:r>
    <w:r>
      <w:rPr>
        <w:rFonts w:ascii="Arial" w:cs="Arial" w:hAnsi="Arial" w:eastAsia="Arial"/>
        <w:sz w:val="20"/>
        <w:szCs w:val="20"/>
      </w:rPr>
      <w:instrText xml:space="preserve"> PAGE </w:instrText>
    </w:r>
    <w:r>
      <w:rPr>
        <w:rFonts w:ascii="Arial" w:cs="Arial" w:hAnsi="Arial" w:eastAsia="Arial"/>
        <w:sz w:val="20"/>
        <w:szCs w:val="20"/>
      </w:rPr>
      <w:fldChar w:fldCharType="separate" w:fldLock="0"/>
    </w:r>
    <w:r>
      <w:rPr>
        <w:rFonts w:ascii="Arial" w:cs="Arial" w:hAnsi="Arial" w:eastAsia="Arial"/>
        <w:sz w:val="20"/>
        <w:szCs w:val="20"/>
      </w:rPr>
      <w:t>1</w:t>
    </w:r>
    <w:r>
      <w:rPr>
        <w:rFonts w:ascii="Arial" w:cs="Arial" w:hAnsi="Arial" w:eastAsia="Arial"/>
        <w:sz w:val="20"/>
        <w:szCs w:val="20"/>
      </w:rPr>
      <w:fldChar w:fldCharType="end" w:fldLock="0"/>
    </w:r>
    <w:r>
      <w:rPr>
        <w:rFonts w:ascii="Arial" w:hAnsi="Arial"/>
        <w:sz w:val="20"/>
        <w:szCs w:val="20"/>
        <w:rtl w:val="0"/>
        <w:lang w:val="en-US"/>
      </w:rPr>
      <w:t xml:space="preserve"> of </w:t>
    </w:r>
    <w:r>
      <w:rPr>
        <w:rFonts w:ascii="Arial" w:cs="Arial" w:hAnsi="Arial" w:eastAsia="Arial"/>
        <w:sz w:val="20"/>
        <w:szCs w:val="20"/>
      </w:rPr>
      <w:fldChar w:fldCharType="begin" w:fldLock="0"/>
    </w:r>
    <w:r>
      <w:rPr>
        <w:rFonts w:ascii="Arial" w:cs="Arial" w:hAnsi="Arial" w:eastAsia="Arial"/>
        <w:sz w:val="20"/>
        <w:szCs w:val="20"/>
      </w:rPr>
      <w:instrText xml:space="preserve"> NUMPAGES </w:instrText>
    </w:r>
    <w:r>
      <w:rPr>
        <w:rFonts w:ascii="Arial" w:cs="Arial" w:hAnsi="Arial" w:eastAsia="Arial"/>
        <w:sz w:val="20"/>
        <w:szCs w:val="20"/>
      </w:rPr>
      <w:fldChar w:fldCharType="separate" w:fldLock="0"/>
    </w:r>
    <w:r>
      <w:rPr>
        <w:rFonts w:ascii="Arial" w:cs="Arial" w:hAnsi="Arial" w:eastAsia="Arial"/>
        <w:sz w:val="20"/>
        <w:szCs w:val="20"/>
      </w:rPr>
      <w:t>1</w:t>
    </w:r>
    <w:r>
      <w:rPr>
        <w:rFonts w:ascii="Arial" w:cs="Arial" w:hAnsi="Arial" w:eastAsia="Arial"/>
        <w:sz w:val="20"/>
        <w:szCs w:val="20"/>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00000"/>
      <w:spacing w:val="5"/>
      <w:kern w:val="0"/>
      <w:position w:val="0"/>
      <w:sz w:val="28"/>
      <w:szCs w:val="28"/>
      <w:u w:val="none"/>
      <w:vertAlign w:val="baseline"/>
      <w14:textOutline>
        <w14:noFill/>
      </w14:textOutline>
      <w14:textFill>
        <w14:solidFill>
          <w14:srgbClr w14:val="000000"/>
        </w14:solidFill>
      </w14:textFill>
    </w:rPr>
  </w:style>
  <w:style w:type="character" w:styleId="Link">
    <w:name w:val="Link"/>
    <w:rPr>
      <w:u w:val="single"/>
    </w:rPr>
  </w:style>
  <w:style w:type="character" w:styleId="Hyperlink.0">
    <w:name w:val="Hyperlink.0"/>
    <w:basedOn w:val="Link"/>
    <w:next w:val="Hyperlink.0"/>
    <w:rPr>
      <w:outline w:val="0"/>
      <w:color w:val="0000ff"/>
      <w:u w:color="0000ff"/>
      <w14:textFill>
        <w14:solidFill>
          <w14:srgbClr w14:val="0000FF"/>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