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8840295"/>
        <w:docPartObj>
          <w:docPartGallery w:val="Cover Pages"/>
          <w:docPartUnique/>
        </w:docPartObj>
      </w:sdtPr>
      <w:sdtContent>
        <w:p w14:paraId="04724BE2" w14:textId="6500DF99" w:rsidR="00C87C47" w:rsidRDefault="00C87C47">
          <w:r>
            <w:rPr>
              <w:noProof/>
            </w:rPr>
            <mc:AlternateContent>
              <mc:Choice Requires="wps">
                <w:drawing>
                  <wp:anchor distT="0" distB="0" distL="114300" distR="114300" simplePos="0" relativeHeight="251659264" behindDoc="0" locked="0" layoutInCell="1" allowOverlap="1" wp14:anchorId="477FA03B" wp14:editId="0632E24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680"/>
                                  <w:gridCol w:w="2076"/>
                                </w:tblGrid>
                                <w:tr w:rsidR="00C87C47" w:rsidRPr="00C87C47" w14:paraId="720DBC00" w14:textId="77777777">
                                  <w:trPr>
                                    <w:jc w:val="center"/>
                                  </w:trPr>
                                  <w:tc>
                                    <w:tcPr>
                                      <w:tcW w:w="2568" w:type="pct"/>
                                      <w:vAlign w:val="center"/>
                                    </w:tcPr>
                                    <w:p w14:paraId="7A3FEF86" w14:textId="7B281286" w:rsidR="00C87C47" w:rsidRDefault="00A75155">
                                      <w:pPr>
                                        <w:jc w:val="right"/>
                                      </w:pPr>
                                      <w:r>
                                        <w:rPr>
                                          <w:noProof/>
                                        </w:rPr>
                                        <w:drawing>
                                          <wp:inline distT="0" distB="0" distL="0" distR="0" wp14:anchorId="4B5BA95F" wp14:editId="167D83BF">
                                            <wp:extent cx="4415950" cy="2484120"/>
                                            <wp:effectExtent l="0" t="0" r="3810" b="0"/>
                                            <wp:docPr id="1320529076" name="Picture 2" descr="A person's hands protecting a group of paper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29076" name="Picture 2" descr="A person's hands protecting a group of paper peopl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423634" cy="2488443"/>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1D4E6B0" w14:textId="451623E5" w:rsidR="00C87C47" w:rsidRDefault="002F4A83">
                                          <w:pPr>
                                            <w:pStyle w:val="NoSpacing"/>
                                            <w:spacing w:line="312" w:lineRule="auto"/>
                                            <w:jc w:val="right"/>
                                            <w:rPr>
                                              <w:caps/>
                                              <w:color w:val="191919" w:themeColor="text1" w:themeTint="E6"/>
                                              <w:sz w:val="72"/>
                                              <w:szCs w:val="72"/>
                                            </w:rPr>
                                          </w:pPr>
                                          <w:r w:rsidRPr="002F4A83">
                                            <w:rPr>
                                              <w:caps/>
                                              <w:color w:val="191919" w:themeColor="text1" w:themeTint="E6"/>
                                              <w:sz w:val="44"/>
                                              <w:szCs w:val="44"/>
                                            </w:rPr>
                                            <w:t>Principles of health and social care practice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FA29CEA" w14:textId="77E31419" w:rsidR="00C87C47" w:rsidRDefault="002F4A83">
                                          <w:pPr>
                                            <w:jc w:val="right"/>
                                            <w:rPr>
                                              <w:sz w:val="24"/>
                                              <w:szCs w:val="24"/>
                                            </w:rPr>
                                          </w:pPr>
                                          <w:r>
                                            <w:rPr>
                                              <w:color w:val="000000" w:themeColor="text1"/>
                                              <w:sz w:val="24"/>
                                              <w:szCs w:val="24"/>
                                            </w:rPr>
                                            <w:t>BMHP</w:t>
                                          </w:r>
                                          <w:r w:rsidR="00C51487">
                                            <w:rPr>
                                              <w:color w:val="000000" w:themeColor="text1"/>
                                              <w:sz w:val="24"/>
                                              <w:szCs w:val="24"/>
                                            </w:rPr>
                                            <w:t>5016 – Component 2</w:t>
                                          </w:r>
                                        </w:p>
                                      </w:sdtContent>
                                    </w:sdt>
                                  </w:tc>
                                  <w:tc>
                                    <w:tcPr>
                                      <w:tcW w:w="2432" w:type="pct"/>
                                      <w:vAlign w:val="center"/>
                                    </w:tcPr>
                                    <w:p w14:paraId="7C6AB8F0" w14:textId="3B2A978B" w:rsidR="00C87C47" w:rsidRDefault="0077453A">
                                      <w:pPr>
                                        <w:pStyle w:val="NoSpacing"/>
                                        <w:rPr>
                                          <w:caps/>
                                          <w:color w:val="E97132" w:themeColor="accent2"/>
                                          <w:sz w:val="26"/>
                                          <w:szCs w:val="26"/>
                                        </w:rPr>
                                      </w:pPr>
                                      <w:r>
                                        <w:rPr>
                                          <w:caps/>
                                          <w:color w:val="E97132" w:themeColor="accent2"/>
                                          <w:sz w:val="26"/>
                                          <w:szCs w:val="26"/>
                                        </w:rPr>
                                        <w:t>Individual writen report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545D0AA" w14:textId="5B716471" w:rsidR="00C87C47" w:rsidRPr="00C51487" w:rsidRDefault="00AC71FE">
                                          <w:pPr>
                                            <w:rPr>
                                              <w:color w:val="000000" w:themeColor="text1"/>
                                              <w:lang w:val="it-IT"/>
                                            </w:rPr>
                                          </w:pPr>
                                          <w:r w:rsidRPr="00C51487">
                                            <w:rPr>
                                              <w:color w:val="000000" w:themeColor="text1"/>
                                              <w:lang w:val="it-IT"/>
                                            </w:rPr>
                                            <w:t xml:space="preserve">     </w:t>
                                          </w:r>
                                        </w:p>
                                      </w:sdtContent>
                                    </w:sdt>
                                    <w:sdt>
                                      <w:sdtPr>
                                        <w:rPr>
                                          <w:color w:val="E97132" w:themeColor="accent2"/>
                                          <w:sz w:val="26"/>
                                          <w:szCs w:val="26"/>
                                          <w:lang w:val="it-I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262DECE" w14:textId="6C771C22" w:rsidR="00C87C47" w:rsidRPr="00C87C47" w:rsidRDefault="00C51487">
                                          <w:pPr>
                                            <w:pStyle w:val="NoSpacing"/>
                                            <w:rPr>
                                              <w:color w:val="E97132" w:themeColor="accent2"/>
                                              <w:sz w:val="26"/>
                                              <w:szCs w:val="26"/>
                                              <w:lang w:val="it-IT"/>
                                            </w:rPr>
                                          </w:pPr>
                                          <w:r>
                                            <w:rPr>
                                              <w:color w:val="E97132" w:themeColor="accent2"/>
                                              <w:sz w:val="26"/>
                                              <w:szCs w:val="26"/>
                                              <w:lang w:val="it-IT"/>
                                            </w:rPr>
                                            <w:t>Sandra Adina Ontica</w:t>
                                          </w:r>
                                        </w:p>
                                      </w:sdtContent>
                                    </w:sdt>
                                    <w:p w14:paraId="260A3E88" w14:textId="3D989B56" w:rsidR="00C87C47" w:rsidRPr="00C87C47" w:rsidRDefault="00C87C47">
                                      <w:pPr>
                                        <w:pStyle w:val="NoSpacing"/>
                                        <w:rPr>
                                          <w:lang w:val="it-IT"/>
                                        </w:rPr>
                                      </w:pPr>
                                      <w:sdt>
                                        <w:sdtPr>
                                          <w:rPr>
                                            <w:color w:val="0E2841" w:themeColor="text2"/>
                                            <w:lang w:val="it-IT"/>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51487" w:rsidRPr="00C51487">
                                            <w:rPr>
                                              <w:color w:val="0E2841" w:themeColor="text2"/>
                                              <w:lang w:val="it-IT"/>
                                            </w:rPr>
                                            <w:t>Student ID: 2322796</w:t>
                                          </w:r>
                                        </w:sdtContent>
                                      </w:sdt>
                                    </w:p>
                                  </w:tc>
                                </w:tr>
                              </w:tbl>
                              <w:p w14:paraId="13F23F9E" w14:textId="77777777" w:rsidR="00C87C47" w:rsidRPr="00C87C47" w:rsidRDefault="00C87C47">
                                <w:pPr>
                                  <w:rPr>
                                    <w:lang w:val="it-IT"/>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77FA03B"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680"/>
                            <w:gridCol w:w="2076"/>
                          </w:tblGrid>
                          <w:tr w:rsidR="00C87C47" w:rsidRPr="00C87C47" w14:paraId="720DBC00" w14:textId="77777777">
                            <w:trPr>
                              <w:jc w:val="center"/>
                            </w:trPr>
                            <w:tc>
                              <w:tcPr>
                                <w:tcW w:w="2568" w:type="pct"/>
                                <w:vAlign w:val="center"/>
                              </w:tcPr>
                              <w:p w14:paraId="7A3FEF86" w14:textId="7B281286" w:rsidR="00C87C47" w:rsidRDefault="00A75155">
                                <w:pPr>
                                  <w:jc w:val="right"/>
                                </w:pPr>
                                <w:r>
                                  <w:rPr>
                                    <w:noProof/>
                                  </w:rPr>
                                  <w:drawing>
                                    <wp:inline distT="0" distB="0" distL="0" distR="0" wp14:anchorId="4B5BA95F" wp14:editId="167D83BF">
                                      <wp:extent cx="4415950" cy="2484120"/>
                                      <wp:effectExtent l="0" t="0" r="3810" b="0"/>
                                      <wp:docPr id="1320529076" name="Picture 2" descr="A person's hands protecting a group of paper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29076" name="Picture 2" descr="A person's hands protecting a group of paper peopl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423634" cy="2488443"/>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1D4E6B0" w14:textId="451623E5" w:rsidR="00C87C47" w:rsidRDefault="002F4A83">
                                    <w:pPr>
                                      <w:pStyle w:val="NoSpacing"/>
                                      <w:spacing w:line="312" w:lineRule="auto"/>
                                      <w:jc w:val="right"/>
                                      <w:rPr>
                                        <w:caps/>
                                        <w:color w:val="191919" w:themeColor="text1" w:themeTint="E6"/>
                                        <w:sz w:val="72"/>
                                        <w:szCs w:val="72"/>
                                      </w:rPr>
                                    </w:pPr>
                                    <w:r w:rsidRPr="002F4A83">
                                      <w:rPr>
                                        <w:caps/>
                                        <w:color w:val="191919" w:themeColor="text1" w:themeTint="E6"/>
                                        <w:sz w:val="44"/>
                                        <w:szCs w:val="44"/>
                                      </w:rPr>
                                      <w:t>Principles of health and social care practice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FA29CEA" w14:textId="77E31419" w:rsidR="00C87C47" w:rsidRDefault="002F4A83">
                                    <w:pPr>
                                      <w:jc w:val="right"/>
                                      <w:rPr>
                                        <w:sz w:val="24"/>
                                        <w:szCs w:val="24"/>
                                      </w:rPr>
                                    </w:pPr>
                                    <w:r>
                                      <w:rPr>
                                        <w:color w:val="000000" w:themeColor="text1"/>
                                        <w:sz w:val="24"/>
                                        <w:szCs w:val="24"/>
                                      </w:rPr>
                                      <w:t>BMHP</w:t>
                                    </w:r>
                                    <w:r w:rsidR="00C51487">
                                      <w:rPr>
                                        <w:color w:val="000000" w:themeColor="text1"/>
                                        <w:sz w:val="24"/>
                                        <w:szCs w:val="24"/>
                                      </w:rPr>
                                      <w:t>5016 – Component 2</w:t>
                                    </w:r>
                                  </w:p>
                                </w:sdtContent>
                              </w:sdt>
                            </w:tc>
                            <w:tc>
                              <w:tcPr>
                                <w:tcW w:w="2432" w:type="pct"/>
                                <w:vAlign w:val="center"/>
                              </w:tcPr>
                              <w:p w14:paraId="7C6AB8F0" w14:textId="3B2A978B" w:rsidR="00C87C47" w:rsidRDefault="0077453A">
                                <w:pPr>
                                  <w:pStyle w:val="NoSpacing"/>
                                  <w:rPr>
                                    <w:caps/>
                                    <w:color w:val="E97132" w:themeColor="accent2"/>
                                    <w:sz w:val="26"/>
                                    <w:szCs w:val="26"/>
                                  </w:rPr>
                                </w:pPr>
                                <w:r>
                                  <w:rPr>
                                    <w:caps/>
                                    <w:color w:val="E97132" w:themeColor="accent2"/>
                                    <w:sz w:val="26"/>
                                    <w:szCs w:val="26"/>
                                  </w:rPr>
                                  <w:t>Individual writen report</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545D0AA" w14:textId="5B716471" w:rsidR="00C87C47" w:rsidRPr="00C51487" w:rsidRDefault="00AC71FE">
                                    <w:pPr>
                                      <w:rPr>
                                        <w:color w:val="000000" w:themeColor="text1"/>
                                        <w:lang w:val="it-IT"/>
                                      </w:rPr>
                                    </w:pPr>
                                    <w:r w:rsidRPr="00C51487">
                                      <w:rPr>
                                        <w:color w:val="000000" w:themeColor="text1"/>
                                        <w:lang w:val="it-IT"/>
                                      </w:rPr>
                                      <w:t xml:space="preserve">     </w:t>
                                    </w:r>
                                  </w:p>
                                </w:sdtContent>
                              </w:sdt>
                              <w:sdt>
                                <w:sdtPr>
                                  <w:rPr>
                                    <w:color w:val="E97132" w:themeColor="accent2"/>
                                    <w:sz w:val="26"/>
                                    <w:szCs w:val="26"/>
                                    <w:lang w:val="it-IT"/>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262DECE" w14:textId="6C771C22" w:rsidR="00C87C47" w:rsidRPr="00C87C47" w:rsidRDefault="00C51487">
                                    <w:pPr>
                                      <w:pStyle w:val="NoSpacing"/>
                                      <w:rPr>
                                        <w:color w:val="E97132" w:themeColor="accent2"/>
                                        <w:sz w:val="26"/>
                                        <w:szCs w:val="26"/>
                                        <w:lang w:val="it-IT"/>
                                      </w:rPr>
                                    </w:pPr>
                                    <w:r>
                                      <w:rPr>
                                        <w:color w:val="E97132" w:themeColor="accent2"/>
                                        <w:sz w:val="26"/>
                                        <w:szCs w:val="26"/>
                                        <w:lang w:val="it-IT"/>
                                      </w:rPr>
                                      <w:t>Sandra Adina Ontica</w:t>
                                    </w:r>
                                  </w:p>
                                </w:sdtContent>
                              </w:sdt>
                              <w:p w14:paraId="260A3E88" w14:textId="3D989B56" w:rsidR="00C87C47" w:rsidRPr="00C87C47" w:rsidRDefault="00C87C47">
                                <w:pPr>
                                  <w:pStyle w:val="NoSpacing"/>
                                  <w:rPr>
                                    <w:lang w:val="it-IT"/>
                                  </w:rPr>
                                </w:pPr>
                                <w:sdt>
                                  <w:sdtPr>
                                    <w:rPr>
                                      <w:color w:val="0E2841" w:themeColor="text2"/>
                                      <w:lang w:val="it-IT"/>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51487" w:rsidRPr="00C51487">
                                      <w:rPr>
                                        <w:color w:val="0E2841" w:themeColor="text2"/>
                                        <w:lang w:val="it-IT"/>
                                      </w:rPr>
                                      <w:t>Student ID: 2322796</w:t>
                                    </w:r>
                                  </w:sdtContent>
                                </w:sdt>
                              </w:p>
                            </w:tc>
                          </w:tr>
                        </w:tbl>
                        <w:p w14:paraId="13F23F9E" w14:textId="77777777" w:rsidR="00C87C47" w:rsidRPr="00C87C47" w:rsidRDefault="00C87C47">
                          <w:pPr>
                            <w:rPr>
                              <w:lang w:val="it-IT"/>
                            </w:rPr>
                          </w:pPr>
                        </w:p>
                      </w:txbxContent>
                    </v:textbox>
                    <w10:wrap anchorx="page" anchory="page"/>
                  </v:shape>
                </w:pict>
              </mc:Fallback>
            </mc:AlternateContent>
          </w:r>
          <w:r>
            <w:br w:type="page"/>
          </w:r>
        </w:p>
      </w:sdtContent>
    </w:sdt>
    <w:p w14:paraId="49B76422" w14:textId="36FA2D39" w:rsidR="009C4CC7" w:rsidRDefault="00C87C47" w:rsidP="00C87C47">
      <w:pPr>
        <w:pStyle w:val="Heading2"/>
      </w:pPr>
      <w:r>
        <w:lastRenderedPageBreak/>
        <w:t>Table of Contents</w:t>
      </w:r>
    </w:p>
    <w:p w14:paraId="51F04965" w14:textId="77777777" w:rsidR="00C87C47" w:rsidRDefault="00C87C47" w:rsidP="00C87C47"/>
    <w:p w14:paraId="4DE8F416" w14:textId="7504FE39" w:rsidR="00C87C47" w:rsidRDefault="00DF27DA" w:rsidP="00C87C47">
      <w:r>
        <w:t>Executive Summary………………………………………………………………………………………….2</w:t>
      </w:r>
    </w:p>
    <w:p w14:paraId="375D877A" w14:textId="34869BCD" w:rsidR="00DF27DA" w:rsidRDefault="00DF27DA" w:rsidP="00C87C47">
      <w:r>
        <w:t>Introduction…………………………………………………………………………………………………….3</w:t>
      </w:r>
    </w:p>
    <w:p w14:paraId="336A1ABD" w14:textId="3E7FB5D2" w:rsidR="00DF27DA" w:rsidRDefault="00DF27DA" w:rsidP="00C87C47">
      <w:r>
        <w:t>Person-centred care………………………………………………………………………………………….4</w:t>
      </w:r>
    </w:p>
    <w:p w14:paraId="75969B23" w14:textId="46740339" w:rsidR="00DF27DA" w:rsidRDefault="009D4978" w:rsidP="00C87C47">
      <w:r>
        <w:t>Par</w:t>
      </w:r>
      <w:r w:rsidR="00841D27">
        <w:t>tnership Work………………………………………………………………………………………………5</w:t>
      </w:r>
    </w:p>
    <w:p w14:paraId="51B0AB2E" w14:textId="1EC67E02" w:rsidR="00841D27" w:rsidRDefault="00841D27" w:rsidP="00C87C47">
      <w:r>
        <w:t>Application in Practice……………………………………………………………………………………….6</w:t>
      </w:r>
    </w:p>
    <w:p w14:paraId="189A7F6E" w14:textId="7E3B7FBA" w:rsidR="00841D27" w:rsidRDefault="00841D27" w:rsidP="00C87C47">
      <w:r>
        <w:t>Recommendation…………………………………………………………………………………………</w:t>
      </w:r>
      <w:r w:rsidR="00564580">
        <w:t>….</w:t>
      </w:r>
      <w:r>
        <w:t>7</w:t>
      </w:r>
    </w:p>
    <w:p w14:paraId="5412FDA0" w14:textId="01368572" w:rsidR="00564580" w:rsidRDefault="007F6FE3" w:rsidP="00C87C47">
      <w:r>
        <w:t>Conclusion</w:t>
      </w:r>
      <w:r w:rsidR="00AC71FE">
        <w:t>………………………………………………………………………………………………………8</w:t>
      </w:r>
    </w:p>
    <w:p w14:paraId="7C4A7B60" w14:textId="3DCD7091" w:rsidR="00AC71FE" w:rsidRDefault="00AC71FE" w:rsidP="00C87C47">
      <w:r>
        <w:t>References………………………………………………………………………………………………………8</w:t>
      </w:r>
    </w:p>
    <w:p w14:paraId="0922DD6A" w14:textId="77777777" w:rsidR="00564580" w:rsidRDefault="00564580" w:rsidP="00C87C47"/>
    <w:p w14:paraId="0B684CF9" w14:textId="77777777" w:rsidR="00C87C47" w:rsidRDefault="00C87C47" w:rsidP="00C87C47"/>
    <w:p w14:paraId="149085AF" w14:textId="77777777" w:rsidR="00C87C47" w:rsidRDefault="00C87C47" w:rsidP="00C87C47"/>
    <w:p w14:paraId="55462526" w14:textId="77777777" w:rsidR="00C87C47" w:rsidRDefault="00C87C47" w:rsidP="00C87C47"/>
    <w:p w14:paraId="0A32D441" w14:textId="77777777" w:rsidR="00C87C47" w:rsidRDefault="00C87C47" w:rsidP="00C87C47"/>
    <w:p w14:paraId="7C893817" w14:textId="77777777" w:rsidR="00C87C47" w:rsidRDefault="00C87C47" w:rsidP="00C87C47"/>
    <w:p w14:paraId="4086D167" w14:textId="77777777" w:rsidR="00C87C47" w:rsidRDefault="00C87C47" w:rsidP="00C87C47"/>
    <w:p w14:paraId="4640CBD5" w14:textId="77777777" w:rsidR="00C87C47" w:rsidRDefault="00C87C47" w:rsidP="00C87C47"/>
    <w:p w14:paraId="13C544FA" w14:textId="77777777" w:rsidR="00C87C47" w:rsidRDefault="00C87C47" w:rsidP="00C87C47"/>
    <w:p w14:paraId="527BC89A" w14:textId="77777777" w:rsidR="00C87C47" w:rsidRDefault="00C87C47" w:rsidP="00C87C47"/>
    <w:p w14:paraId="2A8BAE34" w14:textId="77777777" w:rsidR="00C87C47" w:rsidRDefault="00C87C47" w:rsidP="00C87C47"/>
    <w:p w14:paraId="55E685DF" w14:textId="77777777" w:rsidR="00C87C47" w:rsidRDefault="00C87C47" w:rsidP="00C87C47"/>
    <w:p w14:paraId="36889AC4" w14:textId="77777777" w:rsidR="00C87C47" w:rsidRDefault="00C87C47" w:rsidP="00C87C47"/>
    <w:p w14:paraId="4B69FDB9" w14:textId="77777777" w:rsidR="00C87C47" w:rsidRDefault="00C87C47" w:rsidP="00C87C47"/>
    <w:p w14:paraId="3A170D95" w14:textId="77777777" w:rsidR="00C87C47" w:rsidRDefault="00C87C47" w:rsidP="00C87C47"/>
    <w:p w14:paraId="7FA4F471" w14:textId="77777777" w:rsidR="00C87C47" w:rsidRDefault="00C87C47" w:rsidP="00C87C47"/>
    <w:p w14:paraId="6FDC1B9A" w14:textId="77777777" w:rsidR="00C87C47" w:rsidRDefault="00C87C47" w:rsidP="00C87C47"/>
    <w:p w14:paraId="4B86F34F" w14:textId="77777777" w:rsidR="00C87C47" w:rsidRDefault="00C87C47" w:rsidP="00C87C47"/>
    <w:p w14:paraId="59785096" w14:textId="77777777" w:rsidR="00C87C47" w:rsidRDefault="00C87C47" w:rsidP="00C87C47"/>
    <w:p w14:paraId="7AD0A150" w14:textId="77777777" w:rsidR="00C87C47" w:rsidRDefault="00C87C47" w:rsidP="00C87C47"/>
    <w:p w14:paraId="38D7FD51" w14:textId="77777777" w:rsidR="00C87C47" w:rsidRDefault="00C87C47" w:rsidP="00C87C47"/>
    <w:p w14:paraId="03C128C0" w14:textId="77777777" w:rsidR="00C87C47" w:rsidRDefault="00C87C47" w:rsidP="00C87C47"/>
    <w:p w14:paraId="044A56E5" w14:textId="77777777" w:rsidR="00C87C47" w:rsidRDefault="00C87C47" w:rsidP="00C87C47"/>
    <w:p w14:paraId="60ED7D70" w14:textId="77777777" w:rsidR="00C87C47" w:rsidRDefault="00C87C47" w:rsidP="00C87C47"/>
    <w:p w14:paraId="0E0FE773" w14:textId="77777777" w:rsidR="00C87C47" w:rsidRDefault="00C87C47" w:rsidP="00C87C47"/>
    <w:p w14:paraId="0A0443EF" w14:textId="77777777" w:rsidR="00C87C47" w:rsidRDefault="00C87C47" w:rsidP="00C87C47"/>
    <w:p w14:paraId="2CD864E6" w14:textId="77777777" w:rsidR="00C87C47" w:rsidRDefault="00C87C47" w:rsidP="00C87C47"/>
    <w:p w14:paraId="13DF12F2" w14:textId="77777777" w:rsidR="00C87C47" w:rsidRDefault="00C87C47" w:rsidP="00C87C47"/>
    <w:p w14:paraId="430BB6DC" w14:textId="77777777" w:rsidR="00C87C47" w:rsidRDefault="00C87C47" w:rsidP="00C87C47"/>
    <w:p w14:paraId="5A342B38" w14:textId="24F3EF7E" w:rsidR="00C87C47" w:rsidRDefault="00C87C47" w:rsidP="00C87C47">
      <w:pPr>
        <w:pStyle w:val="Heading2"/>
      </w:pPr>
      <w:r>
        <w:t>Summary</w:t>
      </w:r>
    </w:p>
    <w:p w14:paraId="15E2E02B" w14:textId="4A4C9805" w:rsidR="00C87C47" w:rsidRDefault="00C87C47" w:rsidP="00C87C47">
      <w:pPr>
        <w:spacing w:line="360" w:lineRule="auto"/>
        <w:jc w:val="both"/>
      </w:pPr>
      <w:r w:rsidRPr="00C87C47">
        <w:t>This is a critical analysis report of the principles of Person-Centred Care (PCC) and Partnership Working (PW) that underpin the United Kingdom health and social care practice. Both principles underpin the ethical, legal, and professional standards that deliver quality, safety, and equity to service provision. The analysis explores how PCC develops empowerment, autonomy, and individuality, while PW enables interdisciplinary working to promote coordination and results. The report, utilizing Maslow's Hierarchy of Needs, the Ecological Model from Bronfenbrenner, and Taxonomy of Need from Bradshaw, also appraises how approaches to holistic care impact planning and provision. The report further appraises legal provisions under the Care Act 2014, Health and Care Act 2022, and the Equality Act 2010 for effects on ethical and inclusive practice. Recommendations are also provided to develop integrated care systems, professional networking, and trauma-based service provision. The report contends that successful integration of PCC and PW is dependent on reciprocal accountability, reflective practice, and continued interdisciplinary working.</w:t>
      </w:r>
    </w:p>
    <w:p w14:paraId="3D8F9E06" w14:textId="77777777" w:rsidR="00C87C47" w:rsidRDefault="00C87C47" w:rsidP="00C87C47">
      <w:pPr>
        <w:spacing w:line="360" w:lineRule="auto"/>
        <w:jc w:val="both"/>
      </w:pPr>
    </w:p>
    <w:p w14:paraId="35F30226" w14:textId="77777777" w:rsidR="00C87C47" w:rsidRDefault="00C87C47" w:rsidP="00C87C47">
      <w:pPr>
        <w:spacing w:line="360" w:lineRule="auto"/>
        <w:jc w:val="both"/>
      </w:pPr>
    </w:p>
    <w:p w14:paraId="7282EB5B" w14:textId="77777777" w:rsidR="00C87C47" w:rsidRDefault="00C87C47" w:rsidP="00C87C47">
      <w:pPr>
        <w:spacing w:line="360" w:lineRule="auto"/>
        <w:jc w:val="both"/>
      </w:pPr>
    </w:p>
    <w:p w14:paraId="48D8C8C8" w14:textId="77777777" w:rsidR="00C87C47" w:rsidRDefault="00C87C47" w:rsidP="00C87C47">
      <w:pPr>
        <w:spacing w:line="360" w:lineRule="auto"/>
        <w:jc w:val="both"/>
      </w:pPr>
    </w:p>
    <w:p w14:paraId="4C523951" w14:textId="77777777" w:rsidR="00C87C47" w:rsidRDefault="00C87C47" w:rsidP="00C87C47">
      <w:pPr>
        <w:spacing w:line="360" w:lineRule="auto"/>
        <w:jc w:val="both"/>
      </w:pPr>
    </w:p>
    <w:p w14:paraId="4E37A513" w14:textId="77777777" w:rsidR="00C87C47" w:rsidRDefault="00C87C47" w:rsidP="00C87C47">
      <w:pPr>
        <w:spacing w:line="360" w:lineRule="auto"/>
        <w:jc w:val="both"/>
      </w:pPr>
    </w:p>
    <w:p w14:paraId="60B30033" w14:textId="77777777" w:rsidR="00C87C47" w:rsidRDefault="00C87C47" w:rsidP="00C87C47">
      <w:pPr>
        <w:spacing w:line="360" w:lineRule="auto"/>
        <w:jc w:val="both"/>
      </w:pPr>
    </w:p>
    <w:p w14:paraId="22F678C5" w14:textId="77777777" w:rsidR="00C87C47" w:rsidRDefault="00C87C47" w:rsidP="00C87C47">
      <w:pPr>
        <w:spacing w:line="360" w:lineRule="auto"/>
        <w:jc w:val="both"/>
      </w:pPr>
    </w:p>
    <w:p w14:paraId="2FD4E639" w14:textId="1DBE63FF" w:rsidR="00C87C47" w:rsidRDefault="00C87C47" w:rsidP="00C87C47">
      <w:pPr>
        <w:pStyle w:val="Heading2"/>
      </w:pPr>
      <w:r>
        <w:lastRenderedPageBreak/>
        <w:t>Introduction</w:t>
      </w:r>
    </w:p>
    <w:p w14:paraId="53ECEF8A" w14:textId="266C79AA" w:rsidR="00C87C47" w:rsidRDefault="00C87C47" w:rsidP="00C87C47">
      <w:pPr>
        <w:spacing w:line="360" w:lineRule="auto"/>
        <w:jc w:val="both"/>
      </w:pPr>
      <w:r w:rsidRPr="00C87C47">
        <w:t>Person-centred working and partnership are the foundation stones for ethical and effective health and social care for the United Kingdom. Both are conceptualised to facilitate the realization that people are treated with dignity and respect, that services are personal to individual requirements, and that practitioners collaborate to maximise the best outcome for users of care services. The Health Education England (HEE, 2017) Person-Centred Approaches Framework conceptualises person-centred care as the acknowledgment that people are experts in their own lives, the facilitation of collaborative decision-making, and the focus on well-being through sensitive communication. The Care Act 2014 encapsulates this ideology legislatively through striving to place the individual's well-being and independent living at the heart of all planning and assessment processes.</w:t>
      </w:r>
    </w:p>
    <w:p w14:paraId="6CF16953" w14:textId="72EDE63B" w:rsidR="00C87C47" w:rsidRDefault="008D3FCD" w:rsidP="00C87C47">
      <w:pPr>
        <w:spacing w:line="360" w:lineRule="auto"/>
        <w:jc w:val="both"/>
      </w:pPr>
      <w:r w:rsidRPr="008D3FCD">
        <w:t>Successful working for these aims is facilitated through the alignment of professionals and organisations, with fewer fragmented services and improved outcomes (Glasby, Dickinson &amp; Miller, 2011). The Health and Care Act 2022 further this direction through the adoption of Integrated Care Systems (ICSs) to support the integration of social and health care services. Ethical principles, for instance those offered through the Health and Care Professions Council (2024), underpin accountability, respect, and justice for all care.</w:t>
      </w:r>
    </w:p>
    <w:p w14:paraId="27D58423" w14:textId="17DB37D6" w:rsidR="008D3FCD" w:rsidRDefault="008D3FCD" w:rsidP="008D3FCD">
      <w:pPr>
        <w:pStyle w:val="Heading2"/>
      </w:pPr>
      <w:r>
        <w:t>Person-centred Care</w:t>
      </w:r>
    </w:p>
    <w:p w14:paraId="3BFF4E21" w14:textId="5A423D1C" w:rsidR="008D3FCD" w:rsidRDefault="00445683" w:rsidP="00445683">
      <w:pPr>
        <w:spacing w:line="360" w:lineRule="auto"/>
        <w:jc w:val="both"/>
        <w:rPr>
          <w:rFonts w:ascii="Arial" w:hAnsi="Arial" w:cs="Arial"/>
        </w:rPr>
      </w:pPr>
      <w:r w:rsidRPr="00445683">
        <w:rPr>
          <w:rFonts w:ascii="Arial" w:hAnsi="Arial" w:cs="Arial"/>
        </w:rPr>
        <w:t>Person-Centred Care (PCC) is an organizing principle for effective and ethical health and social care practice for the United Kingdom. It places the person at the heart of care provision, with all care decisions for the person's health and well-being being directed by the person's individual needs, values, and desires.</w:t>
      </w:r>
      <w:r>
        <w:rPr>
          <w:rFonts w:ascii="Arial" w:hAnsi="Arial" w:cs="Arial"/>
        </w:rPr>
        <w:t xml:space="preserve"> </w:t>
      </w:r>
      <w:r w:rsidRPr="00445683">
        <w:rPr>
          <w:rFonts w:ascii="Arial" w:hAnsi="Arial" w:cs="Arial"/>
        </w:rPr>
        <w:t>Health Education England (2017) outlines that the definition for PCC is an approach that enables people to build the knowledge, skills, and confidence to take care of their health through meaningful discussions and collaborative decision-making. Likewise, The Health Foundation (2016) points to the importance of noting the person, rather than the diagnosis, treating the individual with dignity and respect, and enabling the individual to take an active role within the care that is provided.</w:t>
      </w:r>
    </w:p>
    <w:p w14:paraId="2326CA9D" w14:textId="77777777" w:rsidR="001E5DD1" w:rsidRDefault="00445683" w:rsidP="001E5DD1">
      <w:pPr>
        <w:spacing w:after="0" w:line="360" w:lineRule="auto"/>
        <w:jc w:val="both"/>
        <w:rPr>
          <w:rFonts w:ascii="Arial" w:hAnsi="Arial" w:cs="Arial"/>
        </w:rPr>
      </w:pPr>
      <w:r w:rsidRPr="00445683">
        <w:rPr>
          <w:rFonts w:ascii="Arial" w:hAnsi="Arial" w:cs="Arial"/>
        </w:rPr>
        <w:t xml:space="preserve">PCC is legislatively underpinned by the Care Act 2014, requiring the local authorities to promote individual well-being and to prioritize choice and control when planning for services. The Care Act changed the system for care from a service-based to a person-based system, with a focus on prevention, support for living independently, and participation. The Equality Act 2010 also underpins the requirement to provide equitable, non-discriminatory care through the celebration of individual diversity and the removing of barriers that could inhibit freedom (Department of Health and Social Care, 2018). Both the above acts collectively ensure that </w:t>
      </w:r>
      <w:r w:rsidRPr="00445683">
        <w:rPr>
          <w:rFonts w:ascii="Arial" w:hAnsi="Arial" w:cs="Arial"/>
        </w:rPr>
        <w:lastRenderedPageBreak/>
        <w:t>the principles of inclusion and empowerment are embedded at every stage of care assessment and provision.</w:t>
      </w:r>
    </w:p>
    <w:p w14:paraId="5F015642" w14:textId="5C64D406" w:rsidR="001E5DD1" w:rsidRDefault="00445683" w:rsidP="00744E1C">
      <w:pPr>
        <w:spacing w:after="0" w:line="360" w:lineRule="auto"/>
        <w:jc w:val="both"/>
        <w:rPr>
          <w:rFonts w:ascii="Arial" w:hAnsi="Arial" w:cs="Arial"/>
        </w:rPr>
      </w:pPr>
      <w:r w:rsidRPr="00445683">
        <w:rPr>
          <w:rFonts w:ascii="Arial" w:hAnsi="Arial" w:cs="Arial"/>
        </w:rPr>
        <w:br/>
      </w:r>
      <w:r w:rsidR="001E5DD1" w:rsidRPr="001E5DD1">
        <w:rPr>
          <w:rFonts w:ascii="Arial" w:hAnsi="Arial" w:cs="Arial"/>
        </w:rPr>
        <w:t>Ethically, the PCC is in alignment with the Health and Care Professions Council (2024) Standards of Conduct, Performance and Ethics, that require practitioners to uphold confidentiality, respect autonomy, and provide care for the client's best interest. Beauchamp and Childress (2019) speak of autonomy, beneficence, a non-maleficence, and justice as the four professional ethical principles that guide decisions relating to care. In person-centred care, these principles are evidenced through open collaboration, respect for informed decisions, and open professional-client communication.</w:t>
      </w:r>
    </w:p>
    <w:p w14:paraId="0D975EC9" w14:textId="77777777" w:rsidR="00CA6221" w:rsidRDefault="00CA6221" w:rsidP="00744E1C">
      <w:pPr>
        <w:spacing w:after="0" w:line="360" w:lineRule="auto"/>
        <w:jc w:val="both"/>
        <w:rPr>
          <w:rFonts w:ascii="Arial" w:hAnsi="Arial" w:cs="Arial"/>
        </w:rPr>
      </w:pPr>
    </w:p>
    <w:p w14:paraId="282F4C99" w14:textId="7A6FC7D1" w:rsidR="007A7825" w:rsidRDefault="007A7825" w:rsidP="00744E1C">
      <w:pPr>
        <w:spacing w:after="0" w:line="360" w:lineRule="auto"/>
        <w:jc w:val="both"/>
        <w:rPr>
          <w:rFonts w:ascii="Arial" w:hAnsi="Arial" w:cs="Arial"/>
        </w:rPr>
      </w:pPr>
      <w:r w:rsidRPr="007A7825">
        <w:rPr>
          <w:rFonts w:ascii="Arial" w:hAnsi="Arial" w:cs="Arial"/>
        </w:rPr>
        <w:t>Psychological and social theory also underlies the person-centred approach. Maslow's Hierarchy of Needs (1943) proposes that people need to have physiological and protection needs fulfilled first, to then reach higher levels, for example, a sense of belonging, esteem, and self-actualization. The view here is that holistic care, that acknowledges emotional and physical aspects of health, is needed. Similarly, Bronfenbrenner's Ecological Model (1979) describes how the development of an individual is affected by a series of systems—family, community, and policy showing that professionals need to look at the broader social environment when designing interventions.</w:t>
      </w:r>
    </w:p>
    <w:p w14:paraId="013AA1FC" w14:textId="77777777" w:rsidR="000F1664" w:rsidRDefault="000F1664" w:rsidP="000F1664">
      <w:pPr>
        <w:spacing w:after="0" w:line="360" w:lineRule="auto"/>
        <w:jc w:val="both"/>
        <w:rPr>
          <w:rFonts w:ascii="Arial" w:hAnsi="Arial" w:cs="Arial"/>
        </w:rPr>
      </w:pPr>
    </w:p>
    <w:p w14:paraId="07CA8179" w14:textId="0D0E7C72" w:rsidR="007A7825" w:rsidRDefault="00CA6221" w:rsidP="000F1664">
      <w:pPr>
        <w:spacing w:after="120" w:line="360" w:lineRule="auto"/>
        <w:jc w:val="both"/>
        <w:rPr>
          <w:rFonts w:ascii="Arial" w:hAnsi="Arial" w:cs="Arial"/>
        </w:rPr>
      </w:pPr>
      <w:r w:rsidRPr="00CA6221">
        <w:rPr>
          <w:rFonts w:ascii="Arial" w:hAnsi="Arial" w:cs="Arial"/>
        </w:rPr>
        <w:t>Despite</w:t>
      </w:r>
      <w:r w:rsidRPr="00CA6221">
        <w:rPr>
          <w:rFonts w:ascii="Arial" w:hAnsi="Arial" w:cs="Arial"/>
        </w:rPr>
        <w:t xml:space="preserve"> being at the centre, PCC is confronted with implementation challenges. Social Care 360 (2020) explains perennial unequal access, workforce pressures, and communication failures that block regular use of person-centred practice. And Coulter (2011) contends that real co-production is not easily accomplished if system barriers rob professionals of time and freedom. Release from these discouragers depends on robust leadership, sufficient training, and organisational cultures that create empathy, inclusivity, and reciprocal accountability.</w:t>
      </w:r>
    </w:p>
    <w:p w14:paraId="4EEB8C2D" w14:textId="30D22A5E" w:rsidR="001E5DD1" w:rsidRDefault="006B021F" w:rsidP="006B021F">
      <w:pPr>
        <w:pStyle w:val="Heading2"/>
      </w:pPr>
      <w:r>
        <w:t>Partnership Working</w:t>
      </w:r>
    </w:p>
    <w:p w14:paraId="4313BB47" w14:textId="2DC35EFB" w:rsidR="006B021F" w:rsidRDefault="006B021F" w:rsidP="006B021F">
      <w:pPr>
        <w:spacing w:line="360" w:lineRule="auto"/>
        <w:jc w:val="both"/>
      </w:pPr>
      <w:r w:rsidRPr="006B021F">
        <w:t>Despite</w:t>
      </w:r>
      <w:r w:rsidRPr="006B021F">
        <w:t xml:space="preserve"> being at the centre, PCC is confronted with implementation challenges. Social Care 360 (2020) explains perennial unequal access, workforce pressures, and communication failures that block regular use of person-centred practice. And Coulter (2011) contends that real co-production is not easily accomplished if system barriers rob professionals of time and freedom. Release from these discouragers depends on robust leadership, sufficient training, and organisational cultures that create empathy, inclusivity, and reciprocal accountability.</w:t>
      </w:r>
    </w:p>
    <w:p w14:paraId="42EC8DFD" w14:textId="4EE49F5F" w:rsidR="006B021F" w:rsidRDefault="00AE5976" w:rsidP="006B021F">
      <w:pPr>
        <w:spacing w:line="360" w:lineRule="auto"/>
        <w:jc w:val="both"/>
      </w:pPr>
      <w:r w:rsidRPr="00AE5976">
        <w:t xml:space="preserve">Government arrangements underlay partnership working. The Health and Care Act 2022 established Integrated Care Systems (ICSs) to formally bring together collaboration among the </w:t>
      </w:r>
      <w:r w:rsidRPr="00AE5976">
        <w:lastRenderedPageBreak/>
        <w:t>NHS, local government, and community organisations to facilitate the health and social care services to run as an integrated system.</w:t>
      </w:r>
      <w:r w:rsidR="00E32700">
        <w:t xml:space="preserve"> </w:t>
      </w:r>
      <w:r w:rsidR="00E32700" w:rsidRPr="00E32700">
        <w:t>These collaborative models are to reduce inequalities, enable flow of communication, and align resources (Department of Health and Social Care, 2022). The Care Act 2014 also facilitates collaborative accountability through the requirement for organizations to cooperate for the protection and improvement of the well-being of adults with care and support needs. Such provisions are reflective of the move of the policy from individualized, siloed, service provision to joined-up care with emphasis on common goals and sharing of information.</w:t>
      </w:r>
    </w:p>
    <w:p w14:paraId="52338E84" w14:textId="5BE4C9E0" w:rsidR="00E32700" w:rsidRDefault="00BC193D" w:rsidP="006B021F">
      <w:pPr>
        <w:spacing w:line="360" w:lineRule="auto"/>
        <w:jc w:val="both"/>
      </w:pPr>
      <w:r w:rsidRPr="00BC193D">
        <w:t>In practice, collaborative working requires openness and transparent communication, trust, and respect between professionals. The Health and Care Professions Council (2024) outlines collaborative practice as a basic standard of professional behaviour, with the expectation that practitioners must support multi-disciplinary decision-making and acknowledge the expertise of other professionals.</w:t>
      </w:r>
      <w:r w:rsidR="000019FC">
        <w:t xml:space="preserve"> </w:t>
      </w:r>
      <w:r w:rsidR="000019FC" w:rsidRPr="000019FC">
        <w:t>Holding et al. (2020) also show how, where agencies develop good communication and reciprocal accountability, especially across housing, health, and social care, the outcome for those with complex needs is very positive. Where communication is poor and organisational aims divergent, however, confusion about the role, delays, and incomplete care planning result (Glasby et al., 2011).</w:t>
      </w:r>
    </w:p>
    <w:p w14:paraId="61CCE731" w14:textId="47E07ADD" w:rsidR="00AE5976" w:rsidRDefault="00217FC9" w:rsidP="006B021F">
      <w:pPr>
        <w:spacing w:line="360" w:lineRule="auto"/>
        <w:jc w:val="both"/>
      </w:pPr>
      <w:r w:rsidRPr="00217FC9">
        <w:t>Theoretically, Bronfenbrenner’s Ecological Model (1979) supports partnership working by recognising that well-being is influenced by interactions across multiple systems—micro (individual and family), and macro (policy and society). Tuckman’s (1965) model of team development also explains how professionals progress from forming to performing stages through trust, open communication, and shared purpose. However, achieving this synergy can be hindered by time pressures, unequal power dynamics, and resource constraints (NHS Confederation, 2020).</w:t>
      </w:r>
    </w:p>
    <w:p w14:paraId="7FD1DDAB" w14:textId="3B5E78D4" w:rsidR="00C4385D" w:rsidRPr="006B021F" w:rsidRDefault="001320B8" w:rsidP="006B021F">
      <w:pPr>
        <w:spacing w:line="360" w:lineRule="auto"/>
        <w:jc w:val="both"/>
      </w:pPr>
      <w:r w:rsidRPr="001320B8">
        <w:t>To foster collaboration, integrated systems also rely on ongoing interprofessional education, shared digital infrastructure, and leadership for co-production between service users. Sustainable partnership working, The King's Fund (2021) suggests, is reliant on an assumption of mutual accountability and reflective practice, whereby the professional is educated through practice and remains adaptable to the challenges that arise.</w:t>
      </w:r>
    </w:p>
    <w:p w14:paraId="23F2C61F" w14:textId="1D8E73C1" w:rsidR="00467967" w:rsidRDefault="00DD12B1" w:rsidP="00DD12B1">
      <w:pPr>
        <w:pStyle w:val="Heading2"/>
      </w:pPr>
      <w:r>
        <w:t>Application to Practice</w:t>
      </w:r>
    </w:p>
    <w:p w14:paraId="5625234C" w14:textId="71277593" w:rsidR="00DD12B1" w:rsidRDefault="00DD12B1" w:rsidP="00DD12B1">
      <w:pPr>
        <w:spacing w:line="360" w:lineRule="auto"/>
        <w:jc w:val="both"/>
      </w:pPr>
      <w:r w:rsidRPr="00DD12B1">
        <w:t xml:space="preserve">Successful implementation of person-centred care (PCC) and partnership working (PW) in health and social care practice depends on the translation of policy and ethical guidance into practical intervention that enhances service user outcomes. In the UK, interdisciplinary collaboration is </w:t>
      </w:r>
      <w:r w:rsidRPr="00DD12B1">
        <w:lastRenderedPageBreak/>
        <w:t>vital to tackling the multi-faceted and inter-related needs of those with the most disadvantaged circumstances, for example, those living with long-term conditions, disabilities, or experiencing mental health issues. Coordinated, person-centred care that is described in the NHS Long Term Plan (2019) enhances not only health, but also satisfaction and engagement with care among service users, evidence that partnership working is complementary with personalisation.</w:t>
      </w:r>
    </w:p>
    <w:p w14:paraId="7BB9178C" w14:textId="44465225" w:rsidR="00DD12B1" w:rsidRDefault="00374A96" w:rsidP="00DD12B1">
      <w:pPr>
        <w:spacing w:line="360" w:lineRule="auto"/>
        <w:jc w:val="both"/>
      </w:pPr>
      <w:r w:rsidRPr="00374A96">
        <w:t>In practice, PCC begins with individual assessment and collaborative planning, with service users themselves the experts. Professionals must listen deeply, co-work care planning, and follow up regarding preferred approaches in agreement with the Care Act 2014 and Health Education England (2017) models. For example, under community care, it is possible for nurses, occupational practitioners, and social workers to collaborate to build sensitive clinical and social health interventions. The person-centred thinking is also congruent with Maslow's Hierarchy of Needs (1943), with the emphasis that well-being extends the concern for physical health to the concern for emotional, psychological, and social needs.</w:t>
      </w:r>
    </w:p>
    <w:p w14:paraId="0C2451F4" w14:textId="5FFD46FD" w:rsidR="00374A96" w:rsidRDefault="00D1646A" w:rsidP="00DD12B1">
      <w:pPr>
        <w:spacing w:line="360" w:lineRule="auto"/>
        <w:jc w:val="both"/>
      </w:pPr>
      <w:r w:rsidRPr="00D1646A">
        <w:t>Partnership working supports these initiatives through the coordination of resources between organisations and service interfaces. Integrated Care Systems (ICSs) under the Health and Care Act 2022, provide structural arrangements for the sharing of resources and information between hospital departments, local government, and voluntary organisations (Department of Health and Social Care, 2022). Interagency planning between social care, housing, and primary care reduces hospital admission and improves care continuity among vulnerable individuals, find Holding et al. (2020). Effective partnership is constructed on openness of communication, clear definition of role, and shared perception of moral obligation.</w:t>
      </w:r>
    </w:p>
    <w:p w14:paraId="06A14E07" w14:textId="43F6E847" w:rsidR="00D1646A" w:rsidRDefault="00150A3D" w:rsidP="00DD12B1">
      <w:pPr>
        <w:spacing w:line="360" w:lineRule="auto"/>
        <w:jc w:val="both"/>
      </w:pPr>
      <w:r w:rsidRPr="00150A3D">
        <w:t>Ethical principles direct the implementation of PCC and PW in practice. The Health and Care Professions Council (2024) emphasizes that practitioners ought to be truthful, respect the confidence, and preserve the dignity of all persons. For example, in the disclosure of the option for treatment, practitioners are obliged to give the information openly and procure the informed consent aligned with the principles of Beauchamp and Childress's (2019) of autonomy and beneficence. In this way, service users are enabled to come to decisions that are aligned with these principles, instead of care being enforced upon the users.</w:t>
      </w:r>
    </w:p>
    <w:p w14:paraId="53E11044" w14:textId="6C963A75" w:rsidR="009F7DDD" w:rsidRDefault="00BC30B6" w:rsidP="00DD12B1">
      <w:pPr>
        <w:spacing w:line="360" w:lineRule="auto"/>
        <w:jc w:val="both"/>
      </w:pPr>
      <w:r w:rsidRPr="00BC30B6">
        <w:t>Implementation of PCC and PW is contingent upon matching the principles of ethics, professional accountability, and legislative models with the realities of practice. When successfully combined, these models promote more equitable, more compassionate, and more coordinated care, encouraging professional-service user trust and promoting the working of the health and social care systems as integrated, person-</w:t>
      </w:r>
      <w:r w:rsidRPr="00BC30B6">
        <w:t>centred</w:t>
      </w:r>
      <w:r w:rsidRPr="00BC30B6">
        <w:t xml:space="preserve"> networks.</w:t>
      </w:r>
    </w:p>
    <w:p w14:paraId="229E0A1A" w14:textId="3B926A6E" w:rsidR="00B82E58" w:rsidRDefault="00B82E58" w:rsidP="00B82E58">
      <w:pPr>
        <w:pStyle w:val="Heading2"/>
      </w:pPr>
      <w:r w:rsidRPr="00B82E58">
        <w:lastRenderedPageBreak/>
        <w:t>Recommendations</w:t>
      </w:r>
    </w:p>
    <w:p w14:paraId="6E199BB5" w14:textId="77777777" w:rsidR="00866AC0" w:rsidRPr="00866AC0" w:rsidRDefault="00866AC0" w:rsidP="00866AC0"/>
    <w:p w14:paraId="09FF29D5" w14:textId="596A44B8" w:rsidR="00866AC0" w:rsidRPr="00866AC0" w:rsidRDefault="00866AC0" w:rsidP="00866AC0">
      <w:pPr>
        <w:pStyle w:val="ListParagraph"/>
        <w:numPr>
          <w:ilvl w:val="0"/>
          <w:numId w:val="1"/>
        </w:numPr>
        <w:spacing w:line="360" w:lineRule="auto"/>
        <w:jc w:val="both"/>
        <w:rPr>
          <w:b/>
          <w:bCs/>
        </w:rPr>
      </w:pPr>
      <w:r w:rsidRPr="00866AC0">
        <w:rPr>
          <w:b/>
          <w:bCs/>
        </w:rPr>
        <w:t>Continuous Interprofessional Training</w:t>
      </w:r>
    </w:p>
    <w:p w14:paraId="44C53857" w14:textId="044D064A" w:rsidR="00B82E58" w:rsidRDefault="00222456" w:rsidP="00222456">
      <w:pPr>
        <w:spacing w:line="360" w:lineRule="auto"/>
        <w:jc w:val="both"/>
      </w:pPr>
      <w:r w:rsidRPr="00222456">
        <w:t>Reflective supervision and ongoing learning are needed to ensure that professionals too have the same perception of PCC principles and collaborative practice. The King's Fund (2021) adds that structured interprofessional learning fosters empathy, communication, and sharing accountability</w:t>
      </w:r>
      <w:r w:rsidR="00276C21">
        <w:t xml:space="preserve">, </w:t>
      </w:r>
      <w:r w:rsidRPr="00222456">
        <w:t>significant dynamics for integrated care. Incorporating multidisciplinary simulation training also can encourage professionals to coordinate ethically and effectively even the most challenging cases (Holding et al., 2020).</w:t>
      </w:r>
    </w:p>
    <w:p w14:paraId="1D9A309B" w14:textId="3EF5D96E" w:rsidR="00CB007C" w:rsidRPr="00783637" w:rsidRDefault="00440559" w:rsidP="00CB007C">
      <w:pPr>
        <w:pStyle w:val="ListParagraph"/>
        <w:numPr>
          <w:ilvl w:val="0"/>
          <w:numId w:val="1"/>
        </w:numPr>
        <w:spacing w:line="360" w:lineRule="auto"/>
        <w:jc w:val="both"/>
        <w:rPr>
          <w:b/>
          <w:bCs/>
        </w:rPr>
      </w:pPr>
      <w:r w:rsidRPr="00783637">
        <w:rPr>
          <w:b/>
          <w:bCs/>
        </w:rPr>
        <w:t>In</w:t>
      </w:r>
      <w:r w:rsidR="00783637" w:rsidRPr="00783637">
        <w:rPr>
          <w:b/>
          <w:bCs/>
        </w:rPr>
        <w:t xml:space="preserve">vestment in Digital and Communication Infrastructure </w:t>
      </w:r>
    </w:p>
    <w:p w14:paraId="3246A5FF" w14:textId="1184E66C" w:rsidR="00866AC0" w:rsidRDefault="00CB007C" w:rsidP="00CB007C">
      <w:pPr>
        <w:spacing w:line="360" w:lineRule="auto"/>
        <w:jc w:val="both"/>
      </w:pPr>
      <w:r w:rsidRPr="00CB007C">
        <w:t>In fragmented information systems, efficient PW is frequently impeded. Introduction of common digital care records and interoperable data systems, described under the 2019 NHS Long Term Plan, would encompass smoother communication and fewer duplications. The tools facilitate the sharing of the right information at the right time between domains, enabling smoother, person-centred interventions (Department of Health and Social Care, 2022).</w:t>
      </w:r>
    </w:p>
    <w:p w14:paraId="365A45F8" w14:textId="57903946" w:rsidR="00F44552" w:rsidRPr="00370820" w:rsidRDefault="00370820" w:rsidP="00F44552">
      <w:pPr>
        <w:pStyle w:val="ListParagraph"/>
        <w:numPr>
          <w:ilvl w:val="0"/>
          <w:numId w:val="1"/>
        </w:numPr>
        <w:spacing w:line="360" w:lineRule="auto"/>
        <w:jc w:val="both"/>
        <w:rPr>
          <w:b/>
          <w:bCs/>
        </w:rPr>
      </w:pPr>
      <w:r w:rsidRPr="00370820">
        <w:rPr>
          <w:b/>
          <w:bCs/>
        </w:rPr>
        <w:t>Empowerment</w:t>
      </w:r>
      <w:r w:rsidR="00F44552" w:rsidRPr="00370820">
        <w:rPr>
          <w:b/>
          <w:bCs/>
        </w:rPr>
        <w:t xml:space="preserve"> </w:t>
      </w:r>
      <w:r w:rsidRPr="00370820">
        <w:rPr>
          <w:b/>
          <w:bCs/>
        </w:rPr>
        <w:t>through Co-Production</w:t>
      </w:r>
    </w:p>
    <w:p w14:paraId="7D490FE0" w14:textId="49DCCABB" w:rsidR="001D1D8D" w:rsidRDefault="00F44552" w:rsidP="00F44552">
      <w:pPr>
        <w:spacing w:line="360" w:lineRule="auto"/>
        <w:jc w:val="both"/>
      </w:pPr>
      <w:r w:rsidRPr="00F44552">
        <w:t>Service users must be engaged proactively in the design, observation, and assessment of care approaches. Co-production, as per Bhattacharyya et al. (2022), is beneficial for increasing the level of autonomy, satisfaction, and diversity-aware services. The integration of mechanisms for user feedback under Integrated Care Systems (ICSs) would support transparency and equity in service design.</w:t>
      </w:r>
    </w:p>
    <w:p w14:paraId="4DD802D4" w14:textId="558AEB89" w:rsidR="00A01917" w:rsidRPr="00A01917" w:rsidRDefault="00A01917" w:rsidP="00A01917">
      <w:pPr>
        <w:pStyle w:val="ListParagraph"/>
        <w:numPr>
          <w:ilvl w:val="0"/>
          <w:numId w:val="1"/>
        </w:numPr>
        <w:spacing w:line="360" w:lineRule="auto"/>
        <w:jc w:val="both"/>
        <w:rPr>
          <w:b/>
          <w:bCs/>
        </w:rPr>
      </w:pPr>
      <w:r w:rsidRPr="00A01917">
        <w:rPr>
          <w:b/>
          <w:bCs/>
        </w:rPr>
        <w:t>Leadership and Policy alignment</w:t>
      </w:r>
    </w:p>
    <w:p w14:paraId="7A36F4BA" w14:textId="76C06462" w:rsidR="00370820" w:rsidRDefault="00606247" w:rsidP="00F44552">
      <w:pPr>
        <w:spacing w:line="360" w:lineRule="auto"/>
        <w:jc w:val="both"/>
      </w:pPr>
      <w:r w:rsidRPr="00606247">
        <w:t>Management at senior levels must demonstrate collaborative practices and that policies are aligned with ethical and legal requirements. The Health and Care Professions Council (2024) suggests that leaders should develop a respect, inclusion, and accountability culture that enables the workforce to place person-centred values at the forefront, regardless of system d</w:t>
      </w:r>
      <w:r w:rsidRPr="004D22A6">
        <w:t>emands.</w:t>
      </w:r>
    </w:p>
    <w:p w14:paraId="6296063E" w14:textId="78606435" w:rsidR="004D22A6" w:rsidRDefault="004D22A6" w:rsidP="004D22A6">
      <w:pPr>
        <w:pStyle w:val="Heading2"/>
      </w:pPr>
      <w:r>
        <w:t>Conclusion</w:t>
      </w:r>
    </w:p>
    <w:p w14:paraId="6EBCECF2" w14:textId="6FE87662" w:rsidR="00FC193E" w:rsidRDefault="00FC193E" w:rsidP="00602C8F">
      <w:pPr>
        <w:spacing w:line="360" w:lineRule="auto"/>
        <w:jc w:val="both"/>
      </w:pPr>
      <w:r w:rsidRPr="00FC193E">
        <w:t xml:space="preserve">Person-Centred Care (PCC) and Partnership Working (PW) are central to a successful, caring, ethical health and social care system for the United Kingdom. The report finds that PCC creates </w:t>
      </w:r>
      <w:r w:rsidRPr="00FC193E">
        <w:lastRenderedPageBreak/>
        <w:t>freedom and wholeness, and PW enables collaborative working. Key legislation like the Care Act 2014 and Health and Care Act 2022 supports implementing these values at practice level.</w:t>
      </w:r>
    </w:p>
    <w:p w14:paraId="429D9663" w14:textId="05CEEF3F" w:rsidR="004D22A6" w:rsidRDefault="00602C8F" w:rsidP="00602C8F">
      <w:pPr>
        <w:spacing w:line="360" w:lineRule="auto"/>
        <w:jc w:val="both"/>
      </w:pPr>
      <w:r w:rsidRPr="00602C8F">
        <w:t>Perennial problems like limited resources, breakdown in communication, and workforce demands are barriers to the full realization of ICSs. Resolving these requires strong leadership, ongoing training, IT ingenuity, and dynamic service-user involvement. Integration of these improvements at ICS and organizational levels can lead to more balanced, person-centred, and sustainable care. Success for everybody dependent on the health and social care ultimately depends on partnership built on empathy and mutual accountability for quality output.</w:t>
      </w:r>
    </w:p>
    <w:p w14:paraId="22D77B67" w14:textId="4BD1FD6C" w:rsidR="001A7BD2" w:rsidRDefault="001A7BD2" w:rsidP="001A7BD2">
      <w:pPr>
        <w:pStyle w:val="Heading2"/>
      </w:pPr>
      <w:r>
        <w:t>References</w:t>
      </w:r>
    </w:p>
    <w:p w14:paraId="2C3177CB" w14:textId="77777777" w:rsidR="00290314" w:rsidRPr="00290314" w:rsidRDefault="00290314" w:rsidP="00290314">
      <w:r w:rsidRPr="00290314">
        <w:t xml:space="preserve">Beauchamp, T.L. and Childress, J.F. (2019) </w:t>
      </w:r>
      <w:r w:rsidRPr="00290314">
        <w:rPr>
          <w:i/>
          <w:iCs/>
        </w:rPr>
        <w:t>Principles of Biomedical Ethics</w:t>
      </w:r>
      <w:r w:rsidRPr="00290314">
        <w:t>. 8th ed. New York: Oxford University Press.</w:t>
      </w:r>
    </w:p>
    <w:p w14:paraId="00CD68E9" w14:textId="77777777" w:rsidR="00290314" w:rsidRPr="00290314" w:rsidRDefault="00290314" w:rsidP="00290314">
      <w:r w:rsidRPr="00290314">
        <w:t xml:space="preserve">Bhattacharyya, S., Clarke, S. and Thompson, D. (2022) ‘Embedding co-production in health and social care: improving person-centred outcomes through shared decision-making’, </w:t>
      </w:r>
      <w:r w:rsidRPr="00290314">
        <w:rPr>
          <w:i/>
          <w:iCs/>
        </w:rPr>
        <w:t>BMC Health Services Research</w:t>
      </w:r>
      <w:r w:rsidRPr="00290314">
        <w:t>, 22(1), pp. 1–12.</w:t>
      </w:r>
    </w:p>
    <w:p w14:paraId="633E7507" w14:textId="77777777" w:rsidR="00290314" w:rsidRPr="00290314" w:rsidRDefault="00290314" w:rsidP="00290314">
      <w:r w:rsidRPr="00290314">
        <w:t xml:space="preserve">Bronfenbrenner, U. (1979) </w:t>
      </w:r>
      <w:r w:rsidRPr="00290314">
        <w:rPr>
          <w:i/>
          <w:iCs/>
        </w:rPr>
        <w:t>The Ecology of Human Development: Experiments by Nature and Design</w:t>
      </w:r>
      <w:r w:rsidRPr="00290314">
        <w:t>. Cambridge, MA: Harvard University Press.</w:t>
      </w:r>
    </w:p>
    <w:p w14:paraId="6E1C8B32" w14:textId="77777777" w:rsidR="00290314" w:rsidRPr="00290314" w:rsidRDefault="00290314" w:rsidP="00290314">
      <w:r w:rsidRPr="00290314">
        <w:t xml:space="preserve">Care Act (2014) </w:t>
      </w:r>
      <w:r w:rsidRPr="00290314">
        <w:rPr>
          <w:i/>
          <w:iCs/>
        </w:rPr>
        <w:t>Chapter 23</w:t>
      </w:r>
      <w:r w:rsidRPr="00290314">
        <w:t>. London: The Stationery Office.</w:t>
      </w:r>
    </w:p>
    <w:p w14:paraId="5814F9EB" w14:textId="77777777" w:rsidR="00290314" w:rsidRPr="00290314" w:rsidRDefault="00290314" w:rsidP="00290314">
      <w:r w:rsidRPr="00290314">
        <w:t xml:space="preserve">Coulter, A. (2011) </w:t>
      </w:r>
      <w:r w:rsidRPr="00290314">
        <w:rPr>
          <w:i/>
          <w:iCs/>
        </w:rPr>
        <w:t>Engaging Patients in Healthcare</w:t>
      </w:r>
      <w:r w:rsidRPr="00290314">
        <w:t>. Maidenhead: Open University Press.</w:t>
      </w:r>
    </w:p>
    <w:p w14:paraId="37C496D8" w14:textId="77777777" w:rsidR="00290314" w:rsidRPr="00290314" w:rsidRDefault="00290314" w:rsidP="00290314">
      <w:r w:rsidRPr="00290314">
        <w:t xml:space="preserve">Department of Health and Social Care (2018) </w:t>
      </w:r>
      <w:r w:rsidRPr="00290314">
        <w:rPr>
          <w:i/>
          <w:iCs/>
        </w:rPr>
        <w:t>Health and Care Integration: Policy Paper</w:t>
      </w:r>
      <w:r w:rsidRPr="00290314">
        <w:t>. London: DHSC.</w:t>
      </w:r>
    </w:p>
    <w:p w14:paraId="0BDBBA95" w14:textId="77777777" w:rsidR="00290314" w:rsidRPr="00290314" w:rsidRDefault="00290314" w:rsidP="00290314">
      <w:r w:rsidRPr="00290314">
        <w:t xml:space="preserve">Department of Health and Social Care (2022) </w:t>
      </w:r>
      <w:r w:rsidRPr="00290314">
        <w:rPr>
          <w:i/>
          <w:iCs/>
        </w:rPr>
        <w:t>Health and Care Act 2022: Summary Guidance</w:t>
      </w:r>
      <w:r w:rsidRPr="00290314">
        <w:t>. London: DHSC.</w:t>
      </w:r>
    </w:p>
    <w:p w14:paraId="07919F01" w14:textId="77777777" w:rsidR="00290314" w:rsidRPr="00290314" w:rsidRDefault="00290314" w:rsidP="00290314">
      <w:r w:rsidRPr="00290314">
        <w:t xml:space="preserve">Equality Act (2010) </w:t>
      </w:r>
      <w:r w:rsidRPr="00290314">
        <w:rPr>
          <w:i/>
          <w:iCs/>
        </w:rPr>
        <w:t>Chapter 15</w:t>
      </w:r>
      <w:r w:rsidRPr="00290314">
        <w:t>. London: The Stationery Office.</w:t>
      </w:r>
    </w:p>
    <w:p w14:paraId="788D97AA" w14:textId="77777777" w:rsidR="00290314" w:rsidRPr="00290314" w:rsidRDefault="00290314" w:rsidP="00290314">
      <w:r w:rsidRPr="00290314">
        <w:t xml:space="preserve">Glasby, J., Dickinson, H. and Miller, R. (2011) </w:t>
      </w:r>
      <w:r w:rsidRPr="00290314">
        <w:rPr>
          <w:i/>
          <w:iCs/>
        </w:rPr>
        <w:t>Partnership Working in Health and Social Care: What is Integrated Care and How Can We Deliver It?</w:t>
      </w:r>
      <w:r w:rsidRPr="00290314">
        <w:t xml:space="preserve"> 2nd ed. Bristol: Policy Press.</w:t>
      </w:r>
    </w:p>
    <w:p w14:paraId="6B005EB3" w14:textId="77777777" w:rsidR="00290314" w:rsidRPr="00290314" w:rsidRDefault="00290314" w:rsidP="00290314">
      <w:r w:rsidRPr="00290314">
        <w:t xml:space="preserve">Health and Care Professions Council (2024) </w:t>
      </w:r>
      <w:r w:rsidRPr="00290314">
        <w:rPr>
          <w:i/>
          <w:iCs/>
        </w:rPr>
        <w:t>Standards of Conduct, Performance and Ethics</w:t>
      </w:r>
      <w:r w:rsidRPr="00290314">
        <w:t>. London: HCPC.</w:t>
      </w:r>
    </w:p>
    <w:p w14:paraId="083DE24E" w14:textId="77777777" w:rsidR="00290314" w:rsidRPr="00290314" w:rsidRDefault="00290314" w:rsidP="00290314">
      <w:r w:rsidRPr="00290314">
        <w:t xml:space="preserve">Health Education England (2017) </w:t>
      </w:r>
      <w:r w:rsidRPr="00290314">
        <w:rPr>
          <w:i/>
          <w:iCs/>
        </w:rPr>
        <w:t>Person-Centred Approaches: Core Skills Education and Training Framework</w:t>
      </w:r>
      <w:r w:rsidRPr="00290314">
        <w:t>. London: HEE.</w:t>
      </w:r>
    </w:p>
    <w:p w14:paraId="491F85C1" w14:textId="77777777" w:rsidR="00290314" w:rsidRPr="00290314" w:rsidRDefault="00290314" w:rsidP="00290314">
      <w:r w:rsidRPr="00290314">
        <w:t xml:space="preserve">Holding, E., Fairbrother, H. and Griffin, N. (2020) ‘Bridging the gap between the home and the hospital: a qualitative study of partnership working across housing, health and social care’, </w:t>
      </w:r>
      <w:r w:rsidRPr="00290314">
        <w:rPr>
          <w:i/>
          <w:iCs/>
        </w:rPr>
        <w:t>Health and Social Care in the Community</w:t>
      </w:r>
      <w:r w:rsidRPr="00290314">
        <w:t>, 28(6), pp. 1894–1902.</w:t>
      </w:r>
    </w:p>
    <w:p w14:paraId="595B1886" w14:textId="77777777" w:rsidR="00290314" w:rsidRPr="00290314" w:rsidRDefault="00290314" w:rsidP="00290314">
      <w:r w:rsidRPr="00290314">
        <w:t xml:space="preserve">King’s Fund (2021) </w:t>
      </w:r>
      <w:r w:rsidRPr="00290314">
        <w:rPr>
          <w:i/>
          <w:iCs/>
        </w:rPr>
        <w:t>Developing People, Improving Care: Leadership in Integrated Systems</w:t>
      </w:r>
      <w:r w:rsidRPr="00290314">
        <w:t>. London: The King’s Fund.</w:t>
      </w:r>
    </w:p>
    <w:p w14:paraId="16C8BD99" w14:textId="77777777" w:rsidR="00290314" w:rsidRPr="00290314" w:rsidRDefault="00290314" w:rsidP="00290314">
      <w:r w:rsidRPr="00290314">
        <w:t xml:space="preserve">Maslow, A.H. (1943) ‘A theory of human motivation’, </w:t>
      </w:r>
      <w:r w:rsidRPr="00290314">
        <w:rPr>
          <w:i/>
          <w:iCs/>
        </w:rPr>
        <w:t>Psychological Review</w:t>
      </w:r>
      <w:r w:rsidRPr="00290314">
        <w:t>, 50(4), pp. 370–396.</w:t>
      </w:r>
    </w:p>
    <w:p w14:paraId="2E1E6628" w14:textId="77777777" w:rsidR="00290314" w:rsidRPr="00290314" w:rsidRDefault="00290314" w:rsidP="00290314">
      <w:r w:rsidRPr="00290314">
        <w:lastRenderedPageBreak/>
        <w:t xml:space="preserve">NHS Confederation (2020) </w:t>
      </w:r>
      <w:r w:rsidRPr="00290314">
        <w:rPr>
          <w:i/>
          <w:iCs/>
        </w:rPr>
        <w:t>Building Strong Integrated Care Partnerships: Guidance for System Leaders</w:t>
      </w:r>
      <w:r w:rsidRPr="00290314">
        <w:t>. London: NHS Confederation.</w:t>
      </w:r>
    </w:p>
    <w:p w14:paraId="5F41E29F" w14:textId="77777777" w:rsidR="00290314" w:rsidRPr="00290314" w:rsidRDefault="00290314" w:rsidP="00290314">
      <w:r w:rsidRPr="00290314">
        <w:t xml:space="preserve">NHS England (2019) </w:t>
      </w:r>
      <w:r w:rsidRPr="00290314">
        <w:rPr>
          <w:i/>
          <w:iCs/>
        </w:rPr>
        <w:t>The NHS Long Term Plan</w:t>
      </w:r>
      <w:r w:rsidRPr="00290314">
        <w:t>. London: NHS England.</w:t>
      </w:r>
    </w:p>
    <w:p w14:paraId="7D9FE2A5" w14:textId="77777777" w:rsidR="00290314" w:rsidRPr="00290314" w:rsidRDefault="00290314" w:rsidP="00290314">
      <w:r w:rsidRPr="00290314">
        <w:t xml:space="preserve">Royal College of Physicians (2018) </w:t>
      </w:r>
      <w:r w:rsidRPr="00290314">
        <w:rPr>
          <w:i/>
          <w:iCs/>
        </w:rPr>
        <w:t>Health and Social Care Interface: Time to Act</w:t>
      </w:r>
      <w:r w:rsidRPr="00290314">
        <w:t>. London: RCP.</w:t>
      </w:r>
    </w:p>
    <w:p w14:paraId="79C6E1ED" w14:textId="77777777" w:rsidR="00290314" w:rsidRPr="00290314" w:rsidRDefault="00290314" w:rsidP="00290314">
      <w:r w:rsidRPr="00290314">
        <w:t xml:space="preserve">Social Care Institute for Excellence (2020) </w:t>
      </w:r>
      <w:r w:rsidRPr="00290314">
        <w:rPr>
          <w:i/>
          <w:iCs/>
        </w:rPr>
        <w:t>Social Care 360: Annual Overview of the Adult Social Care Sector</w:t>
      </w:r>
      <w:r w:rsidRPr="00290314">
        <w:t>. London: SCIE.</w:t>
      </w:r>
    </w:p>
    <w:p w14:paraId="5DD64964" w14:textId="77777777" w:rsidR="00290314" w:rsidRPr="00290314" w:rsidRDefault="00290314" w:rsidP="00290314">
      <w:r w:rsidRPr="00290314">
        <w:t xml:space="preserve">The Health Foundation (2016) </w:t>
      </w:r>
      <w:r w:rsidRPr="00290314">
        <w:rPr>
          <w:i/>
          <w:iCs/>
        </w:rPr>
        <w:t>Person-Centred Care Made Simple: What Everyone Should Know About Person-Centred Care</w:t>
      </w:r>
      <w:r w:rsidRPr="00290314">
        <w:t>. London: The Health Foundation.</w:t>
      </w:r>
    </w:p>
    <w:p w14:paraId="00CA6AC2" w14:textId="77777777" w:rsidR="00290314" w:rsidRPr="00290314" w:rsidRDefault="00290314" w:rsidP="00290314">
      <w:r w:rsidRPr="00290314">
        <w:t xml:space="preserve">Tuckman, B.W. (1965) ‘Developmental sequence in small groups’, </w:t>
      </w:r>
      <w:r w:rsidRPr="00290314">
        <w:rPr>
          <w:i/>
          <w:iCs/>
        </w:rPr>
        <w:t>Psychological Bulletin</w:t>
      </w:r>
      <w:r w:rsidRPr="00290314">
        <w:t>, 63(6), pp. 384–399.</w:t>
      </w:r>
    </w:p>
    <w:p w14:paraId="42984B85" w14:textId="77777777" w:rsidR="001A7BD2" w:rsidRPr="001A7BD2" w:rsidRDefault="001A7BD2" w:rsidP="001A7BD2"/>
    <w:sectPr w:rsidR="001A7BD2" w:rsidRPr="001A7BD2" w:rsidSect="00C87C4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34FD3" w14:textId="77777777" w:rsidR="00E76C11" w:rsidRDefault="00E76C11" w:rsidP="00E76C11">
      <w:pPr>
        <w:spacing w:after="0" w:line="240" w:lineRule="auto"/>
      </w:pPr>
      <w:r>
        <w:separator/>
      </w:r>
    </w:p>
  </w:endnote>
  <w:endnote w:type="continuationSeparator" w:id="0">
    <w:p w14:paraId="354C8C61" w14:textId="77777777" w:rsidR="00E76C11" w:rsidRDefault="00E76C11" w:rsidP="00E76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5010227"/>
      <w:docPartObj>
        <w:docPartGallery w:val="Page Numbers (Bottom of Page)"/>
        <w:docPartUnique/>
      </w:docPartObj>
    </w:sdtPr>
    <w:sdtContent>
      <w:p w14:paraId="3A4E1FE4" w14:textId="0682FC61" w:rsidR="00E76C11" w:rsidRDefault="00E76C11">
        <w:pPr>
          <w:pStyle w:val="Footer"/>
          <w:jc w:val="center"/>
        </w:pPr>
        <w:r>
          <w:fldChar w:fldCharType="begin"/>
        </w:r>
        <w:r>
          <w:instrText>PAGE   \* MERGEFORMAT</w:instrText>
        </w:r>
        <w:r>
          <w:fldChar w:fldCharType="separate"/>
        </w:r>
        <w:r>
          <w:t>2</w:t>
        </w:r>
        <w:r>
          <w:fldChar w:fldCharType="end"/>
        </w:r>
      </w:p>
    </w:sdtContent>
  </w:sdt>
  <w:p w14:paraId="7B69DE0B" w14:textId="77777777" w:rsidR="00E76C11" w:rsidRDefault="00E76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DAF59" w14:textId="77777777" w:rsidR="00E76C11" w:rsidRDefault="00E76C11" w:rsidP="00E76C11">
      <w:pPr>
        <w:spacing w:after="0" w:line="240" w:lineRule="auto"/>
      </w:pPr>
      <w:r>
        <w:separator/>
      </w:r>
    </w:p>
  </w:footnote>
  <w:footnote w:type="continuationSeparator" w:id="0">
    <w:p w14:paraId="185248B3" w14:textId="77777777" w:rsidR="00E76C11" w:rsidRDefault="00E76C11" w:rsidP="00E76C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F5B2A"/>
    <w:multiLevelType w:val="hybridMultilevel"/>
    <w:tmpl w:val="55BA3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759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47"/>
    <w:rsid w:val="000019FC"/>
    <w:rsid w:val="00026013"/>
    <w:rsid w:val="000F1664"/>
    <w:rsid w:val="001320B8"/>
    <w:rsid w:val="001454B9"/>
    <w:rsid w:val="00150A3D"/>
    <w:rsid w:val="001A7BD2"/>
    <w:rsid w:val="001D1D8D"/>
    <w:rsid w:val="001E5DD1"/>
    <w:rsid w:val="00217FC9"/>
    <w:rsid w:val="00222456"/>
    <w:rsid w:val="00276C21"/>
    <w:rsid w:val="00290314"/>
    <w:rsid w:val="002F4A83"/>
    <w:rsid w:val="00370820"/>
    <w:rsid w:val="00374A96"/>
    <w:rsid w:val="00440559"/>
    <w:rsid w:val="00445683"/>
    <w:rsid w:val="00467967"/>
    <w:rsid w:val="004D22A6"/>
    <w:rsid w:val="00564580"/>
    <w:rsid w:val="005932DF"/>
    <w:rsid w:val="00602C8F"/>
    <w:rsid w:val="00606247"/>
    <w:rsid w:val="00632BA8"/>
    <w:rsid w:val="006B021F"/>
    <w:rsid w:val="00744E1C"/>
    <w:rsid w:val="0077453A"/>
    <w:rsid w:val="00783637"/>
    <w:rsid w:val="007A7825"/>
    <w:rsid w:val="007F6FE3"/>
    <w:rsid w:val="00841D27"/>
    <w:rsid w:val="00866AC0"/>
    <w:rsid w:val="008D3FCD"/>
    <w:rsid w:val="00996988"/>
    <w:rsid w:val="009C1EEF"/>
    <w:rsid w:val="009C4CC7"/>
    <w:rsid w:val="009D4978"/>
    <w:rsid w:val="009F7DDD"/>
    <w:rsid w:val="00A01917"/>
    <w:rsid w:val="00A75155"/>
    <w:rsid w:val="00AC71FE"/>
    <w:rsid w:val="00AE5976"/>
    <w:rsid w:val="00B82E58"/>
    <w:rsid w:val="00BC193D"/>
    <w:rsid w:val="00BC30B6"/>
    <w:rsid w:val="00C4385D"/>
    <w:rsid w:val="00C51487"/>
    <w:rsid w:val="00C87C47"/>
    <w:rsid w:val="00CA6221"/>
    <w:rsid w:val="00CB007C"/>
    <w:rsid w:val="00D1646A"/>
    <w:rsid w:val="00D202E2"/>
    <w:rsid w:val="00D60E87"/>
    <w:rsid w:val="00DD12B1"/>
    <w:rsid w:val="00DF27DA"/>
    <w:rsid w:val="00E32700"/>
    <w:rsid w:val="00E76C11"/>
    <w:rsid w:val="00F44552"/>
    <w:rsid w:val="00FC193E"/>
    <w:rsid w:val="00FE0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60AC9"/>
  <w15:chartTrackingRefBased/>
  <w15:docId w15:val="{3CBA0089-90A4-4844-8E9F-8C0AAEA8B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C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7C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C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C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C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C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C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C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C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7C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7C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C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C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C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C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C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C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C47"/>
    <w:rPr>
      <w:rFonts w:eastAsiaTheme="majorEastAsia" w:cstheme="majorBidi"/>
      <w:color w:val="272727" w:themeColor="text1" w:themeTint="D8"/>
    </w:rPr>
  </w:style>
  <w:style w:type="paragraph" w:styleId="Title">
    <w:name w:val="Title"/>
    <w:basedOn w:val="Normal"/>
    <w:next w:val="Normal"/>
    <w:link w:val="TitleChar"/>
    <w:uiPriority w:val="10"/>
    <w:qFormat/>
    <w:rsid w:val="00C87C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C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C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C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C47"/>
    <w:pPr>
      <w:spacing w:before="160"/>
      <w:jc w:val="center"/>
    </w:pPr>
    <w:rPr>
      <w:i/>
      <w:iCs/>
      <w:color w:val="404040" w:themeColor="text1" w:themeTint="BF"/>
    </w:rPr>
  </w:style>
  <w:style w:type="character" w:customStyle="1" w:styleId="QuoteChar">
    <w:name w:val="Quote Char"/>
    <w:basedOn w:val="DefaultParagraphFont"/>
    <w:link w:val="Quote"/>
    <w:uiPriority w:val="29"/>
    <w:rsid w:val="00C87C47"/>
    <w:rPr>
      <w:i/>
      <w:iCs/>
      <w:color w:val="404040" w:themeColor="text1" w:themeTint="BF"/>
    </w:rPr>
  </w:style>
  <w:style w:type="paragraph" w:styleId="ListParagraph">
    <w:name w:val="List Paragraph"/>
    <w:basedOn w:val="Normal"/>
    <w:uiPriority w:val="34"/>
    <w:qFormat/>
    <w:rsid w:val="00C87C47"/>
    <w:pPr>
      <w:ind w:left="720"/>
      <w:contextualSpacing/>
    </w:pPr>
  </w:style>
  <w:style w:type="character" w:styleId="IntenseEmphasis">
    <w:name w:val="Intense Emphasis"/>
    <w:basedOn w:val="DefaultParagraphFont"/>
    <w:uiPriority w:val="21"/>
    <w:qFormat/>
    <w:rsid w:val="00C87C47"/>
    <w:rPr>
      <w:i/>
      <w:iCs/>
      <w:color w:val="0F4761" w:themeColor="accent1" w:themeShade="BF"/>
    </w:rPr>
  </w:style>
  <w:style w:type="paragraph" w:styleId="IntenseQuote">
    <w:name w:val="Intense Quote"/>
    <w:basedOn w:val="Normal"/>
    <w:next w:val="Normal"/>
    <w:link w:val="IntenseQuoteChar"/>
    <w:uiPriority w:val="30"/>
    <w:qFormat/>
    <w:rsid w:val="00C87C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C47"/>
    <w:rPr>
      <w:i/>
      <w:iCs/>
      <w:color w:val="0F4761" w:themeColor="accent1" w:themeShade="BF"/>
    </w:rPr>
  </w:style>
  <w:style w:type="character" w:styleId="IntenseReference">
    <w:name w:val="Intense Reference"/>
    <w:basedOn w:val="DefaultParagraphFont"/>
    <w:uiPriority w:val="32"/>
    <w:qFormat/>
    <w:rsid w:val="00C87C47"/>
    <w:rPr>
      <w:b/>
      <w:bCs/>
      <w:smallCaps/>
      <w:color w:val="0F4761" w:themeColor="accent1" w:themeShade="BF"/>
      <w:spacing w:val="5"/>
    </w:rPr>
  </w:style>
  <w:style w:type="paragraph" w:styleId="NoSpacing">
    <w:name w:val="No Spacing"/>
    <w:link w:val="NoSpacingChar"/>
    <w:uiPriority w:val="1"/>
    <w:qFormat/>
    <w:rsid w:val="00C87C4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87C47"/>
    <w:rPr>
      <w:rFonts w:eastAsiaTheme="minorEastAsia"/>
      <w:kern w:val="0"/>
      <w:lang w:eastAsia="en-GB"/>
      <w14:ligatures w14:val="none"/>
    </w:rPr>
  </w:style>
  <w:style w:type="paragraph" w:styleId="Header">
    <w:name w:val="header"/>
    <w:basedOn w:val="Normal"/>
    <w:link w:val="HeaderChar"/>
    <w:uiPriority w:val="99"/>
    <w:unhideWhenUsed/>
    <w:rsid w:val="00E76C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C11"/>
  </w:style>
  <w:style w:type="paragraph" w:styleId="Footer">
    <w:name w:val="footer"/>
    <w:basedOn w:val="Normal"/>
    <w:link w:val="FooterChar"/>
    <w:uiPriority w:val="99"/>
    <w:unhideWhenUsed/>
    <w:rsid w:val="00E76C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C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2708</Words>
  <Characters>15438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dc:title>
  <dc:subject>BMHP5016 – Component 2</dc:subject>
  <dc:creator>Sandra Adina Ontica</dc:creator>
  <cp:keywords/>
  <dc:description/>
  <cp:lastModifiedBy>Alina Elena Adavidoaie</cp:lastModifiedBy>
  <cp:revision>54</cp:revision>
  <dcterms:created xsi:type="dcterms:W3CDTF">2025-10-20T18:25:00Z</dcterms:created>
  <dcterms:modified xsi:type="dcterms:W3CDTF">2025-10-20T21:03:00Z</dcterms:modified>
  <cp:category>Student ID: 2322796</cp:category>
</cp:coreProperties>
</file>