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417148965"/>
        <w:docPartObj>
          <w:docPartGallery w:val="Cover Pages"/>
          <w:docPartUnique/>
        </w:docPartObj>
      </w:sdtPr>
      <w:sdtEndPr>
        <w:rPr>
          <w:sz w:val="22"/>
        </w:rPr>
      </w:sdtEndPr>
      <w:sdtContent>
        <w:p w14:paraId="4278A622" w14:textId="6D91C63D" w:rsidR="004D1CF3" w:rsidRDefault="004D1CF3">
          <w:pPr>
            <w:pStyle w:val="NoSpacing"/>
            <w:rPr>
              <w:sz w:val="2"/>
            </w:rPr>
          </w:pPr>
        </w:p>
        <w:p w14:paraId="298A45A9" w14:textId="77777777" w:rsidR="004D1CF3" w:rsidRDefault="004D1CF3">
          <w:r>
            <w:rPr>
              <w:noProof/>
            </w:rPr>
            <mc:AlternateContent>
              <mc:Choice Requires="wps">
                <w:drawing>
                  <wp:anchor distT="0" distB="0" distL="114300" distR="114300" simplePos="0" relativeHeight="251661312" behindDoc="0" locked="0" layoutInCell="1" allowOverlap="1" wp14:anchorId="389F4008" wp14:editId="5068525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sz w:val="2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5F5D7A5" w14:textId="2102F081" w:rsidR="004D1CF3" w:rsidRPr="004D1CF3" w:rsidRDefault="004D1CF3" w:rsidP="004D1CF3">
                                    <w:pPr>
                                      <w:pStyle w:val="NoSpacing"/>
                                      <w:spacing w:line="360" w:lineRule="auto"/>
                                      <w:rPr>
                                        <w:rFonts w:ascii="Arial" w:eastAsiaTheme="majorEastAsia" w:hAnsi="Arial" w:cs="Arial"/>
                                        <w:b/>
                                        <w:bCs/>
                                        <w:caps/>
                                        <w:sz w:val="24"/>
                                        <w:szCs w:val="24"/>
                                      </w:rPr>
                                    </w:pPr>
                                    <w:r w:rsidRPr="004D1CF3">
                                      <w:rPr>
                                        <w:rFonts w:ascii="Arial" w:eastAsiaTheme="majorEastAsia" w:hAnsi="Arial" w:cs="Arial"/>
                                        <w:b/>
                                        <w:bCs/>
                                        <w:caps/>
                                        <w:sz w:val="24"/>
                                        <w:szCs w:val="24"/>
                                      </w:rPr>
                                      <w:t>Historical theories of crime</w:t>
                                    </w:r>
                                  </w:p>
                                </w:sdtContent>
                              </w:sdt>
                              <w:p w14:paraId="335EB4C7" w14:textId="05B31E73" w:rsidR="004D1CF3" w:rsidRDefault="00E215C8" w:rsidP="004D1CF3">
                                <w:pPr>
                                  <w:pStyle w:val="NoSpacing"/>
                                  <w:spacing w:before="120" w:line="360" w:lineRule="auto"/>
                                  <w:rPr>
                                    <w:color w:val="4472C4" w:themeColor="accent1"/>
                                    <w:sz w:val="36"/>
                                    <w:szCs w:val="36"/>
                                  </w:rPr>
                                </w:pPr>
                                <w:sdt>
                                  <w:sdtPr>
                                    <w:rPr>
                                      <w:rFonts w:ascii="Arial" w:hAnsi="Arial" w:cs="Arial"/>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D4EB3">
                                      <w:rPr>
                                        <w:rFonts w:ascii="Arial" w:hAnsi="Arial" w:cs="Arial"/>
                                        <w:sz w:val="24"/>
                                        <w:szCs w:val="24"/>
                                      </w:rPr>
                                      <w:t>Policing Powers, Models and Society</w:t>
                                    </w:r>
                                  </w:sdtContent>
                                </w:sdt>
                                <w:r w:rsidR="004D1CF3">
                                  <w:rPr>
                                    <w:noProof/>
                                  </w:rPr>
                                  <w:t xml:space="preserve"> </w:t>
                                </w:r>
                              </w:p>
                              <w:p w14:paraId="5349F5FB" w14:textId="77777777" w:rsidR="004D1CF3" w:rsidRDefault="004D1CF3" w:rsidP="004D1CF3">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89F400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w:eastAsiaTheme="majorEastAsia" w:hAnsi="Arial" w:cs="Arial"/>
                              <w:b/>
                              <w:bCs/>
                              <w:caps/>
                              <w:sz w:val="2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5F5D7A5" w14:textId="2102F081" w:rsidR="004D1CF3" w:rsidRPr="004D1CF3" w:rsidRDefault="004D1CF3" w:rsidP="004D1CF3">
                              <w:pPr>
                                <w:pStyle w:val="NoSpacing"/>
                                <w:spacing w:line="360" w:lineRule="auto"/>
                                <w:rPr>
                                  <w:rFonts w:ascii="Arial" w:eastAsiaTheme="majorEastAsia" w:hAnsi="Arial" w:cs="Arial"/>
                                  <w:b/>
                                  <w:bCs/>
                                  <w:caps/>
                                  <w:sz w:val="24"/>
                                  <w:szCs w:val="24"/>
                                </w:rPr>
                              </w:pPr>
                              <w:r w:rsidRPr="004D1CF3">
                                <w:rPr>
                                  <w:rFonts w:ascii="Arial" w:eastAsiaTheme="majorEastAsia" w:hAnsi="Arial" w:cs="Arial"/>
                                  <w:b/>
                                  <w:bCs/>
                                  <w:caps/>
                                  <w:sz w:val="24"/>
                                  <w:szCs w:val="24"/>
                                </w:rPr>
                                <w:t>Historical theories of crime</w:t>
                              </w:r>
                            </w:p>
                          </w:sdtContent>
                        </w:sdt>
                        <w:p w14:paraId="335EB4C7" w14:textId="05B31E73" w:rsidR="004D1CF3" w:rsidRDefault="00E215C8" w:rsidP="004D1CF3">
                          <w:pPr>
                            <w:pStyle w:val="NoSpacing"/>
                            <w:spacing w:before="120" w:line="360" w:lineRule="auto"/>
                            <w:rPr>
                              <w:color w:val="4472C4" w:themeColor="accent1"/>
                              <w:sz w:val="36"/>
                              <w:szCs w:val="36"/>
                            </w:rPr>
                          </w:pPr>
                          <w:sdt>
                            <w:sdtPr>
                              <w:rPr>
                                <w:rFonts w:ascii="Arial" w:hAnsi="Arial" w:cs="Arial"/>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D4EB3">
                                <w:rPr>
                                  <w:rFonts w:ascii="Arial" w:hAnsi="Arial" w:cs="Arial"/>
                                  <w:sz w:val="24"/>
                                  <w:szCs w:val="24"/>
                                </w:rPr>
                                <w:t>Policing Powers, Models and Society</w:t>
                              </w:r>
                            </w:sdtContent>
                          </w:sdt>
                          <w:r w:rsidR="004D1CF3">
                            <w:rPr>
                              <w:noProof/>
                            </w:rPr>
                            <w:t xml:space="preserve"> </w:t>
                          </w:r>
                        </w:p>
                        <w:p w14:paraId="5349F5FB" w14:textId="77777777" w:rsidR="004D1CF3" w:rsidRDefault="004D1CF3" w:rsidP="004D1CF3">
                          <w:pPr>
                            <w:spacing w:line="360" w:lineRule="auto"/>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D2CA35C" wp14:editId="4483D7A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70C21E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0F4728B" wp14:editId="0CDAE84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43F5BA" w14:textId="5DE5C6FA" w:rsidR="004D1CF3" w:rsidRPr="004D1CF3" w:rsidRDefault="00E215C8" w:rsidP="004D1CF3">
                                <w:pPr>
                                  <w:pStyle w:val="NoSpacing"/>
                                  <w:spacing w:line="360" w:lineRule="auto"/>
                                  <w:jc w:val="right"/>
                                  <w:rPr>
                                    <w:rFonts w:ascii="Arial" w:hAnsi="Arial" w:cs="Arial"/>
                                    <w:sz w:val="24"/>
                                    <w:szCs w:val="24"/>
                                  </w:rPr>
                                </w:pPr>
                                <w:sdt>
                                  <w:sdtPr>
                                    <w:rPr>
                                      <w:rFonts w:ascii="Arial" w:hAnsi="Arial" w:cs="Arial"/>
                                      <w:sz w:val="24"/>
                                      <w:szCs w:val="24"/>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D4EB3">
                                      <w:rPr>
                                        <w:rFonts w:ascii="Arial" w:hAnsi="Arial" w:cs="Arial"/>
                                        <w:sz w:val="24"/>
                                        <w:szCs w:val="24"/>
                                      </w:rPr>
                                      <w:t>Word Count:</w:t>
                                    </w:r>
                                    <w:r w:rsidR="009C0BF3">
                                      <w:rPr>
                                        <w:rFonts w:ascii="Arial" w:hAnsi="Arial" w:cs="Arial"/>
                                        <w:sz w:val="24"/>
                                        <w:szCs w:val="24"/>
                                      </w:rPr>
                                      <w:t xml:space="preserve"> 286</w:t>
                                    </w:r>
                                    <w:r>
                                      <w:rPr>
                                        <w:rFonts w:ascii="Arial" w:hAnsi="Arial" w:cs="Arial"/>
                                        <w:sz w:val="24"/>
                                        <w:szCs w:val="24"/>
                                      </w:rPr>
                                      <w:t>0</w:t>
                                    </w:r>
                                  </w:sdtContent>
                                </w:sdt>
                              </w:p>
                              <w:sdt>
                                <w:sdtPr>
                                  <w:rPr>
                                    <w:rFonts w:ascii="Arial" w:hAnsi="Arial" w:cs="Arial"/>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836C580" w14:textId="1FE2E30F" w:rsidR="004D1CF3" w:rsidRPr="004D1CF3" w:rsidRDefault="004D1CF3" w:rsidP="004D1CF3">
                                    <w:pPr>
                                      <w:pStyle w:val="NoSpacing"/>
                                      <w:spacing w:line="360" w:lineRule="auto"/>
                                      <w:jc w:val="right"/>
                                      <w:rPr>
                                        <w:rFonts w:ascii="Arial" w:hAnsi="Arial" w:cs="Arial"/>
                                        <w:sz w:val="24"/>
                                        <w:szCs w:val="24"/>
                                      </w:rPr>
                                    </w:pPr>
                                    <w:r w:rsidRPr="004D1CF3">
                                      <w:rPr>
                                        <w:rFonts w:ascii="Arial" w:hAnsi="Arial" w:cs="Arial"/>
                                        <w:sz w:val="24"/>
                                        <w:szCs w:val="24"/>
                                      </w:rPr>
                                      <w:t>Sophia Ivens 1801465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0F4728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643F5BA" w14:textId="5DE5C6FA" w:rsidR="004D1CF3" w:rsidRPr="004D1CF3" w:rsidRDefault="00E215C8" w:rsidP="004D1CF3">
                          <w:pPr>
                            <w:pStyle w:val="NoSpacing"/>
                            <w:spacing w:line="360" w:lineRule="auto"/>
                            <w:jc w:val="right"/>
                            <w:rPr>
                              <w:rFonts w:ascii="Arial" w:hAnsi="Arial" w:cs="Arial"/>
                              <w:sz w:val="24"/>
                              <w:szCs w:val="24"/>
                            </w:rPr>
                          </w:pPr>
                          <w:sdt>
                            <w:sdtPr>
                              <w:rPr>
                                <w:rFonts w:ascii="Arial" w:hAnsi="Arial" w:cs="Arial"/>
                                <w:sz w:val="24"/>
                                <w:szCs w:val="24"/>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D4EB3">
                                <w:rPr>
                                  <w:rFonts w:ascii="Arial" w:hAnsi="Arial" w:cs="Arial"/>
                                  <w:sz w:val="24"/>
                                  <w:szCs w:val="24"/>
                                </w:rPr>
                                <w:t>Word Count:</w:t>
                              </w:r>
                              <w:r w:rsidR="009C0BF3">
                                <w:rPr>
                                  <w:rFonts w:ascii="Arial" w:hAnsi="Arial" w:cs="Arial"/>
                                  <w:sz w:val="24"/>
                                  <w:szCs w:val="24"/>
                                </w:rPr>
                                <w:t xml:space="preserve"> 286</w:t>
                              </w:r>
                              <w:r>
                                <w:rPr>
                                  <w:rFonts w:ascii="Arial" w:hAnsi="Arial" w:cs="Arial"/>
                                  <w:sz w:val="24"/>
                                  <w:szCs w:val="24"/>
                                </w:rPr>
                                <w:t>0</w:t>
                              </w:r>
                            </w:sdtContent>
                          </w:sdt>
                        </w:p>
                        <w:sdt>
                          <w:sdtPr>
                            <w:rPr>
                              <w:rFonts w:ascii="Arial" w:hAnsi="Arial" w:cs="Arial"/>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836C580" w14:textId="1FE2E30F" w:rsidR="004D1CF3" w:rsidRPr="004D1CF3" w:rsidRDefault="004D1CF3" w:rsidP="004D1CF3">
                              <w:pPr>
                                <w:pStyle w:val="NoSpacing"/>
                                <w:spacing w:line="360" w:lineRule="auto"/>
                                <w:jc w:val="right"/>
                                <w:rPr>
                                  <w:rFonts w:ascii="Arial" w:hAnsi="Arial" w:cs="Arial"/>
                                  <w:sz w:val="24"/>
                                  <w:szCs w:val="24"/>
                                </w:rPr>
                              </w:pPr>
                              <w:r w:rsidRPr="004D1CF3">
                                <w:rPr>
                                  <w:rFonts w:ascii="Arial" w:hAnsi="Arial" w:cs="Arial"/>
                                  <w:sz w:val="24"/>
                                  <w:szCs w:val="24"/>
                                </w:rPr>
                                <w:t>Sophia Ivens 1801465</w:t>
                              </w:r>
                            </w:p>
                          </w:sdtContent>
                        </w:sdt>
                      </w:txbxContent>
                    </v:textbox>
                    <w10:wrap anchorx="page" anchory="margin"/>
                  </v:shape>
                </w:pict>
              </mc:Fallback>
            </mc:AlternateContent>
          </w:r>
        </w:p>
        <w:p w14:paraId="515BF076" w14:textId="450EDFD0" w:rsidR="004D1CF3" w:rsidRDefault="004D1CF3">
          <w:r>
            <w:br w:type="page"/>
          </w:r>
        </w:p>
      </w:sdtContent>
    </w:sdt>
    <w:p w14:paraId="0E47B3BB" w14:textId="3D99E5BE" w:rsidR="004D1CF3" w:rsidRDefault="004608D5" w:rsidP="004608D5">
      <w:pPr>
        <w:spacing w:line="360" w:lineRule="auto"/>
        <w:rPr>
          <w:rFonts w:ascii="Arial" w:hAnsi="Arial" w:cs="Arial"/>
          <w:sz w:val="24"/>
          <w:szCs w:val="24"/>
        </w:rPr>
      </w:pPr>
      <w:r>
        <w:rPr>
          <w:rFonts w:ascii="Arial" w:hAnsi="Arial" w:cs="Arial"/>
          <w:sz w:val="24"/>
          <w:szCs w:val="24"/>
        </w:rPr>
        <w:lastRenderedPageBreak/>
        <w:t xml:space="preserve">This essay will delve into a few of the crucial historical concepts of criminology as well as relating these past theories of criminality to modern day case studies. </w:t>
      </w:r>
      <w:r w:rsidR="00BC0E32">
        <w:rPr>
          <w:rFonts w:ascii="Arial" w:hAnsi="Arial" w:cs="Arial"/>
          <w:sz w:val="24"/>
          <w:szCs w:val="24"/>
        </w:rPr>
        <w:t xml:space="preserve">This paper will also decisively assess which of these notions considered are the most suitable in a contemporary setting. </w:t>
      </w:r>
      <w:r w:rsidR="005A4B80">
        <w:rPr>
          <w:rFonts w:ascii="Arial" w:hAnsi="Arial" w:cs="Arial"/>
          <w:sz w:val="24"/>
          <w:szCs w:val="24"/>
        </w:rPr>
        <w:t xml:space="preserve">According to Marsh, (2006) the mass of historic theories of crime and delinquency can regularly replicate the consistent universal ideas. First of all, </w:t>
      </w:r>
      <w:r w:rsidR="001A14AF">
        <w:rPr>
          <w:rFonts w:ascii="Arial" w:hAnsi="Arial" w:cs="Arial"/>
          <w:sz w:val="24"/>
          <w:szCs w:val="24"/>
        </w:rPr>
        <w:t xml:space="preserve">historians </w:t>
      </w:r>
      <w:r w:rsidR="005A4B80">
        <w:rPr>
          <w:rFonts w:ascii="Arial" w:hAnsi="Arial" w:cs="Arial"/>
          <w:sz w:val="24"/>
          <w:szCs w:val="24"/>
        </w:rPr>
        <w:t xml:space="preserve">can frequently connect corruption in conjunction with retribution rather than delinquency for instance. This is carried out however, by centring their interest on the progress of organisations such as offender regulation and reformatories. In addition, this is in order to deal with illegal offences rather than on the conduct of the individual themselves. </w:t>
      </w:r>
      <w:r w:rsidR="001A14AF">
        <w:rPr>
          <w:rFonts w:ascii="Arial" w:hAnsi="Arial" w:cs="Arial"/>
          <w:sz w:val="24"/>
          <w:szCs w:val="24"/>
        </w:rPr>
        <w:t xml:space="preserve">As a consequence of this, according to Knafla, (1996), past principles can repeatedly fail to capture the offending and unlawful activities which are indictable through unofficial methods in the public rather than the criminal justice structure for example.  </w:t>
      </w:r>
    </w:p>
    <w:p w14:paraId="4860DCFC" w14:textId="7CA54CE0" w:rsidR="00414E2A" w:rsidRDefault="00414E2A" w:rsidP="00414E2A">
      <w:pPr>
        <w:spacing w:line="360" w:lineRule="auto"/>
        <w:rPr>
          <w:rFonts w:ascii="Arial" w:hAnsi="Arial" w:cs="Arial"/>
          <w:sz w:val="24"/>
          <w:szCs w:val="24"/>
        </w:rPr>
      </w:pPr>
      <w:r>
        <w:rPr>
          <w:rFonts w:ascii="Arial" w:hAnsi="Arial" w:cs="Arial"/>
          <w:sz w:val="24"/>
          <w:szCs w:val="24"/>
        </w:rPr>
        <w:t>There are a variation of groupings in which reveal a historic collection of explanations of criminal behaviour and misconduct in particular individuals</w:t>
      </w:r>
      <w:r w:rsidR="002A78CF">
        <w:rPr>
          <w:rFonts w:ascii="Arial" w:hAnsi="Arial" w:cs="Arial"/>
          <w:sz w:val="24"/>
          <w:szCs w:val="24"/>
        </w:rPr>
        <w:t xml:space="preserve"> and not others. The trajectory of justifications varies from the individual, educational and societal to the religious and genetic</w:t>
      </w:r>
      <w:r w:rsidR="00BA7B3F">
        <w:rPr>
          <w:rFonts w:ascii="Arial" w:hAnsi="Arial" w:cs="Arial"/>
          <w:sz w:val="24"/>
          <w:szCs w:val="24"/>
        </w:rPr>
        <w:t xml:space="preserve"> (Rothman, 2002). Religious beliefs of criminality and delinquency flourished in the eighteenth century according to Rafter, (1997). The mainstream of individuals of this age did not look at deprivation or corruption as a crisis within the public but simply as an aspect of the presence of human beings and a fall from grace. </w:t>
      </w:r>
      <w:r w:rsidR="001966C0">
        <w:rPr>
          <w:rFonts w:ascii="Arial" w:hAnsi="Arial" w:cs="Arial"/>
          <w:sz w:val="24"/>
          <w:szCs w:val="24"/>
        </w:rPr>
        <w:t xml:space="preserve">Unlawful misconducts stemmed from a person’s fundamental ethical immorality and not seen as a form of inefficiency within civilization. </w:t>
      </w:r>
    </w:p>
    <w:p w14:paraId="5BBE24C1" w14:textId="027C1844" w:rsidR="00F911D8" w:rsidRDefault="00F911D8" w:rsidP="00F911D8">
      <w:pPr>
        <w:spacing w:line="360" w:lineRule="auto"/>
        <w:rPr>
          <w:rFonts w:ascii="Arial" w:hAnsi="Arial" w:cs="Arial"/>
          <w:sz w:val="24"/>
          <w:szCs w:val="24"/>
        </w:rPr>
      </w:pPr>
      <w:r>
        <w:rPr>
          <w:rFonts w:ascii="Arial" w:hAnsi="Arial" w:cs="Arial"/>
          <w:sz w:val="24"/>
          <w:szCs w:val="24"/>
        </w:rPr>
        <w:t xml:space="preserve">Towards the end of the nineteenth century was when it was initially debated as to whether or not individuals can be born offenders. This school of thought rebuffed the idea of earlier religious </w:t>
      </w:r>
      <w:r w:rsidR="004903AF">
        <w:rPr>
          <w:rFonts w:ascii="Arial" w:hAnsi="Arial" w:cs="Arial"/>
          <w:sz w:val="24"/>
          <w:szCs w:val="24"/>
        </w:rPr>
        <w:t>beliefs</w:t>
      </w:r>
      <w:r>
        <w:rPr>
          <w:rFonts w:ascii="Arial" w:hAnsi="Arial" w:cs="Arial"/>
          <w:sz w:val="24"/>
          <w:szCs w:val="24"/>
        </w:rPr>
        <w:t xml:space="preserve"> that </w:t>
      </w:r>
      <w:r w:rsidR="004903AF">
        <w:rPr>
          <w:rFonts w:ascii="Arial" w:hAnsi="Arial" w:cs="Arial"/>
          <w:sz w:val="24"/>
          <w:szCs w:val="24"/>
        </w:rPr>
        <w:t>criminality</w:t>
      </w:r>
      <w:r>
        <w:rPr>
          <w:rFonts w:ascii="Arial" w:hAnsi="Arial" w:cs="Arial"/>
          <w:sz w:val="24"/>
          <w:szCs w:val="24"/>
        </w:rPr>
        <w:t xml:space="preserve"> </w:t>
      </w:r>
      <w:r w:rsidR="004903AF">
        <w:rPr>
          <w:rFonts w:ascii="Arial" w:hAnsi="Arial" w:cs="Arial"/>
          <w:sz w:val="24"/>
          <w:szCs w:val="24"/>
        </w:rPr>
        <w:t>was</w:t>
      </w:r>
      <w:r>
        <w:rPr>
          <w:rFonts w:ascii="Arial" w:hAnsi="Arial" w:cs="Arial"/>
          <w:sz w:val="24"/>
          <w:szCs w:val="24"/>
        </w:rPr>
        <w:t xml:space="preserve"> a </w:t>
      </w:r>
      <w:r w:rsidR="004903AF">
        <w:rPr>
          <w:rFonts w:ascii="Arial" w:hAnsi="Arial" w:cs="Arial"/>
          <w:sz w:val="24"/>
          <w:szCs w:val="24"/>
        </w:rPr>
        <w:t>consequence</w:t>
      </w:r>
      <w:r>
        <w:rPr>
          <w:rFonts w:ascii="Arial" w:hAnsi="Arial" w:cs="Arial"/>
          <w:sz w:val="24"/>
          <w:szCs w:val="24"/>
        </w:rPr>
        <w:t xml:space="preserve"> of a</w:t>
      </w:r>
      <w:r w:rsidR="004903AF">
        <w:rPr>
          <w:rFonts w:ascii="Arial" w:hAnsi="Arial" w:cs="Arial"/>
          <w:sz w:val="24"/>
          <w:szCs w:val="24"/>
        </w:rPr>
        <w:t>n</w:t>
      </w:r>
      <w:r>
        <w:rPr>
          <w:rFonts w:ascii="Arial" w:hAnsi="Arial" w:cs="Arial"/>
          <w:sz w:val="24"/>
          <w:szCs w:val="24"/>
        </w:rPr>
        <w:t xml:space="preserve"> </w:t>
      </w:r>
      <w:r w:rsidR="004903AF">
        <w:rPr>
          <w:rFonts w:ascii="Arial" w:hAnsi="Arial" w:cs="Arial"/>
          <w:sz w:val="24"/>
          <w:szCs w:val="24"/>
        </w:rPr>
        <w:t>individuals</w:t>
      </w:r>
      <w:r>
        <w:rPr>
          <w:rFonts w:ascii="Arial" w:hAnsi="Arial" w:cs="Arial"/>
          <w:sz w:val="24"/>
          <w:szCs w:val="24"/>
        </w:rPr>
        <w:t xml:space="preserve"> fall from grace</w:t>
      </w:r>
      <w:r w:rsidR="004903AF">
        <w:rPr>
          <w:rFonts w:ascii="Arial" w:hAnsi="Arial" w:cs="Arial"/>
          <w:sz w:val="24"/>
          <w:szCs w:val="24"/>
        </w:rPr>
        <w:t xml:space="preserve"> (Barnes and Boutwell, 2012). Subsequent to this, it was then suggested that offender inclinations could well be hereditary from family and may well be acknowledged by a study of the family record as well as a physical assessment</w:t>
      </w:r>
      <w:r w:rsidR="001414DA">
        <w:rPr>
          <w:rFonts w:ascii="Arial" w:hAnsi="Arial" w:cs="Arial"/>
          <w:sz w:val="24"/>
          <w:szCs w:val="24"/>
        </w:rPr>
        <w:t xml:space="preserve"> (Beaver and Walsh, 2010). </w:t>
      </w:r>
      <w:r w:rsidR="00DA7F94">
        <w:rPr>
          <w:rFonts w:ascii="Arial" w:hAnsi="Arial" w:cs="Arial"/>
          <w:sz w:val="24"/>
          <w:szCs w:val="24"/>
        </w:rPr>
        <w:t xml:space="preserve">According to Knepper and Ystehede, (2013) the chief proponent of this theory was the Italian criminologist Cesare Lombroso. </w:t>
      </w:r>
      <w:r w:rsidR="0077201C">
        <w:rPr>
          <w:rFonts w:ascii="Arial" w:hAnsi="Arial" w:cs="Arial"/>
          <w:sz w:val="24"/>
          <w:szCs w:val="24"/>
        </w:rPr>
        <w:t xml:space="preserve">Lombroso stated that some physical attributes consisting of large jaws and/or lengthy arms for example as well as a low intellectual level may perhaps detect born offenders. </w:t>
      </w:r>
    </w:p>
    <w:p w14:paraId="07C645D0" w14:textId="5AC6D7F6" w:rsidR="00CB65EA" w:rsidRDefault="00CB65EA" w:rsidP="00CB65EA">
      <w:pPr>
        <w:spacing w:line="360" w:lineRule="auto"/>
        <w:rPr>
          <w:rFonts w:ascii="Arial" w:hAnsi="Arial" w:cs="Arial"/>
          <w:sz w:val="24"/>
          <w:szCs w:val="24"/>
        </w:rPr>
      </w:pPr>
      <w:r>
        <w:rPr>
          <w:rFonts w:ascii="Arial" w:hAnsi="Arial" w:cs="Arial"/>
          <w:sz w:val="24"/>
          <w:szCs w:val="24"/>
        </w:rPr>
        <w:lastRenderedPageBreak/>
        <w:t xml:space="preserve">Historical explanations in which are categorized as a structuralist suggest that the </w:t>
      </w:r>
      <w:r w:rsidR="004861E9">
        <w:rPr>
          <w:rFonts w:ascii="Arial" w:hAnsi="Arial" w:cs="Arial"/>
          <w:sz w:val="24"/>
          <w:szCs w:val="24"/>
        </w:rPr>
        <w:t>dynamics</w:t>
      </w:r>
      <w:r>
        <w:rPr>
          <w:rFonts w:ascii="Arial" w:hAnsi="Arial" w:cs="Arial"/>
          <w:sz w:val="24"/>
          <w:szCs w:val="24"/>
        </w:rPr>
        <w:t xml:space="preserve"> </w:t>
      </w:r>
      <w:r w:rsidR="004861E9">
        <w:rPr>
          <w:rFonts w:ascii="Arial" w:hAnsi="Arial" w:cs="Arial"/>
          <w:sz w:val="24"/>
          <w:szCs w:val="24"/>
        </w:rPr>
        <w:t xml:space="preserve">in the process of financial, diplomatic, and societal settings can be utilized as an approach to justifying criminality and delinquency by highlighting impartiality over prejudice (Milovanovic, 2010). According to Fitzgerald, (2011) there are at minimum eight </w:t>
      </w:r>
      <w:r w:rsidR="00C11E20">
        <w:rPr>
          <w:rFonts w:ascii="Arial" w:hAnsi="Arial" w:cs="Arial"/>
          <w:sz w:val="24"/>
          <w:szCs w:val="24"/>
        </w:rPr>
        <w:t>ecological</w:t>
      </w:r>
      <w:r w:rsidR="004861E9">
        <w:rPr>
          <w:rFonts w:ascii="Arial" w:hAnsi="Arial" w:cs="Arial"/>
          <w:sz w:val="24"/>
          <w:szCs w:val="24"/>
        </w:rPr>
        <w:t xml:space="preserve"> </w:t>
      </w:r>
      <w:r w:rsidR="00C11E20">
        <w:rPr>
          <w:rFonts w:ascii="Arial" w:hAnsi="Arial" w:cs="Arial"/>
          <w:sz w:val="24"/>
          <w:szCs w:val="24"/>
        </w:rPr>
        <w:t>considerations</w:t>
      </w:r>
      <w:r w:rsidR="004861E9">
        <w:rPr>
          <w:rFonts w:ascii="Arial" w:hAnsi="Arial" w:cs="Arial"/>
          <w:sz w:val="24"/>
          <w:szCs w:val="24"/>
        </w:rPr>
        <w:t xml:space="preserve"> in which historians </w:t>
      </w:r>
      <w:r w:rsidR="00C11E20">
        <w:rPr>
          <w:rFonts w:ascii="Arial" w:hAnsi="Arial" w:cs="Arial"/>
          <w:sz w:val="24"/>
          <w:szCs w:val="24"/>
        </w:rPr>
        <w:t>apply</w:t>
      </w:r>
      <w:r w:rsidR="004861E9">
        <w:rPr>
          <w:rFonts w:ascii="Arial" w:hAnsi="Arial" w:cs="Arial"/>
          <w:sz w:val="24"/>
          <w:szCs w:val="24"/>
        </w:rPr>
        <w:t xml:space="preserve"> to </w:t>
      </w:r>
      <w:r w:rsidR="00C11E20">
        <w:rPr>
          <w:rFonts w:ascii="Arial" w:hAnsi="Arial" w:cs="Arial"/>
          <w:sz w:val="24"/>
          <w:szCs w:val="24"/>
        </w:rPr>
        <w:t>help clarify</w:t>
      </w:r>
      <w:r w:rsidR="004861E9">
        <w:rPr>
          <w:rFonts w:ascii="Arial" w:hAnsi="Arial" w:cs="Arial"/>
          <w:sz w:val="24"/>
          <w:szCs w:val="24"/>
        </w:rPr>
        <w:t xml:space="preserve"> </w:t>
      </w:r>
      <w:r w:rsidR="00C11E20">
        <w:rPr>
          <w:rFonts w:ascii="Arial" w:hAnsi="Arial" w:cs="Arial"/>
          <w:sz w:val="24"/>
          <w:szCs w:val="24"/>
        </w:rPr>
        <w:t>irresponsibility</w:t>
      </w:r>
      <w:r w:rsidR="004861E9">
        <w:rPr>
          <w:rFonts w:ascii="Arial" w:hAnsi="Arial" w:cs="Arial"/>
          <w:sz w:val="24"/>
          <w:szCs w:val="24"/>
        </w:rPr>
        <w:t xml:space="preserve"> and </w:t>
      </w:r>
      <w:r w:rsidR="00C11E20">
        <w:rPr>
          <w:rFonts w:ascii="Arial" w:hAnsi="Arial" w:cs="Arial"/>
          <w:sz w:val="24"/>
          <w:szCs w:val="24"/>
        </w:rPr>
        <w:t>corruption</w:t>
      </w:r>
      <w:r w:rsidR="004861E9">
        <w:rPr>
          <w:rFonts w:ascii="Arial" w:hAnsi="Arial" w:cs="Arial"/>
          <w:sz w:val="24"/>
          <w:szCs w:val="24"/>
        </w:rPr>
        <w:t xml:space="preserve"> within these structuralist </w:t>
      </w:r>
      <w:r w:rsidR="00C11E20">
        <w:rPr>
          <w:rFonts w:ascii="Arial" w:hAnsi="Arial" w:cs="Arial"/>
          <w:sz w:val="24"/>
          <w:szCs w:val="24"/>
        </w:rPr>
        <w:t xml:space="preserve">ideas. These entail economic development, demographic adjustments, suburbanization, deindustrialization, variations in housing structure, conduct of regulation, warfare, and impoverishment. The concept of the structuralist principles do not engage in a leading position in today’s innovative accounts of </w:t>
      </w:r>
      <w:r w:rsidR="00FE2FDD">
        <w:rPr>
          <w:rFonts w:ascii="Arial" w:hAnsi="Arial" w:cs="Arial"/>
          <w:sz w:val="24"/>
          <w:szCs w:val="24"/>
        </w:rPr>
        <w:t>criminality</w:t>
      </w:r>
      <w:r w:rsidR="00C11E20">
        <w:rPr>
          <w:rFonts w:ascii="Arial" w:hAnsi="Arial" w:cs="Arial"/>
          <w:sz w:val="24"/>
          <w:szCs w:val="24"/>
        </w:rPr>
        <w:t xml:space="preserve"> and </w:t>
      </w:r>
      <w:r w:rsidR="00FE2FDD">
        <w:rPr>
          <w:rFonts w:ascii="Arial" w:hAnsi="Arial" w:cs="Arial"/>
          <w:sz w:val="24"/>
          <w:szCs w:val="24"/>
        </w:rPr>
        <w:t>misbehaviour</w:t>
      </w:r>
      <w:r w:rsidR="00C11E20">
        <w:rPr>
          <w:rFonts w:ascii="Arial" w:hAnsi="Arial" w:cs="Arial"/>
          <w:sz w:val="24"/>
          <w:szCs w:val="24"/>
        </w:rPr>
        <w:t xml:space="preserve"> </w:t>
      </w:r>
      <w:r w:rsidR="00FE2FDD">
        <w:rPr>
          <w:rFonts w:ascii="Arial" w:hAnsi="Arial" w:cs="Arial"/>
          <w:sz w:val="24"/>
          <w:szCs w:val="24"/>
        </w:rPr>
        <w:t>observed</w:t>
      </w:r>
      <w:r w:rsidR="00C11E20">
        <w:rPr>
          <w:rFonts w:ascii="Arial" w:hAnsi="Arial" w:cs="Arial"/>
          <w:sz w:val="24"/>
          <w:szCs w:val="24"/>
        </w:rPr>
        <w:t xml:space="preserve"> in </w:t>
      </w:r>
      <w:r w:rsidR="00FE2FDD">
        <w:rPr>
          <w:rFonts w:ascii="Arial" w:hAnsi="Arial" w:cs="Arial"/>
          <w:sz w:val="24"/>
          <w:szCs w:val="24"/>
        </w:rPr>
        <w:t>existing</w:t>
      </w:r>
      <w:r w:rsidR="00C11E20">
        <w:rPr>
          <w:rFonts w:ascii="Arial" w:hAnsi="Arial" w:cs="Arial"/>
          <w:sz w:val="24"/>
          <w:szCs w:val="24"/>
        </w:rPr>
        <w:t xml:space="preserve"> </w:t>
      </w:r>
      <w:r w:rsidR="00FE2FDD">
        <w:rPr>
          <w:rFonts w:ascii="Arial" w:hAnsi="Arial" w:cs="Arial"/>
          <w:sz w:val="24"/>
          <w:szCs w:val="24"/>
        </w:rPr>
        <w:t>historical</w:t>
      </w:r>
      <w:r w:rsidR="00C11E20">
        <w:rPr>
          <w:rFonts w:ascii="Arial" w:hAnsi="Arial" w:cs="Arial"/>
          <w:sz w:val="24"/>
          <w:szCs w:val="24"/>
        </w:rPr>
        <w:t xml:space="preserve"> </w:t>
      </w:r>
      <w:r w:rsidR="00FE2FDD">
        <w:rPr>
          <w:rFonts w:ascii="Arial" w:hAnsi="Arial" w:cs="Arial"/>
          <w:sz w:val="24"/>
          <w:szCs w:val="24"/>
        </w:rPr>
        <w:t>exploration</w:t>
      </w:r>
      <w:r w:rsidR="00C11E20">
        <w:rPr>
          <w:rFonts w:ascii="Arial" w:hAnsi="Arial" w:cs="Arial"/>
          <w:sz w:val="24"/>
          <w:szCs w:val="24"/>
        </w:rPr>
        <w:t xml:space="preserve">, </w:t>
      </w:r>
      <w:r w:rsidR="00FE2FDD">
        <w:rPr>
          <w:rFonts w:ascii="Arial" w:hAnsi="Arial" w:cs="Arial"/>
          <w:sz w:val="24"/>
          <w:szCs w:val="24"/>
        </w:rPr>
        <w:t>yet</w:t>
      </w:r>
      <w:r w:rsidR="00C11E20">
        <w:rPr>
          <w:rFonts w:ascii="Arial" w:hAnsi="Arial" w:cs="Arial"/>
          <w:sz w:val="24"/>
          <w:szCs w:val="24"/>
        </w:rPr>
        <w:t xml:space="preserve"> </w:t>
      </w:r>
      <w:r w:rsidR="00FE2FDD">
        <w:rPr>
          <w:rFonts w:ascii="Arial" w:hAnsi="Arial" w:cs="Arial"/>
          <w:sz w:val="24"/>
          <w:szCs w:val="24"/>
        </w:rPr>
        <w:t>even now</w:t>
      </w:r>
      <w:r w:rsidR="00C11E20">
        <w:rPr>
          <w:rFonts w:ascii="Arial" w:hAnsi="Arial" w:cs="Arial"/>
          <w:sz w:val="24"/>
          <w:szCs w:val="24"/>
        </w:rPr>
        <w:t xml:space="preserve"> remains a </w:t>
      </w:r>
      <w:r w:rsidR="00FE2FDD">
        <w:rPr>
          <w:rFonts w:ascii="Arial" w:hAnsi="Arial" w:cs="Arial"/>
          <w:sz w:val="24"/>
          <w:szCs w:val="24"/>
        </w:rPr>
        <w:t>very much</w:t>
      </w:r>
      <w:r w:rsidR="00C11E20">
        <w:rPr>
          <w:rFonts w:ascii="Arial" w:hAnsi="Arial" w:cs="Arial"/>
          <w:sz w:val="24"/>
          <w:szCs w:val="24"/>
        </w:rPr>
        <w:t xml:space="preserve"> regarded </w:t>
      </w:r>
      <w:r w:rsidR="00FE2FDD">
        <w:rPr>
          <w:rFonts w:ascii="Arial" w:hAnsi="Arial" w:cs="Arial"/>
          <w:sz w:val="24"/>
          <w:szCs w:val="24"/>
        </w:rPr>
        <w:t>facet</w:t>
      </w:r>
      <w:r w:rsidR="00C11E20">
        <w:rPr>
          <w:rFonts w:ascii="Arial" w:hAnsi="Arial" w:cs="Arial"/>
          <w:sz w:val="24"/>
          <w:szCs w:val="24"/>
        </w:rPr>
        <w:t xml:space="preserve"> of </w:t>
      </w:r>
      <w:r w:rsidR="00FE2FDD">
        <w:rPr>
          <w:rFonts w:ascii="Arial" w:hAnsi="Arial" w:cs="Arial"/>
          <w:sz w:val="24"/>
          <w:szCs w:val="24"/>
        </w:rPr>
        <w:t>historic</w:t>
      </w:r>
      <w:r w:rsidR="00C11E20">
        <w:rPr>
          <w:rFonts w:ascii="Arial" w:hAnsi="Arial" w:cs="Arial"/>
          <w:sz w:val="24"/>
          <w:szCs w:val="24"/>
        </w:rPr>
        <w:t xml:space="preserve"> criminological </w:t>
      </w:r>
      <w:r w:rsidR="00FE2FDD">
        <w:rPr>
          <w:rFonts w:ascii="Arial" w:hAnsi="Arial" w:cs="Arial"/>
          <w:sz w:val="24"/>
          <w:szCs w:val="24"/>
        </w:rPr>
        <w:t>beliefs</w:t>
      </w:r>
      <w:r w:rsidR="00954B75">
        <w:rPr>
          <w:rFonts w:ascii="Arial" w:hAnsi="Arial" w:cs="Arial"/>
          <w:sz w:val="24"/>
          <w:szCs w:val="24"/>
        </w:rPr>
        <w:t xml:space="preserve"> (Akers, 1999). </w:t>
      </w:r>
    </w:p>
    <w:p w14:paraId="7CF8917B" w14:textId="2C75DF46" w:rsidR="001D4EB3" w:rsidRDefault="001D4EB3" w:rsidP="001D4EB3">
      <w:pPr>
        <w:spacing w:line="360" w:lineRule="auto"/>
        <w:rPr>
          <w:rFonts w:ascii="Arial" w:hAnsi="Arial" w:cs="Arial"/>
          <w:sz w:val="24"/>
          <w:szCs w:val="24"/>
        </w:rPr>
      </w:pPr>
      <w:r>
        <w:rPr>
          <w:rFonts w:ascii="Arial" w:hAnsi="Arial" w:cs="Arial"/>
          <w:sz w:val="24"/>
          <w:szCs w:val="24"/>
        </w:rPr>
        <w:t>According to Fhel, (2004) constructionist concepts of crime play with the notion that even though criminality is deviant, not all deviant behaviour is considered as illegal act</w:t>
      </w:r>
      <w:r w:rsidR="004519D4">
        <w:rPr>
          <w:rFonts w:ascii="Arial" w:hAnsi="Arial" w:cs="Arial"/>
          <w:sz w:val="24"/>
          <w:szCs w:val="24"/>
        </w:rPr>
        <w:t>s</w:t>
      </w:r>
      <w:r>
        <w:rPr>
          <w:rFonts w:ascii="Arial" w:hAnsi="Arial" w:cs="Arial"/>
          <w:sz w:val="24"/>
          <w:szCs w:val="24"/>
        </w:rPr>
        <w:t xml:space="preserve"> </w:t>
      </w:r>
      <w:r w:rsidR="004519D4">
        <w:rPr>
          <w:rFonts w:ascii="Arial" w:hAnsi="Arial" w:cs="Arial"/>
          <w:sz w:val="24"/>
          <w:szCs w:val="24"/>
        </w:rPr>
        <w:t>with</w:t>
      </w:r>
      <w:r>
        <w:rPr>
          <w:rFonts w:ascii="Arial" w:hAnsi="Arial" w:cs="Arial"/>
          <w:sz w:val="24"/>
          <w:szCs w:val="24"/>
        </w:rPr>
        <w:t xml:space="preserve">in the eyes of the law. </w:t>
      </w:r>
      <w:r w:rsidR="00F903A1">
        <w:rPr>
          <w:rFonts w:ascii="Arial" w:hAnsi="Arial" w:cs="Arial"/>
          <w:sz w:val="24"/>
          <w:szCs w:val="24"/>
        </w:rPr>
        <w:t>Constructionists examine changes in criminal regulation over the years to indicate that the classification of criminality can vary over time. There have been acts right through time that have been criminalized, legalized and then in a few instances even recriminalized</w:t>
      </w:r>
      <w:r w:rsidR="00F3337B">
        <w:rPr>
          <w:rFonts w:ascii="Arial" w:hAnsi="Arial" w:cs="Arial"/>
          <w:sz w:val="24"/>
          <w:szCs w:val="24"/>
        </w:rPr>
        <w:t xml:space="preserve"> (Friedman, 1993).</w:t>
      </w:r>
      <w:r w:rsidR="00F903A1">
        <w:rPr>
          <w:rFonts w:ascii="Arial" w:hAnsi="Arial" w:cs="Arial"/>
          <w:sz w:val="24"/>
          <w:szCs w:val="24"/>
        </w:rPr>
        <w:t xml:space="preserve"> </w:t>
      </w:r>
      <w:r w:rsidR="00F3337B">
        <w:rPr>
          <w:rFonts w:ascii="Arial" w:hAnsi="Arial" w:cs="Arial"/>
          <w:sz w:val="24"/>
          <w:szCs w:val="24"/>
        </w:rPr>
        <w:t xml:space="preserve">According to Reagan, (1997) case of this is the act of abortion, which was prescriptive, then outlawed and later legalized. </w:t>
      </w:r>
      <w:r w:rsidR="001B2C1C">
        <w:rPr>
          <w:rFonts w:ascii="Arial" w:hAnsi="Arial" w:cs="Arial"/>
          <w:sz w:val="24"/>
          <w:szCs w:val="24"/>
        </w:rPr>
        <w:t>In addition to this, according to Rousseaux (1996), c</w:t>
      </w:r>
      <w:r w:rsidR="00F3337B">
        <w:rPr>
          <w:rFonts w:ascii="Arial" w:hAnsi="Arial" w:cs="Arial"/>
          <w:sz w:val="24"/>
          <w:szCs w:val="24"/>
        </w:rPr>
        <w:t xml:space="preserve">onstructionist academics concentrate more so on the offenders themselves as well as their illegal pursuits in concerns to the criminal ruling and all organisations engaged in the criminal justice structure. </w:t>
      </w:r>
      <w:r w:rsidR="001B2C1C">
        <w:rPr>
          <w:rFonts w:ascii="Arial" w:hAnsi="Arial" w:cs="Arial"/>
          <w:sz w:val="24"/>
          <w:szCs w:val="24"/>
        </w:rPr>
        <w:t>In conclusion to this, it has consequently been contended that the general public defines deviancy. When deviancy is identified as a danger to the country, reprimands in resistance to deviant conduct turn out to become a component of the government law</w:t>
      </w:r>
      <w:r w:rsidR="00113422">
        <w:rPr>
          <w:rFonts w:ascii="Arial" w:hAnsi="Arial" w:cs="Arial"/>
          <w:sz w:val="24"/>
          <w:szCs w:val="24"/>
        </w:rPr>
        <w:t>,</w:t>
      </w:r>
      <w:r w:rsidR="001B2C1C">
        <w:rPr>
          <w:rFonts w:ascii="Arial" w:hAnsi="Arial" w:cs="Arial"/>
          <w:sz w:val="24"/>
          <w:szCs w:val="24"/>
        </w:rPr>
        <w:t xml:space="preserve"> critical of delinquents. Following on from this, regulations in which control the unlawful activities of the population similarly correspond to the community’s greatest response to conduct considered degenerate. </w:t>
      </w:r>
      <w:r w:rsidR="00601D3B">
        <w:rPr>
          <w:rFonts w:ascii="Arial" w:hAnsi="Arial" w:cs="Arial"/>
          <w:sz w:val="24"/>
          <w:szCs w:val="24"/>
        </w:rPr>
        <w:t xml:space="preserve">This is why constructionist philosophers consider that all criminality is fundamentally constitutional and in a particular sense the law generates corruption </w:t>
      </w:r>
      <w:r w:rsidR="00601D3B" w:rsidRPr="00601D3B">
        <w:rPr>
          <w:rFonts w:ascii="Arial" w:hAnsi="Arial" w:cs="Arial"/>
          <w:sz w:val="24"/>
          <w:szCs w:val="24"/>
        </w:rPr>
        <w:t>(Scarpitti and Nielsen, 1999</w:t>
      </w:r>
      <w:r w:rsidR="00601D3B">
        <w:rPr>
          <w:rFonts w:ascii="Arial" w:hAnsi="Arial" w:cs="Arial"/>
          <w:sz w:val="24"/>
          <w:szCs w:val="24"/>
        </w:rPr>
        <w:t xml:space="preserve">). </w:t>
      </w:r>
    </w:p>
    <w:p w14:paraId="2434B7E4" w14:textId="127CE085" w:rsidR="00E83FDC" w:rsidRDefault="00E83FDC" w:rsidP="00E83FDC">
      <w:pPr>
        <w:spacing w:line="360" w:lineRule="auto"/>
        <w:rPr>
          <w:rFonts w:ascii="Arial" w:hAnsi="Arial" w:cs="Arial"/>
          <w:sz w:val="24"/>
          <w:szCs w:val="24"/>
        </w:rPr>
      </w:pPr>
      <w:r>
        <w:rPr>
          <w:rFonts w:ascii="Arial" w:hAnsi="Arial" w:cs="Arial"/>
          <w:sz w:val="24"/>
          <w:szCs w:val="24"/>
        </w:rPr>
        <w:t xml:space="preserve">In supplement to this the positivistic school of criminology was initially established in the nineteenth century and was of a differing concept to the traditional principles or </w:t>
      </w:r>
      <w:r>
        <w:rPr>
          <w:rFonts w:ascii="Arial" w:hAnsi="Arial" w:cs="Arial"/>
          <w:sz w:val="24"/>
          <w:szCs w:val="24"/>
        </w:rPr>
        <w:lastRenderedPageBreak/>
        <w:t xml:space="preserve">criminality. Positivism notions of delinquency bring together crime </w:t>
      </w:r>
      <w:r w:rsidR="007432B1">
        <w:rPr>
          <w:rFonts w:ascii="Arial" w:hAnsi="Arial" w:cs="Arial"/>
          <w:sz w:val="24"/>
          <w:szCs w:val="24"/>
        </w:rPr>
        <w:t>as well as exterior</w:t>
      </w:r>
      <w:r>
        <w:rPr>
          <w:rFonts w:ascii="Arial" w:hAnsi="Arial" w:cs="Arial"/>
          <w:sz w:val="24"/>
          <w:szCs w:val="24"/>
        </w:rPr>
        <w:t xml:space="preserve"> </w:t>
      </w:r>
      <w:r w:rsidR="007432B1">
        <w:rPr>
          <w:rFonts w:ascii="Arial" w:hAnsi="Arial" w:cs="Arial"/>
          <w:sz w:val="24"/>
          <w:szCs w:val="24"/>
        </w:rPr>
        <w:t>and/</w:t>
      </w:r>
      <w:r>
        <w:rPr>
          <w:rFonts w:ascii="Arial" w:hAnsi="Arial" w:cs="Arial"/>
          <w:sz w:val="24"/>
          <w:szCs w:val="24"/>
        </w:rPr>
        <w:t xml:space="preserve">or </w:t>
      </w:r>
      <w:r w:rsidR="007432B1">
        <w:rPr>
          <w:rFonts w:ascii="Arial" w:hAnsi="Arial" w:cs="Arial"/>
          <w:sz w:val="24"/>
          <w:szCs w:val="24"/>
        </w:rPr>
        <w:t>inner</w:t>
      </w:r>
      <w:r>
        <w:rPr>
          <w:rFonts w:ascii="Arial" w:hAnsi="Arial" w:cs="Arial"/>
          <w:sz w:val="24"/>
          <w:szCs w:val="24"/>
        </w:rPr>
        <w:t xml:space="preserve"> </w:t>
      </w:r>
      <w:r w:rsidR="007432B1">
        <w:rPr>
          <w:rFonts w:ascii="Arial" w:hAnsi="Arial" w:cs="Arial"/>
          <w:sz w:val="24"/>
          <w:szCs w:val="24"/>
        </w:rPr>
        <w:t>effects</w:t>
      </w:r>
      <w:r>
        <w:rPr>
          <w:rFonts w:ascii="Arial" w:hAnsi="Arial" w:cs="Arial"/>
          <w:sz w:val="24"/>
          <w:szCs w:val="24"/>
        </w:rPr>
        <w:t xml:space="preserve"> in which a </w:t>
      </w:r>
      <w:r w:rsidR="007432B1">
        <w:rPr>
          <w:rFonts w:ascii="Arial" w:hAnsi="Arial" w:cs="Arial"/>
          <w:sz w:val="24"/>
          <w:szCs w:val="24"/>
        </w:rPr>
        <w:t>person</w:t>
      </w:r>
      <w:r>
        <w:rPr>
          <w:rFonts w:ascii="Arial" w:hAnsi="Arial" w:cs="Arial"/>
          <w:sz w:val="24"/>
          <w:szCs w:val="24"/>
        </w:rPr>
        <w:t xml:space="preserve"> </w:t>
      </w:r>
      <w:r w:rsidR="007432B1">
        <w:rPr>
          <w:rFonts w:ascii="Arial" w:hAnsi="Arial" w:cs="Arial"/>
          <w:sz w:val="24"/>
          <w:szCs w:val="24"/>
        </w:rPr>
        <w:t>may possibly</w:t>
      </w:r>
      <w:r>
        <w:rPr>
          <w:rFonts w:ascii="Arial" w:hAnsi="Arial" w:cs="Arial"/>
          <w:sz w:val="24"/>
          <w:szCs w:val="24"/>
        </w:rPr>
        <w:t xml:space="preserve"> find themselves</w:t>
      </w:r>
      <w:r w:rsidR="007432B1">
        <w:rPr>
          <w:rFonts w:ascii="Arial" w:hAnsi="Arial" w:cs="Arial"/>
          <w:sz w:val="24"/>
          <w:szCs w:val="24"/>
        </w:rPr>
        <w:t xml:space="preserve">. </w:t>
      </w:r>
      <w:r>
        <w:rPr>
          <w:rFonts w:ascii="Arial" w:hAnsi="Arial" w:cs="Arial"/>
          <w:sz w:val="24"/>
          <w:szCs w:val="24"/>
        </w:rPr>
        <w:t xml:space="preserve">These </w:t>
      </w:r>
      <w:r w:rsidR="007432B1">
        <w:rPr>
          <w:rFonts w:ascii="Arial" w:hAnsi="Arial" w:cs="Arial"/>
          <w:sz w:val="24"/>
          <w:szCs w:val="24"/>
        </w:rPr>
        <w:t>considerations</w:t>
      </w:r>
      <w:r>
        <w:rPr>
          <w:rFonts w:ascii="Arial" w:hAnsi="Arial" w:cs="Arial"/>
          <w:sz w:val="24"/>
          <w:szCs w:val="24"/>
        </w:rPr>
        <w:t xml:space="preserve"> </w:t>
      </w:r>
      <w:r w:rsidR="007432B1">
        <w:rPr>
          <w:rFonts w:ascii="Arial" w:hAnsi="Arial" w:cs="Arial"/>
          <w:sz w:val="24"/>
          <w:szCs w:val="24"/>
        </w:rPr>
        <w:t>put</w:t>
      </w:r>
      <w:r>
        <w:rPr>
          <w:rFonts w:ascii="Arial" w:hAnsi="Arial" w:cs="Arial"/>
          <w:sz w:val="24"/>
          <w:szCs w:val="24"/>
        </w:rPr>
        <w:t xml:space="preserve"> upon individuals can attribute the </w:t>
      </w:r>
      <w:r w:rsidR="007432B1">
        <w:rPr>
          <w:rFonts w:ascii="Arial" w:hAnsi="Arial" w:cs="Arial"/>
          <w:sz w:val="24"/>
          <w:szCs w:val="24"/>
        </w:rPr>
        <w:t>motive</w:t>
      </w:r>
      <w:r>
        <w:rPr>
          <w:rFonts w:ascii="Arial" w:hAnsi="Arial" w:cs="Arial"/>
          <w:sz w:val="24"/>
          <w:szCs w:val="24"/>
        </w:rPr>
        <w:t xml:space="preserve"> </w:t>
      </w:r>
      <w:r w:rsidR="007432B1">
        <w:rPr>
          <w:rFonts w:ascii="Arial" w:hAnsi="Arial" w:cs="Arial"/>
          <w:sz w:val="24"/>
          <w:szCs w:val="24"/>
        </w:rPr>
        <w:t>following</w:t>
      </w:r>
      <w:r>
        <w:rPr>
          <w:rFonts w:ascii="Arial" w:hAnsi="Arial" w:cs="Arial"/>
          <w:sz w:val="24"/>
          <w:szCs w:val="24"/>
        </w:rPr>
        <w:t xml:space="preserve"> </w:t>
      </w:r>
      <w:r w:rsidR="007432B1">
        <w:rPr>
          <w:rFonts w:ascii="Arial" w:hAnsi="Arial" w:cs="Arial"/>
          <w:sz w:val="24"/>
          <w:szCs w:val="24"/>
        </w:rPr>
        <w:t>numerous</w:t>
      </w:r>
      <w:r>
        <w:rPr>
          <w:rFonts w:ascii="Arial" w:hAnsi="Arial" w:cs="Arial"/>
          <w:sz w:val="24"/>
          <w:szCs w:val="24"/>
        </w:rPr>
        <w:t xml:space="preserve"> individuals </w:t>
      </w:r>
      <w:r w:rsidR="007432B1">
        <w:rPr>
          <w:rFonts w:ascii="Arial" w:hAnsi="Arial" w:cs="Arial"/>
          <w:sz w:val="24"/>
          <w:szCs w:val="24"/>
        </w:rPr>
        <w:t>perpetrating</w:t>
      </w:r>
      <w:r>
        <w:rPr>
          <w:rFonts w:ascii="Arial" w:hAnsi="Arial" w:cs="Arial"/>
          <w:sz w:val="24"/>
          <w:szCs w:val="24"/>
        </w:rPr>
        <w:t xml:space="preserve"> </w:t>
      </w:r>
      <w:r w:rsidR="007432B1">
        <w:rPr>
          <w:rFonts w:ascii="Arial" w:hAnsi="Arial" w:cs="Arial"/>
          <w:sz w:val="24"/>
          <w:szCs w:val="24"/>
        </w:rPr>
        <w:t xml:space="preserve">illegal pursuits (Hirschi and Gottfredson, 1990). According to Hirschi, (2014) the classical school of criminology theorized that a few individuals carry out offences due to their egotistical needs and that misconduct is basically a result of free choice within the public. This is exactly what the more positivism </w:t>
      </w:r>
      <w:r w:rsidR="00AB74A5">
        <w:rPr>
          <w:rFonts w:ascii="Arial" w:hAnsi="Arial" w:cs="Arial"/>
          <w:sz w:val="24"/>
          <w:szCs w:val="24"/>
        </w:rPr>
        <w:t>concepts</w:t>
      </w:r>
      <w:r w:rsidR="007432B1">
        <w:rPr>
          <w:rFonts w:ascii="Arial" w:hAnsi="Arial" w:cs="Arial"/>
          <w:sz w:val="24"/>
          <w:szCs w:val="24"/>
        </w:rPr>
        <w:t xml:space="preserve"> of </w:t>
      </w:r>
      <w:r w:rsidR="00AB74A5">
        <w:rPr>
          <w:rFonts w:ascii="Arial" w:hAnsi="Arial" w:cs="Arial"/>
          <w:sz w:val="24"/>
          <w:szCs w:val="24"/>
        </w:rPr>
        <w:t>criminality</w:t>
      </w:r>
      <w:r w:rsidR="007432B1">
        <w:rPr>
          <w:rFonts w:ascii="Arial" w:hAnsi="Arial" w:cs="Arial"/>
          <w:sz w:val="24"/>
          <w:szCs w:val="24"/>
        </w:rPr>
        <w:t xml:space="preserve"> are </w:t>
      </w:r>
      <w:r w:rsidR="00AB74A5">
        <w:rPr>
          <w:rFonts w:ascii="Arial" w:hAnsi="Arial" w:cs="Arial"/>
          <w:sz w:val="24"/>
          <w:szCs w:val="24"/>
        </w:rPr>
        <w:t>in opposition to</w:t>
      </w:r>
      <w:r w:rsidR="007432B1">
        <w:rPr>
          <w:rFonts w:ascii="Arial" w:hAnsi="Arial" w:cs="Arial"/>
          <w:sz w:val="24"/>
          <w:szCs w:val="24"/>
        </w:rPr>
        <w:t xml:space="preserve">. </w:t>
      </w:r>
      <w:r w:rsidR="00AB74A5">
        <w:rPr>
          <w:rFonts w:ascii="Arial" w:hAnsi="Arial" w:cs="Arial"/>
          <w:sz w:val="24"/>
          <w:szCs w:val="24"/>
        </w:rPr>
        <w:t xml:space="preserve">The positivistic principles of offense generate a connection among delinquent behaviour and the sociological or mental characteristics of the offending individual. A model of this according to Akers, (1991) is that a positivistic theoretician will connect an illegal wrongdoing to the absence of parental support rather than a deliberate judgment from the mind of the offender themselves. </w:t>
      </w:r>
    </w:p>
    <w:p w14:paraId="39D98AEE" w14:textId="5B23B8A0" w:rsidR="00F93099" w:rsidRDefault="007E775F" w:rsidP="00E83FDC">
      <w:pPr>
        <w:spacing w:line="360" w:lineRule="auto"/>
        <w:rPr>
          <w:rFonts w:ascii="Arial" w:hAnsi="Arial" w:cs="Arial"/>
          <w:sz w:val="24"/>
          <w:szCs w:val="24"/>
        </w:rPr>
      </w:pPr>
      <w:r>
        <w:rPr>
          <w:rFonts w:ascii="Arial" w:hAnsi="Arial" w:cs="Arial"/>
          <w:sz w:val="24"/>
          <w:szCs w:val="24"/>
        </w:rPr>
        <w:t xml:space="preserve">The case of </w:t>
      </w:r>
      <w:r w:rsidR="001C7F62">
        <w:rPr>
          <w:rFonts w:ascii="Arial" w:hAnsi="Arial" w:cs="Arial"/>
          <w:sz w:val="24"/>
          <w:szCs w:val="24"/>
        </w:rPr>
        <w:t xml:space="preserve">two-year-old James Bulgar is one in which various concepts of criminality can be applied, especially in respects to the two ten-year-old killers. James Bulgar was abducted, tortured, </w:t>
      </w:r>
      <w:r w:rsidRPr="007E775F">
        <w:rPr>
          <w:rFonts w:ascii="Arial" w:hAnsi="Arial" w:cs="Arial"/>
          <w:sz w:val="24"/>
          <w:szCs w:val="24"/>
        </w:rPr>
        <w:t xml:space="preserve">and </w:t>
      </w:r>
      <w:r w:rsidR="001C7F62" w:rsidRPr="007E775F">
        <w:rPr>
          <w:rFonts w:ascii="Arial" w:hAnsi="Arial" w:cs="Arial"/>
          <w:sz w:val="24"/>
          <w:szCs w:val="24"/>
        </w:rPr>
        <w:t>murdered</w:t>
      </w:r>
      <w:r w:rsidRPr="007E775F">
        <w:rPr>
          <w:rFonts w:ascii="Arial" w:hAnsi="Arial" w:cs="Arial"/>
          <w:sz w:val="24"/>
          <w:szCs w:val="24"/>
        </w:rPr>
        <w:t xml:space="preserve"> in Liverpool, England by two </w:t>
      </w:r>
      <w:r w:rsidR="001C7F62" w:rsidRPr="007E775F">
        <w:rPr>
          <w:rFonts w:ascii="Arial" w:hAnsi="Arial" w:cs="Arial"/>
          <w:sz w:val="24"/>
          <w:szCs w:val="24"/>
        </w:rPr>
        <w:t>schoolboys</w:t>
      </w:r>
      <w:r w:rsidRPr="007E775F">
        <w:rPr>
          <w:rFonts w:ascii="Arial" w:hAnsi="Arial" w:cs="Arial"/>
          <w:sz w:val="24"/>
          <w:szCs w:val="24"/>
        </w:rPr>
        <w:t xml:space="preserve"> named Robert Thompson and Jon Venables in 1993</w:t>
      </w:r>
      <w:r w:rsidR="001C7F62">
        <w:rPr>
          <w:rFonts w:ascii="Arial" w:hAnsi="Arial" w:cs="Arial"/>
          <w:sz w:val="24"/>
          <w:szCs w:val="24"/>
        </w:rPr>
        <w:t xml:space="preserve"> </w:t>
      </w:r>
      <w:r w:rsidRPr="007E775F">
        <w:rPr>
          <w:rFonts w:ascii="Arial" w:hAnsi="Arial" w:cs="Arial"/>
          <w:sz w:val="24"/>
          <w:szCs w:val="24"/>
        </w:rPr>
        <w:t>(Roberts, 2014).</w:t>
      </w:r>
      <w:r w:rsidR="001C7F62">
        <w:rPr>
          <w:rFonts w:ascii="Arial" w:hAnsi="Arial" w:cs="Arial"/>
          <w:sz w:val="24"/>
          <w:szCs w:val="24"/>
        </w:rPr>
        <w:t xml:space="preserve"> According to Anderson and Kras, (2008) Albert Bandura’s social learning theory underlines the significance of developing, mimicking, and examining additional individuals’ actions, emotive responses, and mindsets in specific situations. </w:t>
      </w:r>
      <w:r w:rsidR="00E078D2">
        <w:rPr>
          <w:rFonts w:ascii="Arial" w:hAnsi="Arial" w:cs="Arial"/>
          <w:sz w:val="24"/>
          <w:szCs w:val="24"/>
        </w:rPr>
        <w:t>In addition to this, Albert Bandura’s social learning theory contemplates how conjointly mental and ecological considerations surrounding an individual can impact their human behaviour and understanding</w:t>
      </w:r>
      <w:r w:rsidR="00A20D0F">
        <w:rPr>
          <w:rFonts w:ascii="Arial" w:hAnsi="Arial" w:cs="Arial"/>
          <w:sz w:val="24"/>
          <w:szCs w:val="24"/>
        </w:rPr>
        <w:t xml:space="preserve"> (Falk and Kim, </w:t>
      </w:r>
      <w:r w:rsidR="00B92C40">
        <w:rPr>
          <w:rFonts w:ascii="Arial" w:hAnsi="Arial" w:cs="Arial"/>
          <w:sz w:val="24"/>
          <w:szCs w:val="24"/>
        </w:rPr>
        <w:t xml:space="preserve">2019). </w:t>
      </w:r>
      <w:r w:rsidR="00646222">
        <w:rPr>
          <w:rFonts w:ascii="Arial" w:hAnsi="Arial" w:cs="Arial"/>
          <w:sz w:val="24"/>
          <w:szCs w:val="24"/>
        </w:rPr>
        <w:t xml:space="preserve">It has been contended that Albert Bandura’s social learning theory can be heavily applied to the two ten-year older killers; Jon Venables and Robert Thompson. Primarily, </w:t>
      </w:r>
      <w:r w:rsidR="003924BF">
        <w:rPr>
          <w:rFonts w:ascii="Arial" w:hAnsi="Arial" w:cs="Arial"/>
          <w:sz w:val="24"/>
          <w:szCs w:val="24"/>
        </w:rPr>
        <w:t xml:space="preserve">Robert Thompson </w:t>
      </w:r>
      <w:r w:rsidR="00646222">
        <w:rPr>
          <w:rFonts w:ascii="Arial" w:hAnsi="Arial" w:cs="Arial"/>
          <w:sz w:val="24"/>
          <w:szCs w:val="24"/>
        </w:rPr>
        <w:t xml:space="preserve">witnessed for the best part of his life, his mother and siblings become casualties to serious, sexual, and physical brutality at home carried out by his father. </w:t>
      </w:r>
      <w:r w:rsidR="003924BF">
        <w:rPr>
          <w:rFonts w:ascii="Arial" w:hAnsi="Arial" w:cs="Arial"/>
          <w:sz w:val="24"/>
          <w:szCs w:val="24"/>
        </w:rPr>
        <w:t xml:space="preserve">Thompson </w:t>
      </w:r>
      <w:r w:rsidR="00646222">
        <w:rPr>
          <w:rFonts w:ascii="Arial" w:hAnsi="Arial" w:cs="Arial"/>
          <w:sz w:val="24"/>
          <w:szCs w:val="24"/>
        </w:rPr>
        <w:t xml:space="preserve">himself was similarly beaten and abused by his own father. Even following his father leaving the family home, the intimidation and violence remained robust with his brothers ultimately turning on each other and maintaining this home </w:t>
      </w:r>
      <w:r w:rsidR="004C468E">
        <w:rPr>
          <w:rFonts w:ascii="Arial" w:hAnsi="Arial" w:cs="Arial"/>
          <w:sz w:val="24"/>
          <w:szCs w:val="24"/>
        </w:rPr>
        <w:t>complete</w:t>
      </w:r>
      <w:r w:rsidR="00646222">
        <w:rPr>
          <w:rFonts w:ascii="Arial" w:hAnsi="Arial" w:cs="Arial"/>
          <w:sz w:val="24"/>
          <w:szCs w:val="24"/>
        </w:rPr>
        <w:t xml:space="preserve"> of </w:t>
      </w:r>
      <w:r w:rsidR="004C468E">
        <w:rPr>
          <w:rFonts w:ascii="Arial" w:hAnsi="Arial" w:cs="Arial"/>
          <w:sz w:val="24"/>
          <w:szCs w:val="24"/>
        </w:rPr>
        <w:t>hostility</w:t>
      </w:r>
      <w:r w:rsidR="00646222">
        <w:rPr>
          <w:rFonts w:ascii="Arial" w:hAnsi="Arial" w:cs="Arial"/>
          <w:sz w:val="24"/>
          <w:szCs w:val="24"/>
        </w:rPr>
        <w:t xml:space="preserve"> and </w:t>
      </w:r>
      <w:r w:rsidR="004C468E">
        <w:rPr>
          <w:rFonts w:ascii="Arial" w:hAnsi="Arial" w:cs="Arial"/>
          <w:sz w:val="24"/>
          <w:szCs w:val="24"/>
        </w:rPr>
        <w:t>cruelty</w:t>
      </w:r>
      <w:r w:rsidR="00646222">
        <w:rPr>
          <w:rFonts w:ascii="Arial" w:hAnsi="Arial" w:cs="Arial"/>
          <w:sz w:val="24"/>
          <w:szCs w:val="24"/>
        </w:rPr>
        <w:t xml:space="preserve">. </w:t>
      </w:r>
      <w:r w:rsidR="003924BF">
        <w:rPr>
          <w:rFonts w:ascii="Arial" w:hAnsi="Arial" w:cs="Arial"/>
          <w:sz w:val="24"/>
          <w:szCs w:val="24"/>
        </w:rPr>
        <w:t>Thompson’s</w:t>
      </w:r>
      <w:r w:rsidR="004C468E">
        <w:rPr>
          <w:rFonts w:ascii="Arial" w:hAnsi="Arial" w:cs="Arial"/>
          <w:sz w:val="24"/>
          <w:szCs w:val="24"/>
        </w:rPr>
        <w:t xml:space="preserve"> mother Ann Thompson also in time turned to alcohol, becoming an alcoholic herself</w:t>
      </w:r>
      <w:r w:rsidR="009915AA">
        <w:rPr>
          <w:rFonts w:ascii="Arial" w:hAnsi="Arial" w:cs="Arial"/>
          <w:sz w:val="24"/>
          <w:szCs w:val="24"/>
        </w:rPr>
        <w:t xml:space="preserve"> (Levine, 1999). Taking all of this material into deliberation it could well be supposed that according to Albert Bandura’s social </w:t>
      </w:r>
      <w:r w:rsidR="009915AA">
        <w:rPr>
          <w:rFonts w:ascii="Arial" w:hAnsi="Arial" w:cs="Arial"/>
          <w:sz w:val="24"/>
          <w:szCs w:val="24"/>
        </w:rPr>
        <w:lastRenderedPageBreak/>
        <w:t xml:space="preserve">learning theory, </w:t>
      </w:r>
      <w:r w:rsidR="00113422">
        <w:rPr>
          <w:rFonts w:ascii="Arial" w:hAnsi="Arial" w:cs="Arial"/>
          <w:sz w:val="24"/>
          <w:szCs w:val="24"/>
        </w:rPr>
        <w:t xml:space="preserve">Robert Thompson </w:t>
      </w:r>
      <w:r w:rsidR="009915AA">
        <w:rPr>
          <w:rFonts w:ascii="Arial" w:hAnsi="Arial" w:cs="Arial"/>
          <w:sz w:val="24"/>
          <w:szCs w:val="24"/>
        </w:rPr>
        <w:t>observed all this misconduct going on at home for the best part of his life by his father. Consequently, he might have established his personal desires to harm other individuals. In addition to this he may perhaps believe it is a component of ordinary life and considered a regular element of humanity</w:t>
      </w:r>
      <w:r w:rsidR="0047366A">
        <w:rPr>
          <w:rFonts w:ascii="Arial" w:hAnsi="Arial" w:cs="Arial"/>
          <w:sz w:val="24"/>
          <w:szCs w:val="24"/>
        </w:rPr>
        <w:t xml:space="preserve"> (</w:t>
      </w:r>
      <w:r w:rsidR="00757BAD">
        <w:rPr>
          <w:rFonts w:ascii="Arial" w:hAnsi="Arial" w:cs="Arial"/>
          <w:sz w:val="24"/>
          <w:szCs w:val="24"/>
        </w:rPr>
        <w:t xml:space="preserve">King, 1997). </w:t>
      </w:r>
      <w:r w:rsidR="00E43A8F">
        <w:rPr>
          <w:rFonts w:ascii="Arial" w:hAnsi="Arial" w:cs="Arial"/>
          <w:sz w:val="24"/>
          <w:szCs w:val="24"/>
        </w:rPr>
        <w:t>According to Brewer, (2011) i</w:t>
      </w:r>
      <w:r w:rsidR="003924BF">
        <w:rPr>
          <w:rFonts w:ascii="Arial" w:hAnsi="Arial" w:cs="Arial"/>
          <w:sz w:val="24"/>
          <w:szCs w:val="24"/>
        </w:rPr>
        <w:t xml:space="preserve">n opposition to this though, </w:t>
      </w:r>
      <w:r w:rsidR="00113422">
        <w:rPr>
          <w:rFonts w:ascii="Arial" w:hAnsi="Arial" w:cs="Arial"/>
          <w:sz w:val="24"/>
          <w:szCs w:val="24"/>
        </w:rPr>
        <w:t xml:space="preserve">Jon </w:t>
      </w:r>
      <w:r w:rsidR="003924BF">
        <w:rPr>
          <w:rFonts w:ascii="Arial" w:hAnsi="Arial" w:cs="Arial"/>
          <w:sz w:val="24"/>
          <w:szCs w:val="24"/>
        </w:rPr>
        <w:t xml:space="preserve">Venables was not known to have endured any violent behaviour within his family home or to be bullied at any point for the duration of his school life by other individuals. If anything, it was reported that he was more prone to be the one intimidating others throughout school. </w:t>
      </w:r>
      <w:r w:rsidR="00CE2F41">
        <w:rPr>
          <w:rFonts w:ascii="Arial" w:hAnsi="Arial" w:cs="Arial"/>
          <w:sz w:val="24"/>
          <w:szCs w:val="24"/>
        </w:rPr>
        <w:t xml:space="preserve">This then consequently goes against Albert Bandura’s social learning theory in this example. </w:t>
      </w:r>
    </w:p>
    <w:p w14:paraId="3860ACA9" w14:textId="414C2020" w:rsidR="00E83FDC" w:rsidRDefault="00CE2F41" w:rsidP="00E83FDC">
      <w:pPr>
        <w:spacing w:line="360" w:lineRule="auto"/>
        <w:rPr>
          <w:rFonts w:ascii="Arial" w:hAnsi="Arial" w:cs="Arial"/>
          <w:sz w:val="24"/>
          <w:szCs w:val="24"/>
        </w:rPr>
      </w:pPr>
      <w:r>
        <w:rPr>
          <w:rFonts w:ascii="Arial" w:hAnsi="Arial" w:cs="Arial"/>
          <w:sz w:val="24"/>
          <w:szCs w:val="24"/>
        </w:rPr>
        <w:t xml:space="preserve">Following on from this, according to Sheppard, (2013) Robert Thompson’s parents were equally toxic and prominent in the upbringing of Thompson and subsequently his murder of two-year-old James Bulgar. </w:t>
      </w:r>
      <w:r w:rsidR="00582C84">
        <w:rPr>
          <w:rFonts w:ascii="Arial" w:hAnsi="Arial" w:cs="Arial"/>
          <w:sz w:val="24"/>
          <w:szCs w:val="24"/>
        </w:rPr>
        <w:t xml:space="preserve">Understandably, </w:t>
      </w:r>
      <w:r>
        <w:rPr>
          <w:rFonts w:ascii="Arial" w:hAnsi="Arial" w:cs="Arial"/>
          <w:sz w:val="24"/>
          <w:szCs w:val="24"/>
        </w:rPr>
        <w:t xml:space="preserve">as a young person overseeing a family home </w:t>
      </w:r>
      <w:r w:rsidR="00582C84">
        <w:rPr>
          <w:rFonts w:ascii="Arial" w:hAnsi="Arial" w:cs="Arial"/>
          <w:sz w:val="24"/>
          <w:szCs w:val="24"/>
        </w:rPr>
        <w:t>setting</w:t>
      </w:r>
      <w:r>
        <w:rPr>
          <w:rFonts w:ascii="Arial" w:hAnsi="Arial" w:cs="Arial"/>
          <w:sz w:val="24"/>
          <w:szCs w:val="24"/>
        </w:rPr>
        <w:t xml:space="preserve"> in which emotional, </w:t>
      </w:r>
      <w:r w:rsidR="00582C84">
        <w:rPr>
          <w:rFonts w:ascii="Arial" w:hAnsi="Arial" w:cs="Arial"/>
          <w:sz w:val="24"/>
          <w:szCs w:val="24"/>
        </w:rPr>
        <w:t>oral</w:t>
      </w:r>
      <w:r>
        <w:rPr>
          <w:rFonts w:ascii="Arial" w:hAnsi="Arial" w:cs="Arial"/>
          <w:sz w:val="24"/>
          <w:szCs w:val="24"/>
        </w:rPr>
        <w:t xml:space="preserve">, </w:t>
      </w:r>
      <w:r w:rsidR="00582C84">
        <w:rPr>
          <w:rFonts w:ascii="Arial" w:hAnsi="Arial" w:cs="Arial"/>
          <w:sz w:val="24"/>
          <w:szCs w:val="24"/>
        </w:rPr>
        <w:t>sexual,</w:t>
      </w:r>
      <w:r>
        <w:rPr>
          <w:rFonts w:ascii="Arial" w:hAnsi="Arial" w:cs="Arial"/>
          <w:sz w:val="24"/>
          <w:szCs w:val="24"/>
        </w:rPr>
        <w:t xml:space="preserve"> and </w:t>
      </w:r>
      <w:r w:rsidR="00582C84">
        <w:rPr>
          <w:rFonts w:ascii="Arial" w:hAnsi="Arial" w:cs="Arial"/>
          <w:sz w:val="24"/>
          <w:szCs w:val="24"/>
        </w:rPr>
        <w:t>bodily</w:t>
      </w:r>
      <w:r>
        <w:rPr>
          <w:rFonts w:ascii="Arial" w:hAnsi="Arial" w:cs="Arial"/>
          <w:sz w:val="24"/>
          <w:szCs w:val="24"/>
        </w:rPr>
        <w:t xml:space="preserve"> </w:t>
      </w:r>
      <w:r w:rsidR="00582C84">
        <w:rPr>
          <w:rFonts w:ascii="Arial" w:hAnsi="Arial" w:cs="Arial"/>
          <w:sz w:val="24"/>
          <w:szCs w:val="24"/>
        </w:rPr>
        <w:t>aggression</w:t>
      </w:r>
      <w:r>
        <w:rPr>
          <w:rFonts w:ascii="Arial" w:hAnsi="Arial" w:cs="Arial"/>
          <w:sz w:val="24"/>
          <w:szCs w:val="24"/>
        </w:rPr>
        <w:t xml:space="preserve"> was </w:t>
      </w:r>
      <w:r w:rsidR="00582C84">
        <w:rPr>
          <w:rFonts w:ascii="Arial" w:hAnsi="Arial" w:cs="Arial"/>
          <w:sz w:val="24"/>
          <w:szCs w:val="24"/>
        </w:rPr>
        <w:t>taking place</w:t>
      </w:r>
      <w:r>
        <w:rPr>
          <w:rFonts w:ascii="Arial" w:hAnsi="Arial" w:cs="Arial"/>
          <w:sz w:val="24"/>
          <w:szCs w:val="24"/>
        </w:rPr>
        <w:t xml:space="preserve"> </w:t>
      </w:r>
      <w:r w:rsidR="00582C84">
        <w:rPr>
          <w:rFonts w:ascii="Arial" w:hAnsi="Arial" w:cs="Arial"/>
          <w:sz w:val="24"/>
          <w:szCs w:val="24"/>
        </w:rPr>
        <w:t>ought to</w:t>
      </w:r>
      <w:r>
        <w:rPr>
          <w:rFonts w:ascii="Arial" w:hAnsi="Arial" w:cs="Arial"/>
          <w:sz w:val="24"/>
          <w:szCs w:val="24"/>
        </w:rPr>
        <w:t xml:space="preserve"> have been </w:t>
      </w:r>
      <w:r w:rsidR="00582C84">
        <w:rPr>
          <w:rFonts w:ascii="Arial" w:hAnsi="Arial" w:cs="Arial"/>
          <w:sz w:val="24"/>
          <w:szCs w:val="24"/>
        </w:rPr>
        <w:t>harrowing</w:t>
      </w:r>
      <w:r>
        <w:rPr>
          <w:rFonts w:ascii="Arial" w:hAnsi="Arial" w:cs="Arial"/>
          <w:sz w:val="24"/>
          <w:szCs w:val="24"/>
        </w:rPr>
        <w:t xml:space="preserve"> for Thompson</w:t>
      </w:r>
      <w:r w:rsidR="00582C84">
        <w:rPr>
          <w:rFonts w:ascii="Arial" w:hAnsi="Arial" w:cs="Arial"/>
          <w:sz w:val="24"/>
          <w:szCs w:val="24"/>
        </w:rPr>
        <w:t xml:space="preserve">. It has moreover been contended that this could well be applied as </w:t>
      </w:r>
      <w:r>
        <w:rPr>
          <w:rFonts w:ascii="Arial" w:hAnsi="Arial" w:cs="Arial"/>
          <w:sz w:val="24"/>
          <w:szCs w:val="24"/>
        </w:rPr>
        <w:t>a</w:t>
      </w:r>
      <w:r w:rsidR="00582C84">
        <w:rPr>
          <w:rFonts w:ascii="Arial" w:hAnsi="Arial" w:cs="Arial"/>
          <w:sz w:val="24"/>
          <w:szCs w:val="24"/>
        </w:rPr>
        <w:t xml:space="preserve"> justification</w:t>
      </w:r>
      <w:r>
        <w:rPr>
          <w:rFonts w:ascii="Arial" w:hAnsi="Arial" w:cs="Arial"/>
          <w:sz w:val="24"/>
          <w:szCs w:val="24"/>
        </w:rPr>
        <w:t xml:space="preserve"> as to how he </w:t>
      </w:r>
      <w:r w:rsidR="00582C84">
        <w:rPr>
          <w:rFonts w:ascii="Arial" w:hAnsi="Arial" w:cs="Arial"/>
          <w:sz w:val="24"/>
          <w:szCs w:val="24"/>
        </w:rPr>
        <w:t>perpetrated</w:t>
      </w:r>
      <w:r>
        <w:rPr>
          <w:rFonts w:ascii="Arial" w:hAnsi="Arial" w:cs="Arial"/>
          <w:sz w:val="24"/>
          <w:szCs w:val="24"/>
        </w:rPr>
        <w:t xml:space="preserve"> such acts </w:t>
      </w:r>
      <w:r w:rsidR="00582C84">
        <w:rPr>
          <w:rFonts w:ascii="Arial" w:hAnsi="Arial" w:cs="Arial"/>
          <w:sz w:val="24"/>
          <w:szCs w:val="24"/>
        </w:rPr>
        <w:t xml:space="preserve">whilst merely being ten years of age. On the other hand, once more to neutralise this reality is that Jon Venables childhood experience was apparently free from those of Thompson’s scandalous and disturbing incidents of his own. Hence, Albert Bandura’s social learning theory can not be employed to both adolescent killers and does not make clear why or by what means Venables was likewise competent to carry out such atrocious misdemeanours (Haydon and Scraton, 2002). </w:t>
      </w:r>
    </w:p>
    <w:p w14:paraId="500E605B" w14:textId="74C682FD" w:rsidR="004004D5" w:rsidRDefault="00A90807" w:rsidP="00CE2F41">
      <w:pPr>
        <w:spacing w:line="360" w:lineRule="auto"/>
        <w:rPr>
          <w:rFonts w:ascii="Arial" w:hAnsi="Arial" w:cs="Arial"/>
          <w:sz w:val="24"/>
          <w:szCs w:val="24"/>
        </w:rPr>
      </w:pPr>
      <w:r>
        <w:rPr>
          <w:rFonts w:ascii="Arial" w:hAnsi="Arial" w:cs="Arial"/>
          <w:sz w:val="24"/>
          <w:szCs w:val="24"/>
        </w:rPr>
        <w:t xml:space="preserve">Moreover, to this is Albert Cohen’s delinquent boys’ theory surrounding criminality. According to Rosenheim, Zimring, Tanenhaus, et al, (2002), Albert Cohen’s essential hypothesis to this notion of corruption is that the preponderance of adolescent offenders are representatives of antisocial divisions within society. </w:t>
      </w:r>
      <w:r w:rsidR="006D237C">
        <w:rPr>
          <w:rFonts w:ascii="Arial" w:hAnsi="Arial" w:cs="Arial"/>
          <w:sz w:val="24"/>
          <w:szCs w:val="24"/>
        </w:rPr>
        <w:t xml:space="preserve">Secondly to this, according to Smith (2006), the alliance of young individuals into these cultures is an immediate consequence of regulation and position problems in the community. This is triggered by the disparity of the existing class people. </w:t>
      </w:r>
      <w:r w:rsidR="004004D5">
        <w:rPr>
          <w:rFonts w:ascii="Arial" w:hAnsi="Arial" w:cs="Arial"/>
          <w:sz w:val="24"/>
          <w:szCs w:val="24"/>
        </w:rPr>
        <w:t xml:space="preserve">An illustration of this </w:t>
      </w:r>
      <w:r w:rsidR="00AC507A">
        <w:rPr>
          <w:rFonts w:ascii="Arial" w:hAnsi="Arial" w:cs="Arial"/>
          <w:sz w:val="24"/>
          <w:szCs w:val="24"/>
        </w:rPr>
        <w:t xml:space="preserve">is an adolescent boy from a poorer class in society incessantly endeavours to become accustomed to a greater social norm. </w:t>
      </w:r>
      <w:r w:rsidR="00846C60">
        <w:rPr>
          <w:rFonts w:ascii="Arial" w:hAnsi="Arial" w:cs="Arial"/>
          <w:sz w:val="24"/>
          <w:szCs w:val="24"/>
        </w:rPr>
        <w:t xml:space="preserve">They may well however be challenged with </w:t>
      </w:r>
      <w:r w:rsidR="005C523B">
        <w:rPr>
          <w:rFonts w:ascii="Arial" w:hAnsi="Arial" w:cs="Arial"/>
          <w:sz w:val="24"/>
          <w:szCs w:val="24"/>
        </w:rPr>
        <w:t>aspirations</w:t>
      </w:r>
      <w:r w:rsidR="00846C60">
        <w:rPr>
          <w:rFonts w:ascii="Arial" w:hAnsi="Arial" w:cs="Arial"/>
          <w:sz w:val="24"/>
          <w:szCs w:val="24"/>
        </w:rPr>
        <w:t xml:space="preserve"> and </w:t>
      </w:r>
      <w:r w:rsidR="005C523B">
        <w:rPr>
          <w:rFonts w:ascii="Arial" w:hAnsi="Arial" w:cs="Arial"/>
          <w:sz w:val="24"/>
          <w:szCs w:val="24"/>
        </w:rPr>
        <w:t>prospects</w:t>
      </w:r>
      <w:r w:rsidR="00846C60">
        <w:rPr>
          <w:rFonts w:ascii="Arial" w:hAnsi="Arial" w:cs="Arial"/>
          <w:sz w:val="24"/>
          <w:szCs w:val="24"/>
        </w:rPr>
        <w:t xml:space="preserve"> in which they cannot </w:t>
      </w:r>
      <w:r w:rsidR="005C523B">
        <w:rPr>
          <w:rFonts w:ascii="Arial" w:hAnsi="Arial" w:cs="Arial"/>
          <w:sz w:val="24"/>
          <w:szCs w:val="24"/>
        </w:rPr>
        <w:t>meet</w:t>
      </w:r>
      <w:r w:rsidR="00846C60">
        <w:rPr>
          <w:rFonts w:ascii="Arial" w:hAnsi="Arial" w:cs="Arial"/>
          <w:sz w:val="24"/>
          <w:szCs w:val="24"/>
        </w:rPr>
        <w:t xml:space="preserve"> due to their </w:t>
      </w:r>
      <w:r w:rsidR="005C523B">
        <w:rPr>
          <w:rFonts w:ascii="Arial" w:hAnsi="Arial" w:cs="Arial"/>
          <w:sz w:val="24"/>
          <w:szCs w:val="24"/>
        </w:rPr>
        <w:t>societal</w:t>
      </w:r>
      <w:r w:rsidR="00846C60">
        <w:rPr>
          <w:rFonts w:ascii="Arial" w:hAnsi="Arial" w:cs="Arial"/>
          <w:sz w:val="24"/>
          <w:szCs w:val="24"/>
        </w:rPr>
        <w:t xml:space="preserve"> </w:t>
      </w:r>
      <w:r w:rsidR="00846C60">
        <w:rPr>
          <w:rFonts w:ascii="Arial" w:hAnsi="Arial" w:cs="Arial"/>
          <w:sz w:val="24"/>
          <w:szCs w:val="24"/>
        </w:rPr>
        <w:lastRenderedPageBreak/>
        <w:t xml:space="preserve">background or cannot </w:t>
      </w:r>
      <w:r w:rsidR="005C523B">
        <w:rPr>
          <w:rFonts w:ascii="Arial" w:hAnsi="Arial" w:cs="Arial"/>
          <w:sz w:val="24"/>
          <w:szCs w:val="24"/>
        </w:rPr>
        <w:t>attain</w:t>
      </w:r>
      <w:r w:rsidR="00846C60">
        <w:rPr>
          <w:rFonts w:ascii="Arial" w:hAnsi="Arial" w:cs="Arial"/>
          <w:sz w:val="24"/>
          <w:szCs w:val="24"/>
        </w:rPr>
        <w:t xml:space="preserve"> due to the </w:t>
      </w:r>
      <w:r w:rsidR="005C523B">
        <w:rPr>
          <w:rFonts w:ascii="Arial" w:hAnsi="Arial" w:cs="Arial"/>
          <w:sz w:val="24"/>
          <w:szCs w:val="24"/>
        </w:rPr>
        <w:t>inflexible</w:t>
      </w:r>
      <w:r w:rsidR="00846C60">
        <w:rPr>
          <w:rFonts w:ascii="Arial" w:hAnsi="Arial" w:cs="Arial"/>
          <w:sz w:val="24"/>
          <w:szCs w:val="24"/>
        </w:rPr>
        <w:t xml:space="preserve"> </w:t>
      </w:r>
      <w:r w:rsidR="005C523B">
        <w:rPr>
          <w:rFonts w:ascii="Arial" w:hAnsi="Arial" w:cs="Arial"/>
          <w:sz w:val="24"/>
          <w:szCs w:val="24"/>
        </w:rPr>
        <w:t>constructs</w:t>
      </w:r>
      <w:r w:rsidR="00846C60">
        <w:rPr>
          <w:rFonts w:ascii="Arial" w:hAnsi="Arial" w:cs="Arial"/>
          <w:sz w:val="24"/>
          <w:szCs w:val="24"/>
        </w:rPr>
        <w:t xml:space="preserve"> in the community</w:t>
      </w:r>
      <w:r w:rsidR="005C523B">
        <w:rPr>
          <w:rFonts w:ascii="Arial" w:hAnsi="Arial" w:cs="Arial"/>
          <w:sz w:val="24"/>
          <w:szCs w:val="24"/>
        </w:rPr>
        <w:t xml:space="preserve"> (Williams and McShane, 2015). On top of this, according to Miller, Cohen, and Bryant, (2012) in direct contrast with middle class male adolescents, those from a lesser and inferior class ought to acknowledge their individual low rank, diminutive chance of accomplishment in civilisation and within business as well as their deprived standing in comparison. </w:t>
      </w:r>
      <w:r w:rsidR="00AE502F">
        <w:rPr>
          <w:rFonts w:ascii="Arial" w:hAnsi="Arial" w:cs="Arial"/>
          <w:sz w:val="24"/>
          <w:szCs w:val="24"/>
        </w:rPr>
        <w:t xml:space="preserve">Ultimately, according to Hayward, Maruna and Mooney, (2010) the subsequent difficulties of this self-respect in the end lead to the integration of a number of such boys into different subgroupings within the community. This is then characterized by their separation from the ostensibly unreachable middle class of the population. </w:t>
      </w:r>
      <w:r w:rsidR="00B8338A">
        <w:rPr>
          <w:rFonts w:ascii="Arial" w:hAnsi="Arial" w:cs="Arial"/>
          <w:sz w:val="24"/>
          <w:szCs w:val="24"/>
        </w:rPr>
        <w:t xml:space="preserve">According to Agnew and Kaufman, (2017) these divisions within humanity that are frequently seen as offending are at times distinguished above all by their degenerate principles and ideals. </w:t>
      </w:r>
    </w:p>
    <w:p w14:paraId="7E9C2289" w14:textId="1F0D3F8F" w:rsidR="00843EEA" w:rsidRDefault="00843EEA" w:rsidP="00CE2F41">
      <w:pPr>
        <w:spacing w:line="360" w:lineRule="auto"/>
        <w:rPr>
          <w:rFonts w:ascii="Arial" w:hAnsi="Arial" w:cs="Arial"/>
          <w:sz w:val="24"/>
          <w:szCs w:val="24"/>
        </w:rPr>
      </w:pPr>
      <w:r>
        <w:rPr>
          <w:rFonts w:ascii="Arial" w:hAnsi="Arial" w:cs="Arial"/>
          <w:sz w:val="24"/>
          <w:szCs w:val="24"/>
        </w:rPr>
        <w:t xml:space="preserve">This hypothesis of wrongdoing can be applied to the homicide case of James Bulgar and his two </w:t>
      </w:r>
      <w:r w:rsidR="007059B5">
        <w:rPr>
          <w:rFonts w:ascii="Arial" w:hAnsi="Arial" w:cs="Arial"/>
          <w:sz w:val="24"/>
          <w:szCs w:val="24"/>
        </w:rPr>
        <w:t>ten-year-old</w:t>
      </w:r>
      <w:r>
        <w:rPr>
          <w:rFonts w:ascii="Arial" w:hAnsi="Arial" w:cs="Arial"/>
          <w:sz w:val="24"/>
          <w:szCs w:val="24"/>
        </w:rPr>
        <w:t xml:space="preserve"> killers Robert Thompson and Jon Venables. </w:t>
      </w:r>
      <w:r w:rsidR="007059B5">
        <w:rPr>
          <w:rFonts w:ascii="Arial" w:hAnsi="Arial" w:cs="Arial"/>
          <w:sz w:val="24"/>
          <w:szCs w:val="24"/>
        </w:rPr>
        <w:t>According to The Guardian, (2000) both Thompson and Venables were brought up in working class and underprivileged family homes combined with remarkably comparable and profound variations in surroundings. In cooperation, each adolescent encountered complications within school concerning presence, conduct and understanding. They missed a lot of school and shoplifted together and were mutually deemed as two especially aggressive boys during the course of their childhood years. This wrongdoing enacted by both individuals demonstrates a subculture within the public that is profoundly divergent from that of the outside norm within civilisation</w:t>
      </w:r>
      <w:r w:rsidR="00D95513">
        <w:rPr>
          <w:rFonts w:ascii="Arial" w:hAnsi="Arial" w:cs="Arial"/>
          <w:sz w:val="24"/>
          <w:szCs w:val="24"/>
        </w:rPr>
        <w:t xml:space="preserve"> (Shoemaker, 2018). </w:t>
      </w:r>
      <w:r w:rsidR="007D0CFD">
        <w:rPr>
          <w:rFonts w:ascii="Arial" w:hAnsi="Arial" w:cs="Arial"/>
          <w:sz w:val="24"/>
          <w:szCs w:val="24"/>
        </w:rPr>
        <w:t>This evidently works in favour of Albert Cohen’s delinquent boys’ concept with all these examples of each of their lives constructing a set of meaningless, damaged young lives and juvenile backgrounds. From a community standpoint, in cooperation, Thompson and Venables would have even before now been perceived as degenerate adolescents much ahead of executing their offenses. A few may perhaps contend that this might have even attracted them to perpetrating their crimes in the first place</w:t>
      </w:r>
      <w:r w:rsidR="00BD26F2">
        <w:rPr>
          <w:rFonts w:ascii="Arial" w:hAnsi="Arial" w:cs="Arial"/>
          <w:sz w:val="24"/>
          <w:szCs w:val="24"/>
        </w:rPr>
        <w:t xml:space="preserve"> (Moore, 2011). According to Wesseling, (2016) it was formerly recognised that mutually Thompson and Venables were a perfect example of negligence in their family homes. This is what led to them to primarily begin behaving pervert prior to</w:t>
      </w:r>
      <w:r w:rsidR="00D45CBF">
        <w:rPr>
          <w:rFonts w:ascii="Arial" w:hAnsi="Arial" w:cs="Arial"/>
          <w:sz w:val="24"/>
          <w:szCs w:val="24"/>
        </w:rPr>
        <w:t>,</w:t>
      </w:r>
      <w:r w:rsidR="00BD26F2">
        <w:rPr>
          <w:rFonts w:ascii="Arial" w:hAnsi="Arial" w:cs="Arial"/>
          <w:sz w:val="24"/>
          <w:szCs w:val="24"/>
        </w:rPr>
        <w:t xml:space="preserve"> in time</w:t>
      </w:r>
      <w:r w:rsidR="00D45CBF">
        <w:rPr>
          <w:rFonts w:ascii="Arial" w:hAnsi="Arial" w:cs="Arial"/>
          <w:sz w:val="24"/>
          <w:szCs w:val="24"/>
        </w:rPr>
        <w:t xml:space="preserve">, </w:t>
      </w:r>
      <w:r w:rsidR="00BD26F2">
        <w:rPr>
          <w:rFonts w:ascii="Arial" w:hAnsi="Arial" w:cs="Arial"/>
          <w:sz w:val="24"/>
          <w:szCs w:val="24"/>
        </w:rPr>
        <w:t xml:space="preserve">turning to misconduct. They were by now in this delinquent </w:t>
      </w:r>
      <w:r w:rsidR="00BC2B21">
        <w:rPr>
          <w:rFonts w:ascii="Arial" w:hAnsi="Arial" w:cs="Arial"/>
          <w:sz w:val="24"/>
          <w:szCs w:val="24"/>
        </w:rPr>
        <w:t>boy’s</w:t>
      </w:r>
      <w:r w:rsidR="00BD26F2">
        <w:rPr>
          <w:rFonts w:ascii="Arial" w:hAnsi="Arial" w:cs="Arial"/>
          <w:sz w:val="24"/>
          <w:szCs w:val="24"/>
        </w:rPr>
        <w:t xml:space="preserve"> division in which Cohen considers in his philosophy of corruption. </w:t>
      </w:r>
      <w:r w:rsidR="00BC2B21">
        <w:rPr>
          <w:rFonts w:ascii="Arial" w:hAnsi="Arial" w:cs="Arial"/>
          <w:sz w:val="24"/>
          <w:szCs w:val="24"/>
        </w:rPr>
        <w:t xml:space="preserve">In </w:t>
      </w:r>
      <w:r w:rsidR="00BC2B21">
        <w:rPr>
          <w:rFonts w:ascii="Arial" w:hAnsi="Arial" w:cs="Arial"/>
          <w:sz w:val="24"/>
          <w:szCs w:val="24"/>
        </w:rPr>
        <w:lastRenderedPageBreak/>
        <w:t xml:space="preserve">inference to this, a variety of distinct beliefs can be associated to the homicide case of two-year-old James Bulgar and specifically his two ten-year-old murderers Robert Thompson and Jon Venables. Nevertheless, both Albert Bandura and Albert Cohen’s concepts of criminality can be used significantly. </w:t>
      </w:r>
    </w:p>
    <w:p w14:paraId="31073000" w14:textId="073DA35A" w:rsidR="00C41532" w:rsidRDefault="00C41532" w:rsidP="00BD26F2">
      <w:pPr>
        <w:spacing w:line="360" w:lineRule="auto"/>
        <w:rPr>
          <w:rFonts w:ascii="Arial" w:hAnsi="Arial" w:cs="Arial"/>
          <w:sz w:val="24"/>
          <w:szCs w:val="24"/>
        </w:rPr>
      </w:pPr>
      <w:r>
        <w:rPr>
          <w:rFonts w:ascii="Arial" w:hAnsi="Arial" w:cs="Arial"/>
          <w:sz w:val="24"/>
          <w:szCs w:val="24"/>
        </w:rPr>
        <w:t xml:space="preserve">According to Akers, (2011) it has been </w:t>
      </w:r>
      <w:r w:rsidR="00D06F80">
        <w:rPr>
          <w:rFonts w:ascii="Arial" w:hAnsi="Arial" w:cs="Arial"/>
          <w:sz w:val="24"/>
          <w:szCs w:val="24"/>
        </w:rPr>
        <w:t>claimed</w:t>
      </w:r>
      <w:r>
        <w:rPr>
          <w:rFonts w:ascii="Arial" w:hAnsi="Arial" w:cs="Arial"/>
          <w:sz w:val="24"/>
          <w:szCs w:val="24"/>
        </w:rPr>
        <w:t xml:space="preserve"> in the past that Albert Bandura’s social learning theory is </w:t>
      </w:r>
      <w:r w:rsidR="00D06F80">
        <w:rPr>
          <w:rFonts w:ascii="Arial" w:hAnsi="Arial" w:cs="Arial"/>
          <w:sz w:val="24"/>
          <w:szCs w:val="24"/>
        </w:rPr>
        <w:t>even now</w:t>
      </w:r>
      <w:r>
        <w:rPr>
          <w:rFonts w:ascii="Arial" w:hAnsi="Arial" w:cs="Arial"/>
          <w:sz w:val="24"/>
          <w:szCs w:val="24"/>
        </w:rPr>
        <w:t xml:space="preserve"> very much </w:t>
      </w:r>
      <w:r w:rsidR="00D06F80">
        <w:rPr>
          <w:rFonts w:ascii="Arial" w:hAnsi="Arial" w:cs="Arial"/>
          <w:sz w:val="24"/>
          <w:szCs w:val="24"/>
        </w:rPr>
        <w:t>pertinent</w:t>
      </w:r>
      <w:r>
        <w:rPr>
          <w:rFonts w:ascii="Arial" w:hAnsi="Arial" w:cs="Arial"/>
          <w:sz w:val="24"/>
          <w:szCs w:val="24"/>
        </w:rPr>
        <w:t xml:space="preserve"> to today’s </w:t>
      </w:r>
      <w:r w:rsidR="00D06F80">
        <w:rPr>
          <w:rFonts w:ascii="Arial" w:hAnsi="Arial" w:cs="Arial"/>
          <w:sz w:val="24"/>
          <w:szCs w:val="24"/>
        </w:rPr>
        <w:t>existing</w:t>
      </w:r>
      <w:r>
        <w:rPr>
          <w:rFonts w:ascii="Arial" w:hAnsi="Arial" w:cs="Arial"/>
          <w:sz w:val="24"/>
          <w:szCs w:val="24"/>
        </w:rPr>
        <w:t xml:space="preserve"> </w:t>
      </w:r>
      <w:r w:rsidR="00D06F80">
        <w:rPr>
          <w:rFonts w:ascii="Arial" w:hAnsi="Arial" w:cs="Arial"/>
          <w:sz w:val="24"/>
          <w:szCs w:val="24"/>
        </w:rPr>
        <w:t>civilization</w:t>
      </w:r>
      <w:r>
        <w:rPr>
          <w:rFonts w:ascii="Arial" w:hAnsi="Arial" w:cs="Arial"/>
          <w:sz w:val="24"/>
          <w:szCs w:val="24"/>
        </w:rPr>
        <w:t xml:space="preserve"> and </w:t>
      </w:r>
      <w:r w:rsidR="00D06F80">
        <w:rPr>
          <w:rFonts w:ascii="Arial" w:hAnsi="Arial" w:cs="Arial"/>
          <w:sz w:val="24"/>
          <w:szCs w:val="24"/>
        </w:rPr>
        <w:t xml:space="preserve">understanding the sense in which the community functions. Bandura justifies for why individuals behave in the manner that they do through imitation, reflection and the implementation of certain attitudes and actions. Bandura’s social learning </w:t>
      </w:r>
      <w:r w:rsidR="00B42477">
        <w:rPr>
          <w:rFonts w:ascii="Arial" w:hAnsi="Arial" w:cs="Arial"/>
          <w:sz w:val="24"/>
          <w:szCs w:val="24"/>
        </w:rPr>
        <w:t xml:space="preserve">theory </w:t>
      </w:r>
      <w:r w:rsidR="00D06F80">
        <w:rPr>
          <w:rFonts w:ascii="Arial" w:hAnsi="Arial" w:cs="Arial"/>
          <w:sz w:val="24"/>
          <w:szCs w:val="24"/>
        </w:rPr>
        <w:t>not merely illustrates why several individuals act in the way that they do but can similarly rationalize why those residing in Wales may perhaps behave in a different way to those individuals living elsewhere for instance</w:t>
      </w:r>
      <w:r w:rsidR="005F32E5">
        <w:rPr>
          <w:rFonts w:ascii="Arial" w:hAnsi="Arial" w:cs="Arial"/>
          <w:sz w:val="24"/>
          <w:szCs w:val="24"/>
        </w:rPr>
        <w:t xml:space="preserve"> (Piquero, 2016). </w:t>
      </w:r>
      <w:r w:rsidR="0057449B">
        <w:rPr>
          <w:rFonts w:ascii="Arial" w:hAnsi="Arial" w:cs="Arial"/>
          <w:sz w:val="24"/>
          <w:szCs w:val="24"/>
        </w:rPr>
        <w:t xml:space="preserve">On top of this, Bandura’s social learning theory can even go on to make clear why individuals now may possibly behave inversely to their parents or their grandparents for instance. To summarize this, Bandura’s social learning theory can be employed to every single individual who has ever and who ever will live on this planet. Consequently, numerous individuals claim that his philosophy of delinquency even now remains enormously pertinent to today’s current world and continually will. Bandura’s social learning theory is able to give explanation as to why the population functions in the approach it does in today’s </w:t>
      </w:r>
      <w:r w:rsidR="002A2CB1">
        <w:rPr>
          <w:rFonts w:ascii="Arial" w:hAnsi="Arial" w:cs="Arial"/>
          <w:sz w:val="24"/>
          <w:szCs w:val="24"/>
        </w:rPr>
        <w:t>world,</w:t>
      </w:r>
      <w:r w:rsidR="0057449B">
        <w:rPr>
          <w:rFonts w:ascii="Arial" w:hAnsi="Arial" w:cs="Arial"/>
          <w:sz w:val="24"/>
          <w:szCs w:val="24"/>
        </w:rPr>
        <w:t xml:space="preserve"> and it is because of the individuals who exist within it studying one another’s conduct subconsciously</w:t>
      </w:r>
      <w:r w:rsidR="002A2CB1">
        <w:rPr>
          <w:rFonts w:ascii="Arial" w:hAnsi="Arial" w:cs="Arial"/>
          <w:sz w:val="24"/>
          <w:szCs w:val="24"/>
        </w:rPr>
        <w:t xml:space="preserve"> (Hanna, Crittenden, and Crittenden, 2013).   </w:t>
      </w:r>
    </w:p>
    <w:p w14:paraId="57185440" w14:textId="52D97F72" w:rsidR="007059B5" w:rsidRDefault="00613DDC" w:rsidP="00CE2F41">
      <w:pPr>
        <w:spacing w:line="360" w:lineRule="auto"/>
        <w:rPr>
          <w:rFonts w:ascii="Arial" w:hAnsi="Arial" w:cs="Arial"/>
          <w:sz w:val="24"/>
          <w:szCs w:val="24"/>
        </w:rPr>
      </w:pPr>
      <w:r>
        <w:rPr>
          <w:rFonts w:ascii="Arial" w:hAnsi="Arial" w:cs="Arial"/>
          <w:sz w:val="24"/>
          <w:szCs w:val="24"/>
        </w:rPr>
        <w:t>Albert Bandura’s social learning theory is also particularly significant in adolescent growth which comparably correlates to the murder case of James Bulgar and his adolescent killers Robert Thompson and Jon Venables. According to Grusec, (1994) his concept can help those seeking to comprehend the reason why a number of children conduct themselves in the manner in which they do. In various circumstances, a number of children can even behave in a deviant manner</w:t>
      </w:r>
      <w:r w:rsidR="00074CCD">
        <w:rPr>
          <w:rFonts w:ascii="Arial" w:hAnsi="Arial" w:cs="Arial"/>
          <w:sz w:val="24"/>
          <w:szCs w:val="24"/>
        </w:rPr>
        <w:t xml:space="preserve">, </w:t>
      </w:r>
      <w:r>
        <w:rPr>
          <w:rFonts w:ascii="Arial" w:hAnsi="Arial" w:cs="Arial"/>
          <w:sz w:val="24"/>
          <w:szCs w:val="24"/>
        </w:rPr>
        <w:t xml:space="preserve">which in several cases can expand into illegal misdemeanours. </w:t>
      </w:r>
      <w:r w:rsidR="00D52EA5">
        <w:rPr>
          <w:rFonts w:ascii="Arial" w:hAnsi="Arial" w:cs="Arial"/>
          <w:sz w:val="24"/>
          <w:szCs w:val="24"/>
        </w:rPr>
        <w:t xml:space="preserve">It has been told that children have continually been incredibly influenced by those surrounding them. They will monitor the behaviour of a parent, sibling, friend, or teacher for instance and then reproduce their manners whether good or bad. Albert Bandura’s conceptions surrounding social learning can account for how imitation can completely shape an </w:t>
      </w:r>
      <w:r w:rsidR="00D52EA5">
        <w:rPr>
          <w:rFonts w:ascii="Arial" w:hAnsi="Arial" w:cs="Arial"/>
          <w:sz w:val="24"/>
          <w:szCs w:val="24"/>
        </w:rPr>
        <w:lastRenderedPageBreak/>
        <w:t xml:space="preserve">individual particularly a child into the person they will turn out to be as they mature into an adult. </w:t>
      </w:r>
      <w:r w:rsidR="003925D8">
        <w:rPr>
          <w:rFonts w:ascii="Arial" w:hAnsi="Arial" w:cs="Arial"/>
          <w:sz w:val="24"/>
          <w:szCs w:val="24"/>
        </w:rPr>
        <w:t>Hence,</w:t>
      </w:r>
      <w:r w:rsidR="00D52EA5">
        <w:rPr>
          <w:rFonts w:ascii="Arial" w:hAnsi="Arial" w:cs="Arial"/>
          <w:sz w:val="24"/>
          <w:szCs w:val="24"/>
        </w:rPr>
        <w:t xml:space="preserve"> if </w:t>
      </w:r>
      <w:r w:rsidR="003925D8">
        <w:rPr>
          <w:rFonts w:ascii="Arial" w:hAnsi="Arial" w:cs="Arial"/>
          <w:sz w:val="24"/>
          <w:szCs w:val="24"/>
        </w:rPr>
        <w:t>a number of</w:t>
      </w:r>
      <w:r w:rsidR="00D52EA5">
        <w:rPr>
          <w:rFonts w:ascii="Arial" w:hAnsi="Arial" w:cs="Arial"/>
          <w:sz w:val="24"/>
          <w:szCs w:val="24"/>
        </w:rPr>
        <w:t xml:space="preserve"> children are </w:t>
      </w:r>
      <w:r w:rsidR="003925D8">
        <w:rPr>
          <w:rFonts w:ascii="Arial" w:hAnsi="Arial" w:cs="Arial"/>
          <w:sz w:val="24"/>
          <w:szCs w:val="24"/>
        </w:rPr>
        <w:t>witnessing</w:t>
      </w:r>
      <w:r w:rsidR="00D52EA5">
        <w:rPr>
          <w:rFonts w:ascii="Arial" w:hAnsi="Arial" w:cs="Arial"/>
          <w:sz w:val="24"/>
          <w:szCs w:val="24"/>
        </w:rPr>
        <w:t xml:space="preserve"> </w:t>
      </w:r>
      <w:r w:rsidR="003925D8">
        <w:rPr>
          <w:rFonts w:ascii="Arial" w:hAnsi="Arial" w:cs="Arial"/>
          <w:sz w:val="24"/>
          <w:szCs w:val="24"/>
        </w:rPr>
        <w:t>immoral and deviant</w:t>
      </w:r>
      <w:r w:rsidR="00D52EA5">
        <w:rPr>
          <w:rFonts w:ascii="Arial" w:hAnsi="Arial" w:cs="Arial"/>
          <w:sz w:val="24"/>
          <w:szCs w:val="24"/>
        </w:rPr>
        <w:t xml:space="preserve"> </w:t>
      </w:r>
      <w:r w:rsidR="003925D8">
        <w:rPr>
          <w:rFonts w:ascii="Arial" w:hAnsi="Arial" w:cs="Arial"/>
          <w:sz w:val="24"/>
          <w:szCs w:val="24"/>
        </w:rPr>
        <w:t>activities</w:t>
      </w:r>
      <w:r w:rsidR="00D52EA5">
        <w:rPr>
          <w:rFonts w:ascii="Arial" w:hAnsi="Arial" w:cs="Arial"/>
          <w:sz w:val="24"/>
          <w:szCs w:val="24"/>
        </w:rPr>
        <w:t xml:space="preserve"> in their </w:t>
      </w:r>
      <w:r w:rsidR="003925D8">
        <w:rPr>
          <w:rFonts w:ascii="Arial" w:hAnsi="Arial" w:cs="Arial"/>
          <w:sz w:val="24"/>
          <w:szCs w:val="24"/>
        </w:rPr>
        <w:t>daily</w:t>
      </w:r>
      <w:r w:rsidR="00D52EA5">
        <w:rPr>
          <w:rFonts w:ascii="Arial" w:hAnsi="Arial" w:cs="Arial"/>
          <w:sz w:val="24"/>
          <w:szCs w:val="24"/>
        </w:rPr>
        <w:t xml:space="preserve"> li</w:t>
      </w:r>
      <w:r w:rsidR="003925D8">
        <w:rPr>
          <w:rFonts w:ascii="Arial" w:hAnsi="Arial" w:cs="Arial"/>
          <w:sz w:val="24"/>
          <w:szCs w:val="24"/>
        </w:rPr>
        <w:t>ves</w:t>
      </w:r>
      <w:r w:rsidR="00D52EA5">
        <w:rPr>
          <w:rFonts w:ascii="Arial" w:hAnsi="Arial" w:cs="Arial"/>
          <w:sz w:val="24"/>
          <w:szCs w:val="24"/>
        </w:rPr>
        <w:t xml:space="preserve"> this will </w:t>
      </w:r>
      <w:r w:rsidR="003925D8">
        <w:rPr>
          <w:rFonts w:ascii="Arial" w:hAnsi="Arial" w:cs="Arial"/>
          <w:sz w:val="24"/>
          <w:szCs w:val="24"/>
        </w:rPr>
        <w:t>apparently come to be a component of their personality and interpretation of the present civilization, in their minds this will be seen as a norm within the world</w:t>
      </w:r>
      <w:r w:rsidR="00AA5CA2">
        <w:rPr>
          <w:rFonts w:ascii="Arial" w:hAnsi="Arial" w:cs="Arial"/>
          <w:sz w:val="24"/>
          <w:szCs w:val="24"/>
        </w:rPr>
        <w:t xml:space="preserve"> (Maisto, Carey and Bradizza, 1999). </w:t>
      </w:r>
      <w:r w:rsidR="00C20440">
        <w:rPr>
          <w:rFonts w:ascii="Arial" w:hAnsi="Arial" w:cs="Arial"/>
          <w:sz w:val="24"/>
          <w:szCs w:val="24"/>
        </w:rPr>
        <w:t xml:space="preserve">Finally, Albert Bandura’s social learning theory </w:t>
      </w:r>
      <w:r w:rsidR="008B7969">
        <w:rPr>
          <w:rFonts w:ascii="Arial" w:hAnsi="Arial" w:cs="Arial"/>
          <w:sz w:val="24"/>
          <w:szCs w:val="24"/>
        </w:rPr>
        <w:t xml:space="preserve">allows individuals to obtain a clearer understanding of why a variety of individuals behave in the sense in which they do and inversely to others. This social learning theory of criminality even now remains a significant facet of today’s innovative civilization since it clarifies how together collectively and cognitively individuals are proficient to develop through standards of studying other individuals (Crain, 2010). </w:t>
      </w:r>
    </w:p>
    <w:p w14:paraId="7F75201A" w14:textId="69A3ADBB" w:rsidR="000D0CA1" w:rsidRDefault="000D0CA1" w:rsidP="00CE2F41">
      <w:pPr>
        <w:spacing w:line="360" w:lineRule="auto"/>
        <w:rPr>
          <w:rFonts w:ascii="Arial" w:hAnsi="Arial" w:cs="Arial"/>
          <w:sz w:val="24"/>
          <w:szCs w:val="24"/>
        </w:rPr>
      </w:pPr>
      <w:r>
        <w:rPr>
          <w:rFonts w:ascii="Arial" w:hAnsi="Arial" w:cs="Arial"/>
          <w:sz w:val="24"/>
          <w:szCs w:val="24"/>
        </w:rPr>
        <w:t xml:space="preserve">According to Hirschi, (2002) on top of this, Albert Cohen’s delinquent boys’ hypothesis can be employed within a modern-day situation. The reasoning behind this is that there will forever be divisions within the public. </w:t>
      </w:r>
      <w:r w:rsidR="00074CCD">
        <w:rPr>
          <w:rFonts w:ascii="Arial" w:hAnsi="Arial" w:cs="Arial"/>
          <w:sz w:val="24"/>
          <w:szCs w:val="24"/>
        </w:rPr>
        <w:t>Albert Cohen’s beliefs in the associations to corruption concerning delinquent boys will constantly be adept to criminality right the way throughout time.</w:t>
      </w:r>
      <w:r>
        <w:rPr>
          <w:rFonts w:ascii="Arial" w:hAnsi="Arial" w:cs="Arial"/>
          <w:sz w:val="24"/>
          <w:szCs w:val="24"/>
        </w:rPr>
        <w:t xml:space="preserve"> Following on from this is the </w:t>
      </w:r>
      <w:r w:rsidR="00DF0E0C">
        <w:rPr>
          <w:rFonts w:ascii="Arial" w:hAnsi="Arial" w:cs="Arial"/>
          <w:sz w:val="24"/>
          <w:szCs w:val="24"/>
        </w:rPr>
        <w:t>notion</w:t>
      </w:r>
      <w:r>
        <w:rPr>
          <w:rFonts w:ascii="Arial" w:hAnsi="Arial" w:cs="Arial"/>
          <w:sz w:val="24"/>
          <w:szCs w:val="24"/>
        </w:rPr>
        <w:t xml:space="preserve"> of a</w:t>
      </w:r>
      <w:r w:rsidR="00DF0E0C">
        <w:rPr>
          <w:rFonts w:ascii="Arial" w:hAnsi="Arial" w:cs="Arial"/>
          <w:sz w:val="24"/>
          <w:szCs w:val="24"/>
        </w:rPr>
        <w:t>n</w:t>
      </w:r>
      <w:r>
        <w:rPr>
          <w:rFonts w:ascii="Arial" w:hAnsi="Arial" w:cs="Arial"/>
          <w:sz w:val="24"/>
          <w:szCs w:val="24"/>
        </w:rPr>
        <w:t xml:space="preserve"> </w:t>
      </w:r>
      <w:r w:rsidR="00DF0E0C">
        <w:rPr>
          <w:rFonts w:ascii="Arial" w:hAnsi="Arial" w:cs="Arial"/>
          <w:sz w:val="24"/>
          <w:szCs w:val="24"/>
        </w:rPr>
        <w:t>illegal</w:t>
      </w:r>
      <w:r>
        <w:rPr>
          <w:rFonts w:ascii="Arial" w:hAnsi="Arial" w:cs="Arial"/>
          <w:sz w:val="24"/>
          <w:szCs w:val="24"/>
        </w:rPr>
        <w:t xml:space="preserve"> subculture in which </w:t>
      </w:r>
      <w:r w:rsidR="00DF0E0C">
        <w:rPr>
          <w:rFonts w:ascii="Arial" w:hAnsi="Arial" w:cs="Arial"/>
          <w:sz w:val="24"/>
          <w:szCs w:val="24"/>
        </w:rPr>
        <w:t>entails</w:t>
      </w:r>
      <w:r>
        <w:rPr>
          <w:rFonts w:ascii="Arial" w:hAnsi="Arial" w:cs="Arial"/>
          <w:sz w:val="24"/>
          <w:szCs w:val="24"/>
        </w:rPr>
        <w:t xml:space="preserve"> an </w:t>
      </w:r>
      <w:r w:rsidR="00DF0E0C">
        <w:rPr>
          <w:rFonts w:ascii="Arial" w:hAnsi="Arial" w:cs="Arial"/>
          <w:sz w:val="24"/>
          <w:szCs w:val="24"/>
        </w:rPr>
        <w:t>unconventional</w:t>
      </w:r>
      <w:r>
        <w:rPr>
          <w:rFonts w:ascii="Arial" w:hAnsi="Arial" w:cs="Arial"/>
          <w:sz w:val="24"/>
          <w:szCs w:val="24"/>
        </w:rPr>
        <w:t xml:space="preserve"> </w:t>
      </w:r>
      <w:r w:rsidR="00DF0E0C">
        <w:rPr>
          <w:rFonts w:ascii="Arial" w:hAnsi="Arial" w:cs="Arial"/>
          <w:sz w:val="24"/>
          <w:szCs w:val="24"/>
        </w:rPr>
        <w:t>collection</w:t>
      </w:r>
      <w:r>
        <w:rPr>
          <w:rFonts w:ascii="Arial" w:hAnsi="Arial" w:cs="Arial"/>
          <w:sz w:val="24"/>
          <w:szCs w:val="24"/>
        </w:rPr>
        <w:t xml:space="preserve"> of </w:t>
      </w:r>
      <w:r w:rsidR="00DF0E0C">
        <w:rPr>
          <w:rFonts w:ascii="Arial" w:hAnsi="Arial" w:cs="Arial"/>
          <w:sz w:val="24"/>
          <w:szCs w:val="24"/>
        </w:rPr>
        <w:t>ethical</w:t>
      </w:r>
      <w:r>
        <w:rPr>
          <w:rFonts w:ascii="Arial" w:hAnsi="Arial" w:cs="Arial"/>
          <w:sz w:val="24"/>
          <w:szCs w:val="24"/>
        </w:rPr>
        <w:t xml:space="preserve"> </w:t>
      </w:r>
      <w:r w:rsidR="00DF0E0C">
        <w:rPr>
          <w:rFonts w:ascii="Arial" w:hAnsi="Arial" w:cs="Arial"/>
          <w:sz w:val="24"/>
          <w:szCs w:val="24"/>
        </w:rPr>
        <w:t>principles</w:t>
      </w:r>
      <w:r>
        <w:rPr>
          <w:rFonts w:ascii="Arial" w:hAnsi="Arial" w:cs="Arial"/>
          <w:sz w:val="24"/>
          <w:szCs w:val="24"/>
        </w:rPr>
        <w:t xml:space="preserve"> and </w:t>
      </w:r>
      <w:r w:rsidR="00DF0E0C">
        <w:rPr>
          <w:rFonts w:ascii="Arial" w:hAnsi="Arial" w:cs="Arial"/>
          <w:sz w:val="24"/>
          <w:szCs w:val="24"/>
        </w:rPr>
        <w:t>prospects. According to</w:t>
      </w:r>
      <w:r w:rsidR="009A0FD1">
        <w:rPr>
          <w:rFonts w:ascii="Arial" w:hAnsi="Arial" w:cs="Arial"/>
          <w:sz w:val="24"/>
          <w:szCs w:val="24"/>
        </w:rPr>
        <w:t xml:space="preserve"> Matza, (1990</w:t>
      </w:r>
      <w:r w:rsidR="00DF0E0C">
        <w:rPr>
          <w:rFonts w:ascii="Arial" w:hAnsi="Arial" w:cs="Arial"/>
          <w:sz w:val="24"/>
          <w:szCs w:val="24"/>
        </w:rPr>
        <w:t>) in the past it has been formerly claimed by a number of scholars that Albert Cohen’s delinquent boys’ philosophy does not remain a pertinent belief within today’s civilization. This has been contended foremost with the refuting of any subgroup actuality to begin with amongst the less wealthy. The misconduct of a number of gangs in actual fact, several sociologists insist, is a manifestation of extensive lesser societal class ideals in which put emphasis on thrill and resilience within these groups.</w:t>
      </w:r>
      <w:r w:rsidR="009A0FD1">
        <w:rPr>
          <w:rFonts w:ascii="Arial" w:hAnsi="Arial" w:cs="Arial"/>
          <w:sz w:val="24"/>
          <w:szCs w:val="24"/>
        </w:rPr>
        <w:t xml:space="preserve"> Ultimately, a number of individuals if they cannot obtain adequate roads to the objectives held out for them by the wider society, will be a symbol of a subculture within civilisation of the discrepancy association and anomie concepts. Hence, suggesting there are two especially contradictory disagreements equally in preference and then in opposition of the application of Albert Cohen’s delinquent </w:t>
      </w:r>
      <w:r w:rsidR="00A864E7">
        <w:rPr>
          <w:rFonts w:ascii="Arial" w:hAnsi="Arial" w:cs="Arial"/>
          <w:sz w:val="24"/>
          <w:szCs w:val="24"/>
        </w:rPr>
        <w:t>boys’</w:t>
      </w:r>
      <w:r w:rsidR="009A0FD1">
        <w:rPr>
          <w:rFonts w:ascii="Arial" w:hAnsi="Arial" w:cs="Arial"/>
          <w:sz w:val="24"/>
          <w:szCs w:val="24"/>
        </w:rPr>
        <w:t xml:space="preserve"> principle in today’s modern world</w:t>
      </w:r>
      <w:r w:rsidR="00A864E7">
        <w:rPr>
          <w:rFonts w:ascii="Arial" w:hAnsi="Arial" w:cs="Arial"/>
          <w:sz w:val="24"/>
          <w:szCs w:val="24"/>
        </w:rPr>
        <w:t xml:space="preserve"> (Haenfler, 2013). </w:t>
      </w:r>
    </w:p>
    <w:p w14:paraId="11008020" w14:textId="13C294EF" w:rsidR="00AA5CA2" w:rsidRDefault="00A864E7" w:rsidP="005A4B80">
      <w:pPr>
        <w:spacing w:line="360" w:lineRule="auto"/>
        <w:rPr>
          <w:rFonts w:ascii="Arial" w:hAnsi="Arial" w:cs="Arial"/>
          <w:sz w:val="24"/>
          <w:szCs w:val="24"/>
        </w:rPr>
      </w:pPr>
      <w:r>
        <w:rPr>
          <w:rFonts w:ascii="Arial" w:hAnsi="Arial" w:cs="Arial"/>
          <w:sz w:val="24"/>
          <w:szCs w:val="24"/>
        </w:rPr>
        <w:t xml:space="preserve">In conclusion, there are a variation of historical hypotheses of criminality varying from genetic to mental or sociological and even ecological which have been investigated in this piece. Albert Bandura’s social learning principle as well as Albert </w:t>
      </w:r>
      <w:r>
        <w:rPr>
          <w:rFonts w:ascii="Arial" w:hAnsi="Arial" w:cs="Arial"/>
          <w:sz w:val="24"/>
          <w:szCs w:val="24"/>
        </w:rPr>
        <w:lastRenderedPageBreak/>
        <w:t xml:space="preserve">Cohen’s delinquent boys’ theory can in cooperation be broadly applied to the murder case of two-year-old James Bulgar in the nineties. According to Downes, Rock and McLaughlin, (2016) </w:t>
      </w:r>
      <w:r w:rsidR="00C15A23">
        <w:rPr>
          <w:rFonts w:ascii="Arial" w:hAnsi="Arial" w:cs="Arial"/>
          <w:sz w:val="24"/>
          <w:szCs w:val="24"/>
        </w:rPr>
        <w:t xml:space="preserve">notions of misconduct ought to be meticulously detailed in order for them to take the lead to testable pragmatic forecasts of crime. In the past, the importance has been on mitigating well known relations amongst offending and the consequence factors rather than calculating brand new conclusions and developments within criminality in forthcoming years. </w:t>
      </w:r>
    </w:p>
    <w:p w14:paraId="4066490D" w14:textId="77777777" w:rsidR="00C15A23" w:rsidRPr="00C15A23" w:rsidRDefault="00C15A23" w:rsidP="00C15A23">
      <w:pPr>
        <w:spacing w:line="360" w:lineRule="auto"/>
        <w:rPr>
          <w:rFonts w:ascii="Arial" w:hAnsi="Arial" w:cs="Arial"/>
          <w:sz w:val="24"/>
          <w:szCs w:val="24"/>
        </w:rPr>
      </w:pPr>
    </w:p>
    <w:p w14:paraId="57E625C2" w14:textId="33437751" w:rsidR="00A864E7" w:rsidRDefault="00A864E7" w:rsidP="005A4B80">
      <w:pPr>
        <w:spacing w:line="360" w:lineRule="auto"/>
        <w:rPr>
          <w:rFonts w:ascii="Arial" w:hAnsi="Arial" w:cs="Arial"/>
          <w:sz w:val="24"/>
          <w:szCs w:val="24"/>
        </w:rPr>
      </w:pPr>
    </w:p>
    <w:p w14:paraId="3E453139" w14:textId="7F7E2687" w:rsidR="00A864E7" w:rsidRDefault="00A864E7" w:rsidP="005A4B80">
      <w:pPr>
        <w:spacing w:line="360" w:lineRule="auto"/>
        <w:rPr>
          <w:rFonts w:ascii="Arial" w:hAnsi="Arial" w:cs="Arial"/>
          <w:sz w:val="24"/>
          <w:szCs w:val="24"/>
        </w:rPr>
      </w:pPr>
    </w:p>
    <w:p w14:paraId="25990C8B" w14:textId="7B8301F1" w:rsidR="00A864E7" w:rsidRDefault="00A864E7" w:rsidP="005A4B80">
      <w:pPr>
        <w:spacing w:line="360" w:lineRule="auto"/>
        <w:rPr>
          <w:rFonts w:ascii="Arial" w:hAnsi="Arial" w:cs="Arial"/>
          <w:sz w:val="24"/>
          <w:szCs w:val="24"/>
        </w:rPr>
      </w:pPr>
    </w:p>
    <w:p w14:paraId="6BEE6565" w14:textId="33B4D4CB" w:rsidR="00A864E7" w:rsidRDefault="00A864E7" w:rsidP="005A4B80">
      <w:pPr>
        <w:spacing w:line="360" w:lineRule="auto"/>
        <w:rPr>
          <w:rFonts w:ascii="Arial" w:hAnsi="Arial" w:cs="Arial"/>
          <w:sz w:val="24"/>
          <w:szCs w:val="24"/>
        </w:rPr>
      </w:pPr>
    </w:p>
    <w:p w14:paraId="3B544863" w14:textId="2B69D33C" w:rsidR="00A864E7" w:rsidRDefault="00A864E7" w:rsidP="005A4B80">
      <w:pPr>
        <w:spacing w:line="360" w:lineRule="auto"/>
        <w:rPr>
          <w:rFonts w:ascii="Arial" w:hAnsi="Arial" w:cs="Arial"/>
          <w:sz w:val="24"/>
          <w:szCs w:val="24"/>
        </w:rPr>
      </w:pPr>
    </w:p>
    <w:p w14:paraId="15D97366" w14:textId="522CD849" w:rsidR="00A864E7" w:rsidRDefault="00A864E7" w:rsidP="005A4B80">
      <w:pPr>
        <w:spacing w:line="360" w:lineRule="auto"/>
        <w:rPr>
          <w:rFonts w:ascii="Arial" w:hAnsi="Arial" w:cs="Arial"/>
          <w:sz w:val="24"/>
          <w:szCs w:val="24"/>
        </w:rPr>
      </w:pPr>
    </w:p>
    <w:p w14:paraId="1D724642" w14:textId="43FE0E5E" w:rsidR="00A864E7" w:rsidRDefault="00A864E7" w:rsidP="005A4B80">
      <w:pPr>
        <w:spacing w:line="360" w:lineRule="auto"/>
        <w:rPr>
          <w:rFonts w:ascii="Arial" w:hAnsi="Arial" w:cs="Arial"/>
          <w:sz w:val="24"/>
          <w:szCs w:val="24"/>
        </w:rPr>
      </w:pPr>
    </w:p>
    <w:p w14:paraId="047A156D" w14:textId="5A94B1F1" w:rsidR="00A864E7" w:rsidRDefault="00A864E7" w:rsidP="005A4B80">
      <w:pPr>
        <w:spacing w:line="360" w:lineRule="auto"/>
        <w:rPr>
          <w:rFonts w:ascii="Arial" w:hAnsi="Arial" w:cs="Arial"/>
          <w:sz w:val="24"/>
          <w:szCs w:val="24"/>
        </w:rPr>
      </w:pPr>
    </w:p>
    <w:p w14:paraId="157B3EFF" w14:textId="342C8B50" w:rsidR="00A864E7" w:rsidRDefault="00A864E7" w:rsidP="005A4B80">
      <w:pPr>
        <w:spacing w:line="360" w:lineRule="auto"/>
        <w:rPr>
          <w:rFonts w:ascii="Arial" w:hAnsi="Arial" w:cs="Arial"/>
          <w:sz w:val="24"/>
          <w:szCs w:val="24"/>
        </w:rPr>
      </w:pPr>
    </w:p>
    <w:p w14:paraId="2BE94B43" w14:textId="2FF922F5" w:rsidR="00A864E7" w:rsidRDefault="00A864E7" w:rsidP="005A4B80">
      <w:pPr>
        <w:spacing w:line="360" w:lineRule="auto"/>
        <w:rPr>
          <w:rFonts w:ascii="Arial" w:hAnsi="Arial" w:cs="Arial"/>
          <w:sz w:val="24"/>
          <w:szCs w:val="24"/>
        </w:rPr>
      </w:pPr>
    </w:p>
    <w:p w14:paraId="03BECDC6" w14:textId="49E8E452" w:rsidR="00A864E7" w:rsidRDefault="00A864E7" w:rsidP="005A4B80">
      <w:pPr>
        <w:spacing w:line="360" w:lineRule="auto"/>
        <w:rPr>
          <w:rFonts w:ascii="Arial" w:hAnsi="Arial" w:cs="Arial"/>
          <w:sz w:val="24"/>
          <w:szCs w:val="24"/>
        </w:rPr>
      </w:pPr>
    </w:p>
    <w:p w14:paraId="068BEAE5" w14:textId="40BF0325" w:rsidR="00A864E7" w:rsidRDefault="00A864E7" w:rsidP="005A4B80">
      <w:pPr>
        <w:spacing w:line="360" w:lineRule="auto"/>
        <w:rPr>
          <w:rFonts w:ascii="Arial" w:hAnsi="Arial" w:cs="Arial"/>
          <w:sz w:val="24"/>
          <w:szCs w:val="24"/>
        </w:rPr>
      </w:pPr>
    </w:p>
    <w:p w14:paraId="7AE885DE" w14:textId="45649746" w:rsidR="00A864E7" w:rsidRDefault="00A864E7" w:rsidP="005A4B80">
      <w:pPr>
        <w:spacing w:line="360" w:lineRule="auto"/>
        <w:rPr>
          <w:rFonts w:ascii="Arial" w:hAnsi="Arial" w:cs="Arial"/>
          <w:sz w:val="24"/>
          <w:szCs w:val="24"/>
        </w:rPr>
      </w:pPr>
    </w:p>
    <w:p w14:paraId="3F0C3B8F" w14:textId="5355C2B3" w:rsidR="00A864E7" w:rsidRDefault="00A864E7" w:rsidP="005A4B80">
      <w:pPr>
        <w:spacing w:line="360" w:lineRule="auto"/>
        <w:rPr>
          <w:rFonts w:ascii="Arial" w:hAnsi="Arial" w:cs="Arial"/>
          <w:sz w:val="24"/>
          <w:szCs w:val="24"/>
        </w:rPr>
      </w:pPr>
    </w:p>
    <w:p w14:paraId="1C1B407F" w14:textId="5C85F817" w:rsidR="00A864E7" w:rsidRDefault="00A864E7" w:rsidP="005A4B80">
      <w:pPr>
        <w:spacing w:line="360" w:lineRule="auto"/>
        <w:rPr>
          <w:rFonts w:ascii="Arial" w:hAnsi="Arial" w:cs="Arial"/>
          <w:sz w:val="24"/>
          <w:szCs w:val="24"/>
        </w:rPr>
      </w:pPr>
    </w:p>
    <w:p w14:paraId="1A8B6DCA" w14:textId="71FF9348" w:rsidR="00A864E7" w:rsidRDefault="00A864E7" w:rsidP="005A4B80">
      <w:pPr>
        <w:spacing w:line="360" w:lineRule="auto"/>
        <w:rPr>
          <w:rFonts w:ascii="Arial" w:hAnsi="Arial" w:cs="Arial"/>
          <w:sz w:val="24"/>
          <w:szCs w:val="24"/>
        </w:rPr>
      </w:pPr>
    </w:p>
    <w:p w14:paraId="723FF00F" w14:textId="3153E7BC" w:rsidR="00A864E7" w:rsidRDefault="00A864E7" w:rsidP="005A4B80">
      <w:pPr>
        <w:spacing w:line="360" w:lineRule="auto"/>
        <w:rPr>
          <w:rFonts w:ascii="Arial" w:hAnsi="Arial" w:cs="Arial"/>
          <w:sz w:val="24"/>
          <w:szCs w:val="24"/>
        </w:rPr>
      </w:pPr>
    </w:p>
    <w:p w14:paraId="7AEDD8DB" w14:textId="77777777" w:rsidR="0093160A" w:rsidRDefault="0093160A" w:rsidP="005A4B80">
      <w:pPr>
        <w:spacing w:line="360" w:lineRule="auto"/>
        <w:rPr>
          <w:rFonts w:ascii="Arial" w:hAnsi="Arial" w:cs="Arial"/>
          <w:sz w:val="24"/>
          <w:szCs w:val="24"/>
        </w:rPr>
      </w:pPr>
    </w:p>
    <w:p w14:paraId="388BC569" w14:textId="1DAEBB57" w:rsidR="005A4B80" w:rsidRPr="005A4B80" w:rsidRDefault="005A4B80" w:rsidP="005A4B80">
      <w:pPr>
        <w:spacing w:line="360" w:lineRule="auto"/>
        <w:rPr>
          <w:rFonts w:ascii="Arial" w:hAnsi="Arial" w:cs="Arial"/>
          <w:sz w:val="24"/>
          <w:szCs w:val="24"/>
          <w:u w:val="single"/>
        </w:rPr>
      </w:pPr>
      <w:r w:rsidRPr="005A4B80">
        <w:rPr>
          <w:rFonts w:ascii="Arial" w:hAnsi="Arial" w:cs="Arial"/>
          <w:sz w:val="24"/>
          <w:szCs w:val="24"/>
          <w:u w:val="single"/>
        </w:rPr>
        <w:lastRenderedPageBreak/>
        <w:t>Re</w:t>
      </w:r>
      <w:r w:rsidR="00C41532">
        <w:rPr>
          <w:rFonts w:ascii="Arial" w:hAnsi="Arial" w:cs="Arial"/>
          <w:sz w:val="24"/>
          <w:szCs w:val="24"/>
          <w:u w:val="single"/>
        </w:rPr>
        <w:t>f</w:t>
      </w:r>
      <w:r w:rsidRPr="005A4B80">
        <w:rPr>
          <w:rFonts w:ascii="Arial" w:hAnsi="Arial" w:cs="Arial"/>
          <w:sz w:val="24"/>
          <w:szCs w:val="24"/>
          <w:u w:val="single"/>
        </w:rPr>
        <w:t>e</w:t>
      </w:r>
      <w:r w:rsidR="00BD26F2">
        <w:rPr>
          <w:rFonts w:ascii="Arial" w:hAnsi="Arial" w:cs="Arial"/>
          <w:sz w:val="24"/>
          <w:szCs w:val="24"/>
          <w:u w:val="single"/>
        </w:rPr>
        <w:t>r</w:t>
      </w:r>
      <w:r w:rsidRPr="005A4B80">
        <w:rPr>
          <w:rFonts w:ascii="Arial" w:hAnsi="Arial" w:cs="Arial"/>
          <w:sz w:val="24"/>
          <w:szCs w:val="24"/>
          <w:u w:val="single"/>
        </w:rPr>
        <w:t xml:space="preserve">ence List: </w:t>
      </w:r>
    </w:p>
    <w:p w14:paraId="6863154C" w14:textId="77777777" w:rsidR="00304630" w:rsidRDefault="00304630" w:rsidP="006D237C">
      <w:pPr>
        <w:spacing w:line="360" w:lineRule="auto"/>
        <w:rPr>
          <w:rFonts w:ascii="Arial" w:hAnsi="Arial" w:cs="Arial"/>
          <w:sz w:val="24"/>
          <w:szCs w:val="24"/>
        </w:rPr>
      </w:pPr>
      <w:r>
        <w:rPr>
          <w:rFonts w:ascii="Arial" w:hAnsi="Arial" w:cs="Arial"/>
          <w:sz w:val="24"/>
          <w:szCs w:val="24"/>
        </w:rPr>
        <w:t>Agnew, R and Kaufman, J.M. (2017), ‘</w:t>
      </w:r>
      <w:r w:rsidRPr="00B8338A">
        <w:rPr>
          <w:rFonts w:ascii="Arial" w:hAnsi="Arial" w:cs="Arial"/>
          <w:i/>
          <w:iCs/>
          <w:sz w:val="24"/>
          <w:szCs w:val="24"/>
        </w:rPr>
        <w:t>Anomie, Strain and Subcultural Theories of Crime’,</w:t>
      </w:r>
      <w:r>
        <w:rPr>
          <w:rFonts w:ascii="Arial" w:hAnsi="Arial" w:cs="Arial"/>
          <w:sz w:val="24"/>
          <w:szCs w:val="24"/>
        </w:rPr>
        <w:t xml:space="preserve"> Routledge, New York. </w:t>
      </w:r>
    </w:p>
    <w:p w14:paraId="3C34F8C0" w14:textId="77777777" w:rsidR="00304630" w:rsidRDefault="00304630" w:rsidP="001B2C1C">
      <w:pPr>
        <w:spacing w:line="360" w:lineRule="auto"/>
        <w:rPr>
          <w:rFonts w:ascii="Arial" w:hAnsi="Arial" w:cs="Arial"/>
          <w:sz w:val="24"/>
          <w:szCs w:val="24"/>
        </w:rPr>
      </w:pPr>
      <w:r>
        <w:rPr>
          <w:rFonts w:ascii="Arial" w:hAnsi="Arial" w:cs="Arial"/>
          <w:sz w:val="24"/>
          <w:szCs w:val="24"/>
        </w:rPr>
        <w:t>Akers, R.L. (1991), ‘</w:t>
      </w:r>
      <w:r w:rsidRPr="00AB74A5">
        <w:rPr>
          <w:rFonts w:ascii="Arial" w:hAnsi="Arial" w:cs="Arial"/>
          <w:i/>
          <w:iCs/>
          <w:sz w:val="24"/>
          <w:szCs w:val="24"/>
        </w:rPr>
        <w:t>Self-Control As A General Theory Of Crime’,</w:t>
      </w:r>
      <w:r>
        <w:rPr>
          <w:rFonts w:ascii="Arial" w:hAnsi="Arial" w:cs="Arial"/>
          <w:sz w:val="24"/>
          <w:szCs w:val="24"/>
        </w:rPr>
        <w:t xml:space="preserve"> Springer, Florida. </w:t>
      </w:r>
    </w:p>
    <w:p w14:paraId="5737A60E" w14:textId="77777777" w:rsidR="00304630" w:rsidRDefault="00304630" w:rsidP="00BA7B3F">
      <w:pPr>
        <w:spacing w:line="360" w:lineRule="auto"/>
        <w:rPr>
          <w:rFonts w:ascii="Arial" w:hAnsi="Arial" w:cs="Arial"/>
          <w:sz w:val="24"/>
          <w:szCs w:val="24"/>
        </w:rPr>
      </w:pPr>
      <w:r>
        <w:rPr>
          <w:rFonts w:ascii="Arial" w:hAnsi="Arial" w:cs="Arial"/>
          <w:sz w:val="24"/>
          <w:szCs w:val="24"/>
        </w:rPr>
        <w:t>Akers, R.L. (1999), ‘</w:t>
      </w:r>
      <w:r w:rsidRPr="00954B75">
        <w:rPr>
          <w:rFonts w:ascii="Arial" w:hAnsi="Arial" w:cs="Arial"/>
          <w:i/>
          <w:iCs/>
          <w:sz w:val="24"/>
          <w:szCs w:val="24"/>
        </w:rPr>
        <w:t>Criminological Theories’,</w:t>
      </w:r>
      <w:r>
        <w:rPr>
          <w:rFonts w:ascii="Arial" w:hAnsi="Arial" w:cs="Arial"/>
          <w:sz w:val="24"/>
          <w:szCs w:val="24"/>
        </w:rPr>
        <w:t xml:space="preserve"> second edition, Routledge, New York. </w:t>
      </w:r>
    </w:p>
    <w:p w14:paraId="0CEA4BCB" w14:textId="77777777" w:rsidR="00304630" w:rsidRDefault="00304630" w:rsidP="006D237C">
      <w:pPr>
        <w:spacing w:line="360" w:lineRule="auto"/>
        <w:rPr>
          <w:rFonts w:ascii="Arial" w:hAnsi="Arial" w:cs="Arial"/>
          <w:sz w:val="24"/>
          <w:szCs w:val="24"/>
        </w:rPr>
      </w:pPr>
      <w:r>
        <w:rPr>
          <w:rFonts w:ascii="Arial" w:hAnsi="Arial" w:cs="Arial"/>
          <w:sz w:val="24"/>
          <w:szCs w:val="24"/>
        </w:rPr>
        <w:t>Akers, R.L. (2011), ‘</w:t>
      </w:r>
      <w:r w:rsidRPr="00D06F80">
        <w:rPr>
          <w:rFonts w:ascii="Arial" w:hAnsi="Arial" w:cs="Arial"/>
          <w:i/>
          <w:iCs/>
          <w:sz w:val="24"/>
          <w:szCs w:val="24"/>
        </w:rPr>
        <w:t>Crime Opportunity Theories’,</w:t>
      </w:r>
      <w:r>
        <w:rPr>
          <w:rFonts w:ascii="Arial" w:hAnsi="Arial" w:cs="Arial"/>
          <w:sz w:val="24"/>
          <w:szCs w:val="24"/>
        </w:rPr>
        <w:t xml:space="preserve"> Routledge, New York. </w:t>
      </w:r>
    </w:p>
    <w:p w14:paraId="136A6305" w14:textId="77777777" w:rsidR="00304630" w:rsidRDefault="00304630" w:rsidP="001B2C1C">
      <w:pPr>
        <w:spacing w:line="360" w:lineRule="auto"/>
        <w:rPr>
          <w:rFonts w:ascii="Arial" w:hAnsi="Arial" w:cs="Arial"/>
          <w:sz w:val="24"/>
          <w:szCs w:val="24"/>
        </w:rPr>
      </w:pPr>
      <w:r>
        <w:rPr>
          <w:rFonts w:ascii="Arial" w:hAnsi="Arial" w:cs="Arial"/>
          <w:sz w:val="24"/>
          <w:szCs w:val="24"/>
        </w:rPr>
        <w:t>Anderson, J.F and Kras, K. (2008), ‘</w:t>
      </w:r>
      <w:r w:rsidRPr="001C7F62">
        <w:rPr>
          <w:rFonts w:ascii="Arial" w:hAnsi="Arial" w:cs="Arial"/>
          <w:i/>
          <w:iCs/>
          <w:sz w:val="24"/>
          <w:szCs w:val="24"/>
        </w:rPr>
        <w:t>Revisiting Albert Bandura's Social Learning Theory to Better Understand and Assist Victims of Intimate Personal Violence’,</w:t>
      </w:r>
      <w:r>
        <w:rPr>
          <w:rFonts w:ascii="Arial" w:hAnsi="Arial" w:cs="Arial"/>
          <w:sz w:val="24"/>
          <w:szCs w:val="24"/>
        </w:rPr>
        <w:t xml:space="preserve"> Taylor and Francis, United States of America. </w:t>
      </w:r>
    </w:p>
    <w:p w14:paraId="73657A19" w14:textId="77777777" w:rsidR="00304630" w:rsidRDefault="00304630" w:rsidP="00BA7B3F">
      <w:pPr>
        <w:spacing w:line="360" w:lineRule="auto"/>
        <w:rPr>
          <w:rFonts w:ascii="Arial" w:hAnsi="Arial" w:cs="Arial"/>
          <w:sz w:val="24"/>
          <w:szCs w:val="24"/>
        </w:rPr>
      </w:pPr>
      <w:r>
        <w:rPr>
          <w:rFonts w:ascii="Arial" w:hAnsi="Arial" w:cs="Arial"/>
          <w:sz w:val="24"/>
          <w:szCs w:val="24"/>
        </w:rPr>
        <w:t>Barnes, J.C. and Boutwell, B.B. (2012), ‘</w:t>
      </w:r>
      <w:r w:rsidRPr="004903AF">
        <w:rPr>
          <w:rFonts w:ascii="Arial" w:hAnsi="Arial" w:cs="Arial"/>
          <w:i/>
          <w:iCs/>
          <w:sz w:val="24"/>
          <w:szCs w:val="24"/>
        </w:rPr>
        <w:t>Journal of Criminal Justice’,</w:t>
      </w:r>
      <w:r>
        <w:rPr>
          <w:rFonts w:ascii="Arial" w:hAnsi="Arial" w:cs="Arial"/>
          <w:sz w:val="24"/>
          <w:szCs w:val="24"/>
        </w:rPr>
        <w:t xml:space="preserve"> Elsevier, United States of America. </w:t>
      </w:r>
    </w:p>
    <w:p w14:paraId="170A15A2" w14:textId="77777777" w:rsidR="00304630" w:rsidRDefault="00304630" w:rsidP="00BA7B3F">
      <w:pPr>
        <w:spacing w:line="360" w:lineRule="auto"/>
        <w:rPr>
          <w:rFonts w:ascii="Arial" w:hAnsi="Arial" w:cs="Arial"/>
          <w:sz w:val="24"/>
          <w:szCs w:val="24"/>
        </w:rPr>
      </w:pPr>
      <w:r>
        <w:rPr>
          <w:rFonts w:ascii="Arial" w:hAnsi="Arial" w:cs="Arial"/>
          <w:sz w:val="24"/>
          <w:szCs w:val="24"/>
        </w:rPr>
        <w:t>Beaver, K.M and Walsh, A. (2010), ‘</w:t>
      </w:r>
      <w:r w:rsidRPr="001414DA">
        <w:rPr>
          <w:rFonts w:ascii="Arial" w:hAnsi="Arial" w:cs="Arial"/>
          <w:i/>
          <w:iCs/>
          <w:sz w:val="24"/>
          <w:szCs w:val="24"/>
        </w:rPr>
        <w:t>Biosocial Theories of Crime’,</w:t>
      </w:r>
      <w:r>
        <w:rPr>
          <w:rFonts w:ascii="Arial" w:hAnsi="Arial" w:cs="Arial"/>
          <w:sz w:val="24"/>
          <w:szCs w:val="24"/>
        </w:rPr>
        <w:t xml:space="preserve"> Ashgate, New York. </w:t>
      </w:r>
    </w:p>
    <w:p w14:paraId="78ECA7C3" w14:textId="77777777" w:rsidR="00304630" w:rsidRPr="00E43A8F" w:rsidRDefault="00304630" w:rsidP="001B2C1C">
      <w:pPr>
        <w:spacing w:line="360" w:lineRule="auto"/>
        <w:rPr>
          <w:rFonts w:ascii="Arial" w:hAnsi="Arial" w:cs="Arial"/>
          <w:sz w:val="24"/>
          <w:szCs w:val="24"/>
        </w:rPr>
      </w:pPr>
      <w:r>
        <w:rPr>
          <w:rFonts w:ascii="Arial" w:hAnsi="Arial" w:cs="Arial"/>
          <w:sz w:val="24"/>
          <w:szCs w:val="24"/>
        </w:rPr>
        <w:t xml:space="preserve">Brewer, G. (2011), </w:t>
      </w:r>
      <w:r w:rsidRPr="00E43A8F">
        <w:rPr>
          <w:rFonts w:ascii="Arial" w:hAnsi="Arial" w:cs="Arial"/>
          <w:i/>
          <w:iCs/>
          <w:sz w:val="24"/>
          <w:szCs w:val="24"/>
        </w:rPr>
        <w:t xml:space="preserve">‘Media Psychology’, </w:t>
      </w:r>
      <w:r>
        <w:rPr>
          <w:rFonts w:ascii="Arial" w:hAnsi="Arial" w:cs="Arial"/>
          <w:sz w:val="24"/>
          <w:szCs w:val="24"/>
        </w:rPr>
        <w:t xml:space="preserve">Palgrave Macmillan, New York. </w:t>
      </w:r>
    </w:p>
    <w:p w14:paraId="29ECE1B9" w14:textId="77777777" w:rsidR="00304630" w:rsidRDefault="00304630" w:rsidP="008B7969">
      <w:pPr>
        <w:spacing w:line="360" w:lineRule="auto"/>
        <w:rPr>
          <w:rFonts w:ascii="Arial" w:hAnsi="Arial" w:cs="Arial"/>
          <w:sz w:val="24"/>
          <w:szCs w:val="24"/>
        </w:rPr>
      </w:pPr>
      <w:r>
        <w:rPr>
          <w:rFonts w:ascii="Arial" w:hAnsi="Arial" w:cs="Arial"/>
          <w:sz w:val="24"/>
          <w:szCs w:val="24"/>
        </w:rPr>
        <w:t>Crain, W. (2010), ‘</w:t>
      </w:r>
      <w:r w:rsidRPr="008B7969">
        <w:rPr>
          <w:rFonts w:ascii="Arial" w:hAnsi="Arial" w:cs="Arial"/>
          <w:i/>
          <w:iCs/>
          <w:sz w:val="24"/>
          <w:szCs w:val="24"/>
        </w:rPr>
        <w:t>Theories of Development: Concepts and Applications’,</w:t>
      </w:r>
      <w:r>
        <w:rPr>
          <w:rFonts w:ascii="Arial" w:hAnsi="Arial" w:cs="Arial"/>
          <w:sz w:val="24"/>
          <w:szCs w:val="24"/>
        </w:rPr>
        <w:t xml:space="preserve"> sixth edition, Routledge, United States of America. </w:t>
      </w:r>
    </w:p>
    <w:p w14:paraId="7F9C2FAC" w14:textId="77777777" w:rsidR="00304630" w:rsidRDefault="00304630" w:rsidP="006D237C">
      <w:pPr>
        <w:spacing w:line="360" w:lineRule="auto"/>
        <w:rPr>
          <w:rFonts w:ascii="Arial" w:hAnsi="Arial" w:cs="Arial"/>
          <w:sz w:val="24"/>
          <w:szCs w:val="24"/>
        </w:rPr>
      </w:pPr>
      <w:r>
        <w:rPr>
          <w:rFonts w:ascii="Arial" w:hAnsi="Arial" w:cs="Arial"/>
          <w:sz w:val="24"/>
          <w:szCs w:val="24"/>
        </w:rPr>
        <w:t>Downes, D.M, Rock, E.P and McLaughlin, E. (2016), ‘</w:t>
      </w:r>
      <w:r w:rsidRPr="00304630">
        <w:rPr>
          <w:rFonts w:ascii="Arial" w:hAnsi="Arial" w:cs="Arial"/>
          <w:i/>
          <w:iCs/>
          <w:sz w:val="24"/>
          <w:szCs w:val="24"/>
        </w:rPr>
        <w:t>Understanding Deviance: A Guide to the Sociology of Crime and Rule-breaking’,</w:t>
      </w:r>
      <w:r>
        <w:rPr>
          <w:rFonts w:ascii="Arial" w:hAnsi="Arial" w:cs="Arial"/>
          <w:sz w:val="24"/>
          <w:szCs w:val="24"/>
        </w:rPr>
        <w:t xml:space="preserve"> Oxford University Press, Oxford. </w:t>
      </w:r>
    </w:p>
    <w:p w14:paraId="25DDE5E7" w14:textId="77777777" w:rsidR="00304630" w:rsidRDefault="00304630" w:rsidP="001B2C1C">
      <w:pPr>
        <w:spacing w:line="360" w:lineRule="auto"/>
        <w:rPr>
          <w:rFonts w:ascii="Arial" w:hAnsi="Arial" w:cs="Arial"/>
          <w:sz w:val="24"/>
          <w:szCs w:val="24"/>
        </w:rPr>
      </w:pPr>
      <w:r>
        <w:rPr>
          <w:rFonts w:ascii="Arial" w:hAnsi="Arial" w:cs="Arial"/>
          <w:sz w:val="24"/>
          <w:szCs w:val="24"/>
        </w:rPr>
        <w:t>Falk, R and Kim, S. (2019), ‘</w:t>
      </w:r>
      <w:r w:rsidRPr="00B92C40">
        <w:rPr>
          <w:rFonts w:ascii="Arial" w:hAnsi="Arial" w:cs="Arial"/>
          <w:i/>
          <w:iCs/>
          <w:sz w:val="24"/>
          <w:szCs w:val="24"/>
        </w:rPr>
        <w:t>The War System: An Interdisciplinary Approach’,</w:t>
      </w:r>
      <w:r>
        <w:rPr>
          <w:rFonts w:ascii="Arial" w:hAnsi="Arial" w:cs="Arial"/>
          <w:sz w:val="24"/>
          <w:szCs w:val="24"/>
        </w:rPr>
        <w:t xml:space="preserve"> Routledge, New York. </w:t>
      </w:r>
    </w:p>
    <w:p w14:paraId="4CC991AE" w14:textId="77777777" w:rsidR="00304630" w:rsidRDefault="00304630" w:rsidP="00BA7B3F">
      <w:pPr>
        <w:spacing w:line="360" w:lineRule="auto"/>
        <w:rPr>
          <w:rFonts w:ascii="Arial" w:hAnsi="Arial" w:cs="Arial"/>
          <w:sz w:val="24"/>
          <w:szCs w:val="24"/>
        </w:rPr>
      </w:pPr>
      <w:r>
        <w:rPr>
          <w:rFonts w:ascii="Arial" w:hAnsi="Arial" w:cs="Arial"/>
          <w:sz w:val="24"/>
          <w:szCs w:val="24"/>
        </w:rPr>
        <w:t>Fhel, C. (2004), ‘</w:t>
      </w:r>
      <w:r w:rsidRPr="00EF245A">
        <w:rPr>
          <w:rFonts w:ascii="Arial" w:hAnsi="Arial" w:cs="Arial"/>
          <w:i/>
          <w:iCs/>
          <w:sz w:val="24"/>
          <w:szCs w:val="24"/>
        </w:rPr>
        <w:t>Explaining the International Criminal Court: A ‘Practice Test’ for Rationalist and Constructivist Approaches’,</w:t>
      </w:r>
      <w:r>
        <w:rPr>
          <w:rFonts w:ascii="Arial" w:hAnsi="Arial" w:cs="Arial"/>
          <w:sz w:val="24"/>
          <w:szCs w:val="24"/>
        </w:rPr>
        <w:t xml:space="preserve"> Sage, Germany. </w:t>
      </w:r>
    </w:p>
    <w:p w14:paraId="6BE693FA" w14:textId="77777777" w:rsidR="00304630" w:rsidRPr="00F3337B" w:rsidRDefault="00304630" w:rsidP="00F3337B">
      <w:pPr>
        <w:spacing w:line="360" w:lineRule="auto"/>
        <w:rPr>
          <w:rFonts w:ascii="Arial" w:hAnsi="Arial" w:cs="Arial"/>
          <w:sz w:val="24"/>
          <w:szCs w:val="24"/>
        </w:rPr>
      </w:pPr>
      <w:r w:rsidRPr="00F3337B">
        <w:rPr>
          <w:rFonts w:ascii="Arial" w:hAnsi="Arial" w:cs="Arial"/>
          <w:sz w:val="24"/>
          <w:szCs w:val="24"/>
        </w:rPr>
        <w:t>Friedman, L.</w:t>
      </w:r>
      <w:r>
        <w:rPr>
          <w:rFonts w:ascii="Arial" w:hAnsi="Arial" w:cs="Arial"/>
          <w:sz w:val="24"/>
          <w:szCs w:val="24"/>
        </w:rPr>
        <w:t>M.</w:t>
      </w:r>
      <w:r w:rsidRPr="00F3337B">
        <w:rPr>
          <w:rFonts w:ascii="Arial" w:hAnsi="Arial" w:cs="Arial"/>
          <w:sz w:val="24"/>
          <w:szCs w:val="24"/>
        </w:rPr>
        <w:t xml:space="preserve"> (1993)</w:t>
      </w:r>
      <w:r>
        <w:rPr>
          <w:rFonts w:ascii="Arial" w:hAnsi="Arial" w:cs="Arial"/>
          <w:sz w:val="24"/>
          <w:szCs w:val="24"/>
        </w:rPr>
        <w:t>, ‘</w:t>
      </w:r>
      <w:r w:rsidRPr="00F3337B">
        <w:rPr>
          <w:rFonts w:ascii="Arial" w:hAnsi="Arial" w:cs="Arial"/>
          <w:i/>
          <w:iCs/>
          <w:sz w:val="24"/>
          <w:szCs w:val="24"/>
        </w:rPr>
        <w:t xml:space="preserve">Crime </w:t>
      </w:r>
      <w:r>
        <w:rPr>
          <w:rFonts w:ascii="Arial" w:hAnsi="Arial" w:cs="Arial"/>
          <w:i/>
          <w:iCs/>
          <w:sz w:val="24"/>
          <w:szCs w:val="24"/>
        </w:rPr>
        <w:t>a</w:t>
      </w:r>
      <w:r w:rsidRPr="00F3337B">
        <w:rPr>
          <w:rFonts w:ascii="Arial" w:hAnsi="Arial" w:cs="Arial"/>
          <w:i/>
          <w:iCs/>
          <w:sz w:val="24"/>
          <w:szCs w:val="24"/>
        </w:rPr>
        <w:t xml:space="preserve">nd Punishment In American History’, </w:t>
      </w:r>
      <w:r>
        <w:rPr>
          <w:rFonts w:ascii="Arial" w:hAnsi="Arial" w:cs="Arial"/>
          <w:sz w:val="24"/>
          <w:szCs w:val="24"/>
        </w:rPr>
        <w:t xml:space="preserve">The University of North Carolina, Carolina. </w:t>
      </w:r>
    </w:p>
    <w:p w14:paraId="07C7E0E0" w14:textId="77777777" w:rsidR="00304630" w:rsidRDefault="00304630" w:rsidP="006D237C">
      <w:pPr>
        <w:spacing w:line="360" w:lineRule="auto"/>
        <w:rPr>
          <w:rFonts w:ascii="Arial" w:hAnsi="Arial" w:cs="Arial"/>
          <w:sz w:val="24"/>
          <w:szCs w:val="24"/>
        </w:rPr>
      </w:pPr>
      <w:r>
        <w:rPr>
          <w:rFonts w:ascii="Arial" w:hAnsi="Arial" w:cs="Arial"/>
          <w:sz w:val="24"/>
          <w:szCs w:val="24"/>
        </w:rPr>
        <w:t>Grusec, J.E. (1994), ‘</w:t>
      </w:r>
      <w:r w:rsidRPr="00613DDC">
        <w:rPr>
          <w:rFonts w:ascii="Arial" w:hAnsi="Arial" w:cs="Arial"/>
          <w:i/>
          <w:iCs/>
          <w:sz w:val="24"/>
          <w:szCs w:val="24"/>
        </w:rPr>
        <w:t>Social Learning Theory And Developmental Psychology: The Legacies Of Robert R. Sears And Albert Bandura’,</w:t>
      </w:r>
      <w:r>
        <w:rPr>
          <w:rFonts w:ascii="Arial" w:hAnsi="Arial" w:cs="Arial"/>
          <w:sz w:val="24"/>
          <w:szCs w:val="24"/>
        </w:rPr>
        <w:t xml:space="preserve"> American Psychology Association, United States of America. </w:t>
      </w:r>
    </w:p>
    <w:p w14:paraId="1A0A9904" w14:textId="77777777" w:rsidR="00304630" w:rsidRDefault="00304630" w:rsidP="006D237C">
      <w:pPr>
        <w:spacing w:line="360" w:lineRule="auto"/>
        <w:rPr>
          <w:rFonts w:ascii="Arial" w:hAnsi="Arial" w:cs="Arial"/>
          <w:sz w:val="24"/>
          <w:szCs w:val="24"/>
        </w:rPr>
      </w:pPr>
      <w:r>
        <w:rPr>
          <w:rFonts w:ascii="Arial" w:hAnsi="Arial" w:cs="Arial"/>
          <w:sz w:val="24"/>
          <w:szCs w:val="24"/>
        </w:rPr>
        <w:lastRenderedPageBreak/>
        <w:t>Haenfler, R. (2013), ‘</w:t>
      </w:r>
      <w:r w:rsidRPr="00A864E7">
        <w:rPr>
          <w:rFonts w:ascii="Arial" w:hAnsi="Arial" w:cs="Arial"/>
          <w:i/>
          <w:iCs/>
          <w:sz w:val="24"/>
          <w:szCs w:val="24"/>
        </w:rPr>
        <w:t>Subcultures: The Basics’,</w:t>
      </w:r>
      <w:r>
        <w:rPr>
          <w:rFonts w:ascii="Arial" w:hAnsi="Arial" w:cs="Arial"/>
          <w:sz w:val="24"/>
          <w:szCs w:val="24"/>
        </w:rPr>
        <w:t xml:space="preserve"> Routledge, London. </w:t>
      </w:r>
    </w:p>
    <w:p w14:paraId="239CE54D" w14:textId="77777777" w:rsidR="00304630" w:rsidRDefault="00304630" w:rsidP="006D237C">
      <w:pPr>
        <w:spacing w:line="360" w:lineRule="auto"/>
        <w:rPr>
          <w:rFonts w:ascii="Arial" w:hAnsi="Arial" w:cs="Arial"/>
          <w:sz w:val="24"/>
          <w:szCs w:val="24"/>
        </w:rPr>
      </w:pPr>
      <w:r>
        <w:rPr>
          <w:rFonts w:ascii="Arial" w:hAnsi="Arial" w:cs="Arial"/>
          <w:sz w:val="24"/>
          <w:szCs w:val="24"/>
        </w:rPr>
        <w:t>Hanna, R.C, Crittenden, V.L, Crittenden, W.F. (2013), ‘</w:t>
      </w:r>
      <w:r w:rsidRPr="002A2CB1">
        <w:rPr>
          <w:rFonts w:ascii="Arial" w:hAnsi="Arial" w:cs="Arial"/>
          <w:i/>
          <w:iCs/>
          <w:sz w:val="24"/>
          <w:szCs w:val="24"/>
        </w:rPr>
        <w:t>Social Learning Theory: A Multicultural Study of Influences on Ethical Behaviour’,</w:t>
      </w:r>
      <w:r>
        <w:rPr>
          <w:rFonts w:ascii="Arial" w:hAnsi="Arial" w:cs="Arial"/>
          <w:sz w:val="24"/>
          <w:szCs w:val="24"/>
        </w:rPr>
        <w:t xml:space="preserve"> Sage, United States of America. </w:t>
      </w:r>
    </w:p>
    <w:p w14:paraId="55159350" w14:textId="77777777" w:rsidR="00304630" w:rsidRDefault="00304630" w:rsidP="00582C84">
      <w:pPr>
        <w:spacing w:line="360" w:lineRule="auto"/>
        <w:rPr>
          <w:rFonts w:ascii="Arial" w:hAnsi="Arial" w:cs="Arial"/>
          <w:sz w:val="24"/>
          <w:szCs w:val="24"/>
        </w:rPr>
      </w:pPr>
      <w:r>
        <w:rPr>
          <w:rFonts w:ascii="Arial" w:hAnsi="Arial" w:cs="Arial"/>
          <w:sz w:val="24"/>
          <w:szCs w:val="24"/>
        </w:rPr>
        <w:t xml:space="preserve">Haydon, D and Scraton, P. (2002), </w:t>
      </w:r>
      <w:r w:rsidRPr="00A90807">
        <w:rPr>
          <w:rFonts w:ascii="Arial" w:hAnsi="Arial" w:cs="Arial"/>
          <w:i/>
          <w:iCs/>
          <w:sz w:val="24"/>
          <w:szCs w:val="24"/>
        </w:rPr>
        <w:t>‘‘Condemn a Little More, Understand a Little Less’: The Political Context and Rights’ Implications of the Domestic and European Rulings in the Venables-Thompson Case’,</w:t>
      </w:r>
      <w:r>
        <w:rPr>
          <w:rFonts w:ascii="Arial" w:hAnsi="Arial" w:cs="Arial"/>
          <w:sz w:val="24"/>
          <w:szCs w:val="24"/>
        </w:rPr>
        <w:t xml:space="preserve"> Wiley, United Kingdom. </w:t>
      </w:r>
    </w:p>
    <w:p w14:paraId="37C143D2" w14:textId="77777777" w:rsidR="00304630" w:rsidRPr="00B8338A" w:rsidRDefault="00304630" w:rsidP="00B8338A">
      <w:pPr>
        <w:spacing w:line="360" w:lineRule="auto"/>
        <w:rPr>
          <w:rFonts w:ascii="Arial" w:hAnsi="Arial" w:cs="Arial"/>
          <w:sz w:val="24"/>
          <w:szCs w:val="24"/>
        </w:rPr>
      </w:pPr>
      <w:r>
        <w:rPr>
          <w:rFonts w:ascii="Arial" w:hAnsi="Arial" w:cs="Arial"/>
          <w:sz w:val="24"/>
          <w:szCs w:val="24"/>
        </w:rPr>
        <w:t>Hayward, K, Maruna, S and Mooney, J. (2010), ‘</w:t>
      </w:r>
      <w:r w:rsidRPr="00B8338A">
        <w:rPr>
          <w:rFonts w:ascii="Arial" w:hAnsi="Arial" w:cs="Arial"/>
          <w:i/>
          <w:iCs/>
          <w:sz w:val="24"/>
          <w:szCs w:val="24"/>
        </w:rPr>
        <w:t xml:space="preserve">Fifty Key Thinkers in Criminology’, </w:t>
      </w:r>
      <w:r>
        <w:rPr>
          <w:rFonts w:ascii="Arial" w:hAnsi="Arial" w:cs="Arial"/>
          <w:sz w:val="24"/>
          <w:szCs w:val="24"/>
        </w:rPr>
        <w:t xml:space="preserve">Routledge, New York. </w:t>
      </w:r>
    </w:p>
    <w:p w14:paraId="0C53AE60" w14:textId="77777777" w:rsidR="00304630" w:rsidRDefault="00304630" w:rsidP="001B2C1C">
      <w:pPr>
        <w:spacing w:line="360" w:lineRule="auto"/>
        <w:rPr>
          <w:rFonts w:ascii="Arial" w:hAnsi="Arial" w:cs="Arial"/>
          <w:sz w:val="24"/>
          <w:szCs w:val="24"/>
        </w:rPr>
      </w:pPr>
      <w:r>
        <w:rPr>
          <w:rFonts w:ascii="Arial" w:hAnsi="Arial" w:cs="Arial"/>
          <w:sz w:val="24"/>
          <w:szCs w:val="24"/>
        </w:rPr>
        <w:t>Hirschi, T and Gottfredson, M. (1990), ‘</w:t>
      </w:r>
      <w:r w:rsidRPr="007432B1">
        <w:rPr>
          <w:rFonts w:ascii="Arial" w:hAnsi="Arial" w:cs="Arial"/>
          <w:i/>
          <w:iCs/>
          <w:sz w:val="24"/>
          <w:szCs w:val="24"/>
        </w:rPr>
        <w:t>Substantive Positivism and the Idea of Crime’,</w:t>
      </w:r>
      <w:r>
        <w:rPr>
          <w:rFonts w:ascii="Arial" w:hAnsi="Arial" w:cs="Arial"/>
          <w:sz w:val="24"/>
          <w:szCs w:val="24"/>
        </w:rPr>
        <w:t xml:space="preserve"> Sage, Arizona. </w:t>
      </w:r>
    </w:p>
    <w:p w14:paraId="01555F9D" w14:textId="77777777" w:rsidR="00304630" w:rsidRPr="000D0CA1" w:rsidRDefault="00304630" w:rsidP="006D237C">
      <w:pPr>
        <w:spacing w:line="360" w:lineRule="auto"/>
        <w:rPr>
          <w:rFonts w:ascii="Arial" w:hAnsi="Arial" w:cs="Arial"/>
          <w:sz w:val="24"/>
          <w:szCs w:val="24"/>
        </w:rPr>
      </w:pPr>
      <w:r>
        <w:rPr>
          <w:rFonts w:ascii="Arial" w:hAnsi="Arial" w:cs="Arial"/>
          <w:sz w:val="24"/>
          <w:szCs w:val="24"/>
        </w:rPr>
        <w:t>Hirschi, T. (2002), ‘</w:t>
      </w:r>
      <w:r w:rsidRPr="000D0CA1">
        <w:rPr>
          <w:rFonts w:ascii="Arial" w:hAnsi="Arial" w:cs="Arial"/>
          <w:i/>
          <w:iCs/>
          <w:sz w:val="24"/>
          <w:szCs w:val="24"/>
        </w:rPr>
        <w:t xml:space="preserve">Causes of Delinquency’, </w:t>
      </w:r>
      <w:r>
        <w:rPr>
          <w:rFonts w:ascii="Arial" w:hAnsi="Arial" w:cs="Arial"/>
          <w:sz w:val="24"/>
          <w:szCs w:val="24"/>
        </w:rPr>
        <w:t xml:space="preserve">Routledge, New York. </w:t>
      </w:r>
    </w:p>
    <w:p w14:paraId="4341A921" w14:textId="77777777" w:rsidR="00304630" w:rsidRDefault="00304630" w:rsidP="001B2C1C">
      <w:pPr>
        <w:spacing w:line="360" w:lineRule="auto"/>
        <w:rPr>
          <w:rFonts w:ascii="Arial" w:hAnsi="Arial" w:cs="Arial"/>
          <w:sz w:val="24"/>
          <w:szCs w:val="24"/>
        </w:rPr>
      </w:pPr>
      <w:r>
        <w:rPr>
          <w:rFonts w:ascii="Arial" w:hAnsi="Arial" w:cs="Arial"/>
          <w:sz w:val="24"/>
          <w:szCs w:val="24"/>
        </w:rPr>
        <w:t>Hirschi, T. (2014), ‘</w:t>
      </w:r>
      <w:r w:rsidRPr="007432B1">
        <w:rPr>
          <w:rFonts w:ascii="Arial" w:hAnsi="Arial" w:cs="Arial"/>
          <w:i/>
          <w:iCs/>
          <w:sz w:val="24"/>
          <w:szCs w:val="24"/>
        </w:rPr>
        <w:t>On the Compatibility of Rational Choice and Social Control Theories of Crime’,</w:t>
      </w:r>
      <w:r>
        <w:rPr>
          <w:rFonts w:ascii="Arial" w:hAnsi="Arial" w:cs="Arial"/>
          <w:sz w:val="24"/>
          <w:szCs w:val="24"/>
        </w:rPr>
        <w:t xml:space="preserve"> Routledge, United States of America. </w:t>
      </w:r>
    </w:p>
    <w:p w14:paraId="49023F70" w14:textId="77777777" w:rsidR="00304630" w:rsidRPr="00757BAD" w:rsidRDefault="00304630" w:rsidP="00757BAD">
      <w:pPr>
        <w:spacing w:line="360" w:lineRule="auto"/>
        <w:rPr>
          <w:rFonts w:ascii="Arial" w:hAnsi="Arial" w:cs="Arial"/>
          <w:sz w:val="24"/>
          <w:szCs w:val="24"/>
        </w:rPr>
      </w:pPr>
      <w:r>
        <w:rPr>
          <w:rFonts w:ascii="Arial" w:hAnsi="Arial" w:cs="Arial"/>
          <w:sz w:val="24"/>
          <w:szCs w:val="24"/>
        </w:rPr>
        <w:t xml:space="preserve">King, M. (1997), </w:t>
      </w:r>
      <w:r w:rsidRPr="00757BAD">
        <w:rPr>
          <w:rFonts w:ascii="Arial" w:hAnsi="Arial" w:cs="Arial"/>
          <w:i/>
          <w:iCs/>
          <w:sz w:val="24"/>
          <w:szCs w:val="24"/>
        </w:rPr>
        <w:t xml:space="preserve">‘A Better World For Children?’, </w:t>
      </w:r>
      <w:r>
        <w:rPr>
          <w:rFonts w:ascii="Arial" w:hAnsi="Arial" w:cs="Arial"/>
          <w:sz w:val="24"/>
          <w:szCs w:val="24"/>
        </w:rPr>
        <w:t xml:space="preserve">Routledge, London. </w:t>
      </w:r>
    </w:p>
    <w:p w14:paraId="764898EE" w14:textId="77777777" w:rsidR="00304630" w:rsidRPr="004608D5" w:rsidRDefault="00304630" w:rsidP="005A4B80">
      <w:pPr>
        <w:spacing w:line="360" w:lineRule="auto"/>
        <w:rPr>
          <w:rFonts w:ascii="Arial" w:hAnsi="Arial" w:cs="Arial"/>
          <w:sz w:val="24"/>
          <w:szCs w:val="24"/>
        </w:rPr>
      </w:pPr>
      <w:r>
        <w:rPr>
          <w:rFonts w:ascii="Arial" w:hAnsi="Arial" w:cs="Arial"/>
          <w:sz w:val="24"/>
          <w:szCs w:val="24"/>
        </w:rPr>
        <w:t>Knafla, L.A. (1996), ‘</w:t>
      </w:r>
      <w:r w:rsidRPr="00163E45">
        <w:rPr>
          <w:rFonts w:ascii="Arial" w:hAnsi="Arial" w:cs="Arial"/>
          <w:i/>
          <w:iCs/>
          <w:sz w:val="24"/>
          <w:szCs w:val="24"/>
        </w:rPr>
        <w:t>Crime History and Histories of Crime: Studies in the Historiography of Crime and Criminal Justice in Modern History’,</w:t>
      </w:r>
      <w:r>
        <w:rPr>
          <w:rFonts w:ascii="Arial" w:hAnsi="Arial" w:cs="Arial"/>
          <w:sz w:val="24"/>
          <w:szCs w:val="24"/>
        </w:rPr>
        <w:t xml:space="preserve"> Greenwood, United States of America. </w:t>
      </w:r>
    </w:p>
    <w:p w14:paraId="5A1FDC38" w14:textId="77777777" w:rsidR="00304630" w:rsidRDefault="00304630" w:rsidP="00BA7B3F">
      <w:pPr>
        <w:spacing w:line="360" w:lineRule="auto"/>
        <w:rPr>
          <w:rFonts w:ascii="Arial" w:hAnsi="Arial" w:cs="Arial"/>
          <w:sz w:val="24"/>
          <w:szCs w:val="24"/>
        </w:rPr>
      </w:pPr>
      <w:r>
        <w:rPr>
          <w:rFonts w:ascii="Arial" w:hAnsi="Arial" w:cs="Arial"/>
          <w:sz w:val="24"/>
          <w:szCs w:val="24"/>
        </w:rPr>
        <w:t>Knepper, P and Ystehede, P. (2013), ‘</w:t>
      </w:r>
      <w:r w:rsidRPr="00DA7F94">
        <w:rPr>
          <w:rFonts w:ascii="Arial" w:hAnsi="Arial" w:cs="Arial"/>
          <w:i/>
          <w:iCs/>
          <w:sz w:val="24"/>
          <w:szCs w:val="24"/>
        </w:rPr>
        <w:t>The Cesare Lombroso Handbook’,</w:t>
      </w:r>
      <w:r>
        <w:rPr>
          <w:rFonts w:ascii="Arial" w:hAnsi="Arial" w:cs="Arial"/>
          <w:sz w:val="24"/>
          <w:szCs w:val="24"/>
        </w:rPr>
        <w:t xml:space="preserve"> Routledge, Oxon. </w:t>
      </w:r>
    </w:p>
    <w:p w14:paraId="135030A1" w14:textId="77777777" w:rsidR="00304630" w:rsidRPr="009915AA" w:rsidRDefault="00304630" w:rsidP="001B2C1C">
      <w:pPr>
        <w:spacing w:line="360" w:lineRule="auto"/>
        <w:rPr>
          <w:rFonts w:ascii="Arial" w:hAnsi="Arial" w:cs="Arial"/>
          <w:sz w:val="24"/>
          <w:szCs w:val="24"/>
        </w:rPr>
      </w:pPr>
      <w:r>
        <w:rPr>
          <w:rFonts w:ascii="Arial" w:hAnsi="Arial" w:cs="Arial"/>
          <w:sz w:val="24"/>
          <w:szCs w:val="24"/>
        </w:rPr>
        <w:t>Levine, M. (1999), ‘</w:t>
      </w:r>
      <w:r w:rsidRPr="009915AA">
        <w:rPr>
          <w:rFonts w:ascii="Arial" w:hAnsi="Arial" w:cs="Arial"/>
          <w:i/>
          <w:iCs/>
          <w:sz w:val="24"/>
          <w:szCs w:val="24"/>
        </w:rPr>
        <w:t>Rethinking Bystander Non-</w:t>
      </w:r>
      <w:r>
        <w:rPr>
          <w:rFonts w:ascii="Arial" w:hAnsi="Arial" w:cs="Arial"/>
          <w:i/>
          <w:iCs/>
          <w:sz w:val="24"/>
          <w:szCs w:val="24"/>
        </w:rPr>
        <w:t>I</w:t>
      </w:r>
      <w:r w:rsidRPr="009915AA">
        <w:rPr>
          <w:rFonts w:ascii="Arial" w:hAnsi="Arial" w:cs="Arial"/>
          <w:i/>
          <w:iCs/>
          <w:sz w:val="24"/>
          <w:szCs w:val="24"/>
        </w:rPr>
        <w:t xml:space="preserve">ntervention: Social Categorization and the Evidence of Witnesses at the James Bulger Murder Trial’, </w:t>
      </w:r>
      <w:r>
        <w:rPr>
          <w:rFonts w:ascii="Arial" w:hAnsi="Arial" w:cs="Arial"/>
          <w:sz w:val="24"/>
          <w:szCs w:val="24"/>
        </w:rPr>
        <w:t xml:space="preserve">Springer, United States of America. </w:t>
      </w:r>
    </w:p>
    <w:p w14:paraId="066653A1" w14:textId="77777777" w:rsidR="00304630" w:rsidRDefault="00304630" w:rsidP="006D237C">
      <w:pPr>
        <w:spacing w:line="360" w:lineRule="auto"/>
        <w:rPr>
          <w:rFonts w:ascii="Arial" w:hAnsi="Arial" w:cs="Arial"/>
          <w:sz w:val="24"/>
          <w:szCs w:val="24"/>
        </w:rPr>
      </w:pPr>
      <w:r w:rsidRPr="00AA5CA2">
        <w:rPr>
          <w:rFonts w:ascii="Arial" w:hAnsi="Arial" w:cs="Arial"/>
          <w:sz w:val="24"/>
          <w:szCs w:val="24"/>
        </w:rPr>
        <w:t>Maisto, S.A</w:t>
      </w:r>
      <w:r>
        <w:rPr>
          <w:rFonts w:ascii="Arial" w:hAnsi="Arial" w:cs="Arial"/>
          <w:sz w:val="24"/>
          <w:szCs w:val="24"/>
        </w:rPr>
        <w:t>,</w:t>
      </w:r>
      <w:r w:rsidRPr="00AA5CA2">
        <w:rPr>
          <w:rFonts w:ascii="Arial" w:hAnsi="Arial" w:cs="Arial"/>
          <w:sz w:val="24"/>
          <w:szCs w:val="24"/>
        </w:rPr>
        <w:t xml:space="preserve"> Carey, K.B</w:t>
      </w:r>
      <w:r>
        <w:rPr>
          <w:rFonts w:ascii="Arial" w:hAnsi="Arial" w:cs="Arial"/>
          <w:sz w:val="24"/>
          <w:szCs w:val="24"/>
        </w:rPr>
        <w:t>, and</w:t>
      </w:r>
      <w:r w:rsidRPr="00AA5CA2">
        <w:rPr>
          <w:rFonts w:ascii="Arial" w:hAnsi="Arial" w:cs="Arial"/>
          <w:sz w:val="24"/>
          <w:szCs w:val="24"/>
        </w:rPr>
        <w:t xml:space="preserve"> Bradizza, C.M. (1999</w:t>
      </w:r>
      <w:r>
        <w:rPr>
          <w:rFonts w:ascii="Arial" w:hAnsi="Arial" w:cs="Arial"/>
          <w:sz w:val="24"/>
          <w:szCs w:val="24"/>
        </w:rPr>
        <w:t>),</w:t>
      </w:r>
      <w:r w:rsidRPr="00AA5CA2">
        <w:rPr>
          <w:rFonts w:ascii="Arial" w:hAnsi="Arial" w:cs="Arial"/>
          <w:sz w:val="24"/>
          <w:szCs w:val="24"/>
        </w:rPr>
        <w:t xml:space="preserve"> </w:t>
      </w:r>
      <w:r>
        <w:rPr>
          <w:rFonts w:ascii="Arial" w:hAnsi="Arial" w:cs="Arial"/>
          <w:sz w:val="24"/>
          <w:szCs w:val="24"/>
        </w:rPr>
        <w:t>‘</w:t>
      </w:r>
      <w:r w:rsidRPr="00AA5CA2">
        <w:rPr>
          <w:rFonts w:ascii="Arial" w:hAnsi="Arial" w:cs="Arial"/>
          <w:i/>
          <w:iCs/>
          <w:sz w:val="24"/>
          <w:szCs w:val="24"/>
        </w:rPr>
        <w:t>Social Learning Theory’,</w:t>
      </w:r>
      <w:r>
        <w:rPr>
          <w:rFonts w:ascii="Arial" w:hAnsi="Arial" w:cs="Arial"/>
          <w:sz w:val="24"/>
          <w:szCs w:val="24"/>
        </w:rPr>
        <w:t xml:space="preserve"> The Guilford Press, United States of America. </w:t>
      </w:r>
    </w:p>
    <w:p w14:paraId="1EA2F160" w14:textId="77777777" w:rsidR="00304630" w:rsidRDefault="00304630" w:rsidP="005A4B80">
      <w:pPr>
        <w:spacing w:line="360" w:lineRule="auto"/>
        <w:rPr>
          <w:rFonts w:ascii="Arial" w:hAnsi="Arial" w:cs="Arial"/>
          <w:sz w:val="24"/>
          <w:szCs w:val="24"/>
        </w:rPr>
      </w:pPr>
      <w:r>
        <w:rPr>
          <w:rFonts w:ascii="Arial" w:hAnsi="Arial" w:cs="Arial"/>
          <w:sz w:val="24"/>
          <w:szCs w:val="24"/>
        </w:rPr>
        <w:t>Marsh, I. (2006), ‘</w:t>
      </w:r>
      <w:r w:rsidRPr="005A4B80">
        <w:rPr>
          <w:rFonts w:ascii="Arial" w:hAnsi="Arial" w:cs="Arial"/>
          <w:i/>
          <w:iCs/>
          <w:sz w:val="24"/>
          <w:szCs w:val="24"/>
        </w:rPr>
        <w:t>Theories of Crime’,</w:t>
      </w:r>
      <w:r>
        <w:rPr>
          <w:rFonts w:ascii="Arial" w:hAnsi="Arial" w:cs="Arial"/>
          <w:sz w:val="24"/>
          <w:szCs w:val="24"/>
        </w:rPr>
        <w:t xml:space="preserve"> Routledge, London. </w:t>
      </w:r>
    </w:p>
    <w:p w14:paraId="6C12B7F4" w14:textId="77777777" w:rsidR="00304630" w:rsidRDefault="00304630" w:rsidP="006D237C">
      <w:pPr>
        <w:spacing w:line="360" w:lineRule="auto"/>
        <w:rPr>
          <w:rFonts w:ascii="Arial" w:hAnsi="Arial" w:cs="Arial"/>
          <w:sz w:val="24"/>
          <w:szCs w:val="24"/>
        </w:rPr>
      </w:pPr>
      <w:r>
        <w:rPr>
          <w:rFonts w:ascii="Arial" w:hAnsi="Arial" w:cs="Arial"/>
          <w:sz w:val="24"/>
          <w:szCs w:val="24"/>
        </w:rPr>
        <w:t>Matza, D. (1990), ‘</w:t>
      </w:r>
      <w:r w:rsidRPr="00E344F6">
        <w:rPr>
          <w:rFonts w:ascii="Arial" w:hAnsi="Arial" w:cs="Arial"/>
          <w:i/>
          <w:iCs/>
          <w:sz w:val="24"/>
          <w:szCs w:val="24"/>
        </w:rPr>
        <w:t>Delinquency and Drift’,</w:t>
      </w:r>
      <w:r>
        <w:rPr>
          <w:rFonts w:ascii="Arial" w:hAnsi="Arial" w:cs="Arial"/>
          <w:sz w:val="24"/>
          <w:szCs w:val="24"/>
        </w:rPr>
        <w:t xml:space="preserve"> Routledge, New York. </w:t>
      </w:r>
    </w:p>
    <w:p w14:paraId="252801CE" w14:textId="77777777" w:rsidR="00304630" w:rsidRPr="005C523B" w:rsidRDefault="00304630" w:rsidP="006D237C">
      <w:pPr>
        <w:spacing w:line="360" w:lineRule="auto"/>
        <w:rPr>
          <w:rFonts w:ascii="Arial" w:hAnsi="Arial" w:cs="Arial"/>
          <w:sz w:val="24"/>
          <w:szCs w:val="24"/>
        </w:rPr>
      </w:pPr>
      <w:r>
        <w:rPr>
          <w:rFonts w:ascii="Arial" w:hAnsi="Arial" w:cs="Arial"/>
          <w:sz w:val="24"/>
          <w:szCs w:val="24"/>
        </w:rPr>
        <w:lastRenderedPageBreak/>
        <w:t>Miller, J, Cohen, A and Bryant, K.M. (2012), ‘</w:t>
      </w:r>
      <w:r w:rsidRPr="00AE502F">
        <w:rPr>
          <w:rFonts w:ascii="Arial" w:hAnsi="Arial" w:cs="Arial"/>
          <w:i/>
          <w:iCs/>
          <w:sz w:val="24"/>
          <w:szCs w:val="24"/>
        </w:rPr>
        <w:t>On The Demise And Morrow Of Subculture Theories Of Crime And Delinquency’,</w:t>
      </w:r>
      <w:r>
        <w:rPr>
          <w:rFonts w:ascii="Arial" w:hAnsi="Arial" w:cs="Arial"/>
          <w:sz w:val="24"/>
          <w:szCs w:val="24"/>
        </w:rPr>
        <w:t xml:space="preserve"> Taylor and Francis, United States of America. </w:t>
      </w:r>
    </w:p>
    <w:p w14:paraId="0ADA008C" w14:textId="77777777" w:rsidR="00304630" w:rsidRDefault="00304630" w:rsidP="00BA7B3F">
      <w:pPr>
        <w:spacing w:line="360" w:lineRule="auto"/>
        <w:rPr>
          <w:rFonts w:ascii="Arial" w:hAnsi="Arial" w:cs="Arial"/>
          <w:sz w:val="24"/>
          <w:szCs w:val="24"/>
        </w:rPr>
      </w:pPr>
      <w:r>
        <w:rPr>
          <w:rFonts w:ascii="Arial" w:hAnsi="Arial" w:cs="Arial"/>
          <w:sz w:val="24"/>
          <w:szCs w:val="24"/>
        </w:rPr>
        <w:t>Milovanovic, D. (2010), ‘</w:t>
      </w:r>
      <w:r w:rsidRPr="004861E9">
        <w:rPr>
          <w:rFonts w:ascii="Arial" w:hAnsi="Arial" w:cs="Arial"/>
          <w:i/>
          <w:iCs/>
          <w:sz w:val="24"/>
          <w:szCs w:val="24"/>
        </w:rPr>
        <w:t>Postmodernist and Post-Structuralist Theories of Crime’,</w:t>
      </w:r>
      <w:r>
        <w:rPr>
          <w:rFonts w:ascii="Arial" w:hAnsi="Arial" w:cs="Arial"/>
          <w:sz w:val="24"/>
          <w:szCs w:val="24"/>
        </w:rPr>
        <w:t xml:space="preserve"> Routledge, London. </w:t>
      </w:r>
    </w:p>
    <w:p w14:paraId="6853C3FD" w14:textId="77777777" w:rsidR="00304630" w:rsidRDefault="00304630" w:rsidP="006D237C">
      <w:pPr>
        <w:spacing w:line="360" w:lineRule="auto"/>
        <w:rPr>
          <w:rFonts w:ascii="Arial" w:hAnsi="Arial" w:cs="Arial"/>
          <w:sz w:val="24"/>
          <w:szCs w:val="24"/>
        </w:rPr>
      </w:pPr>
      <w:r>
        <w:rPr>
          <w:rFonts w:ascii="Arial" w:hAnsi="Arial" w:cs="Arial"/>
          <w:sz w:val="24"/>
          <w:szCs w:val="24"/>
        </w:rPr>
        <w:t>Moore, M. (2011), ‘</w:t>
      </w:r>
      <w:r w:rsidRPr="007D0CFD">
        <w:rPr>
          <w:rFonts w:ascii="Arial" w:hAnsi="Arial" w:cs="Arial"/>
          <w:i/>
          <w:iCs/>
          <w:sz w:val="24"/>
          <w:szCs w:val="24"/>
        </w:rPr>
        <w:t>Psychological Theories of Crime and Delinquency’,</w:t>
      </w:r>
      <w:r>
        <w:rPr>
          <w:rFonts w:ascii="Arial" w:hAnsi="Arial" w:cs="Arial"/>
          <w:sz w:val="24"/>
          <w:szCs w:val="24"/>
        </w:rPr>
        <w:t xml:space="preserve"> Taylor and Francis, United Kingdom. </w:t>
      </w:r>
    </w:p>
    <w:p w14:paraId="7092A589" w14:textId="77777777" w:rsidR="00304630" w:rsidRDefault="00304630" w:rsidP="006D237C">
      <w:pPr>
        <w:spacing w:line="360" w:lineRule="auto"/>
        <w:rPr>
          <w:rFonts w:ascii="Arial" w:hAnsi="Arial" w:cs="Arial"/>
          <w:sz w:val="24"/>
          <w:szCs w:val="24"/>
        </w:rPr>
      </w:pPr>
      <w:r>
        <w:rPr>
          <w:rFonts w:ascii="Arial" w:hAnsi="Arial" w:cs="Arial"/>
          <w:sz w:val="24"/>
          <w:szCs w:val="24"/>
        </w:rPr>
        <w:t>Piquero, A.R. (2016), ‘</w:t>
      </w:r>
      <w:r w:rsidRPr="005F32E5">
        <w:rPr>
          <w:rFonts w:ascii="Arial" w:hAnsi="Arial" w:cs="Arial"/>
          <w:i/>
          <w:iCs/>
          <w:sz w:val="24"/>
          <w:szCs w:val="24"/>
        </w:rPr>
        <w:t>The Handbook of Criminological Theory’,</w:t>
      </w:r>
      <w:r>
        <w:rPr>
          <w:rFonts w:ascii="Arial" w:hAnsi="Arial" w:cs="Arial"/>
          <w:sz w:val="24"/>
          <w:szCs w:val="24"/>
        </w:rPr>
        <w:t xml:space="preserve"> Wiley, England. </w:t>
      </w:r>
    </w:p>
    <w:p w14:paraId="44E576CD" w14:textId="77777777" w:rsidR="00304630" w:rsidRDefault="00304630" w:rsidP="00BA7B3F">
      <w:pPr>
        <w:spacing w:line="360" w:lineRule="auto"/>
        <w:rPr>
          <w:rFonts w:ascii="Arial" w:hAnsi="Arial" w:cs="Arial"/>
          <w:sz w:val="24"/>
          <w:szCs w:val="24"/>
        </w:rPr>
      </w:pPr>
      <w:r>
        <w:rPr>
          <w:rFonts w:ascii="Arial" w:hAnsi="Arial" w:cs="Arial"/>
          <w:sz w:val="24"/>
          <w:szCs w:val="24"/>
        </w:rPr>
        <w:t>Ra</w:t>
      </w:r>
      <w:r w:rsidRPr="000B3D1A">
        <w:rPr>
          <w:rFonts w:ascii="Arial" w:hAnsi="Arial" w:cs="Arial"/>
          <w:sz w:val="24"/>
          <w:szCs w:val="24"/>
        </w:rPr>
        <w:t>fter, N</w:t>
      </w:r>
      <w:r>
        <w:rPr>
          <w:rFonts w:ascii="Arial" w:hAnsi="Arial" w:cs="Arial"/>
          <w:sz w:val="24"/>
          <w:szCs w:val="24"/>
        </w:rPr>
        <w:t>.</w:t>
      </w:r>
      <w:r w:rsidRPr="000B3D1A">
        <w:rPr>
          <w:rFonts w:ascii="Arial" w:hAnsi="Arial" w:cs="Arial"/>
          <w:sz w:val="24"/>
          <w:szCs w:val="24"/>
        </w:rPr>
        <w:t xml:space="preserve">H. (1997). </w:t>
      </w:r>
      <w:r>
        <w:rPr>
          <w:rFonts w:ascii="Arial" w:hAnsi="Arial" w:cs="Arial"/>
          <w:sz w:val="24"/>
          <w:szCs w:val="24"/>
        </w:rPr>
        <w:t>‘</w:t>
      </w:r>
      <w:r w:rsidRPr="000B3D1A">
        <w:rPr>
          <w:rFonts w:ascii="Arial" w:hAnsi="Arial" w:cs="Arial"/>
          <w:i/>
          <w:iCs/>
          <w:sz w:val="24"/>
          <w:szCs w:val="24"/>
        </w:rPr>
        <w:t>Creating Born Criminals’,</w:t>
      </w:r>
      <w:r>
        <w:rPr>
          <w:rFonts w:ascii="Arial" w:hAnsi="Arial" w:cs="Arial"/>
          <w:sz w:val="24"/>
          <w:szCs w:val="24"/>
        </w:rPr>
        <w:t xml:space="preserve"> University of Illinois, Illinois. </w:t>
      </w:r>
    </w:p>
    <w:p w14:paraId="320B5E08" w14:textId="77777777" w:rsidR="00304630" w:rsidRDefault="00304630" w:rsidP="00F3337B">
      <w:pPr>
        <w:spacing w:line="360" w:lineRule="auto"/>
        <w:rPr>
          <w:rFonts w:ascii="Arial" w:hAnsi="Arial" w:cs="Arial"/>
          <w:sz w:val="24"/>
          <w:szCs w:val="24"/>
        </w:rPr>
      </w:pPr>
      <w:r w:rsidRPr="00F3337B">
        <w:rPr>
          <w:rFonts w:ascii="Arial" w:hAnsi="Arial" w:cs="Arial"/>
          <w:sz w:val="24"/>
          <w:szCs w:val="24"/>
        </w:rPr>
        <w:t>Regan, L.</w:t>
      </w:r>
      <w:r>
        <w:rPr>
          <w:rFonts w:ascii="Arial" w:hAnsi="Arial" w:cs="Arial"/>
          <w:sz w:val="24"/>
          <w:szCs w:val="24"/>
        </w:rPr>
        <w:t xml:space="preserve">J. </w:t>
      </w:r>
      <w:r w:rsidRPr="00F3337B">
        <w:rPr>
          <w:rFonts w:ascii="Arial" w:hAnsi="Arial" w:cs="Arial"/>
          <w:sz w:val="24"/>
          <w:szCs w:val="24"/>
        </w:rPr>
        <w:t>(1997)</w:t>
      </w:r>
      <w:r>
        <w:rPr>
          <w:rFonts w:ascii="Arial" w:hAnsi="Arial" w:cs="Arial"/>
          <w:sz w:val="24"/>
          <w:szCs w:val="24"/>
        </w:rPr>
        <w:t>, ‘</w:t>
      </w:r>
      <w:r w:rsidRPr="00F3337B">
        <w:rPr>
          <w:rFonts w:ascii="Arial" w:hAnsi="Arial" w:cs="Arial"/>
          <w:i/>
          <w:iCs/>
          <w:sz w:val="24"/>
          <w:szCs w:val="24"/>
        </w:rPr>
        <w:t>When Abortion Was A Crime: Women, Medicine, And Law In The United States, 1867–1973’</w:t>
      </w:r>
      <w:r>
        <w:rPr>
          <w:rFonts w:ascii="Arial" w:hAnsi="Arial" w:cs="Arial"/>
          <w:sz w:val="24"/>
          <w:szCs w:val="24"/>
        </w:rPr>
        <w:t>,</w:t>
      </w:r>
      <w:r w:rsidRPr="00F3337B">
        <w:rPr>
          <w:rFonts w:ascii="Arial" w:hAnsi="Arial" w:cs="Arial"/>
          <w:sz w:val="24"/>
          <w:szCs w:val="24"/>
        </w:rPr>
        <w:t xml:space="preserve"> University of California</w:t>
      </w:r>
      <w:r>
        <w:rPr>
          <w:rFonts w:ascii="Arial" w:hAnsi="Arial" w:cs="Arial"/>
          <w:sz w:val="24"/>
          <w:szCs w:val="24"/>
        </w:rPr>
        <w:t xml:space="preserve">, California. </w:t>
      </w:r>
    </w:p>
    <w:p w14:paraId="79231E49" w14:textId="77777777" w:rsidR="00304630" w:rsidRDefault="00304630" w:rsidP="00582C84">
      <w:pPr>
        <w:spacing w:line="360" w:lineRule="auto"/>
        <w:rPr>
          <w:rFonts w:ascii="Arial" w:hAnsi="Arial" w:cs="Arial"/>
          <w:sz w:val="24"/>
          <w:szCs w:val="24"/>
        </w:rPr>
      </w:pPr>
      <w:r w:rsidRPr="00020DF3">
        <w:rPr>
          <w:rFonts w:ascii="Arial" w:hAnsi="Arial" w:cs="Arial"/>
          <w:sz w:val="24"/>
          <w:szCs w:val="24"/>
        </w:rPr>
        <w:t xml:space="preserve">Rosenheim, </w:t>
      </w:r>
      <w:r>
        <w:rPr>
          <w:rFonts w:ascii="Arial" w:hAnsi="Arial" w:cs="Arial"/>
          <w:sz w:val="24"/>
          <w:szCs w:val="24"/>
        </w:rPr>
        <w:t xml:space="preserve">M.K, </w:t>
      </w:r>
      <w:r w:rsidRPr="00020DF3">
        <w:rPr>
          <w:rFonts w:ascii="Arial" w:hAnsi="Arial" w:cs="Arial"/>
          <w:sz w:val="24"/>
          <w:szCs w:val="24"/>
        </w:rPr>
        <w:t xml:space="preserve">Zimring, </w:t>
      </w:r>
      <w:r>
        <w:rPr>
          <w:rFonts w:ascii="Arial" w:hAnsi="Arial" w:cs="Arial"/>
          <w:sz w:val="24"/>
          <w:szCs w:val="24"/>
        </w:rPr>
        <w:t xml:space="preserve">F.E, </w:t>
      </w:r>
      <w:r w:rsidRPr="00020DF3">
        <w:rPr>
          <w:rFonts w:ascii="Arial" w:hAnsi="Arial" w:cs="Arial"/>
          <w:sz w:val="24"/>
          <w:szCs w:val="24"/>
        </w:rPr>
        <w:t>Tanenhaus</w:t>
      </w:r>
      <w:r>
        <w:rPr>
          <w:rFonts w:ascii="Arial" w:hAnsi="Arial" w:cs="Arial"/>
          <w:sz w:val="24"/>
          <w:szCs w:val="24"/>
        </w:rPr>
        <w:t xml:space="preserve">, D.S and Dohrn, B. (2002), </w:t>
      </w:r>
      <w:r w:rsidRPr="006D237C">
        <w:rPr>
          <w:rFonts w:ascii="Arial" w:hAnsi="Arial" w:cs="Arial"/>
          <w:i/>
          <w:iCs/>
          <w:sz w:val="24"/>
          <w:szCs w:val="24"/>
        </w:rPr>
        <w:t>‘A Century of Juvenile Justice’,</w:t>
      </w:r>
      <w:r>
        <w:rPr>
          <w:rFonts w:ascii="Arial" w:hAnsi="Arial" w:cs="Arial"/>
          <w:sz w:val="24"/>
          <w:szCs w:val="24"/>
        </w:rPr>
        <w:t xml:space="preserve"> University of Chicago, Chicago. </w:t>
      </w:r>
    </w:p>
    <w:p w14:paraId="534DDE5D" w14:textId="77777777" w:rsidR="00304630" w:rsidRDefault="00304630" w:rsidP="00BA7B3F">
      <w:pPr>
        <w:spacing w:line="360" w:lineRule="auto"/>
        <w:rPr>
          <w:rFonts w:ascii="Arial" w:hAnsi="Arial" w:cs="Arial"/>
          <w:sz w:val="24"/>
          <w:szCs w:val="24"/>
        </w:rPr>
      </w:pPr>
      <w:r>
        <w:rPr>
          <w:rFonts w:ascii="Arial" w:hAnsi="Arial" w:cs="Arial"/>
          <w:sz w:val="24"/>
          <w:szCs w:val="24"/>
        </w:rPr>
        <w:t>Rothman, D.J. (2002), ‘</w:t>
      </w:r>
      <w:r w:rsidRPr="00BA7B3F">
        <w:rPr>
          <w:rFonts w:ascii="Arial" w:hAnsi="Arial" w:cs="Arial"/>
          <w:i/>
          <w:iCs/>
          <w:sz w:val="24"/>
          <w:szCs w:val="24"/>
        </w:rPr>
        <w:t>The Discovery Of The Asylum: Social Order And Disorder In The New Republic’,</w:t>
      </w:r>
      <w:r>
        <w:rPr>
          <w:rFonts w:ascii="Arial" w:hAnsi="Arial" w:cs="Arial"/>
          <w:sz w:val="24"/>
          <w:szCs w:val="24"/>
        </w:rPr>
        <w:t xml:space="preserve"> Routledge, New York. </w:t>
      </w:r>
    </w:p>
    <w:p w14:paraId="6D587BC3" w14:textId="77777777" w:rsidR="00304630" w:rsidRDefault="00304630" w:rsidP="001B2C1C">
      <w:pPr>
        <w:spacing w:line="360" w:lineRule="auto"/>
        <w:rPr>
          <w:rFonts w:ascii="Arial" w:hAnsi="Arial" w:cs="Arial"/>
          <w:sz w:val="24"/>
          <w:szCs w:val="24"/>
        </w:rPr>
      </w:pPr>
      <w:r w:rsidRPr="001B2C1C">
        <w:rPr>
          <w:rFonts w:ascii="Arial" w:hAnsi="Arial" w:cs="Arial"/>
          <w:sz w:val="24"/>
          <w:szCs w:val="24"/>
        </w:rPr>
        <w:t xml:space="preserve">Rousseaux, X. (1996). </w:t>
      </w:r>
      <w:r>
        <w:rPr>
          <w:rFonts w:ascii="Arial" w:hAnsi="Arial" w:cs="Arial"/>
          <w:sz w:val="24"/>
          <w:szCs w:val="24"/>
        </w:rPr>
        <w:t>‘</w:t>
      </w:r>
      <w:r w:rsidRPr="001B2C1C">
        <w:rPr>
          <w:rFonts w:ascii="Arial" w:hAnsi="Arial" w:cs="Arial"/>
          <w:i/>
          <w:iCs/>
          <w:sz w:val="24"/>
          <w:szCs w:val="24"/>
        </w:rPr>
        <w:t>Crime History And Histories Of Crime: Studies In The Historiography Of Crime And Criminal Justice In Modern History’,</w:t>
      </w:r>
      <w:r>
        <w:rPr>
          <w:rFonts w:ascii="Arial" w:hAnsi="Arial" w:cs="Arial"/>
          <w:sz w:val="24"/>
          <w:szCs w:val="24"/>
        </w:rPr>
        <w:t xml:space="preserve"> Greenwood, Westport. </w:t>
      </w:r>
    </w:p>
    <w:p w14:paraId="7690C9D8" w14:textId="77777777" w:rsidR="00304630" w:rsidRDefault="00304630" w:rsidP="001B2C1C">
      <w:pPr>
        <w:spacing w:line="360" w:lineRule="auto"/>
        <w:rPr>
          <w:rFonts w:ascii="Arial" w:hAnsi="Arial" w:cs="Arial"/>
          <w:sz w:val="24"/>
          <w:szCs w:val="24"/>
        </w:rPr>
      </w:pPr>
      <w:r w:rsidRPr="001B2C1C">
        <w:rPr>
          <w:rFonts w:ascii="Arial" w:hAnsi="Arial" w:cs="Arial"/>
          <w:sz w:val="24"/>
          <w:szCs w:val="24"/>
        </w:rPr>
        <w:t>Scarpitti, F</w:t>
      </w:r>
      <w:r>
        <w:rPr>
          <w:rFonts w:ascii="Arial" w:hAnsi="Arial" w:cs="Arial"/>
          <w:sz w:val="24"/>
          <w:szCs w:val="24"/>
        </w:rPr>
        <w:t xml:space="preserve">.R and </w:t>
      </w:r>
      <w:r w:rsidRPr="001B2C1C">
        <w:rPr>
          <w:rFonts w:ascii="Arial" w:hAnsi="Arial" w:cs="Arial"/>
          <w:sz w:val="24"/>
          <w:szCs w:val="24"/>
        </w:rPr>
        <w:t>Nielsen, A.</w:t>
      </w:r>
      <w:r>
        <w:rPr>
          <w:rFonts w:ascii="Arial" w:hAnsi="Arial" w:cs="Arial"/>
          <w:sz w:val="24"/>
          <w:szCs w:val="24"/>
        </w:rPr>
        <w:t xml:space="preserve">L </w:t>
      </w:r>
      <w:r w:rsidRPr="001B2C1C">
        <w:rPr>
          <w:rFonts w:ascii="Arial" w:hAnsi="Arial" w:cs="Arial"/>
          <w:sz w:val="24"/>
          <w:szCs w:val="24"/>
        </w:rPr>
        <w:t>(1999)</w:t>
      </w:r>
      <w:r>
        <w:rPr>
          <w:rFonts w:ascii="Arial" w:hAnsi="Arial" w:cs="Arial"/>
          <w:sz w:val="24"/>
          <w:szCs w:val="24"/>
        </w:rPr>
        <w:t>, ‘</w:t>
      </w:r>
      <w:r w:rsidRPr="001B2C1C">
        <w:rPr>
          <w:rFonts w:ascii="Arial" w:hAnsi="Arial" w:cs="Arial"/>
          <w:i/>
          <w:iCs/>
          <w:sz w:val="24"/>
          <w:szCs w:val="24"/>
        </w:rPr>
        <w:t>Crime And Criminals: Contemporary And Classic Readings’</w:t>
      </w:r>
      <w:r>
        <w:rPr>
          <w:rFonts w:ascii="Arial" w:hAnsi="Arial" w:cs="Arial"/>
          <w:sz w:val="24"/>
          <w:szCs w:val="24"/>
        </w:rPr>
        <w:t xml:space="preserve">, </w:t>
      </w:r>
      <w:r w:rsidRPr="001B2C1C">
        <w:rPr>
          <w:rFonts w:ascii="Arial" w:hAnsi="Arial" w:cs="Arial"/>
          <w:sz w:val="24"/>
          <w:szCs w:val="24"/>
        </w:rPr>
        <w:t>Roxbury</w:t>
      </w:r>
      <w:r>
        <w:rPr>
          <w:rFonts w:ascii="Arial" w:hAnsi="Arial" w:cs="Arial"/>
          <w:sz w:val="24"/>
          <w:szCs w:val="24"/>
        </w:rPr>
        <w:t xml:space="preserve">, Los Angeles. </w:t>
      </w:r>
    </w:p>
    <w:p w14:paraId="2B9C53CA" w14:textId="77777777" w:rsidR="00304630" w:rsidRDefault="00304630" w:rsidP="00582C84">
      <w:pPr>
        <w:spacing w:line="360" w:lineRule="auto"/>
        <w:rPr>
          <w:rFonts w:ascii="Arial" w:hAnsi="Arial" w:cs="Arial"/>
          <w:sz w:val="24"/>
          <w:szCs w:val="24"/>
        </w:rPr>
      </w:pPr>
      <w:r>
        <w:rPr>
          <w:rFonts w:ascii="Arial" w:hAnsi="Arial" w:cs="Arial"/>
          <w:sz w:val="24"/>
          <w:szCs w:val="24"/>
        </w:rPr>
        <w:t>Sheppard, A. (2013), ‘</w:t>
      </w:r>
      <w:r w:rsidRPr="00582C84">
        <w:rPr>
          <w:rFonts w:ascii="Arial" w:hAnsi="Arial" w:cs="Arial"/>
          <w:i/>
          <w:iCs/>
          <w:sz w:val="24"/>
          <w:szCs w:val="24"/>
        </w:rPr>
        <w:t>Transforming Troubled Lives’,</w:t>
      </w:r>
      <w:r>
        <w:rPr>
          <w:rFonts w:ascii="Arial" w:hAnsi="Arial" w:cs="Arial"/>
          <w:sz w:val="24"/>
          <w:szCs w:val="24"/>
        </w:rPr>
        <w:t xml:space="preserve"> Routledge, United Kingdom.</w:t>
      </w:r>
    </w:p>
    <w:p w14:paraId="27472AA6" w14:textId="77777777" w:rsidR="00304630" w:rsidRDefault="00304630" w:rsidP="006D237C">
      <w:pPr>
        <w:spacing w:line="360" w:lineRule="auto"/>
        <w:rPr>
          <w:rFonts w:ascii="Arial" w:hAnsi="Arial" w:cs="Arial"/>
          <w:sz w:val="24"/>
          <w:szCs w:val="24"/>
        </w:rPr>
      </w:pPr>
      <w:r>
        <w:rPr>
          <w:rFonts w:ascii="Arial" w:hAnsi="Arial" w:cs="Arial"/>
          <w:sz w:val="24"/>
          <w:szCs w:val="24"/>
        </w:rPr>
        <w:t>Shoemaker, D.J. (2018), ‘</w:t>
      </w:r>
      <w:r w:rsidRPr="00D95513">
        <w:rPr>
          <w:rFonts w:ascii="Arial" w:hAnsi="Arial" w:cs="Arial"/>
          <w:i/>
          <w:iCs/>
          <w:sz w:val="24"/>
          <w:szCs w:val="24"/>
        </w:rPr>
        <w:t>Theories of Delinquency: An Examination of Explanations of Delinquent Behaviour’,</w:t>
      </w:r>
      <w:r>
        <w:rPr>
          <w:rFonts w:ascii="Arial" w:hAnsi="Arial" w:cs="Arial"/>
          <w:sz w:val="24"/>
          <w:szCs w:val="24"/>
        </w:rPr>
        <w:t xml:space="preserve"> Oxford University Press, Oxford. </w:t>
      </w:r>
    </w:p>
    <w:p w14:paraId="703BF9F8" w14:textId="77777777" w:rsidR="00304630" w:rsidRDefault="00304630" w:rsidP="006D237C">
      <w:pPr>
        <w:spacing w:line="360" w:lineRule="auto"/>
        <w:rPr>
          <w:rFonts w:ascii="Arial" w:hAnsi="Arial" w:cs="Arial"/>
          <w:sz w:val="24"/>
          <w:szCs w:val="24"/>
        </w:rPr>
      </w:pPr>
      <w:r>
        <w:rPr>
          <w:rFonts w:ascii="Arial" w:hAnsi="Arial" w:cs="Arial"/>
          <w:sz w:val="24"/>
          <w:szCs w:val="24"/>
        </w:rPr>
        <w:t>Smith, D. (2006), ‘</w:t>
      </w:r>
      <w:r w:rsidRPr="006D237C">
        <w:rPr>
          <w:rFonts w:ascii="Arial" w:hAnsi="Arial" w:cs="Arial"/>
          <w:i/>
          <w:iCs/>
          <w:sz w:val="24"/>
          <w:szCs w:val="24"/>
        </w:rPr>
        <w:t>School Experience And Delinquency At Ages 13 To 16</w:t>
      </w:r>
      <w:r>
        <w:rPr>
          <w:rFonts w:ascii="Arial" w:hAnsi="Arial" w:cs="Arial"/>
          <w:i/>
          <w:iCs/>
          <w:sz w:val="24"/>
          <w:szCs w:val="24"/>
        </w:rPr>
        <w:t xml:space="preserve">’, </w:t>
      </w:r>
      <w:r>
        <w:rPr>
          <w:rFonts w:ascii="Arial" w:hAnsi="Arial" w:cs="Arial"/>
          <w:sz w:val="24"/>
          <w:szCs w:val="24"/>
        </w:rPr>
        <w:t xml:space="preserve">University of Edinburgh, Edinburgh. </w:t>
      </w:r>
    </w:p>
    <w:p w14:paraId="47F18CDD" w14:textId="77777777" w:rsidR="00304630" w:rsidRDefault="00304630" w:rsidP="006D237C">
      <w:pPr>
        <w:spacing w:line="360" w:lineRule="auto"/>
        <w:rPr>
          <w:rFonts w:ascii="Arial" w:hAnsi="Arial" w:cs="Arial"/>
          <w:sz w:val="24"/>
          <w:szCs w:val="24"/>
        </w:rPr>
      </w:pPr>
      <w:r>
        <w:rPr>
          <w:rFonts w:ascii="Arial" w:hAnsi="Arial" w:cs="Arial"/>
          <w:sz w:val="24"/>
          <w:szCs w:val="24"/>
        </w:rPr>
        <w:t>The Guardian. (2000), ‘</w:t>
      </w:r>
      <w:r w:rsidRPr="00BD26F2">
        <w:rPr>
          <w:rFonts w:ascii="Arial" w:hAnsi="Arial" w:cs="Arial"/>
          <w:i/>
          <w:iCs/>
          <w:sz w:val="24"/>
          <w:szCs w:val="24"/>
        </w:rPr>
        <w:t>Did Bad Parenting Really Turn These Boys Into Killers?’,</w:t>
      </w:r>
      <w:r>
        <w:rPr>
          <w:rFonts w:ascii="Arial" w:hAnsi="Arial" w:cs="Arial"/>
          <w:sz w:val="24"/>
          <w:szCs w:val="24"/>
        </w:rPr>
        <w:t xml:space="preserve"> available at: </w:t>
      </w:r>
      <w:hyperlink r:id="rId4" w:history="1">
        <w:r w:rsidRPr="0095503D">
          <w:rPr>
            <w:rStyle w:val="Hyperlink"/>
            <w:rFonts w:ascii="Arial" w:hAnsi="Arial" w:cs="Arial"/>
            <w:sz w:val="24"/>
            <w:szCs w:val="24"/>
          </w:rPr>
          <w:t>https://www.theguardian.com/uk/2000/nov/01/bulger.familyandrelationships</w:t>
        </w:r>
      </w:hyperlink>
      <w:r>
        <w:rPr>
          <w:rFonts w:ascii="Arial" w:hAnsi="Arial" w:cs="Arial"/>
          <w:sz w:val="24"/>
          <w:szCs w:val="24"/>
        </w:rPr>
        <w:t>, accessed on (22</w:t>
      </w:r>
      <w:r w:rsidRPr="00BD26F2">
        <w:rPr>
          <w:rFonts w:ascii="Arial" w:hAnsi="Arial" w:cs="Arial"/>
          <w:sz w:val="24"/>
          <w:szCs w:val="24"/>
          <w:vertAlign w:val="superscript"/>
        </w:rPr>
        <w:t>nd</w:t>
      </w:r>
      <w:r>
        <w:rPr>
          <w:rFonts w:ascii="Arial" w:hAnsi="Arial" w:cs="Arial"/>
          <w:sz w:val="24"/>
          <w:szCs w:val="24"/>
        </w:rPr>
        <w:t xml:space="preserve"> February 2022). </w:t>
      </w:r>
    </w:p>
    <w:p w14:paraId="18B5D82C" w14:textId="77777777" w:rsidR="00304630" w:rsidRDefault="00304630" w:rsidP="006D237C">
      <w:pPr>
        <w:spacing w:line="360" w:lineRule="auto"/>
        <w:rPr>
          <w:rFonts w:ascii="Arial" w:hAnsi="Arial" w:cs="Arial"/>
          <w:sz w:val="24"/>
          <w:szCs w:val="24"/>
        </w:rPr>
      </w:pPr>
      <w:r>
        <w:rPr>
          <w:rFonts w:ascii="Arial" w:hAnsi="Arial" w:cs="Arial"/>
          <w:sz w:val="24"/>
          <w:szCs w:val="24"/>
        </w:rPr>
        <w:lastRenderedPageBreak/>
        <w:t>Williams, F.P and McShane, M.D. (2015), ‘</w:t>
      </w:r>
      <w:r w:rsidRPr="005C523B">
        <w:rPr>
          <w:rFonts w:ascii="Arial" w:hAnsi="Arial" w:cs="Arial"/>
          <w:i/>
          <w:iCs/>
          <w:sz w:val="24"/>
          <w:szCs w:val="24"/>
        </w:rPr>
        <w:t xml:space="preserve">Criminology Theory: Selected Classic Readings’, </w:t>
      </w:r>
      <w:r>
        <w:rPr>
          <w:rFonts w:ascii="Arial" w:hAnsi="Arial" w:cs="Arial"/>
          <w:sz w:val="24"/>
          <w:szCs w:val="24"/>
        </w:rPr>
        <w:t xml:space="preserve">second edition, Routledge, New York. </w:t>
      </w:r>
    </w:p>
    <w:sectPr w:rsidR="00304630" w:rsidSect="004D1CF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CF3"/>
    <w:rsid w:val="00020DF3"/>
    <w:rsid w:val="00027EB0"/>
    <w:rsid w:val="00074CCD"/>
    <w:rsid w:val="000B3D1A"/>
    <w:rsid w:val="000B5855"/>
    <w:rsid w:val="000D0CA1"/>
    <w:rsid w:val="000E5614"/>
    <w:rsid w:val="00113422"/>
    <w:rsid w:val="001414DA"/>
    <w:rsid w:val="00163E45"/>
    <w:rsid w:val="001966C0"/>
    <w:rsid w:val="001A14AF"/>
    <w:rsid w:val="001B2C1C"/>
    <w:rsid w:val="001C7F62"/>
    <w:rsid w:val="001D4EB3"/>
    <w:rsid w:val="002A2CB1"/>
    <w:rsid w:val="002A78CF"/>
    <w:rsid w:val="002A7F55"/>
    <w:rsid w:val="00304630"/>
    <w:rsid w:val="00365103"/>
    <w:rsid w:val="003924BF"/>
    <w:rsid w:val="003925D8"/>
    <w:rsid w:val="004004D5"/>
    <w:rsid w:val="00414E2A"/>
    <w:rsid w:val="004519D4"/>
    <w:rsid w:val="004608D5"/>
    <w:rsid w:val="004630B3"/>
    <w:rsid w:val="0047366A"/>
    <w:rsid w:val="004861E9"/>
    <w:rsid w:val="004903AF"/>
    <w:rsid w:val="004C468E"/>
    <w:rsid w:val="004D1CF3"/>
    <w:rsid w:val="00511A84"/>
    <w:rsid w:val="0057449B"/>
    <w:rsid w:val="00582C84"/>
    <w:rsid w:val="005A4B80"/>
    <w:rsid w:val="005C523B"/>
    <w:rsid w:val="005F32E5"/>
    <w:rsid w:val="00601D3B"/>
    <w:rsid w:val="00613DDC"/>
    <w:rsid w:val="00646222"/>
    <w:rsid w:val="006D237C"/>
    <w:rsid w:val="007059B5"/>
    <w:rsid w:val="007221DE"/>
    <w:rsid w:val="007432B1"/>
    <w:rsid w:val="00757BAD"/>
    <w:rsid w:val="0077201C"/>
    <w:rsid w:val="007D0CFD"/>
    <w:rsid w:val="007E775F"/>
    <w:rsid w:val="00843EEA"/>
    <w:rsid w:val="00846C60"/>
    <w:rsid w:val="00897B25"/>
    <w:rsid w:val="008B7969"/>
    <w:rsid w:val="008E74DE"/>
    <w:rsid w:val="0093160A"/>
    <w:rsid w:val="00954B75"/>
    <w:rsid w:val="009915AA"/>
    <w:rsid w:val="009A0FD1"/>
    <w:rsid w:val="009C0BF3"/>
    <w:rsid w:val="00A20D0F"/>
    <w:rsid w:val="00A864E7"/>
    <w:rsid w:val="00A90807"/>
    <w:rsid w:val="00AA5CA2"/>
    <w:rsid w:val="00AB74A5"/>
    <w:rsid w:val="00AC507A"/>
    <w:rsid w:val="00AE502F"/>
    <w:rsid w:val="00B05C1C"/>
    <w:rsid w:val="00B22338"/>
    <w:rsid w:val="00B42477"/>
    <w:rsid w:val="00B67796"/>
    <w:rsid w:val="00B8338A"/>
    <w:rsid w:val="00B92C40"/>
    <w:rsid w:val="00BA7B3F"/>
    <w:rsid w:val="00BC0E32"/>
    <w:rsid w:val="00BC2B21"/>
    <w:rsid w:val="00BD26F2"/>
    <w:rsid w:val="00BE786D"/>
    <w:rsid w:val="00C11E20"/>
    <w:rsid w:val="00C15A23"/>
    <w:rsid w:val="00C20440"/>
    <w:rsid w:val="00C41532"/>
    <w:rsid w:val="00C903B9"/>
    <w:rsid w:val="00CB65EA"/>
    <w:rsid w:val="00CE2F41"/>
    <w:rsid w:val="00D06F80"/>
    <w:rsid w:val="00D45CBF"/>
    <w:rsid w:val="00D52EA5"/>
    <w:rsid w:val="00D95513"/>
    <w:rsid w:val="00DA7F94"/>
    <w:rsid w:val="00DF0E0C"/>
    <w:rsid w:val="00E078D2"/>
    <w:rsid w:val="00E215C8"/>
    <w:rsid w:val="00E344F6"/>
    <w:rsid w:val="00E43A8F"/>
    <w:rsid w:val="00E83FDC"/>
    <w:rsid w:val="00EC6AF9"/>
    <w:rsid w:val="00EE2DED"/>
    <w:rsid w:val="00EF245A"/>
    <w:rsid w:val="00F3337B"/>
    <w:rsid w:val="00F65C5B"/>
    <w:rsid w:val="00F903A1"/>
    <w:rsid w:val="00F911D8"/>
    <w:rsid w:val="00F93099"/>
    <w:rsid w:val="00FE2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9E155"/>
  <w15:chartTrackingRefBased/>
  <w15:docId w15:val="{D10738B9-88B0-46A5-A3D9-55A1E07B2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1C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1CF3"/>
    <w:rPr>
      <w:rFonts w:eastAsiaTheme="minorEastAsia"/>
      <w:lang w:val="en-US"/>
    </w:rPr>
  </w:style>
  <w:style w:type="character" w:styleId="Hyperlink">
    <w:name w:val="Hyperlink"/>
    <w:basedOn w:val="DefaultParagraphFont"/>
    <w:uiPriority w:val="99"/>
    <w:unhideWhenUsed/>
    <w:rsid w:val="00B22338"/>
    <w:rPr>
      <w:color w:val="0563C1" w:themeColor="hyperlink"/>
      <w:u w:val="single"/>
    </w:rPr>
  </w:style>
  <w:style w:type="character" w:styleId="UnresolvedMention">
    <w:name w:val="Unresolved Mention"/>
    <w:basedOn w:val="DefaultParagraphFont"/>
    <w:uiPriority w:val="99"/>
    <w:semiHidden/>
    <w:unhideWhenUsed/>
    <w:rsid w:val="00B22338"/>
    <w:rPr>
      <w:color w:val="605E5C"/>
      <w:shd w:val="clear" w:color="auto" w:fill="E1DFDD"/>
    </w:rPr>
  </w:style>
  <w:style w:type="character" w:styleId="FollowedHyperlink">
    <w:name w:val="FollowedHyperlink"/>
    <w:basedOn w:val="DefaultParagraphFont"/>
    <w:uiPriority w:val="99"/>
    <w:semiHidden/>
    <w:unhideWhenUsed/>
    <w:rsid w:val="001D4EB3"/>
    <w:rPr>
      <w:color w:val="954F72" w:themeColor="followedHyperlink"/>
      <w:u w:val="single"/>
    </w:rPr>
  </w:style>
  <w:style w:type="character" w:styleId="CommentReference">
    <w:name w:val="annotation reference"/>
    <w:basedOn w:val="DefaultParagraphFont"/>
    <w:uiPriority w:val="99"/>
    <w:semiHidden/>
    <w:unhideWhenUsed/>
    <w:rsid w:val="000D0CA1"/>
    <w:rPr>
      <w:sz w:val="16"/>
      <w:szCs w:val="16"/>
    </w:rPr>
  </w:style>
  <w:style w:type="paragraph" w:styleId="CommentText">
    <w:name w:val="annotation text"/>
    <w:basedOn w:val="Normal"/>
    <w:link w:val="CommentTextChar"/>
    <w:uiPriority w:val="99"/>
    <w:semiHidden/>
    <w:unhideWhenUsed/>
    <w:rsid w:val="000D0CA1"/>
    <w:pPr>
      <w:spacing w:line="240" w:lineRule="auto"/>
    </w:pPr>
    <w:rPr>
      <w:sz w:val="20"/>
      <w:szCs w:val="20"/>
    </w:rPr>
  </w:style>
  <w:style w:type="character" w:customStyle="1" w:styleId="CommentTextChar">
    <w:name w:val="Comment Text Char"/>
    <w:basedOn w:val="DefaultParagraphFont"/>
    <w:link w:val="CommentText"/>
    <w:uiPriority w:val="99"/>
    <w:semiHidden/>
    <w:rsid w:val="000D0CA1"/>
    <w:rPr>
      <w:sz w:val="20"/>
      <w:szCs w:val="20"/>
    </w:rPr>
  </w:style>
  <w:style w:type="paragraph" w:styleId="CommentSubject">
    <w:name w:val="annotation subject"/>
    <w:basedOn w:val="CommentText"/>
    <w:next w:val="CommentText"/>
    <w:link w:val="CommentSubjectChar"/>
    <w:uiPriority w:val="99"/>
    <w:semiHidden/>
    <w:unhideWhenUsed/>
    <w:rsid w:val="000D0CA1"/>
    <w:rPr>
      <w:b/>
      <w:bCs/>
    </w:rPr>
  </w:style>
  <w:style w:type="character" w:customStyle="1" w:styleId="CommentSubjectChar">
    <w:name w:val="Comment Subject Char"/>
    <w:basedOn w:val="CommentTextChar"/>
    <w:link w:val="CommentSubject"/>
    <w:uiPriority w:val="99"/>
    <w:semiHidden/>
    <w:rsid w:val="000D0CA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guardian.com/uk/2000/nov/01/bulger.familyandrelation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1894</TotalTime>
  <Pages>13</Pages>
  <Words>3624</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Historical theories of crime</vt:lpstr>
    </vt:vector>
  </TitlesOfParts>
  <Company>Word Count: 2860</Company>
  <LinksUpToDate>false</LinksUpToDate>
  <CharactersWithSpaces>24239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Historical theories of crime</dc:title>
  <dc:subject>Policing Powers, Models and Society</dc:subject>
  <dc:creator>Sophia Ivens</dc:creator>
  <cp:keywords/>
  <dc:description/>
  <cp:lastModifiedBy>Sophia Ivens</cp:lastModifiedBy>
  <cp:revision>54</cp:revision>
  <dcterms:created xsi:type="dcterms:W3CDTF">2022-02-15T13:30:00Z</dcterms:created>
  <dcterms:modified xsi:type="dcterms:W3CDTF">2022-03-04T12:32:00Z</dcterms:modified>
  <cp:category>Sophia Ivens 1801465</cp:category>
</cp:coreProperties>
</file>