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704EA" w14:textId="77777777" w:rsidR="000C26C7" w:rsidRPr="00E80AFE" w:rsidRDefault="000C26C7" w:rsidP="000C26C7">
      <w:pPr>
        <w:spacing w:after="0"/>
        <w:rPr>
          <w:rFonts w:ascii="Arial" w:hAnsi="Arial" w:cs="Arial"/>
          <w:sz w:val="22"/>
          <w:szCs w:val="22"/>
        </w:rPr>
      </w:pPr>
      <w:r w:rsidRPr="00E80AFE">
        <w:rPr>
          <w:rFonts w:ascii="Arial" w:hAnsi="Arial" w:cs="Arial"/>
          <w:sz w:val="22"/>
          <w:szCs w:val="22"/>
        </w:rPr>
        <w:t xml:space="preserve">Name: Benjamin Lewis </w:t>
      </w:r>
    </w:p>
    <w:p w14:paraId="36F45854" w14:textId="77777777" w:rsidR="000C26C7" w:rsidRPr="00E80AFE" w:rsidRDefault="000C26C7" w:rsidP="000C26C7">
      <w:pPr>
        <w:spacing w:after="0"/>
        <w:rPr>
          <w:rFonts w:ascii="Arial" w:hAnsi="Arial" w:cs="Arial"/>
          <w:sz w:val="22"/>
          <w:szCs w:val="22"/>
        </w:rPr>
      </w:pPr>
      <w:r w:rsidRPr="00E80AFE">
        <w:rPr>
          <w:rFonts w:ascii="Arial" w:hAnsi="Arial" w:cs="Arial"/>
          <w:sz w:val="22"/>
          <w:szCs w:val="22"/>
        </w:rPr>
        <w:t>Student Number: 1550808</w:t>
      </w:r>
    </w:p>
    <w:p w14:paraId="56ED67C1" w14:textId="77777777" w:rsidR="000C26C7" w:rsidRPr="00E80AFE" w:rsidRDefault="000C26C7" w:rsidP="000C26C7">
      <w:pPr>
        <w:spacing w:after="0"/>
        <w:rPr>
          <w:rFonts w:ascii="Arial" w:hAnsi="Arial" w:cs="Arial"/>
          <w:sz w:val="22"/>
          <w:szCs w:val="22"/>
        </w:rPr>
      </w:pPr>
      <w:r w:rsidRPr="00E80AFE">
        <w:rPr>
          <w:rFonts w:ascii="Arial" w:hAnsi="Arial" w:cs="Arial"/>
          <w:sz w:val="22"/>
          <w:szCs w:val="22"/>
        </w:rPr>
        <w:t>Module Code: ACBA5018</w:t>
      </w:r>
    </w:p>
    <w:p w14:paraId="1F5FCDF8" w14:textId="1902D3BA" w:rsidR="00294CA0" w:rsidRPr="00E80AFE" w:rsidRDefault="000C26C7" w:rsidP="006B51CC">
      <w:pPr>
        <w:spacing w:after="0"/>
        <w:rPr>
          <w:rFonts w:ascii="Arial" w:hAnsi="Arial" w:cs="Arial"/>
          <w:sz w:val="22"/>
          <w:szCs w:val="22"/>
        </w:rPr>
      </w:pPr>
      <w:r w:rsidRPr="00E80AFE">
        <w:rPr>
          <w:rFonts w:ascii="Arial" w:hAnsi="Arial" w:cs="Arial"/>
          <w:sz w:val="22"/>
          <w:szCs w:val="22"/>
        </w:rPr>
        <w:t>Assignment Title: Business Portfolio</w:t>
      </w:r>
    </w:p>
    <w:p w14:paraId="38F30596" w14:textId="77777777" w:rsidR="0088502A" w:rsidRDefault="0088502A" w:rsidP="00294CA0">
      <w:pPr>
        <w:ind w:left="720"/>
        <w:jc w:val="right"/>
        <w:rPr>
          <w:rFonts w:ascii="Arial" w:hAnsi="Arial" w:cs="Arial"/>
        </w:rPr>
      </w:pPr>
    </w:p>
    <w:p w14:paraId="78EDC845" w14:textId="77777777" w:rsidR="00F16534" w:rsidRPr="00476783" w:rsidRDefault="003A1321" w:rsidP="003A1321">
      <w:pPr>
        <w:pStyle w:val="paragraph"/>
        <w:spacing w:before="0" w:beforeAutospacing="0" w:after="0" w:afterAutospacing="0"/>
        <w:textAlignment w:val="baseline"/>
        <w:rPr>
          <w:rStyle w:val="normaltextrun"/>
          <w:rFonts w:ascii="Arial" w:eastAsiaTheme="majorEastAsia" w:hAnsi="Arial" w:cs="Arial"/>
          <w:u w:val="single"/>
        </w:rPr>
      </w:pPr>
      <w:r w:rsidRPr="00476783">
        <w:rPr>
          <w:rStyle w:val="normaltextrun"/>
          <w:rFonts w:ascii="Arial" w:eastAsiaTheme="majorEastAsia" w:hAnsi="Arial" w:cs="Arial"/>
          <w:u w:val="single"/>
        </w:rPr>
        <w:t>Task 1 – Business Management for Construction</w:t>
      </w:r>
    </w:p>
    <w:p w14:paraId="24490766" w14:textId="39CC97F1" w:rsidR="003A1321" w:rsidRDefault="003A1321" w:rsidP="003A1321">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7EC0502B" w14:textId="5BF641CA" w:rsidR="00827CFD" w:rsidRPr="00E80AFE" w:rsidRDefault="00827CFD" w:rsidP="00E80AFE">
      <w:pPr>
        <w:pStyle w:val="paragraph"/>
        <w:spacing w:before="0" w:beforeAutospacing="0" w:after="0" w:afterAutospacing="0" w:line="360" w:lineRule="auto"/>
        <w:textAlignment w:val="baseline"/>
        <w:rPr>
          <w:rFonts w:ascii="Arial" w:hAnsi="Arial" w:cs="Arial"/>
          <w:sz w:val="22"/>
          <w:szCs w:val="22"/>
        </w:rPr>
      </w:pPr>
      <w:r w:rsidRPr="00E80AFE">
        <w:rPr>
          <w:rFonts w:ascii="Arial" w:hAnsi="Arial" w:cs="Arial"/>
          <w:sz w:val="22"/>
          <w:szCs w:val="22"/>
        </w:rPr>
        <w:t>Report on the Effectiveness of Plant Management Approaches Across Project Types and Geographic Regions</w:t>
      </w:r>
    </w:p>
    <w:p w14:paraId="0481686F" w14:textId="268B66E3"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1. Introduction</w:t>
      </w:r>
    </w:p>
    <w:p w14:paraId="7BC2A868" w14:textId="1B568D08"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The effective management of construction plant and equipment is a critical factor influencing project cost, productivity, </w:t>
      </w:r>
      <w:r w:rsidR="00252E07" w:rsidRPr="00E80AFE">
        <w:rPr>
          <w:rFonts w:ascii="Arial" w:hAnsi="Arial" w:cs="Arial"/>
          <w:sz w:val="22"/>
          <w:szCs w:val="22"/>
        </w:rPr>
        <w:t>flexibility,</w:t>
      </w:r>
      <w:r w:rsidRPr="00E80AFE">
        <w:rPr>
          <w:rFonts w:ascii="Arial" w:hAnsi="Arial" w:cs="Arial"/>
          <w:sz w:val="22"/>
          <w:szCs w:val="22"/>
        </w:rPr>
        <w:t xml:space="preserve"> and overall organisational performance. Companies operating across multiple geographic regions and project types often adopt differing plant management strategies to reflect local market conditions, operational </w:t>
      </w:r>
      <w:r w:rsidR="00252E07" w:rsidRPr="00E80AFE">
        <w:rPr>
          <w:rFonts w:ascii="Arial" w:hAnsi="Arial" w:cs="Arial"/>
          <w:sz w:val="22"/>
          <w:szCs w:val="22"/>
        </w:rPr>
        <w:t>needs,</w:t>
      </w:r>
      <w:r w:rsidRPr="00E80AFE">
        <w:rPr>
          <w:rFonts w:ascii="Arial" w:hAnsi="Arial" w:cs="Arial"/>
          <w:sz w:val="22"/>
          <w:szCs w:val="22"/>
        </w:rPr>
        <w:t xml:space="preserve"> and financial considerations. This report evaluates the effectiveness of the current approaches adopted by a construction company operating throughout Wales, with management structured by both geography and project type.</w:t>
      </w:r>
    </w:p>
    <w:p w14:paraId="6CFDD960" w14:textId="58BE67EA"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The company operates from two regional headquarters, one in Wrexham serving North Wales and the other in Swansea serving South Wales. Projects are categorised into three main types: commercial, housing and infrastructure. At present, the company adopts contrasting approaches to plant management across the two regions. In North Wales, the business predominantly hires in non-standard plant beyond basic excavators, whereas in South Wales each project group purchases its own plant, hiring only highly specialised equipment when required.</w:t>
      </w:r>
    </w:p>
    <w:p w14:paraId="68BD6310" w14:textId="4FD0FF15"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The aim of this report is to assess the effectiveness of these regional approaches, identify strengths and weaknesses, and advise management on the most appropriate solution for future plant strategy. The report draws on construction management theory, plant </w:t>
      </w:r>
      <w:r w:rsidR="00252E07" w:rsidRPr="00E80AFE">
        <w:rPr>
          <w:rFonts w:ascii="Arial" w:hAnsi="Arial" w:cs="Arial"/>
          <w:sz w:val="22"/>
          <w:szCs w:val="22"/>
        </w:rPr>
        <w:t>economics,</w:t>
      </w:r>
      <w:r w:rsidRPr="00E80AFE">
        <w:rPr>
          <w:rFonts w:ascii="Arial" w:hAnsi="Arial" w:cs="Arial"/>
          <w:sz w:val="22"/>
          <w:szCs w:val="22"/>
        </w:rPr>
        <w:t xml:space="preserve"> and best practice within the industry.</w:t>
      </w:r>
    </w:p>
    <w:p w14:paraId="448E3F6B" w14:textId="7777777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2. Overview of Current Management Structure and Plant Strategy</w:t>
      </w:r>
    </w:p>
    <w:p w14:paraId="179E2635" w14:textId="33906708"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2.1 Organisational and Geographic Structure</w:t>
      </w:r>
    </w:p>
    <w:p w14:paraId="284E8C36" w14:textId="6442CCB6"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The company’s management structure is divided by both project type and geography. This matrix-style structure allows specialist project teams to focus on the unique requirements of commercial, housing and infrastructure developments, while regional headquarters provide </w:t>
      </w:r>
      <w:r w:rsidRPr="00E80AFE">
        <w:rPr>
          <w:rFonts w:ascii="Arial" w:hAnsi="Arial" w:cs="Arial"/>
          <w:sz w:val="22"/>
          <w:szCs w:val="22"/>
        </w:rPr>
        <w:lastRenderedPageBreak/>
        <w:t>operational oversight and logistical support. Such structures are common in construction firms operating over wide geographic areas, as they allow responsiveness to local market conditions while retaining technical expertise (Loosemore et al., 2019).</w:t>
      </w:r>
    </w:p>
    <w:p w14:paraId="235CE0A1" w14:textId="54D9AD74"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However, this structure also increases the risk of inconsistency in resource management, particularly in high-cost areas such as plant and equipment. The differing approaches to plant procurement between North and South Wales illustrate this challenge.</w:t>
      </w:r>
    </w:p>
    <w:p w14:paraId="651C11CC" w14:textId="61F8DD02"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2.2 Plant Management in North Wales</w:t>
      </w:r>
    </w:p>
    <w:p w14:paraId="3777E80D" w14:textId="556E65E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In North Wales, the company hires in most plant that goes beyond basic excavators. This suggests a preference for flexibility and reduced capital investment. Hiring plant allows project teams to access a wide range of machinery as needed, without the long-term financial commitment associated with ownership. This approach may be influenced by factors such as lower project volumes, variable workloads, or limited storage and maintenance facilities.</w:t>
      </w:r>
    </w:p>
    <w:p w14:paraId="4DD2EE77" w14:textId="0E20A405"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2.3 Plant Management in South Wales</w:t>
      </w:r>
    </w:p>
    <w:p w14:paraId="696256A2" w14:textId="2AF5363D"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In contrast, South Wales project groups purchase their own plant, with only highly specialised equipment being hired. This indicates a strategy focused on long-term utilisation, asset ownership, and potentially greater control over availability. This approach may reflect a higher density of projects, larger project values, or a more stable workflow that justifies capital expenditure.</w:t>
      </w:r>
    </w:p>
    <w:p w14:paraId="7CA26535" w14:textId="7777777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3. Evaluation of the North Wales Plant Hire Approach</w:t>
      </w:r>
    </w:p>
    <w:p w14:paraId="26368F69" w14:textId="3BDE5B83"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3.1 Advantages of Hiring Plant</w:t>
      </w:r>
    </w:p>
    <w:p w14:paraId="2A8F4F11" w14:textId="5F83BB65"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One of the main advantages of plant hire is flexibility. Hiring allows project managers to select equipment that is precisely suited to each project’s requirements, avoiding the inefficiencies of using owned plant that may not be ideal for a specific task (Harris and McCaffer, 2013). This is particularly beneficial in regions where project types vary significantly or where workloads fluctuate.</w:t>
      </w:r>
    </w:p>
    <w:p w14:paraId="608D8C8A" w14:textId="2652CD63"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Hiring plant also reduces upfront capital expenditure. Construction plant represents a significant financial investment, and ownership ties up capital that could otherwise be used for business development or risk mitigation. By hiring, the company in North Wales avoids depreciation costs and reduces financial exposure during periods of reduced workload.</w:t>
      </w:r>
    </w:p>
    <w:p w14:paraId="35A3C537" w14:textId="07A09B0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lastRenderedPageBreak/>
        <w:t xml:space="preserve">Additionally, maintenance and compliance responsibilities are often transferred to the hire company. This reduces the administrative burden on the organisation and ensures that equipment meets current health, </w:t>
      </w:r>
      <w:r w:rsidR="0020555F" w:rsidRPr="00E80AFE">
        <w:rPr>
          <w:rFonts w:ascii="Arial" w:hAnsi="Arial" w:cs="Arial"/>
          <w:sz w:val="22"/>
          <w:szCs w:val="22"/>
        </w:rPr>
        <w:t>safety,</w:t>
      </w:r>
      <w:r w:rsidRPr="00E80AFE">
        <w:rPr>
          <w:rFonts w:ascii="Arial" w:hAnsi="Arial" w:cs="Arial"/>
          <w:sz w:val="22"/>
          <w:szCs w:val="22"/>
        </w:rPr>
        <w:t xml:space="preserve"> and environmental standards.</w:t>
      </w:r>
    </w:p>
    <w:p w14:paraId="1115F6B1" w14:textId="18DC7EDF"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3.2 Disadvantages of Hiring Plant</w:t>
      </w:r>
    </w:p>
    <w:p w14:paraId="78969E1D" w14:textId="028E3C06"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Despite its flexibility, heavy reliance on hired plant can lead to higher long-term costs if equipment is used frequently. Hire rates, when accumulated over extended periods, may exceed the cost of ownership (Day and Benjamin, 2016). There is also a risk of plant unavailability during peak demand periods, which can cause delays and disrupt project schedules.</w:t>
      </w:r>
    </w:p>
    <w:p w14:paraId="44B93E11" w14:textId="6E6524B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Furthermore, frequent changes in hired equipment may impact operator familiarity and productivity. Consistent use of owned plant allows operators to become highly familiar with machinery, potentially improving efficiency and reducing the likelihood of accidents.</w:t>
      </w:r>
    </w:p>
    <w:p w14:paraId="301E685D" w14:textId="35B05CE2"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3.3 Suitability for Project Types</w:t>
      </w:r>
    </w:p>
    <w:p w14:paraId="3E0A7391" w14:textId="6F14FEEF"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The hire-based approach in North Wales may be particularly suitable for infrastructure projects that require specialised plant on a short-term basis. However, for housing projects where similar equipment is used repeatedly across multiple sites, long-term hire may represent poor value for money.</w:t>
      </w:r>
    </w:p>
    <w:p w14:paraId="32006422" w14:textId="7777777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4. Evaluation of the South Wales Plant Ownership Approach</w:t>
      </w:r>
    </w:p>
    <w:p w14:paraId="40CA6CF1" w14:textId="06DE945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4.1 Advantages of Owning Plant</w:t>
      </w:r>
    </w:p>
    <w:p w14:paraId="2431E0E6" w14:textId="3C755832"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Ownership of plant can offer significant cost advantages when equipment is used regularly. Once purchased, the marginal cost of use is relatively low compared to ongoing hire charges (Harris and McCaffer, 2013). This is particularly relevant in South Wales, where a higher concentration of projects may allow for continuous utilisation of owned assets.</w:t>
      </w:r>
    </w:p>
    <w:p w14:paraId="5E1D89E6" w14:textId="6BECACDA"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Owning plant also ensures immediate availability, reducing dependency on external hire companies and minimising the risk of delays. This can be a critical advantage on fast-paced commercial projects with tight programmes.</w:t>
      </w:r>
    </w:p>
    <w:p w14:paraId="6C1AED30" w14:textId="564C25FC"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From a strategic perspective, owned plant can be viewed as a tangible asset on the company’s balance sheet, potentially strengthening its financial position and borrowing capacity.</w:t>
      </w:r>
    </w:p>
    <w:p w14:paraId="04181BC3" w14:textId="6EA5DE26"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lastRenderedPageBreak/>
        <w:t>4.2 Disadvantages of Owning Plant</w:t>
      </w:r>
    </w:p>
    <w:p w14:paraId="5B09BAA8" w14:textId="6D998C11"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The primary disadvantage of ownership is the high initial capital outlay. Purchasing plant requires significant investment, which may strain cash flow, particularly if multiple project groups purchase similar equipment independently. This decentralised purchasing approach may lead to duplication of assets and inefficient use of capital.</w:t>
      </w:r>
    </w:p>
    <w:p w14:paraId="0CAF0AFD" w14:textId="3333051C"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Ownership also brings ongoing costs related to maintenance, storage, </w:t>
      </w:r>
      <w:r w:rsidR="007443E6" w:rsidRPr="00E80AFE">
        <w:rPr>
          <w:rFonts w:ascii="Arial" w:hAnsi="Arial" w:cs="Arial"/>
          <w:sz w:val="22"/>
          <w:szCs w:val="22"/>
        </w:rPr>
        <w:t>insurance,</w:t>
      </w:r>
      <w:r w:rsidRPr="00E80AFE">
        <w:rPr>
          <w:rFonts w:ascii="Arial" w:hAnsi="Arial" w:cs="Arial"/>
          <w:sz w:val="22"/>
          <w:szCs w:val="22"/>
        </w:rPr>
        <w:t xml:space="preserve"> and compliance. If plant is underutilised or idle between projects, these costs continue to accrue, reducing overall efficiency (Day and Benjamin, 2016).</w:t>
      </w:r>
    </w:p>
    <w:p w14:paraId="2538EF2A" w14:textId="1A9255E4"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There is also the risk of technological obsolescence. Construction plant technology is continually evolving, and owned equipment may become outdated before the end of its economic life.</w:t>
      </w:r>
    </w:p>
    <w:p w14:paraId="5A36D970" w14:textId="11BFE3F0"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4.3 Impact on Management Control</w:t>
      </w:r>
    </w:p>
    <w:p w14:paraId="145331EF" w14:textId="57F207CE"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Allowing each project group to purchase its own plant can reduce central oversight and make it difficult to optimise resource allocation across the region. Without effective coordination, some teams may experience shortages while others have surplus idle plant.</w:t>
      </w:r>
    </w:p>
    <w:p w14:paraId="21894938" w14:textId="0707FFF0"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5. Comparative Analysis of Regional Approaches</w:t>
      </w:r>
    </w:p>
    <w:p w14:paraId="3F051B60" w14:textId="22D5F405"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The contrasting approaches in North and South Wales reflect different priorities: flexibility versus utilisation. While each strategy has merit in isolation, operating two fundamentally different systems within the same organisation may lead to inconsistency, </w:t>
      </w:r>
      <w:r w:rsidR="007443E6" w:rsidRPr="00E80AFE">
        <w:rPr>
          <w:rFonts w:ascii="Arial" w:hAnsi="Arial" w:cs="Arial"/>
          <w:sz w:val="22"/>
          <w:szCs w:val="22"/>
        </w:rPr>
        <w:t>inefficiency,</w:t>
      </w:r>
      <w:r w:rsidRPr="00E80AFE">
        <w:rPr>
          <w:rFonts w:ascii="Arial" w:hAnsi="Arial" w:cs="Arial"/>
          <w:sz w:val="22"/>
          <w:szCs w:val="22"/>
        </w:rPr>
        <w:t xml:space="preserve"> and reduced economies of scale.</w:t>
      </w:r>
    </w:p>
    <w:p w14:paraId="65C6478E" w14:textId="1F2F1CB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From a strategic management perspective, the lack of a unified plant policy increases complexity and reduces the company’s ability to leverage its size when negotiating with suppliers or hire companies (Loosemore et al., 2019). It may also create internal disparities, with project teams perceiving unequal levels of support or autonomy.</w:t>
      </w:r>
    </w:p>
    <w:p w14:paraId="4BC9C009" w14:textId="3352626F"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Additionally, the current approaches do not fully account for the differing needs of commercial, housing and infrastructure projects across both regions. A more integrated strategy could better align plant management with project type rather than geography alone.</w:t>
      </w:r>
    </w:p>
    <w:p w14:paraId="653A361C" w14:textId="77777777" w:rsidR="00014B09" w:rsidRPr="00E80AFE" w:rsidRDefault="00014B09" w:rsidP="00E80AFE">
      <w:pPr>
        <w:pStyle w:val="paragraph"/>
        <w:spacing w:after="0" w:line="360" w:lineRule="auto"/>
        <w:textAlignment w:val="baseline"/>
        <w:rPr>
          <w:rFonts w:ascii="Arial" w:hAnsi="Arial" w:cs="Arial"/>
          <w:sz w:val="22"/>
          <w:szCs w:val="22"/>
        </w:rPr>
      </w:pPr>
    </w:p>
    <w:p w14:paraId="15D8FEBA" w14:textId="666253EA"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lastRenderedPageBreak/>
        <w:t>6. Recommended Most Appropriate Solution</w:t>
      </w:r>
    </w:p>
    <w:p w14:paraId="5E9FAF35" w14:textId="40DDB046"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6.1 Adoption of a Hybrid, Centralised Plant Strategy</w:t>
      </w:r>
    </w:p>
    <w:p w14:paraId="49A9A100" w14:textId="38AF69CB"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The most appropriate solution is the adoption of a hybrid plant management strategy, supported by greater central coordination. Under this approach, commonly used plant (such as excavators, dumpers and telehandlers) should be owned centrally and allocated across both regions based on demand. Highly specialised or infrequently used plant should continue to be hired as required.</w:t>
      </w:r>
    </w:p>
    <w:p w14:paraId="09481A34" w14:textId="7D843F5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This hybrid model combines the cost efficiency of ownership with the flexibility of hire, allowing the company to optimise plant utilisation while avoiding excessive capital expenditure.</w:t>
      </w:r>
    </w:p>
    <w:p w14:paraId="6562CB16" w14:textId="6C9EF8BD"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6.2 Central Plant Pool and Standardisation</w:t>
      </w:r>
    </w:p>
    <w:p w14:paraId="5AAFAF39" w14:textId="698B7B4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Establishing a central plant pool would reduce duplication and improve utilisation rates. Standardising plant specifications across regions would also simplify maintenance, </w:t>
      </w:r>
      <w:r w:rsidR="003E5769" w:rsidRPr="00E80AFE">
        <w:rPr>
          <w:rFonts w:ascii="Arial" w:hAnsi="Arial" w:cs="Arial"/>
          <w:sz w:val="22"/>
          <w:szCs w:val="22"/>
        </w:rPr>
        <w:t>training,</w:t>
      </w:r>
      <w:r w:rsidRPr="00E80AFE">
        <w:rPr>
          <w:rFonts w:ascii="Arial" w:hAnsi="Arial" w:cs="Arial"/>
          <w:sz w:val="22"/>
          <w:szCs w:val="22"/>
        </w:rPr>
        <w:t xml:space="preserve"> and spare parts management, leading to further efficiency gains.</w:t>
      </w:r>
    </w:p>
    <w:p w14:paraId="19AB92F9" w14:textId="5329FEE5"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A centralised plant register and utilisation tracking system should be implemented to monitor usage and inform future investment decisions.</w:t>
      </w:r>
    </w:p>
    <w:p w14:paraId="28C64193" w14:textId="275678CD"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6.3 Alignment with Project Types</w:t>
      </w:r>
    </w:p>
    <w:p w14:paraId="05047FBE" w14:textId="43C91956"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Plant strategy should be aligned more closely with project types. For example, housing projects, which often involve repetitive tasks, are well suited to owned plant, while infrastructure projects may continue to rely more heavily on hired specialist equipment.</w:t>
      </w:r>
    </w:p>
    <w:p w14:paraId="189A16AB" w14:textId="19408C0C"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6.4 Financial and Risk Considerations</w:t>
      </w:r>
    </w:p>
    <w:p w14:paraId="24F753A1" w14:textId="4C5DD34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A centrally managed hybrid approach reduces financial risk by spreading capital investment across the organisation rather than individual project groups. It also improves bargaining power with both plant suppliers and hire companies, potentially reducing overall costs.</w:t>
      </w:r>
    </w:p>
    <w:p w14:paraId="7AFF8007" w14:textId="29C90806"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7. Conclusion</w:t>
      </w:r>
    </w:p>
    <w:p w14:paraId="3860F622" w14:textId="41D0424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The current plant management approaches adopted in North and South Wales each offer distinct advantages but also present significant limitations when viewed at an organisational level. While plant hire in North Wales provides flexibility and reduced capital risk, it may lead </w:t>
      </w:r>
      <w:r w:rsidRPr="00E80AFE">
        <w:rPr>
          <w:rFonts w:ascii="Arial" w:hAnsi="Arial" w:cs="Arial"/>
          <w:sz w:val="22"/>
          <w:szCs w:val="22"/>
        </w:rPr>
        <w:lastRenderedPageBreak/>
        <w:t>to higher long-term costs. Conversely, plant ownership in South Wales offers availability and cost efficiency but risks underutilisation and duplicated investment.</w:t>
      </w:r>
    </w:p>
    <w:p w14:paraId="7CE8691E" w14:textId="12200299"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A hybrid, centrally coordinated plant strategy represents the most effective and appropriate solution. By combining ownership of frequently used plant with targeted hire of specialised equipment, the company can achieve improved cost control, flexibility and operational efficiency across all regions and project types. This approach supports strategic consistency while retaining the ability to respond to local project demands.</w:t>
      </w:r>
    </w:p>
    <w:p w14:paraId="08340BF9" w14:textId="47A296EB"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References</w:t>
      </w:r>
    </w:p>
    <w:p w14:paraId="79BB28A6" w14:textId="39C5783C"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Day, D.A. and Benjamin, N.B.H. (2016) Construction Equipment Guide. 2nd </w:t>
      </w:r>
      <w:proofErr w:type="spellStart"/>
      <w:r w:rsidRPr="00E80AFE">
        <w:rPr>
          <w:rFonts w:ascii="Arial" w:hAnsi="Arial" w:cs="Arial"/>
          <w:sz w:val="22"/>
          <w:szCs w:val="22"/>
        </w:rPr>
        <w:t>edn</w:t>
      </w:r>
      <w:proofErr w:type="spellEnd"/>
      <w:r w:rsidRPr="00E80AFE">
        <w:rPr>
          <w:rFonts w:ascii="Arial" w:hAnsi="Arial" w:cs="Arial"/>
          <w:sz w:val="22"/>
          <w:szCs w:val="22"/>
        </w:rPr>
        <w:t>. Hoboken: Wiley.</w:t>
      </w:r>
    </w:p>
    <w:p w14:paraId="301B8F49" w14:textId="7AA209A7" w:rsidR="00827CFD" w:rsidRPr="00E80AFE" w:rsidRDefault="00827CFD" w:rsidP="00E80AFE">
      <w:pPr>
        <w:pStyle w:val="paragraph"/>
        <w:spacing w:after="0" w:line="360" w:lineRule="auto"/>
        <w:textAlignment w:val="baseline"/>
        <w:rPr>
          <w:rFonts w:ascii="Arial" w:hAnsi="Arial" w:cs="Arial"/>
          <w:sz w:val="22"/>
          <w:szCs w:val="22"/>
        </w:rPr>
      </w:pPr>
      <w:r w:rsidRPr="00E80AFE">
        <w:rPr>
          <w:rFonts w:ascii="Arial" w:hAnsi="Arial" w:cs="Arial"/>
          <w:sz w:val="22"/>
          <w:szCs w:val="22"/>
        </w:rPr>
        <w:t xml:space="preserve">Harris, F. and McCaffer, R. (2013) Modern Construction Management. 7th </w:t>
      </w:r>
      <w:proofErr w:type="spellStart"/>
      <w:r w:rsidRPr="00E80AFE">
        <w:rPr>
          <w:rFonts w:ascii="Arial" w:hAnsi="Arial" w:cs="Arial"/>
          <w:sz w:val="22"/>
          <w:szCs w:val="22"/>
        </w:rPr>
        <w:t>edn</w:t>
      </w:r>
      <w:proofErr w:type="spellEnd"/>
      <w:r w:rsidRPr="00E80AFE">
        <w:rPr>
          <w:rFonts w:ascii="Arial" w:hAnsi="Arial" w:cs="Arial"/>
          <w:sz w:val="22"/>
          <w:szCs w:val="22"/>
        </w:rPr>
        <w:t>. Oxford: Wiley-Blackwell.</w:t>
      </w:r>
    </w:p>
    <w:p w14:paraId="576C6DC6" w14:textId="103EBAD0" w:rsidR="00294CA0" w:rsidRPr="00E80AFE" w:rsidRDefault="00827CFD" w:rsidP="00E80AFE">
      <w:pPr>
        <w:pStyle w:val="paragraph"/>
        <w:spacing w:before="0" w:beforeAutospacing="0" w:after="0" w:afterAutospacing="0" w:line="360" w:lineRule="auto"/>
        <w:textAlignment w:val="baseline"/>
        <w:rPr>
          <w:rFonts w:ascii="Arial" w:hAnsi="Arial" w:cs="Arial"/>
          <w:sz w:val="22"/>
          <w:szCs w:val="22"/>
        </w:rPr>
      </w:pPr>
      <w:r w:rsidRPr="00E80AFE">
        <w:rPr>
          <w:rFonts w:ascii="Arial" w:hAnsi="Arial" w:cs="Arial"/>
          <w:sz w:val="22"/>
          <w:szCs w:val="22"/>
        </w:rPr>
        <w:t xml:space="preserve">Loosemore, M., Dainty, A. and Lingard, H. (2019) Human Resource Management in Construction Projects. 2nd </w:t>
      </w:r>
      <w:proofErr w:type="spellStart"/>
      <w:r w:rsidRPr="00E80AFE">
        <w:rPr>
          <w:rFonts w:ascii="Arial" w:hAnsi="Arial" w:cs="Arial"/>
          <w:sz w:val="22"/>
          <w:szCs w:val="22"/>
        </w:rPr>
        <w:t>edn</w:t>
      </w:r>
      <w:proofErr w:type="spellEnd"/>
      <w:r w:rsidRPr="00E80AFE">
        <w:rPr>
          <w:rFonts w:ascii="Arial" w:hAnsi="Arial" w:cs="Arial"/>
          <w:sz w:val="22"/>
          <w:szCs w:val="22"/>
        </w:rPr>
        <w:t>. London: Routledge.</w:t>
      </w:r>
    </w:p>
    <w:p w14:paraId="38F31308" w14:textId="77777777" w:rsidR="00294CA0" w:rsidRPr="00E80AFE" w:rsidRDefault="00294CA0" w:rsidP="00E80AFE">
      <w:pPr>
        <w:spacing w:line="360" w:lineRule="auto"/>
        <w:rPr>
          <w:rFonts w:ascii="Arial" w:hAnsi="Arial" w:cs="Arial"/>
          <w:sz w:val="22"/>
          <w:szCs w:val="22"/>
        </w:rPr>
      </w:pPr>
    </w:p>
    <w:sectPr w:rsidR="00294CA0" w:rsidRPr="00E80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6C7"/>
    <w:rsid w:val="00014B09"/>
    <w:rsid w:val="000B6C6D"/>
    <w:rsid w:val="000C26C7"/>
    <w:rsid w:val="000D0F8C"/>
    <w:rsid w:val="00102986"/>
    <w:rsid w:val="0015139A"/>
    <w:rsid w:val="001725FC"/>
    <w:rsid w:val="0020555F"/>
    <w:rsid w:val="00252E07"/>
    <w:rsid w:val="00294CA0"/>
    <w:rsid w:val="002F29B2"/>
    <w:rsid w:val="003735B7"/>
    <w:rsid w:val="003A1321"/>
    <w:rsid w:val="003E5769"/>
    <w:rsid w:val="00476783"/>
    <w:rsid w:val="00491A8B"/>
    <w:rsid w:val="005821B2"/>
    <w:rsid w:val="005B017D"/>
    <w:rsid w:val="00634940"/>
    <w:rsid w:val="006B51CC"/>
    <w:rsid w:val="00717403"/>
    <w:rsid w:val="007443E6"/>
    <w:rsid w:val="00827CFD"/>
    <w:rsid w:val="0088502A"/>
    <w:rsid w:val="00901F97"/>
    <w:rsid w:val="009B51BE"/>
    <w:rsid w:val="009D4B78"/>
    <w:rsid w:val="00A85673"/>
    <w:rsid w:val="00AD79FD"/>
    <w:rsid w:val="00B02D3B"/>
    <w:rsid w:val="00C85AB0"/>
    <w:rsid w:val="00D15BCC"/>
    <w:rsid w:val="00D927E3"/>
    <w:rsid w:val="00E26BE4"/>
    <w:rsid w:val="00E80AFE"/>
    <w:rsid w:val="00E86261"/>
    <w:rsid w:val="00EB4E82"/>
    <w:rsid w:val="00EE08B2"/>
    <w:rsid w:val="00F16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ADEFF"/>
  <w15:chartTrackingRefBased/>
  <w15:docId w15:val="{1563DFCE-108C-4D0C-9916-54E51F9A4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6C7"/>
  </w:style>
  <w:style w:type="paragraph" w:styleId="Heading1">
    <w:name w:val="heading 1"/>
    <w:basedOn w:val="Normal"/>
    <w:next w:val="Normal"/>
    <w:link w:val="Heading1Char"/>
    <w:uiPriority w:val="9"/>
    <w:qFormat/>
    <w:rsid w:val="000C26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26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6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6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6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6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26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6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6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6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6C7"/>
    <w:rPr>
      <w:rFonts w:eastAsiaTheme="majorEastAsia" w:cstheme="majorBidi"/>
      <w:color w:val="272727" w:themeColor="text1" w:themeTint="D8"/>
    </w:rPr>
  </w:style>
  <w:style w:type="paragraph" w:styleId="Title">
    <w:name w:val="Title"/>
    <w:basedOn w:val="Normal"/>
    <w:next w:val="Normal"/>
    <w:link w:val="TitleChar"/>
    <w:uiPriority w:val="10"/>
    <w:qFormat/>
    <w:rsid w:val="000C2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6C7"/>
    <w:pPr>
      <w:spacing w:before="160"/>
      <w:jc w:val="center"/>
    </w:pPr>
    <w:rPr>
      <w:i/>
      <w:iCs/>
      <w:color w:val="404040" w:themeColor="text1" w:themeTint="BF"/>
    </w:rPr>
  </w:style>
  <w:style w:type="character" w:customStyle="1" w:styleId="QuoteChar">
    <w:name w:val="Quote Char"/>
    <w:basedOn w:val="DefaultParagraphFont"/>
    <w:link w:val="Quote"/>
    <w:uiPriority w:val="29"/>
    <w:rsid w:val="000C26C7"/>
    <w:rPr>
      <w:i/>
      <w:iCs/>
      <w:color w:val="404040" w:themeColor="text1" w:themeTint="BF"/>
    </w:rPr>
  </w:style>
  <w:style w:type="paragraph" w:styleId="ListParagraph">
    <w:name w:val="List Paragraph"/>
    <w:basedOn w:val="Normal"/>
    <w:uiPriority w:val="34"/>
    <w:qFormat/>
    <w:rsid w:val="000C26C7"/>
    <w:pPr>
      <w:ind w:left="720"/>
      <w:contextualSpacing/>
    </w:pPr>
  </w:style>
  <w:style w:type="character" w:styleId="IntenseEmphasis">
    <w:name w:val="Intense Emphasis"/>
    <w:basedOn w:val="DefaultParagraphFont"/>
    <w:uiPriority w:val="21"/>
    <w:qFormat/>
    <w:rsid w:val="000C26C7"/>
    <w:rPr>
      <w:i/>
      <w:iCs/>
      <w:color w:val="0F4761" w:themeColor="accent1" w:themeShade="BF"/>
    </w:rPr>
  </w:style>
  <w:style w:type="paragraph" w:styleId="IntenseQuote">
    <w:name w:val="Intense Quote"/>
    <w:basedOn w:val="Normal"/>
    <w:next w:val="Normal"/>
    <w:link w:val="IntenseQuoteChar"/>
    <w:uiPriority w:val="30"/>
    <w:qFormat/>
    <w:rsid w:val="000C26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6C7"/>
    <w:rPr>
      <w:i/>
      <w:iCs/>
      <w:color w:val="0F4761" w:themeColor="accent1" w:themeShade="BF"/>
    </w:rPr>
  </w:style>
  <w:style w:type="character" w:styleId="IntenseReference">
    <w:name w:val="Intense Reference"/>
    <w:basedOn w:val="DefaultParagraphFont"/>
    <w:uiPriority w:val="32"/>
    <w:qFormat/>
    <w:rsid w:val="000C26C7"/>
    <w:rPr>
      <w:b/>
      <w:bCs/>
      <w:smallCaps/>
      <w:color w:val="0F4761" w:themeColor="accent1" w:themeShade="BF"/>
      <w:spacing w:val="5"/>
    </w:rPr>
  </w:style>
  <w:style w:type="paragraph" w:customStyle="1" w:styleId="paragraph">
    <w:name w:val="paragraph"/>
    <w:basedOn w:val="Normal"/>
    <w:rsid w:val="003A13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A1321"/>
  </w:style>
  <w:style w:type="character" w:customStyle="1" w:styleId="eop">
    <w:name w:val="eop"/>
    <w:basedOn w:val="DefaultParagraphFont"/>
    <w:rsid w:val="003A13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195</TotalTime>
  <Pages>6</Pages>
  <Words>1695</Words>
  <Characters>9665</Characters>
  <Application>Microsoft Office Word</Application>
  <DocSecurity>0</DocSecurity>
  <Lines>80</Lines>
  <Paragraphs>22</Paragraphs>
  <ScaleCrop>false</ScaleCrop>
  <Company/>
  <LinksUpToDate>false</LinksUpToDate>
  <CharactersWithSpaces>11338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Lewis</dc:creator>
  <cp:keywords/>
  <dc:description/>
  <cp:lastModifiedBy>Ben Lewis</cp:lastModifiedBy>
  <cp:revision>34</cp:revision>
  <dcterms:created xsi:type="dcterms:W3CDTF">2026-01-01T20:26:00Z</dcterms:created>
  <dcterms:modified xsi:type="dcterms:W3CDTF">2026-01-06T19:34:00Z</dcterms:modified>
</cp:coreProperties>
</file>