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5D2E6F" w14:textId="77777777" w:rsidR="00425EB1" w:rsidRDefault="00425EB1" w:rsidP="00425EB1">
      <w:pPr>
        <w:jc w:val="center"/>
        <w:rPr>
          <w:rFonts w:ascii="Times New Roman" w:hAnsi="Times New Roman" w:cs="Times New Roman"/>
          <w:b/>
          <w:sz w:val="32"/>
        </w:rPr>
      </w:pPr>
    </w:p>
    <w:p w14:paraId="25CB2367" w14:textId="77777777" w:rsidR="00425EB1" w:rsidRDefault="00425EB1" w:rsidP="00425EB1">
      <w:pPr>
        <w:jc w:val="center"/>
        <w:rPr>
          <w:rFonts w:ascii="Times New Roman" w:hAnsi="Times New Roman" w:cs="Times New Roman"/>
          <w:b/>
          <w:sz w:val="32"/>
        </w:rPr>
      </w:pPr>
    </w:p>
    <w:p w14:paraId="7D1A0067" w14:textId="77777777" w:rsidR="00425EB1" w:rsidRDefault="00425EB1" w:rsidP="00425EB1">
      <w:pPr>
        <w:jc w:val="center"/>
        <w:rPr>
          <w:rFonts w:ascii="Times New Roman" w:hAnsi="Times New Roman" w:cs="Times New Roman"/>
          <w:b/>
          <w:sz w:val="32"/>
        </w:rPr>
      </w:pPr>
    </w:p>
    <w:p w14:paraId="698E7563" w14:textId="77777777" w:rsidR="00425EB1" w:rsidRDefault="00425EB1" w:rsidP="00425EB1">
      <w:pPr>
        <w:jc w:val="center"/>
        <w:rPr>
          <w:rFonts w:ascii="Times New Roman" w:hAnsi="Times New Roman" w:cs="Times New Roman"/>
          <w:b/>
          <w:sz w:val="32"/>
        </w:rPr>
      </w:pPr>
    </w:p>
    <w:p w14:paraId="193A4E7A" w14:textId="77777777" w:rsidR="00425EB1" w:rsidRDefault="00425EB1" w:rsidP="00425EB1">
      <w:pPr>
        <w:jc w:val="center"/>
        <w:rPr>
          <w:rFonts w:ascii="Times New Roman" w:hAnsi="Times New Roman" w:cs="Times New Roman"/>
          <w:b/>
          <w:sz w:val="32"/>
        </w:rPr>
      </w:pPr>
    </w:p>
    <w:p w14:paraId="6CE16D4B" w14:textId="77777777" w:rsidR="00425EB1" w:rsidRDefault="00425EB1" w:rsidP="00425EB1">
      <w:pPr>
        <w:jc w:val="center"/>
        <w:rPr>
          <w:rFonts w:ascii="Times New Roman" w:hAnsi="Times New Roman" w:cs="Times New Roman"/>
          <w:b/>
          <w:sz w:val="32"/>
        </w:rPr>
      </w:pPr>
    </w:p>
    <w:p w14:paraId="1F2AC152" w14:textId="77777777" w:rsidR="00425EB1" w:rsidRDefault="00425EB1" w:rsidP="00425EB1">
      <w:pPr>
        <w:jc w:val="center"/>
        <w:rPr>
          <w:rFonts w:ascii="Times New Roman" w:hAnsi="Times New Roman" w:cs="Times New Roman"/>
          <w:b/>
          <w:sz w:val="32"/>
        </w:rPr>
      </w:pPr>
    </w:p>
    <w:p w14:paraId="03F66FDB" w14:textId="3DCE2298" w:rsidR="00AB5572" w:rsidRDefault="00BD02AC" w:rsidP="00BD02AC">
      <w:pPr>
        <w:jc w:val="center"/>
        <w:rPr>
          <w:rFonts w:ascii="Times New Roman" w:hAnsi="Times New Roman" w:cs="Times New Roman"/>
          <w:color w:val="4F81BD" w:themeColor="accent1"/>
          <w:sz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color w:val="4F81BD" w:themeColor="accent1"/>
          <w:sz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Topic: </w:t>
      </w:r>
      <w:r w:rsidR="007A7156" w:rsidRPr="00AB5572">
        <w:rPr>
          <w:rFonts w:ascii="Times New Roman" w:hAnsi="Times New Roman" w:cs="Times New Roman"/>
          <w:color w:val="4F81BD" w:themeColor="accent1"/>
          <w:sz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Artificial Intelligence Adoption in Organizations: A Critical Review of Employee Trust and Organizational Readiness </w:t>
      </w:r>
    </w:p>
    <w:p w14:paraId="7B6D37CB" w14:textId="77777777" w:rsidR="00AB5572" w:rsidRDefault="00AB5572" w:rsidP="00425EB1">
      <w:pPr>
        <w:jc w:val="center"/>
        <w:rPr>
          <w:rFonts w:ascii="Times New Roman" w:hAnsi="Times New Roman" w:cs="Times New Roman"/>
          <w:b/>
        </w:rPr>
      </w:pPr>
      <w:r w:rsidRPr="00AA1338">
        <w:rPr>
          <w:b/>
          <w:bCs/>
          <w:color w:val="000000" w:themeColor="text1"/>
          <w:sz w:val="32"/>
          <w:szCs w:val="32"/>
        </w:rPr>
        <w:t xml:space="preserve">Module: LCDB7009 – </w:t>
      </w:r>
      <w:r w:rsidRPr="00AA1338">
        <w:rPr>
          <w:b/>
          <w:color w:val="000000" w:themeColor="text1"/>
          <w:sz w:val="32"/>
          <w:szCs w:val="32"/>
        </w:rPr>
        <w:t>Critical Literature Review for Doctoral Research</w:t>
      </w:r>
      <w:r w:rsidRPr="00425EB1">
        <w:rPr>
          <w:rFonts w:ascii="Times New Roman" w:hAnsi="Times New Roman" w:cs="Times New Roman"/>
          <w:b/>
        </w:rPr>
        <w:t xml:space="preserve"> </w:t>
      </w:r>
    </w:p>
    <w:p w14:paraId="783A9B1B" w14:textId="77777777" w:rsidR="00AB5572" w:rsidRDefault="00AB5572" w:rsidP="00425EB1">
      <w:pPr>
        <w:jc w:val="center"/>
        <w:rPr>
          <w:rFonts w:ascii="Times New Roman" w:hAnsi="Times New Roman" w:cs="Times New Roman"/>
          <w:b/>
          <w:sz w:val="28"/>
          <w:szCs w:val="28"/>
        </w:rPr>
      </w:pPr>
      <w:proofErr w:type="spellStart"/>
      <w:r w:rsidRPr="00AB5572">
        <w:rPr>
          <w:rFonts w:ascii="Times New Roman" w:hAnsi="Times New Roman" w:cs="Times New Roman"/>
          <w:b/>
          <w:sz w:val="28"/>
          <w:szCs w:val="28"/>
        </w:rPr>
        <w:t>Programe</w:t>
      </w:r>
      <w:proofErr w:type="spellEnd"/>
      <w:r w:rsidRPr="00AB5572">
        <w:rPr>
          <w:rFonts w:ascii="Times New Roman" w:hAnsi="Times New Roman" w:cs="Times New Roman"/>
          <w:b/>
          <w:sz w:val="28"/>
          <w:szCs w:val="28"/>
        </w:rPr>
        <w:t>-DBA</w:t>
      </w:r>
    </w:p>
    <w:p w14:paraId="323D33C7" w14:textId="77777777" w:rsidR="00297210" w:rsidRDefault="00AB5572" w:rsidP="00425EB1">
      <w:pPr>
        <w:jc w:val="center"/>
        <w:rPr>
          <w:color w:val="000000" w:themeColor="text1"/>
          <w:sz w:val="32"/>
          <w:szCs w:val="32"/>
        </w:rPr>
      </w:pPr>
      <w:r w:rsidRPr="00AA1338">
        <w:rPr>
          <w:color w:val="000000" w:themeColor="text1"/>
          <w:sz w:val="32"/>
          <w:szCs w:val="32"/>
        </w:rPr>
        <w:t xml:space="preserve">Student Name: </w:t>
      </w:r>
      <w:r>
        <w:rPr>
          <w:color w:val="000000" w:themeColor="text1"/>
          <w:sz w:val="32"/>
          <w:szCs w:val="32"/>
        </w:rPr>
        <w:t>Farjana Akter Rimu</w:t>
      </w:r>
      <w:r w:rsidRPr="00AA1338">
        <w:rPr>
          <w:color w:val="000000" w:themeColor="text1"/>
          <w:sz w:val="32"/>
          <w:szCs w:val="32"/>
        </w:rPr>
        <w:br/>
        <w:t>Student ID: 25</w:t>
      </w:r>
      <w:r>
        <w:rPr>
          <w:color w:val="000000" w:themeColor="text1"/>
          <w:sz w:val="32"/>
          <w:szCs w:val="32"/>
        </w:rPr>
        <w:t>19813</w:t>
      </w:r>
      <w:r w:rsidRPr="00AA1338">
        <w:rPr>
          <w:color w:val="000000" w:themeColor="text1"/>
          <w:sz w:val="32"/>
          <w:szCs w:val="32"/>
        </w:rPr>
        <w:br/>
        <w:t>Term: 2</w:t>
      </w:r>
    </w:p>
    <w:p w14:paraId="70F823EB" w14:textId="77777777" w:rsidR="00297210" w:rsidRPr="00AA1338" w:rsidRDefault="00297210" w:rsidP="00297210">
      <w:pPr>
        <w:spacing w:line="360" w:lineRule="auto"/>
        <w:jc w:val="center"/>
        <w:rPr>
          <w:b/>
          <w:bCs/>
          <w:color w:val="000000" w:themeColor="text1"/>
          <w:sz w:val="32"/>
          <w:szCs w:val="32"/>
        </w:rPr>
      </w:pPr>
      <w:r w:rsidRPr="00AA1338">
        <w:rPr>
          <w:b/>
          <w:bCs/>
          <w:color w:val="000000" w:themeColor="text1"/>
          <w:sz w:val="32"/>
          <w:szCs w:val="32"/>
        </w:rPr>
        <w:t xml:space="preserve">Submitted </w:t>
      </w:r>
      <w:proofErr w:type="gramStart"/>
      <w:r w:rsidRPr="00AA1338">
        <w:rPr>
          <w:b/>
          <w:bCs/>
          <w:color w:val="000000" w:themeColor="text1"/>
          <w:sz w:val="32"/>
          <w:szCs w:val="32"/>
        </w:rPr>
        <w:t>To :</w:t>
      </w:r>
      <w:proofErr w:type="gramEnd"/>
    </w:p>
    <w:p w14:paraId="46472FFE" w14:textId="7A86EB46" w:rsidR="00425EB1" w:rsidRPr="00AB5572" w:rsidRDefault="00297210" w:rsidP="00297210">
      <w:pPr>
        <w:jc w:val="center"/>
        <w:rPr>
          <w:rFonts w:ascii="Times New Roman" w:hAnsi="Times New Roman" w:cs="Times New Roman"/>
          <w:b/>
          <w:sz w:val="28"/>
          <w:szCs w:val="28"/>
        </w:rPr>
      </w:pPr>
      <w:r w:rsidRPr="00AA1338">
        <w:rPr>
          <w:b/>
          <w:bCs/>
          <w:noProof/>
          <w:color w:val="000000" w:themeColor="text1"/>
        </w:rPr>
        <w:drawing>
          <wp:anchor distT="0" distB="0" distL="114300" distR="114300" simplePos="0" relativeHeight="251659264" behindDoc="0" locked="0" layoutInCell="1" allowOverlap="1" wp14:anchorId="24FCD4D7" wp14:editId="127E120D">
            <wp:simplePos x="0" y="0"/>
            <wp:positionH relativeFrom="margin">
              <wp:align>center</wp:align>
            </wp:positionH>
            <wp:positionV relativeFrom="paragraph">
              <wp:posOffset>798315</wp:posOffset>
            </wp:positionV>
            <wp:extent cx="3557949" cy="1485900"/>
            <wp:effectExtent l="0" t="0" r="4445" b="0"/>
            <wp:wrapNone/>
            <wp:docPr id="148373424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734248" name="Picture 1483734248"/>
                    <pic:cNvPicPr/>
                  </pic:nvPicPr>
                  <pic:blipFill>
                    <a:blip r:embed="rId6" cstate="print">
                      <a:extLst>
                        <a:ext uri="{28A0092B-C50C-407E-A947-70E740481C1C}">
                          <a14:useLocalDpi xmlns:a14="http://schemas.microsoft.com/office/drawing/2010/main" val="0"/>
                        </a:ext>
                      </a:extLst>
                    </a:blip>
                    <a:stretch>
                      <a:fillRect/>
                    </a:stretch>
                  </pic:blipFill>
                  <pic:spPr>
                    <a:xfrm>
                      <a:off x="0" y="0"/>
                      <a:ext cx="3557949" cy="1485900"/>
                    </a:xfrm>
                    <a:prstGeom prst="rect">
                      <a:avLst/>
                    </a:prstGeom>
                  </pic:spPr>
                </pic:pic>
              </a:graphicData>
            </a:graphic>
            <wp14:sizeRelH relativeFrom="page">
              <wp14:pctWidth>0</wp14:pctWidth>
            </wp14:sizeRelH>
            <wp14:sizeRelV relativeFrom="page">
              <wp14:pctHeight>0</wp14:pctHeight>
            </wp14:sizeRelV>
          </wp:anchor>
        </w:drawing>
      </w:r>
      <w:r w:rsidRPr="00AA1338">
        <w:rPr>
          <w:b/>
          <w:bCs/>
          <w:color w:val="000000" w:themeColor="text1"/>
          <w:sz w:val="32"/>
          <w:szCs w:val="32"/>
        </w:rPr>
        <w:t xml:space="preserve">Prof. Dr </w:t>
      </w:r>
      <w:proofErr w:type="spellStart"/>
      <w:r w:rsidRPr="00AA1338">
        <w:rPr>
          <w:b/>
          <w:bCs/>
          <w:color w:val="000000" w:themeColor="text1"/>
          <w:sz w:val="32"/>
          <w:szCs w:val="32"/>
        </w:rPr>
        <w:t>Mansoob</w:t>
      </w:r>
      <w:proofErr w:type="spellEnd"/>
      <w:r w:rsidRPr="00AA1338">
        <w:rPr>
          <w:b/>
          <w:bCs/>
          <w:color w:val="000000" w:themeColor="text1"/>
          <w:sz w:val="32"/>
          <w:szCs w:val="32"/>
        </w:rPr>
        <w:t xml:space="preserve"> </w:t>
      </w:r>
      <w:proofErr w:type="spellStart"/>
      <w:r w:rsidRPr="00AA1338">
        <w:rPr>
          <w:b/>
          <w:bCs/>
          <w:color w:val="000000" w:themeColor="text1"/>
          <w:sz w:val="32"/>
          <w:szCs w:val="32"/>
        </w:rPr>
        <w:t>Murshed</w:t>
      </w:r>
      <w:proofErr w:type="spellEnd"/>
      <w:r w:rsidRPr="00AA1338">
        <w:rPr>
          <w:color w:val="000000" w:themeColor="text1"/>
          <w:sz w:val="32"/>
          <w:szCs w:val="32"/>
        </w:rPr>
        <w:br/>
        <w:t>Submission Date: 27 July 2026</w:t>
      </w:r>
      <w:r w:rsidR="00AB5572" w:rsidRPr="00AA1338">
        <w:rPr>
          <w:color w:val="000000" w:themeColor="text1"/>
          <w:sz w:val="32"/>
          <w:szCs w:val="32"/>
        </w:rPr>
        <w:br/>
      </w:r>
      <w:r w:rsidR="00425EB1" w:rsidRPr="00AB5572">
        <w:rPr>
          <w:rFonts w:ascii="Times New Roman" w:hAnsi="Times New Roman" w:cs="Times New Roman"/>
          <w:b/>
          <w:sz w:val="28"/>
          <w:szCs w:val="28"/>
        </w:rPr>
        <w:br w:type="page"/>
      </w:r>
    </w:p>
    <w:sdt>
      <w:sdtPr>
        <w:rPr>
          <w:rFonts w:ascii="Times New Roman" w:eastAsiaTheme="minorHAnsi" w:hAnsi="Times New Roman" w:cs="Times New Roman"/>
          <w:color w:val="000000" w:themeColor="text1"/>
          <w:sz w:val="22"/>
          <w:szCs w:val="22"/>
          <w:lang w:val="en-IN" w:eastAsia="en-US"/>
        </w:rPr>
        <w:id w:val="645556072"/>
        <w:docPartObj>
          <w:docPartGallery w:val="Table of Contents"/>
          <w:docPartUnique/>
        </w:docPartObj>
      </w:sdtPr>
      <w:sdtEndPr>
        <w:rPr>
          <w:b w:val="0"/>
          <w:bCs w:val="0"/>
          <w:noProof/>
          <w:sz w:val="24"/>
          <w:szCs w:val="24"/>
        </w:rPr>
      </w:sdtEndPr>
      <w:sdtContent>
        <w:p w14:paraId="34090EDF" w14:textId="2DBF3AE1" w:rsidR="00425EB1" w:rsidRPr="00C77CB8" w:rsidRDefault="00425EB1" w:rsidP="00425EB1">
          <w:pPr>
            <w:pStyle w:val="TOCHeading"/>
            <w:spacing w:line="360" w:lineRule="auto"/>
            <w:jc w:val="center"/>
            <w:rPr>
              <w:rFonts w:ascii="Times New Roman" w:hAnsi="Times New Roman" w:cs="Times New Roman"/>
              <w:color w:val="000000" w:themeColor="text1"/>
            </w:rPr>
          </w:pPr>
          <w:r w:rsidRPr="00C77CB8">
            <w:rPr>
              <w:rFonts w:ascii="Times New Roman" w:hAnsi="Times New Roman" w:cs="Times New Roman"/>
              <w:color w:val="000000" w:themeColor="text1"/>
            </w:rPr>
            <w:t>Table of Contents</w:t>
          </w:r>
        </w:p>
        <w:p w14:paraId="458E811A" w14:textId="77777777" w:rsidR="009035B7" w:rsidRPr="00C77CB8" w:rsidRDefault="009035B7" w:rsidP="00C77CB8">
          <w:pPr>
            <w:rPr>
              <w:rFonts w:ascii="Times New Roman" w:hAnsi="Times New Roman" w:cs="Times New Roman"/>
              <w:b/>
              <w:bCs/>
              <w:sz w:val="24"/>
              <w:szCs w:val="24"/>
            </w:rPr>
          </w:pPr>
          <w:r w:rsidRPr="00C77CB8">
            <w:rPr>
              <w:rFonts w:ascii="Times New Roman" w:hAnsi="Times New Roman" w:cs="Times New Roman"/>
              <w:b/>
              <w:bCs/>
              <w:sz w:val="24"/>
              <w:szCs w:val="24"/>
            </w:rPr>
            <w:t>PART 1: THE PURPOSE, CONTEXT AND FORMAT OF A CRITICAL LITERATURE REVIEW FOR DOCTORAL RESEARCH</w:t>
          </w:r>
        </w:p>
        <w:p w14:paraId="1C42A813" w14:textId="77777777" w:rsidR="009035B7" w:rsidRPr="00C77CB8" w:rsidRDefault="009035B7" w:rsidP="009035B7">
          <w:pPr>
            <w:rPr>
              <w:b/>
              <w:bCs/>
              <w:lang w:val="en-US" w:eastAsia="ja-JP"/>
            </w:rPr>
          </w:pPr>
        </w:p>
        <w:p w14:paraId="5A8C548E" w14:textId="77777777" w:rsidR="00715125" w:rsidRPr="00C77CB8" w:rsidRDefault="00425EB1" w:rsidP="00715125">
          <w:pPr>
            <w:pStyle w:val="TOC1"/>
            <w:tabs>
              <w:tab w:val="right" w:leader="dot" w:pos="9016"/>
            </w:tabs>
            <w:spacing w:line="360" w:lineRule="auto"/>
            <w:rPr>
              <w:rFonts w:ascii="Times New Roman" w:eastAsiaTheme="minorEastAsia" w:hAnsi="Times New Roman" w:cs="Times New Roman"/>
              <w:b/>
              <w:bCs/>
              <w:noProof/>
              <w:sz w:val="24"/>
              <w:szCs w:val="24"/>
              <w:lang w:eastAsia="en-IN"/>
            </w:rPr>
          </w:pPr>
          <w:r w:rsidRPr="00C77CB8">
            <w:rPr>
              <w:rFonts w:ascii="Times New Roman" w:hAnsi="Times New Roman" w:cs="Times New Roman"/>
              <w:b/>
              <w:bCs/>
              <w:color w:val="000000" w:themeColor="text1"/>
              <w:sz w:val="24"/>
              <w:szCs w:val="24"/>
            </w:rPr>
            <w:fldChar w:fldCharType="begin"/>
          </w:r>
          <w:r w:rsidRPr="00C77CB8">
            <w:rPr>
              <w:rFonts w:ascii="Times New Roman" w:hAnsi="Times New Roman" w:cs="Times New Roman"/>
              <w:b/>
              <w:bCs/>
              <w:color w:val="000000" w:themeColor="text1"/>
              <w:sz w:val="24"/>
              <w:szCs w:val="24"/>
            </w:rPr>
            <w:instrText xml:space="preserve"> TOC \o "1-3" \h \z \u </w:instrText>
          </w:r>
          <w:r w:rsidRPr="00C77CB8">
            <w:rPr>
              <w:rFonts w:ascii="Times New Roman" w:hAnsi="Times New Roman" w:cs="Times New Roman"/>
              <w:b/>
              <w:bCs/>
              <w:color w:val="000000" w:themeColor="text1"/>
              <w:sz w:val="24"/>
              <w:szCs w:val="24"/>
            </w:rPr>
            <w:fldChar w:fldCharType="separate"/>
          </w:r>
          <w:hyperlink w:anchor="_Toc235996234" w:history="1">
            <w:r w:rsidR="00715125" w:rsidRPr="00C77CB8">
              <w:rPr>
                <w:rStyle w:val="Hyperlink"/>
                <w:rFonts w:ascii="Times New Roman" w:hAnsi="Times New Roman" w:cs="Times New Roman"/>
                <w:b/>
                <w:bCs/>
                <w:noProof/>
                <w:sz w:val="24"/>
                <w:szCs w:val="24"/>
              </w:rPr>
              <w:t>PART 2: ANNOTATED BIBLIOGRAPHY – 100 SOURCES</w:t>
            </w:r>
            <w:r w:rsidR="00715125" w:rsidRPr="00C77CB8">
              <w:rPr>
                <w:rFonts w:ascii="Times New Roman" w:hAnsi="Times New Roman" w:cs="Times New Roman"/>
                <w:b/>
                <w:bCs/>
                <w:noProof/>
                <w:webHidden/>
                <w:sz w:val="24"/>
                <w:szCs w:val="24"/>
              </w:rPr>
              <w:tab/>
            </w:r>
            <w:r w:rsidR="00715125" w:rsidRPr="00C77CB8">
              <w:rPr>
                <w:rFonts w:ascii="Times New Roman" w:hAnsi="Times New Roman" w:cs="Times New Roman"/>
                <w:b/>
                <w:bCs/>
                <w:noProof/>
                <w:webHidden/>
                <w:sz w:val="24"/>
                <w:szCs w:val="24"/>
              </w:rPr>
              <w:fldChar w:fldCharType="begin"/>
            </w:r>
            <w:r w:rsidR="00715125" w:rsidRPr="00C77CB8">
              <w:rPr>
                <w:rFonts w:ascii="Times New Roman" w:hAnsi="Times New Roman" w:cs="Times New Roman"/>
                <w:b/>
                <w:bCs/>
                <w:noProof/>
                <w:webHidden/>
                <w:sz w:val="24"/>
                <w:szCs w:val="24"/>
              </w:rPr>
              <w:instrText xml:space="preserve"> PAGEREF _Toc235996234 \h </w:instrText>
            </w:r>
            <w:r w:rsidR="00715125" w:rsidRPr="00C77CB8">
              <w:rPr>
                <w:rFonts w:ascii="Times New Roman" w:hAnsi="Times New Roman" w:cs="Times New Roman"/>
                <w:b/>
                <w:bCs/>
                <w:noProof/>
                <w:webHidden/>
                <w:sz w:val="24"/>
                <w:szCs w:val="24"/>
              </w:rPr>
            </w:r>
            <w:r w:rsidR="00715125" w:rsidRPr="00C77CB8">
              <w:rPr>
                <w:rFonts w:ascii="Times New Roman" w:hAnsi="Times New Roman" w:cs="Times New Roman"/>
                <w:b/>
                <w:bCs/>
                <w:noProof/>
                <w:webHidden/>
                <w:sz w:val="24"/>
                <w:szCs w:val="24"/>
              </w:rPr>
              <w:fldChar w:fldCharType="separate"/>
            </w:r>
            <w:r w:rsidR="00715125" w:rsidRPr="00C77CB8">
              <w:rPr>
                <w:rFonts w:ascii="Times New Roman" w:hAnsi="Times New Roman" w:cs="Times New Roman"/>
                <w:b/>
                <w:bCs/>
                <w:noProof/>
                <w:webHidden/>
                <w:sz w:val="24"/>
                <w:szCs w:val="24"/>
              </w:rPr>
              <w:t>3</w:t>
            </w:r>
            <w:r w:rsidR="00715125" w:rsidRPr="00C77CB8">
              <w:rPr>
                <w:rFonts w:ascii="Times New Roman" w:hAnsi="Times New Roman" w:cs="Times New Roman"/>
                <w:b/>
                <w:bCs/>
                <w:noProof/>
                <w:webHidden/>
                <w:sz w:val="24"/>
                <w:szCs w:val="24"/>
              </w:rPr>
              <w:fldChar w:fldCharType="end"/>
            </w:r>
          </w:hyperlink>
        </w:p>
        <w:p w14:paraId="5494B9BB" w14:textId="77777777" w:rsidR="00715125" w:rsidRPr="00C77CB8" w:rsidRDefault="00BD02AC" w:rsidP="00715125">
          <w:pPr>
            <w:pStyle w:val="TOC1"/>
            <w:tabs>
              <w:tab w:val="right" w:leader="dot" w:pos="9016"/>
            </w:tabs>
            <w:spacing w:line="360" w:lineRule="auto"/>
            <w:rPr>
              <w:rFonts w:ascii="Times New Roman" w:eastAsiaTheme="minorEastAsia" w:hAnsi="Times New Roman" w:cs="Times New Roman"/>
              <w:b/>
              <w:bCs/>
              <w:noProof/>
              <w:sz w:val="24"/>
              <w:szCs w:val="24"/>
              <w:lang w:eastAsia="en-IN"/>
            </w:rPr>
          </w:pPr>
          <w:hyperlink w:anchor="_Toc235996235" w:history="1">
            <w:r w:rsidR="00715125" w:rsidRPr="00C77CB8">
              <w:rPr>
                <w:rStyle w:val="Hyperlink"/>
                <w:rFonts w:ascii="Times New Roman" w:hAnsi="Times New Roman" w:cs="Times New Roman"/>
                <w:b/>
                <w:bCs/>
                <w:noProof/>
                <w:sz w:val="24"/>
                <w:szCs w:val="24"/>
              </w:rPr>
              <w:t>PART 3: PRELIMINARY LITERATURE REVIEW</w:t>
            </w:r>
            <w:r w:rsidR="00715125" w:rsidRPr="00C77CB8">
              <w:rPr>
                <w:rFonts w:ascii="Times New Roman" w:hAnsi="Times New Roman" w:cs="Times New Roman"/>
                <w:b/>
                <w:bCs/>
                <w:noProof/>
                <w:webHidden/>
                <w:sz w:val="24"/>
                <w:szCs w:val="24"/>
              </w:rPr>
              <w:tab/>
            </w:r>
            <w:r w:rsidR="00715125" w:rsidRPr="00C77CB8">
              <w:rPr>
                <w:rFonts w:ascii="Times New Roman" w:hAnsi="Times New Roman" w:cs="Times New Roman"/>
                <w:b/>
                <w:bCs/>
                <w:noProof/>
                <w:webHidden/>
                <w:sz w:val="24"/>
                <w:szCs w:val="24"/>
              </w:rPr>
              <w:fldChar w:fldCharType="begin"/>
            </w:r>
            <w:r w:rsidR="00715125" w:rsidRPr="00C77CB8">
              <w:rPr>
                <w:rFonts w:ascii="Times New Roman" w:hAnsi="Times New Roman" w:cs="Times New Roman"/>
                <w:b/>
                <w:bCs/>
                <w:noProof/>
                <w:webHidden/>
                <w:sz w:val="24"/>
                <w:szCs w:val="24"/>
              </w:rPr>
              <w:instrText xml:space="preserve"> PAGEREF _Toc235996235 \h </w:instrText>
            </w:r>
            <w:r w:rsidR="00715125" w:rsidRPr="00C77CB8">
              <w:rPr>
                <w:rFonts w:ascii="Times New Roman" w:hAnsi="Times New Roman" w:cs="Times New Roman"/>
                <w:b/>
                <w:bCs/>
                <w:noProof/>
                <w:webHidden/>
                <w:sz w:val="24"/>
                <w:szCs w:val="24"/>
              </w:rPr>
            </w:r>
            <w:r w:rsidR="00715125" w:rsidRPr="00C77CB8">
              <w:rPr>
                <w:rFonts w:ascii="Times New Roman" w:hAnsi="Times New Roman" w:cs="Times New Roman"/>
                <w:b/>
                <w:bCs/>
                <w:noProof/>
                <w:webHidden/>
                <w:sz w:val="24"/>
                <w:szCs w:val="24"/>
              </w:rPr>
              <w:fldChar w:fldCharType="separate"/>
            </w:r>
            <w:r w:rsidR="00715125" w:rsidRPr="00C77CB8">
              <w:rPr>
                <w:rFonts w:ascii="Times New Roman" w:hAnsi="Times New Roman" w:cs="Times New Roman"/>
                <w:b/>
                <w:bCs/>
                <w:noProof/>
                <w:webHidden/>
                <w:sz w:val="24"/>
                <w:szCs w:val="24"/>
              </w:rPr>
              <w:t>45</w:t>
            </w:r>
            <w:r w:rsidR="00715125" w:rsidRPr="00C77CB8">
              <w:rPr>
                <w:rFonts w:ascii="Times New Roman" w:hAnsi="Times New Roman" w:cs="Times New Roman"/>
                <w:b/>
                <w:bCs/>
                <w:noProof/>
                <w:webHidden/>
                <w:sz w:val="24"/>
                <w:szCs w:val="24"/>
              </w:rPr>
              <w:fldChar w:fldCharType="end"/>
            </w:r>
          </w:hyperlink>
        </w:p>
        <w:p w14:paraId="68A61538" w14:textId="79DBF2B1" w:rsidR="00715125" w:rsidRPr="00C77CB8" w:rsidRDefault="00BD02AC" w:rsidP="00715125">
          <w:pPr>
            <w:pStyle w:val="TOC2"/>
            <w:tabs>
              <w:tab w:val="left" w:pos="660"/>
              <w:tab w:val="right" w:leader="dot" w:pos="9016"/>
            </w:tabs>
            <w:spacing w:line="360" w:lineRule="auto"/>
            <w:rPr>
              <w:rFonts w:ascii="Times New Roman" w:eastAsiaTheme="minorEastAsia" w:hAnsi="Times New Roman" w:cs="Times New Roman"/>
              <w:b/>
              <w:bCs/>
              <w:noProof/>
              <w:sz w:val="24"/>
              <w:szCs w:val="24"/>
              <w:lang w:eastAsia="en-IN"/>
            </w:rPr>
          </w:pPr>
          <w:hyperlink w:anchor="_Toc235996236" w:history="1">
            <w:r w:rsidR="00C77CB8" w:rsidRPr="00C77CB8">
              <w:rPr>
                <w:rStyle w:val="Hyperlink"/>
                <w:rFonts w:ascii="Times New Roman" w:hAnsi="Times New Roman" w:cs="Times New Roman"/>
                <w:b/>
                <w:bCs/>
                <w:noProof/>
                <w:sz w:val="24"/>
                <w:szCs w:val="24"/>
              </w:rPr>
              <w:t>3.1</w:t>
            </w:r>
            <w:r w:rsidR="00715125" w:rsidRPr="00C77CB8">
              <w:rPr>
                <w:rStyle w:val="Hyperlink"/>
                <w:rFonts w:ascii="Times New Roman" w:hAnsi="Times New Roman" w:cs="Times New Roman"/>
                <w:b/>
                <w:bCs/>
                <w:noProof/>
                <w:sz w:val="24"/>
                <w:szCs w:val="24"/>
              </w:rPr>
              <w:t>.</w:t>
            </w:r>
            <w:r w:rsidR="00715125" w:rsidRPr="00C77CB8">
              <w:rPr>
                <w:rFonts w:ascii="Times New Roman" w:eastAsiaTheme="minorEastAsia" w:hAnsi="Times New Roman" w:cs="Times New Roman"/>
                <w:b/>
                <w:bCs/>
                <w:noProof/>
                <w:sz w:val="24"/>
                <w:szCs w:val="24"/>
                <w:lang w:eastAsia="en-IN"/>
              </w:rPr>
              <w:tab/>
            </w:r>
            <w:r w:rsidR="00715125" w:rsidRPr="00C77CB8">
              <w:rPr>
                <w:rStyle w:val="Hyperlink"/>
                <w:rFonts w:ascii="Times New Roman" w:hAnsi="Times New Roman" w:cs="Times New Roman"/>
                <w:b/>
                <w:bCs/>
                <w:noProof/>
                <w:sz w:val="24"/>
                <w:szCs w:val="24"/>
              </w:rPr>
              <w:t>Introduction</w:t>
            </w:r>
            <w:r w:rsidR="00715125" w:rsidRPr="00C77CB8">
              <w:rPr>
                <w:rFonts w:ascii="Times New Roman" w:hAnsi="Times New Roman" w:cs="Times New Roman"/>
                <w:b/>
                <w:bCs/>
                <w:noProof/>
                <w:webHidden/>
                <w:sz w:val="24"/>
                <w:szCs w:val="24"/>
              </w:rPr>
              <w:tab/>
            </w:r>
            <w:r w:rsidR="00715125" w:rsidRPr="00C77CB8">
              <w:rPr>
                <w:rFonts w:ascii="Times New Roman" w:hAnsi="Times New Roman" w:cs="Times New Roman"/>
                <w:b/>
                <w:bCs/>
                <w:noProof/>
                <w:webHidden/>
                <w:sz w:val="24"/>
                <w:szCs w:val="24"/>
              </w:rPr>
              <w:fldChar w:fldCharType="begin"/>
            </w:r>
            <w:r w:rsidR="00715125" w:rsidRPr="00C77CB8">
              <w:rPr>
                <w:rFonts w:ascii="Times New Roman" w:hAnsi="Times New Roman" w:cs="Times New Roman"/>
                <w:b/>
                <w:bCs/>
                <w:noProof/>
                <w:webHidden/>
                <w:sz w:val="24"/>
                <w:szCs w:val="24"/>
              </w:rPr>
              <w:instrText xml:space="preserve"> PAGEREF _Toc235996236 \h </w:instrText>
            </w:r>
            <w:r w:rsidR="00715125" w:rsidRPr="00C77CB8">
              <w:rPr>
                <w:rFonts w:ascii="Times New Roman" w:hAnsi="Times New Roman" w:cs="Times New Roman"/>
                <w:b/>
                <w:bCs/>
                <w:noProof/>
                <w:webHidden/>
                <w:sz w:val="24"/>
                <w:szCs w:val="24"/>
              </w:rPr>
            </w:r>
            <w:r w:rsidR="00715125" w:rsidRPr="00C77CB8">
              <w:rPr>
                <w:rFonts w:ascii="Times New Roman" w:hAnsi="Times New Roman" w:cs="Times New Roman"/>
                <w:b/>
                <w:bCs/>
                <w:noProof/>
                <w:webHidden/>
                <w:sz w:val="24"/>
                <w:szCs w:val="24"/>
              </w:rPr>
              <w:fldChar w:fldCharType="separate"/>
            </w:r>
            <w:r w:rsidR="00715125" w:rsidRPr="00C77CB8">
              <w:rPr>
                <w:rFonts w:ascii="Times New Roman" w:hAnsi="Times New Roman" w:cs="Times New Roman"/>
                <w:b/>
                <w:bCs/>
                <w:noProof/>
                <w:webHidden/>
                <w:sz w:val="24"/>
                <w:szCs w:val="24"/>
              </w:rPr>
              <w:t>45</w:t>
            </w:r>
            <w:r w:rsidR="00715125" w:rsidRPr="00C77CB8">
              <w:rPr>
                <w:rFonts w:ascii="Times New Roman" w:hAnsi="Times New Roman" w:cs="Times New Roman"/>
                <w:b/>
                <w:bCs/>
                <w:noProof/>
                <w:webHidden/>
                <w:sz w:val="24"/>
                <w:szCs w:val="24"/>
              </w:rPr>
              <w:fldChar w:fldCharType="end"/>
            </w:r>
          </w:hyperlink>
        </w:p>
        <w:p w14:paraId="10F185AF" w14:textId="5E0C0A7C" w:rsidR="00715125" w:rsidRPr="00C77CB8" w:rsidRDefault="00BD02AC" w:rsidP="00715125">
          <w:pPr>
            <w:pStyle w:val="TOC3"/>
            <w:tabs>
              <w:tab w:val="right" w:leader="dot" w:pos="9016"/>
            </w:tabs>
            <w:spacing w:line="360" w:lineRule="auto"/>
            <w:rPr>
              <w:rFonts w:ascii="Times New Roman" w:hAnsi="Times New Roman" w:cs="Times New Roman"/>
              <w:b/>
              <w:bCs/>
              <w:noProof/>
              <w:sz w:val="24"/>
              <w:szCs w:val="24"/>
            </w:rPr>
          </w:pPr>
          <w:hyperlink w:anchor="_Toc235996238" w:history="1">
            <w:r w:rsidR="00C77CB8" w:rsidRPr="00C77CB8">
              <w:rPr>
                <w:rStyle w:val="Hyperlink"/>
                <w:rFonts w:ascii="Times New Roman" w:hAnsi="Times New Roman" w:cs="Times New Roman"/>
                <w:b/>
                <w:bCs/>
                <w:noProof/>
                <w:sz w:val="24"/>
                <w:szCs w:val="24"/>
              </w:rPr>
              <w:t>3.2</w:t>
            </w:r>
            <w:r w:rsidR="00715125" w:rsidRPr="00C77CB8">
              <w:rPr>
                <w:rStyle w:val="Hyperlink"/>
                <w:rFonts w:ascii="Times New Roman" w:hAnsi="Times New Roman" w:cs="Times New Roman"/>
                <w:b/>
                <w:bCs/>
                <w:noProof/>
                <w:sz w:val="24"/>
                <w:szCs w:val="24"/>
              </w:rPr>
              <w:t xml:space="preserve"> Employee Trust in Artificial Intelligence</w:t>
            </w:r>
            <w:r w:rsidR="00715125" w:rsidRPr="00C77CB8">
              <w:rPr>
                <w:rFonts w:ascii="Times New Roman" w:hAnsi="Times New Roman" w:cs="Times New Roman"/>
                <w:b/>
                <w:bCs/>
                <w:noProof/>
                <w:webHidden/>
                <w:sz w:val="24"/>
                <w:szCs w:val="24"/>
              </w:rPr>
              <w:tab/>
            </w:r>
            <w:r w:rsidR="00715125" w:rsidRPr="00C77CB8">
              <w:rPr>
                <w:rFonts w:ascii="Times New Roman" w:hAnsi="Times New Roman" w:cs="Times New Roman"/>
                <w:b/>
                <w:bCs/>
                <w:noProof/>
                <w:webHidden/>
                <w:sz w:val="24"/>
                <w:szCs w:val="24"/>
              </w:rPr>
              <w:fldChar w:fldCharType="begin"/>
            </w:r>
            <w:r w:rsidR="00715125" w:rsidRPr="00C77CB8">
              <w:rPr>
                <w:rFonts w:ascii="Times New Roman" w:hAnsi="Times New Roman" w:cs="Times New Roman"/>
                <w:b/>
                <w:bCs/>
                <w:noProof/>
                <w:webHidden/>
                <w:sz w:val="24"/>
                <w:szCs w:val="24"/>
              </w:rPr>
              <w:instrText xml:space="preserve"> PAGEREF _Toc235996238 \h </w:instrText>
            </w:r>
            <w:r w:rsidR="00715125" w:rsidRPr="00C77CB8">
              <w:rPr>
                <w:rFonts w:ascii="Times New Roman" w:hAnsi="Times New Roman" w:cs="Times New Roman"/>
                <w:b/>
                <w:bCs/>
                <w:noProof/>
                <w:webHidden/>
                <w:sz w:val="24"/>
                <w:szCs w:val="24"/>
              </w:rPr>
            </w:r>
            <w:r w:rsidR="00715125" w:rsidRPr="00C77CB8">
              <w:rPr>
                <w:rFonts w:ascii="Times New Roman" w:hAnsi="Times New Roman" w:cs="Times New Roman"/>
                <w:b/>
                <w:bCs/>
                <w:noProof/>
                <w:webHidden/>
                <w:sz w:val="24"/>
                <w:szCs w:val="24"/>
              </w:rPr>
              <w:fldChar w:fldCharType="separate"/>
            </w:r>
            <w:r w:rsidR="00715125" w:rsidRPr="00C77CB8">
              <w:rPr>
                <w:rFonts w:ascii="Times New Roman" w:hAnsi="Times New Roman" w:cs="Times New Roman"/>
                <w:b/>
                <w:bCs/>
                <w:noProof/>
                <w:webHidden/>
                <w:sz w:val="24"/>
                <w:szCs w:val="24"/>
              </w:rPr>
              <w:t>46</w:t>
            </w:r>
            <w:r w:rsidR="00715125" w:rsidRPr="00C77CB8">
              <w:rPr>
                <w:rFonts w:ascii="Times New Roman" w:hAnsi="Times New Roman" w:cs="Times New Roman"/>
                <w:b/>
                <w:bCs/>
                <w:noProof/>
                <w:webHidden/>
                <w:sz w:val="24"/>
                <w:szCs w:val="24"/>
              </w:rPr>
              <w:fldChar w:fldCharType="end"/>
            </w:r>
          </w:hyperlink>
        </w:p>
        <w:p w14:paraId="1CA234B0" w14:textId="64FDCC7B" w:rsidR="00715125" w:rsidRPr="00C77CB8" w:rsidRDefault="00BD02AC" w:rsidP="00715125">
          <w:pPr>
            <w:pStyle w:val="TOC3"/>
            <w:tabs>
              <w:tab w:val="right" w:leader="dot" w:pos="9016"/>
            </w:tabs>
            <w:spacing w:line="360" w:lineRule="auto"/>
            <w:rPr>
              <w:rFonts w:ascii="Times New Roman" w:hAnsi="Times New Roman" w:cs="Times New Roman"/>
              <w:b/>
              <w:bCs/>
              <w:noProof/>
              <w:sz w:val="24"/>
              <w:szCs w:val="24"/>
            </w:rPr>
          </w:pPr>
          <w:hyperlink w:anchor="_Toc235996239" w:history="1">
            <w:r w:rsidR="00C77CB8" w:rsidRPr="00C77CB8">
              <w:rPr>
                <w:rStyle w:val="Hyperlink"/>
                <w:rFonts w:ascii="Times New Roman" w:hAnsi="Times New Roman" w:cs="Times New Roman"/>
                <w:b/>
                <w:bCs/>
                <w:noProof/>
                <w:sz w:val="24"/>
                <w:szCs w:val="24"/>
              </w:rPr>
              <w:t>3.3</w:t>
            </w:r>
            <w:r w:rsidR="00715125" w:rsidRPr="00C77CB8">
              <w:rPr>
                <w:rStyle w:val="Hyperlink"/>
                <w:rFonts w:ascii="Times New Roman" w:hAnsi="Times New Roman" w:cs="Times New Roman"/>
                <w:b/>
                <w:bCs/>
                <w:noProof/>
                <w:sz w:val="24"/>
                <w:szCs w:val="24"/>
              </w:rPr>
              <w:t>Organisational Readiness and AI Adoption</w:t>
            </w:r>
            <w:r w:rsidR="00715125" w:rsidRPr="00C77CB8">
              <w:rPr>
                <w:rFonts w:ascii="Times New Roman" w:hAnsi="Times New Roman" w:cs="Times New Roman"/>
                <w:b/>
                <w:bCs/>
                <w:noProof/>
                <w:webHidden/>
                <w:sz w:val="24"/>
                <w:szCs w:val="24"/>
              </w:rPr>
              <w:tab/>
            </w:r>
            <w:r w:rsidR="00715125" w:rsidRPr="00C77CB8">
              <w:rPr>
                <w:rFonts w:ascii="Times New Roman" w:hAnsi="Times New Roman" w:cs="Times New Roman"/>
                <w:b/>
                <w:bCs/>
                <w:noProof/>
                <w:webHidden/>
                <w:sz w:val="24"/>
                <w:szCs w:val="24"/>
              </w:rPr>
              <w:fldChar w:fldCharType="begin"/>
            </w:r>
            <w:r w:rsidR="00715125" w:rsidRPr="00C77CB8">
              <w:rPr>
                <w:rFonts w:ascii="Times New Roman" w:hAnsi="Times New Roman" w:cs="Times New Roman"/>
                <w:b/>
                <w:bCs/>
                <w:noProof/>
                <w:webHidden/>
                <w:sz w:val="24"/>
                <w:szCs w:val="24"/>
              </w:rPr>
              <w:instrText xml:space="preserve"> PAGEREF _Toc235996239 \h </w:instrText>
            </w:r>
            <w:r w:rsidR="00715125" w:rsidRPr="00C77CB8">
              <w:rPr>
                <w:rFonts w:ascii="Times New Roman" w:hAnsi="Times New Roman" w:cs="Times New Roman"/>
                <w:b/>
                <w:bCs/>
                <w:noProof/>
                <w:webHidden/>
                <w:sz w:val="24"/>
                <w:szCs w:val="24"/>
              </w:rPr>
            </w:r>
            <w:r w:rsidR="00715125" w:rsidRPr="00C77CB8">
              <w:rPr>
                <w:rFonts w:ascii="Times New Roman" w:hAnsi="Times New Roman" w:cs="Times New Roman"/>
                <w:b/>
                <w:bCs/>
                <w:noProof/>
                <w:webHidden/>
                <w:sz w:val="24"/>
                <w:szCs w:val="24"/>
              </w:rPr>
              <w:fldChar w:fldCharType="separate"/>
            </w:r>
            <w:r w:rsidR="00715125" w:rsidRPr="00C77CB8">
              <w:rPr>
                <w:rFonts w:ascii="Times New Roman" w:hAnsi="Times New Roman" w:cs="Times New Roman"/>
                <w:b/>
                <w:bCs/>
                <w:noProof/>
                <w:webHidden/>
                <w:sz w:val="24"/>
                <w:szCs w:val="24"/>
              </w:rPr>
              <w:t>49</w:t>
            </w:r>
            <w:r w:rsidR="00715125" w:rsidRPr="00C77CB8">
              <w:rPr>
                <w:rFonts w:ascii="Times New Roman" w:hAnsi="Times New Roman" w:cs="Times New Roman"/>
                <w:b/>
                <w:bCs/>
                <w:noProof/>
                <w:webHidden/>
                <w:sz w:val="24"/>
                <w:szCs w:val="24"/>
              </w:rPr>
              <w:fldChar w:fldCharType="end"/>
            </w:r>
          </w:hyperlink>
        </w:p>
        <w:p w14:paraId="15CBFA90" w14:textId="7C42757E" w:rsidR="00715125" w:rsidRPr="00C77CB8" w:rsidRDefault="00BD02AC" w:rsidP="00715125">
          <w:pPr>
            <w:pStyle w:val="TOC3"/>
            <w:tabs>
              <w:tab w:val="right" w:leader="dot" w:pos="9016"/>
            </w:tabs>
            <w:spacing w:line="360" w:lineRule="auto"/>
            <w:rPr>
              <w:rFonts w:ascii="Times New Roman" w:hAnsi="Times New Roman" w:cs="Times New Roman"/>
              <w:b/>
              <w:bCs/>
              <w:noProof/>
              <w:sz w:val="24"/>
              <w:szCs w:val="24"/>
            </w:rPr>
          </w:pPr>
          <w:hyperlink w:anchor="_Toc235996240" w:history="1">
            <w:r w:rsidR="00C77CB8" w:rsidRPr="00C77CB8">
              <w:rPr>
                <w:rStyle w:val="Hyperlink"/>
                <w:rFonts w:ascii="Times New Roman" w:hAnsi="Times New Roman" w:cs="Times New Roman"/>
                <w:b/>
                <w:bCs/>
                <w:noProof/>
                <w:sz w:val="24"/>
                <w:szCs w:val="24"/>
              </w:rPr>
              <w:t xml:space="preserve">3.4 </w:t>
            </w:r>
            <w:r w:rsidR="00715125" w:rsidRPr="00C77CB8">
              <w:rPr>
                <w:rStyle w:val="Hyperlink"/>
                <w:rFonts w:ascii="Times New Roman" w:hAnsi="Times New Roman" w:cs="Times New Roman"/>
                <w:b/>
                <w:bCs/>
                <w:noProof/>
                <w:sz w:val="24"/>
                <w:szCs w:val="24"/>
              </w:rPr>
              <w:t>Ethical AI Governance and Accountability</w:t>
            </w:r>
            <w:r w:rsidR="00715125" w:rsidRPr="00C77CB8">
              <w:rPr>
                <w:rFonts w:ascii="Times New Roman" w:hAnsi="Times New Roman" w:cs="Times New Roman"/>
                <w:b/>
                <w:bCs/>
                <w:noProof/>
                <w:webHidden/>
                <w:sz w:val="24"/>
                <w:szCs w:val="24"/>
              </w:rPr>
              <w:tab/>
            </w:r>
            <w:r w:rsidR="00715125" w:rsidRPr="00C77CB8">
              <w:rPr>
                <w:rFonts w:ascii="Times New Roman" w:hAnsi="Times New Roman" w:cs="Times New Roman"/>
                <w:b/>
                <w:bCs/>
                <w:noProof/>
                <w:webHidden/>
                <w:sz w:val="24"/>
                <w:szCs w:val="24"/>
              </w:rPr>
              <w:fldChar w:fldCharType="begin"/>
            </w:r>
            <w:r w:rsidR="00715125" w:rsidRPr="00C77CB8">
              <w:rPr>
                <w:rFonts w:ascii="Times New Roman" w:hAnsi="Times New Roman" w:cs="Times New Roman"/>
                <w:b/>
                <w:bCs/>
                <w:noProof/>
                <w:webHidden/>
                <w:sz w:val="24"/>
                <w:szCs w:val="24"/>
              </w:rPr>
              <w:instrText xml:space="preserve"> PAGEREF _Toc235996240 \h </w:instrText>
            </w:r>
            <w:r w:rsidR="00715125" w:rsidRPr="00C77CB8">
              <w:rPr>
                <w:rFonts w:ascii="Times New Roman" w:hAnsi="Times New Roman" w:cs="Times New Roman"/>
                <w:b/>
                <w:bCs/>
                <w:noProof/>
                <w:webHidden/>
                <w:sz w:val="24"/>
                <w:szCs w:val="24"/>
              </w:rPr>
            </w:r>
            <w:r w:rsidR="00715125" w:rsidRPr="00C77CB8">
              <w:rPr>
                <w:rFonts w:ascii="Times New Roman" w:hAnsi="Times New Roman" w:cs="Times New Roman"/>
                <w:b/>
                <w:bCs/>
                <w:noProof/>
                <w:webHidden/>
                <w:sz w:val="24"/>
                <w:szCs w:val="24"/>
              </w:rPr>
              <w:fldChar w:fldCharType="separate"/>
            </w:r>
            <w:r w:rsidR="00715125" w:rsidRPr="00C77CB8">
              <w:rPr>
                <w:rFonts w:ascii="Times New Roman" w:hAnsi="Times New Roman" w:cs="Times New Roman"/>
                <w:b/>
                <w:bCs/>
                <w:noProof/>
                <w:webHidden/>
                <w:sz w:val="24"/>
                <w:szCs w:val="24"/>
              </w:rPr>
              <w:t>52</w:t>
            </w:r>
            <w:r w:rsidR="00715125" w:rsidRPr="00C77CB8">
              <w:rPr>
                <w:rFonts w:ascii="Times New Roman" w:hAnsi="Times New Roman" w:cs="Times New Roman"/>
                <w:b/>
                <w:bCs/>
                <w:noProof/>
                <w:webHidden/>
                <w:sz w:val="24"/>
                <w:szCs w:val="24"/>
              </w:rPr>
              <w:fldChar w:fldCharType="end"/>
            </w:r>
          </w:hyperlink>
        </w:p>
        <w:p w14:paraId="4D5829BF" w14:textId="19240BF4" w:rsidR="00715125" w:rsidRPr="00C77CB8" w:rsidRDefault="00BD02AC" w:rsidP="00715125">
          <w:pPr>
            <w:pStyle w:val="TOC2"/>
            <w:tabs>
              <w:tab w:val="right" w:leader="dot" w:pos="9016"/>
            </w:tabs>
            <w:spacing w:line="360" w:lineRule="auto"/>
            <w:rPr>
              <w:rFonts w:ascii="Times New Roman" w:eastAsiaTheme="minorEastAsia" w:hAnsi="Times New Roman" w:cs="Times New Roman"/>
              <w:b/>
              <w:bCs/>
              <w:noProof/>
              <w:sz w:val="24"/>
              <w:szCs w:val="24"/>
              <w:lang w:eastAsia="en-IN"/>
            </w:rPr>
          </w:pPr>
          <w:hyperlink w:anchor="_Toc235996241" w:history="1">
            <w:r w:rsidR="00C77CB8" w:rsidRPr="00C77CB8">
              <w:rPr>
                <w:rStyle w:val="Hyperlink"/>
                <w:rFonts w:ascii="Times New Roman" w:hAnsi="Times New Roman" w:cs="Times New Roman"/>
                <w:b/>
                <w:bCs/>
                <w:noProof/>
                <w:sz w:val="24"/>
                <w:szCs w:val="24"/>
              </w:rPr>
              <w:t>3.5</w:t>
            </w:r>
            <w:r w:rsidR="00715125" w:rsidRPr="00C77CB8">
              <w:rPr>
                <w:rStyle w:val="Hyperlink"/>
                <w:rFonts w:ascii="Times New Roman" w:hAnsi="Times New Roman" w:cs="Times New Roman"/>
                <w:b/>
                <w:bCs/>
                <w:noProof/>
                <w:sz w:val="24"/>
                <w:szCs w:val="24"/>
              </w:rPr>
              <w:t xml:space="preserve"> Critical Synthesis: Identifying the Gaps</w:t>
            </w:r>
            <w:r w:rsidR="00715125" w:rsidRPr="00C77CB8">
              <w:rPr>
                <w:rFonts w:ascii="Times New Roman" w:hAnsi="Times New Roman" w:cs="Times New Roman"/>
                <w:b/>
                <w:bCs/>
                <w:noProof/>
                <w:webHidden/>
                <w:sz w:val="24"/>
                <w:szCs w:val="24"/>
              </w:rPr>
              <w:tab/>
            </w:r>
            <w:r w:rsidR="00715125" w:rsidRPr="00C77CB8">
              <w:rPr>
                <w:rFonts w:ascii="Times New Roman" w:hAnsi="Times New Roman" w:cs="Times New Roman"/>
                <w:b/>
                <w:bCs/>
                <w:noProof/>
                <w:webHidden/>
                <w:sz w:val="24"/>
                <w:szCs w:val="24"/>
              </w:rPr>
              <w:fldChar w:fldCharType="begin"/>
            </w:r>
            <w:r w:rsidR="00715125" w:rsidRPr="00C77CB8">
              <w:rPr>
                <w:rFonts w:ascii="Times New Roman" w:hAnsi="Times New Roman" w:cs="Times New Roman"/>
                <w:b/>
                <w:bCs/>
                <w:noProof/>
                <w:webHidden/>
                <w:sz w:val="24"/>
                <w:szCs w:val="24"/>
              </w:rPr>
              <w:instrText xml:space="preserve"> PAGEREF _Toc235996241 \h </w:instrText>
            </w:r>
            <w:r w:rsidR="00715125" w:rsidRPr="00C77CB8">
              <w:rPr>
                <w:rFonts w:ascii="Times New Roman" w:hAnsi="Times New Roman" w:cs="Times New Roman"/>
                <w:b/>
                <w:bCs/>
                <w:noProof/>
                <w:webHidden/>
                <w:sz w:val="24"/>
                <w:szCs w:val="24"/>
              </w:rPr>
            </w:r>
            <w:r w:rsidR="00715125" w:rsidRPr="00C77CB8">
              <w:rPr>
                <w:rFonts w:ascii="Times New Roman" w:hAnsi="Times New Roman" w:cs="Times New Roman"/>
                <w:b/>
                <w:bCs/>
                <w:noProof/>
                <w:webHidden/>
                <w:sz w:val="24"/>
                <w:szCs w:val="24"/>
              </w:rPr>
              <w:fldChar w:fldCharType="separate"/>
            </w:r>
            <w:r w:rsidR="00715125" w:rsidRPr="00C77CB8">
              <w:rPr>
                <w:rFonts w:ascii="Times New Roman" w:hAnsi="Times New Roman" w:cs="Times New Roman"/>
                <w:b/>
                <w:bCs/>
                <w:noProof/>
                <w:webHidden/>
                <w:sz w:val="24"/>
                <w:szCs w:val="24"/>
              </w:rPr>
              <w:t>55</w:t>
            </w:r>
            <w:r w:rsidR="00715125" w:rsidRPr="00C77CB8">
              <w:rPr>
                <w:rFonts w:ascii="Times New Roman" w:hAnsi="Times New Roman" w:cs="Times New Roman"/>
                <w:b/>
                <w:bCs/>
                <w:noProof/>
                <w:webHidden/>
                <w:sz w:val="24"/>
                <w:szCs w:val="24"/>
              </w:rPr>
              <w:fldChar w:fldCharType="end"/>
            </w:r>
          </w:hyperlink>
        </w:p>
        <w:p w14:paraId="4A467082" w14:textId="671A63C1" w:rsidR="00715125" w:rsidRPr="00C77CB8" w:rsidRDefault="00BD02AC" w:rsidP="00715125">
          <w:pPr>
            <w:pStyle w:val="TOC2"/>
            <w:tabs>
              <w:tab w:val="right" w:leader="dot" w:pos="9016"/>
            </w:tabs>
            <w:spacing w:line="360" w:lineRule="auto"/>
            <w:rPr>
              <w:rFonts w:ascii="Times New Roman" w:eastAsiaTheme="minorEastAsia" w:hAnsi="Times New Roman" w:cs="Times New Roman"/>
              <w:b/>
              <w:bCs/>
              <w:noProof/>
              <w:sz w:val="24"/>
              <w:szCs w:val="24"/>
              <w:lang w:eastAsia="en-IN"/>
            </w:rPr>
          </w:pPr>
          <w:hyperlink w:anchor="_Toc235996242" w:history="1">
            <w:r w:rsidR="00C77CB8" w:rsidRPr="00C77CB8">
              <w:rPr>
                <w:rStyle w:val="Hyperlink"/>
                <w:rFonts w:ascii="Times New Roman" w:hAnsi="Times New Roman" w:cs="Times New Roman"/>
                <w:b/>
                <w:bCs/>
                <w:noProof/>
                <w:sz w:val="24"/>
                <w:szCs w:val="24"/>
              </w:rPr>
              <w:t xml:space="preserve">3.6 </w:t>
            </w:r>
            <w:r w:rsidR="00715125" w:rsidRPr="00C77CB8">
              <w:rPr>
                <w:rStyle w:val="Hyperlink"/>
                <w:rFonts w:ascii="Times New Roman" w:hAnsi="Times New Roman" w:cs="Times New Roman"/>
                <w:b/>
                <w:bCs/>
                <w:noProof/>
                <w:sz w:val="24"/>
                <w:szCs w:val="24"/>
              </w:rPr>
              <w:t>Research Questions</w:t>
            </w:r>
            <w:r w:rsidR="00715125" w:rsidRPr="00C77CB8">
              <w:rPr>
                <w:rFonts w:ascii="Times New Roman" w:hAnsi="Times New Roman" w:cs="Times New Roman"/>
                <w:b/>
                <w:bCs/>
                <w:noProof/>
                <w:webHidden/>
                <w:sz w:val="24"/>
                <w:szCs w:val="24"/>
              </w:rPr>
              <w:tab/>
            </w:r>
            <w:r w:rsidR="00715125" w:rsidRPr="00C77CB8">
              <w:rPr>
                <w:rFonts w:ascii="Times New Roman" w:hAnsi="Times New Roman" w:cs="Times New Roman"/>
                <w:b/>
                <w:bCs/>
                <w:noProof/>
                <w:webHidden/>
                <w:sz w:val="24"/>
                <w:szCs w:val="24"/>
              </w:rPr>
              <w:fldChar w:fldCharType="begin"/>
            </w:r>
            <w:r w:rsidR="00715125" w:rsidRPr="00C77CB8">
              <w:rPr>
                <w:rFonts w:ascii="Times New Roman" w:hAnsi="Times New Roman" w:cs="Times New Roman"/>
                <w:b/>
                <w:bCs/>
                <w:noProof/>
                <w:webHidden/>
                <w:sz w:val="24"/>
                <w:szCs w:val="24"/>
              </w:rPr>
              <w:instrText xml:space="preserve"> PAGEREF _Toc235996242 \h </w:instrText>
            </w:r>
            <w:r w:rsidR="00715125" w:rsidRPr="00C77CB8">
              <w:rPr>
                <w:rFonts w:ascii="Times New Roman" w:hAnsi="Times New Roman" w:cs="Times New Roman"/>
                <w:b/>
                <w:bCs/>
                <w:noProof/>
                <w:webHidden/>
                <w:sz w:val="24"/>
                <w:szCs w:val="24"/>
              </w:rPr>
            </w:r>
            <w:r w:rsidR="00715125" w:rsidRPr="00C77CB8">
              <w:rPr>
                <w:rFonts w:ascii="Times New Roman" w:hAnsi="Times New Roman" w:cs="Times New Roman"/>
                <w:b/>
                <w:bCs/>
                <w:noProof/>
                <w:webHidden/>
                <w:sz w:val="24"/>
                <w:szCs w:val="24"/>
              </w:rPr>
              <w:fldChar w:fldCharType="separate"/>
            </w:r>
            <w:r w:rsidR="00715125" w:rsidRPr="00C77CB8">
              <w:rPr>
                <w:rFonts w:ascii="Times New Roman" w:hAnsi="Times New Roman" w:cs="Times New Roman"/>
                <w:b/>
                <w:bCs/>
                <w:noProof/>
                <w:webHidden/>
                <w:sz w:val="24"/>
                <w:szCs w:val="24"/>
              </w:rPr>
              <w:t>57</w:t>
            </w:r>
            <w:r w:rsidR="00715125" w:rsidRPr="00C77CB8">
              <w:rPr>
                <w:rFonts w:ascii="Times New Roman" w:hAnsi="Times New Roman" w:cs="Times New Roman"/>
                <w:b/>
                <w:bCs/>
                <w:noProof/>
                <w:webHidden/>
                <w:sz w:val="24"/>
                <w:szCs w:val="24"/>
              </w:rPr>
              <w:fldChar w:fldCharType="end"/>
            </w:r>
          </w:hyperlink>
        </w:p>
        <w:p w14:paraId="0B570931" w14:textId="6AF691C6" w:rsidR="00715125" w:rsidRPr="00C77CB8" w:rsidRDefault="00C77CB8" w:rsidP="00715125">
          <w:pPr>
            <w:pStyle w:val="TOC1"/>
            <w:tabs>
              <w:tab w:val="right" w:leader="dot" w:pos="9016"/>
            </w:tabs>
            <w:spacing w:line="360" w:lineRule="auto"/>
            <w:rPr>
              <w:rFonts w:ascii="Times New Roman" w:eastAsiaTheme="minorEastAsia" w:hAnsi="Times New Roman" w:cs="Times New Roman"/>
              <w:b/>
              <w:bCs/>
              <w:noProof/>
              <w:sz w:val="24"/>
              <w:szCs w:val="24"/>
              <w:lang w:eastAsia="en-IN"/>
            </w:rPr>
          </w:pPr>
          <w:proofErr w:type="gramStart"/>
          <w:r w:rsidRPr="00C77CB8">
            <w:rPr>
              <w:b/>
              <w:bCs/>
            </w:rPr>
            <w:t>4 .</w:t>
          </w:r>
          <w:proofErr w:type="gramEnd"/>
          <w:r w:rsidR="00BD02AC" w:rsidRPr="00C77CB8">
            <w:rPr>
              <w:b/>
              <w:bCs/>
            </w:rPr>
            <w:fldChar w:fldCharType="begin"/>
          </w:r>
          <w:r w:rsidR="00BD02AC" w:rsidRPr="00C77CB8">
            <w:rPr>
              <w:b/>
              <w:bCs/>
            </w:rPr>
            <w:instrText xml:space="preserve"> HYPERLINK \l "_Toc235996243" </w:instrText>
          </w:r>
          <w:r w:rsidR="00BD02AC" w:rsidRPr="00C77CB8">
            <w:rPr>
              <w:b/>
              <w:bCs/>
            </w:rPr>
            <w:fldChar w:fldCharType="separate"/>
          </w:r>
          <w:r w:rsidR="00715125" w:rsidRPr="00C77CB8">
            <w:rPr>
              <w:rStyle w:val="Hyperlink"/>
              <w:rFonts w:ascii="Times New Roman" w:hAnsi="Times New Roman" w:cs="Times New Roman"/>
              <w:b/>
              <w:bCs/>
              <w:noProof/>
              <w:sz w:val="24"/>
              <w:szCs w:val="24"/>
            </w:rPr>
            <w:t>Reference List</w:t>
          </w:r>
          <w:r w:rsidRPr="00C77CB8">
            <w:rPr>
              <w:rStyle w:val="Hyperlink"/>
              <w:rFonts w:ascii="Times New Roman" w:hAnsi="Times New Roman" w:cs="Times New Roman"/>
              <w:b/>
              <w:bCs/>
              <w:noProof/>
              <w:sz w:val="24"/>
              <w:szCs w:val="24"/>
            </w:rPr>
            <w:t xml:space="preserve"> For Preliminary Literature review</w:t>
          </w:r>
          <w:r w:rsidR="00715125" w:rsidRPr="00C77CB8">
            <w:rPr>
              <w:rFonts w:ascii="Times New Roman" w:hAnsi="Times New Roman" w:cs="Times New Roman"/>
              <w:b/>
              <w:bCs/>
              <w:noProof/>
              <w:webHidden/>
              <w:sz w:val="24"/>
              <w:szCs w:val="24"/>
            </w:rPr>
            <w:tab/>
          </w:r>
          <w:r w:rsidR="00715125" w:rsidRPr="00C77CB8">
            <w:rPr>
              <w:rFonts w:ascii="Times New Roman" w:hAnsi="Times New Roman" w:cs="Times New Roman"/>
              <w:b/>
              <w:bCs/>
              <w:noProof/>
              <w:webHidden/>
              <w:sz w:val="24"/>
              <w:szCs w:val="24"/>
            </w:rPr>
            <w:fldChar w:fldCharType="begin"/>
          </w:r>
          <w:r w:rsidR="00715125" w:rsidRPr="00C77CB8">
            <w:rPr>
              <w:rFonts w:ascii="Times New Roman" w:hAnsi="Times New Roman" w:cs="Times New Roman"/>
              <w:b/>
              <w:bCs/>
              <w:noProof/>
              <w:webHidden/>
              <w:sz w:val="24"/>
              <w:szCs w:val="24"/>
            </w:rPr>
            <w:instrText xml:space="preserve"> PAGEREF _Toc235996243 \h </w:instrText>
          </w:r>
          <w:r w:rsidR="00715125" w:rsidRPr="00C77CB8">
            <w:rPr>
              <w:rFonts w:ascii="Times New Roman" w:hAnsi="Times New Roman" w:cs="Times New Roman"/>
              <w:b/>
              <w:bCs/>
              <w:noProof/>
              <w:webHidden/>
              <w:sz w:val="24"/>
              <w:szCs w:val="24"/>
            </w:rPr>
          </w:r>
          <w:r w:rsidR="00715125" w:rsidRPr="00C77CB8">
            <w:rPr>
              <w:rFonts w:ascii="Times New Roman" w:hAnsi="Times New Roman" w:cs="Times New Roman"/>
              <w:b/>
              <w:bCs/>
              <w:noProof/>
              <w:webHidden/>
              <w:sz w:val="24"/>
              <w:szCs w:val="24"/>
            </w:rPr>
            <w:fldChar w:fldCharType="separate"/>
          </w:r>
          <w:r w:rsidR="00715125" w:rsidRPr="00C77CB8">
            <w:rPr>
              <w:rFonts w:ascii="Times New Roman" w:hAnsi="Times New Roman" w:cs="Times New Roman"/>
              <w:b/>
              <w:bCs/>
              <w:noProof/>
              <w:webHidden/>
              <w:sz w:val="24"/>
              <w:szCs w:val="24"/>
            </w:rPr>
            <w:t>58</w:t>
          </w:r>
          <w:r w:rsidR="00715125" w:rsidRPr="00C77CB8">
            <w:rPr>
              <w:rFonts w:ascii="Times New Roman" w:hAnsi="Times New Roman" w:cs="Times New Roman"/>
              <w:b/>
              <w:bCs/>
              <w:noProof/>
              <w:webHidden/>
              <w:sz w:val="24"/>
              <w:szCs w:val="24"/>
            </w:rPr>
            <w:fldChar w:fldCharType="end"/>
          </w:r>
          <w:r w:rsidR="00BD02AC" w:rsidRPr="00C77CB8">
            <w:rPr>
              <w:rFonts w:ascii="Times New Roman" w:hAnsi="Times New Roman" w:cs="Times New Roman"/>
              <w:b/>
              <w:bCs/>
              <w:noProof/>
              <w:sz w:val="24"/>
              <w:szCs w:val="24"/>
            </w:rPr>
            <w:fldChar w:fldCharType="end"/>
          </w:r>
        </w:p>
        <w:p w14:paraId="250847BD" w14:textId="7C4561DF" w:rsidR="00425EB1" w:rsidRPr="00715125" w:rsidRDefault="00425EB1" w:rsidP="00715125">
          <w:pPr>
            <w:spacing w:line="360" w:lineRule="auto"/>
            <w:rPr>
              <w:rFonts w:ascii="Times New Roman" w:hAnsi="Times New Roman" w:cs="Times New Roman"/>
              <w:color w:val="000000" w:themeColor="text1"/>
              <w:sz w:val="24"/>
              <w:szCs w:val="24"/>
            </w:rPr>
          </w:pPr>
          <w:r w:rsidRPr="00C77CB8">
            <w:rPr>
              <w:rFonts w:ascii="Times New Roman" w:hAnsi="Times New Roman" w:cs="Times New Roman"/>
              <w:b/>
              <w:bCs/>
              <w:noProof/>
              <w:color w:val="000000" w:themeColor="text1"/>
              <w:sz w:val="24"/>
              <w:szCs w:val="24"/>
            </w:rPr>
            <w:fldChar w:fldCharType="end"/>
          </w:r>
          <w:r w:rsidR="00C77CB8" w:rsidRPr="00C77CB8">
            <w:rPr>
              <w:rFonts w:ascii="Times New Roman" w:hAnsi="Times New Roman" w:cs="Times New Roman"/>
              <w:b/>
              <w:bCs/>
              <w:noProof/>
              <w:color w:val="000000" w:themeColor="text1"/>
              <w:sz w:val="24"/>
              <w:szCs w:val="24"/>
            </w:rPr>
            <w:t>5. Reference List for Annotated Bibliography</w:t>
          </w:r>
          <w:r w:rsidR="00C77CB8">
            <w:rPr>
              <w:rFonts w:ascii="Times New Roman" w:hAnsi="Times New Roman" w:cs="Times New Roman"/>
              <w:b/>
              <w:bCs/>
              <w:noProof/>
              <w:color w:val="000000" w:themeColor="text1"/>
              <w:sz w:val="24"/>
              <w:szCs w:val="24"/>
            </w:rPr>
            <w:t>…………………………………………….59</w:t>
          </w:r>
        </w:p>
      </w:sdtContent>
    </w:sdt>
    <w:p w14:paraId="49B4D435" w14:textId="67EE2710" w:rsidR="00425EB1" w:rsidRPr="00715125" w:rsidRDefault="00425EB1" w:rsidP="00715125">
      <w:pPr>
        <w:spacing w:line="360" w:lineRule="auto"/>
        <w:rPr>
          <w:rFonts w:ascii="Times New Roman" w:eastAsia="Times New Roman" w:hAnsi="Times New Roman" w:cs="Times New Roman"/>
          <w:b/>
          <w:bCs/>
          <w:color w:val="000000" w:themeColor="text1"/>
          <w:sz w:val="24"/>
          <w:szCs w:val="24"/>
          <w:lang w:eastAsia="en-IN"/>
        </w:rPr>
      </w:pPr>
      <w:r w:rsidRPr="00715125">
        <w:rPr>
          <w:rFonts w:ascii="Times New Roman" w:hAnsi="Times New Roman" w:cs="Times New Roman"/>
          <w:color w:val="000000" w:themeColor="text1"/>
          <w:sz w:val="24"/>
          <w:szCs w:val="24"/>
        </w:rPr>
        <w:br w:type="page"/>
      </w:r>
    </w:p>
    <w:p w14:paraId="5E9D5117" w14:textId="0C7595DF" w:rsidR="00A3088F" w:rsidRPr="009035B7" w:rsidRDefault="00A3088F" w:rsidP="00A3088F">
      <w:pPr>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0" w:name="_Toc235996234"/>
      <w:r w:rsidRPr="009035B7">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PART 1: THE PURPOSE, CONTEXT AND FORMAT OF A CRITICAL LITERATURE REVIEW FOR DOCTORAL RESEARCH</w:t>
      </w:r>
    </w:p>
    <w:p w14:paraId="543CC914" w14:textId="77777777" w:rsidR="00A3088F" w:rsidRPr="009035B7" w:rsidRDefault="00A3088F" w:rsidP="009035B7">
      <w:pPr>
        <w:spacing w:line="360" w:lineRule="auto"/>
        <w:rPr>
          <w:rFonts w:ascii="Times New Roman" w:hAnsi="Times New Roman" w:cs="Times New Roman"/>
          <w:color w:val="4F81BD"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035B7">
        <w:rPr>
          <w:rFonts w:ascii="Times New Roman" w:hAnsi="Times New Roman" w:cs="Times New Roman"/>
          <w:color w:val="4F81BD"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Introduction</w:t>
      </w:r>
    </w:p>
    <w:p w14:paraId="3AFAE96B" w14:textId="77777777" w:rsidR="00A3088F" w:rsidRPr="009035B7" w:rsidRDefault="00A3088F" w:rsidP="009035B7">
      <w:pPr>
        <w:spacing w:line="360" w:lineRule="auto"/>
        <w:rPr>
          <w:rFonts w:ascii="Times New Roman" w:hAnsi="Times New Roman" w:cs="Times New Roman"/>
          <w:sz w:val="24"/>
          <w:szCs w:val="24"/>
        </w:rPr>
      </w:pPr>
      <w:r w:rsidRPr="009035B7">
        <w:rPr>
          <w:rFonts w:ascii="Times New Roman" w:hAnsi="Times New Roman" w:cs="Times New Roman"/>
          <w:sz w:val="24"/>
          <w:szCs w:val="24"/>
        </w:rPr>
        <w:t>In terms of writing a literature review for a doctoral dissertation is totally different compared to undergraduate or master's project. For doctoral programs, like a Doctor of Business Administration or a PhD, the literature review is the foundation of entire research project - it's what sets the tone and provides the theoretical framework (</w:t>
      </w:r>
      <w:proofErr w:type="spellStart"/>
      <w:r w:rsidRPr="009035B7">
        <w:rPr>
          <w:rFonts w:ascii="Times New Roman" w:hAnsi="Times New Roman" w:cs="Times New Roman"/>
          <w:sz w:val="24"/>
          <w:szCs w:val="24"/>
        </w:rPr>
        <w:t>Boote</w:t>
      </w:r>
      <w:proofErr w:type="spellEnd"/>
      <w:r w:rsidRPr="009035B7">
        <w:rPr>
          <w:rFonts w:ascii="Times New Roman" w:hAnsi="Times New Roman" w:cs="Times New Roman"/>
          <w:sz w:val="24"/>
          <w:szCs w:val="24"/>
        </w:rPr>
        <w:t xml:space="preserve"> and </w:t>
      </w:r>
      <w:proofErr w:type="spellStart"/>
      <w:r w:rsidRPr="009035B7">
        <w:rPr>
          <w:rFonts w:ascii="Times New Roman" w:hAnsi="Times New Roman" w:cs="Times New Roman"/>
          <w:sz w:val="24"/>
          <w:szCs w:val="24"/>
        </w:rPr>
        <w:t>Beile</w:t>
      </w:r>
      <w:proofErr w:type="spellEnd"/>
      <w:r w:rsidRPr="009035B7">
        <w:rPr>
          <w:rFonts w:ascii="Times New Roman" w:hAnsi="Times New Roman" w:cs="Times New Roman"/>
          <w:sz w:val="24"/>
          <w:szCs w:val="24"/>
        </w:rPr>
        <w:t xml:space="preserve">, 2005). Researcher can't just summarize what other authors have said or list their findings in a timeline - that's not going to cut it. Instead, they need to critically evaluate the existing models, identify any contradictions in the research, and make a strong case for why the study is necessary (Webster and Watson, 2002). It's about </w:t>
      </w:r>
      <w:proofErr w:type="spellStart"/>
      <w:r w:rsidRPr="009035B7">
        <w:rPr>
          <w:rFonts w:ascii="Times New Roman" w:hAnsi="Times New Roman" w:cs="Times New Roman"/>
          <w:sz w:val="24"/>
          <w:szCs w:val="24"/>
        </w:rPr>
        <w:t>analyzing</w:t>
      </w:r>
      <w:proofErr w:type="spellEnd"/>
      <w:r w:rsidRPr="009035B7">
        <w:rPr>
          <w:rFonts w:ascii="Times New Roman" w:hAnsi="Times New Roman" w:cs="Times New Roman"/>
          <w:sz w:val="24"/>
          <w:szCs w:val="24"/>
        </w:rPr>
        <w:t xml:space="preserve"> the limitations of what's already out there and showing how the new research can fill the gaps (Saunders, Lewis and Thornhill, 2019). This means researchers need to dig deep, think critically, and provide a solid rationale for their project. A literature review should be a rigorous critique that sets the stage for </w:t>
      </w:r>
      <w:proofErr w:type="gramStart"/>
      <w:r w:rsidRPr="009035B7">
        <w:rPr>
          <w:rFonts w:ascii="Times New Roman" w:hAnsi="Times New Roman" w:cs="Times New Roman"/>
          <w:sz w:val="24"/>
          <w:szCs w:val="24"/>
        </w:rPr>
        <w:t>a research</w:t>
      </w:r>
      <w:proofErr w:type="gramEnd"/>
      <w:r w:rsidRPr="009035B7">
        <w:rPr>
          <w:rFonts w:ascii="Times New Roman" w:hAnsi="Times New Roman" w:cs="Times New Roman"/>
          <w:sz w:val="24"/>
          <w:szCs w:val="24"/>
        </w:rPr>
        <w:t xml:space="preserve"> and shows how it contributes to the field. By doing this, a researcher can create a strong foundation for their dissertation and make a meaningful contribution to your area of study.</w:t>
      </w:r>
    </w:p>
    <w:p w14:paraId="46D98FF4" w14:textId="77777777" w:rsidR="00A3088F" w:rsidRPr="009035B7" w:rsidRDefault="00A3088F" w:rsidP="009035B7">
      <w:pPr>
        <w:spacing w:line="360" w:lineRule="auto"/>
        <w:rPr>
          <w:rFonts w:ascii="Times New Roman" w:hAnsi="Times New Roman" w:cs="Times New Roman"/>
          <w:sz w:val="24"/>
          <w:szCs w:val="24"/>
        </w:rPr>
      </w:pPr>
      <w:r w:rsidRPr="009035B7">
        <w:rPr>
          <w:rFonts w:ascii="Times New Roman" w:hAnsi="Times New Roman" w:cs="Times New Roman"/>
          <w:sz w:val="24"/>
          <w:szCs w:val="24"/>
        </w:rPr>
        <w:t>To write a literature review effectively, three core dimensions must be critically evaluated: its overarching academic purpose, its philosophical and practical context, and its overall structural format (</w:t>
      </w:r>
      <w:proofErr w:type="spellStart"/>
      <w:r w:rsidRPr="009035B7">
        <w:rPr>
          <w:rFonts w:ascii="Times New Roman" w:hAnsi="Times New Roman" w:cs="Times New Roman"/>
          <w:sz w:val="24"/>
          <w:szCs w:val="24"/>
        </w:rPr>
        <w:t>Jesson</w:t>
      </w:r>
      <w:proofErr w:type="spellEnd"/>
      <w:r w:rsidRPr="009035B7">
        <w:rPr>
          <w:rFonts w:ascii="Times New Roman" w:hAnsi="Times New Roman" w:cs="Times New Roman"/>
          <w:sz w:val="24"/>
          <w:szCs w:val="24"/>
        </w:rPr>
        <w:t>, Matheson and Lacey, 2011). Examining these three key elements clarifies how a doctoral candidate moves beyond passive reading to synthesize complex, competing academic arguments into a coherent, defensible foundation for independent empirical inquiry.</w:t>
      </w:r>
    </w:p>
    <w:p w14:paraId="23745491" w14:textId="77777777" w:rsidR="00A3088F" w:rsidRPr="009035B7" w:rsidRDefault="00A3088F" w:rsidP="00A3088F">
      <w:pPr>
        <w:pStyle w:val="Heading2"/>
        <w:spacing w:before="320"/>
        <w:rPr>
          <w:b w:val="0"/>
          <w:i w:val="0"/>
          <w:iCs/>
          <w:color w:val="4F81BD"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035B7">
        <w:rPr>
          <w:b w:val="0"/>
          <w:i w:val="0"/>
          <w:iCs/>
          <w:color w:val="4F81BD"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Purpose of a Critical Literature Review in Doctoral Research</w:t>
      </w:r>
    </w:p>
    <w:p w14:paraId="40DCF8BF" w14:textId="77777777" w:rsidR="00A3088F" w:rsidRPr="007A7657" w:rsidRDefault="00A3088F" w:rsidP="00A3088F">
      <w:pPr>
        <w:spacing w:line="360" w:lineRule="auto"/>
        <w:rPr>
          <w:rFonts w:ascii="Times New Roman" w:hAnsi="Times New Roman" w:cs="Times New Roman"/>
          <w:color w:val="4F81BD"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A7657">
        <w:rPr>
          <w:rFonts w:ascii="Times New Roman" w:hAnsi="Times New Roman" w:cs="Times New Roman"/>
          <w:color w:val="4F81BD"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Moving Beyond Description to Synthesis:</w:t>
      </w:r>
    </w:p>
    <w:p w14:paraId="783F8875" w14:textId="77777777" w:rsidR="00A3088F" w:rsidRPr="007A7657" w:rsidRDefault="00A3088F" w:rsidP="00A3088F">
      <w:pPr>
        <w:spacing w:line="360" w:lineRule="auto"/>
        <w:rPr>
          <w:rFonts w:ascii="Times New Roman" w:hAnsi="Times New Roman" w:cs="Times New Roman"/>
          <w:color w:val="171717"/>
          <w:sz w:val="24"/>
          <w:szCs w:val="24"/>
          <w:shd w:val="clear" w:color="auto" w:fill="FFFFFF"/>
        </w:rPr>
      </w:pPr>
      <w:r w:rsidRPr="007A7657">
        <w:rPr>
          <w:rFonts w:ascii="Times New Roman" w:hAnsi="Times New Roman" w:cs="Times New Roman"/>
          <w:color w:val="171717"/>
          <w:sz w:val="24"/>
          <w:szCs w:val="24"/>
          <w:shd w:val="clear" w:color="auto" w:fill="FFFFFF"/>
        </w:rPr>
        <w:t xml:space="preserve">When earlier stages of study are </w:t>
      </w:r>
      <w:proofErr w:type="spellStart"/>
      <w:r w:rsidRPr="007A7657">
        <w:rPr>
          <w:rFonts w:ascii="Times New Roman" w:hAnsi="Times New Roman" w:cs="Times New Roman"/>
          <w:color w:val="171717"/>
          <w:sz w:val="24"/>
          <w:szCs w:val="24"/>
          <w:shd w:val="clear" w:color="auto" w:fill="FFFFFF"/>
        </w:rPr>
        <w:t>analyzed</w:t>
      </w:r>
      <w:proofErr w:type="spellEnd"/>
      <w:r w:rsidRPr="007A7657">
        <w:rPr>
          <w:rFonts w:ascii="Times New Roman" w:hAnsi="Times New Roman" w:cs="Times New Roman"/>
          <w:color w:val="171717"/>
          <w:sz w:val="24"/>
          <w:szCs w:val="24"/>
          <w:shd w:val="clear" w:color="auto" w:fill="FFFFFF"/>
        </w:rPr>
        <w:t>, it can be seen that a student masters the basic knowledge of a particular discipline, applies the definitions of important terms as well as the basic theories within the framework of his/her research. On the other hand, at the stage of a doctoral study the main focus of analysis is set on a critical analysis and an evaluation on a synthesis (</w:t>
      </w:r>
      <w:proofErr w:type="spellStart"/>
      <w:r w:rsidRPr="007A7657">
        <w:rPr>
          <w:rFonts w:ascii="Times New Roman" w:hAnsi="Times New Roman" w:cs="Times New Roman"/>
          <w:color w:val="171717"/>
          <w:sz w:val="24"/>
          <w:szCs w:val="24"/>
          <w:shd w:val="clear" w:color="auto" w:fill="FFFFFF"/>
        </w:rPr>
        <w:t>Boote</w:t>
      </w:r>
      <w:proofErr w:type="spellEnd"/>
      <w:r w:rsidRPr="007A7657">
        <w:rPr>
          <w:rFonts w:ascii="Times New Roman" w:hAnsi="Times New Roman" w:cs="Times New Roman"/>
          <w:color w:val="171717"/>
          <w:sz w:val="24"/>
          <w:szCs w:val="24"/>
          <w:shd w:val="clear" w:color="auto" w:fill="FFFFFF"/>
        </w:rPr>
        <w:t xml:space="preserve"> and </w:t>
      </w:r>
      <w:proofErr w:type="spellStart"/>
      <w:r w:rsidRPr="007A7657">
        <w:rPr>
          <w:rFonts w:ascii="Times New Roman" w:hAnsi="Times New Roman" w:cs="Times New Roman"/>
          <w:color w:val="171717"/>
          <w:sz w:val="24"/>
          <w:szCs w:val="24"/>
          <w:shd w:val="clear" w:color="auto" w:fill="FFFFFF"/>
        </w:rPr>
        <w:t>Beile</w:t>
      </w:r>
      <w:proofErr w:type="spellEnd"/>
      <w:r w:rsidRPr="007A7657">
        <w:rPr>
          <w:rFonts w:ascii="Times New Roman" w:hAnsi="Times New Roman" w:cs="Times New Roman"/>
          <w:color w:val="171717"/>
          <w:sz w:val="24"/>
          <w:szCs w:val="24"/>
          <w:shd w:val="clear" w:color="auto" w:fill="FFFFFF"/>
        </w:rPr>
        <w:t xml:space="preserve">, 2005). A summary of the already carried out studies (a mixture of </w:t>
      </w:r>
      <w:r w:rsidRPr="007A7657">
        <w:rPr>
          <w:rFonts w:ascii="Times New Roman" w:hAnsi="Times New Roman" w:cs="Times New Roman"/>
          <w:color w:val="171717"/>
          <w:sz w:val="24"/>
          <w:szCs w:val="24"/>
          <w:shd w:val="clear" w:color="auto" w:fill="FFFFFF"/>
        </w:rPr>
        <w:lastRenderedPageBreak/>
        <w:t>several published papers on one theme) is not enough for a doctoral student. He/she has to try and connect different literature sources, to reveal the theoretical background of already published studies as well as to check the available knowledge against the facts. It is also necessary to explain why the studies, dealing with the same basic concepts, reach completely different conclusions in their empirical parts (Webster and Watson, 2002).</w:t>
      </w:r>
    </w:p>
    <w:p w14:paraId="3862DEE0" w14:textId="77777777" w:rsidR="00A3088F" w:rsidRPr="009035B7" w:rsidRDefault="00A3088F" w:rsidP="009035B7">
      <w:pPr>
        <w:spacing w:line="360" w:lineRule="auto"/>
        <w:rPr>
          <w:rFonts w:ascii="Times New Roman" w:hAnsi="Times New Roman" w:cs="Times New Roman"/>
          <w:sz w:val="24"/>
          <w:szCs w:val="24"/>
          <w:shd w:val="clear" w:color="auto" w:fill="FFFFFF"/>
        </w:rPr>
      </w:pPr>
      <w:r w:rsidRPr="009035B7">
        <w:rPr>
          <w:rFonts w:ascii="Times New Roman" w:hAnsi="Times New Roman" w:cs="Times New Roman"/>
          <w:sz w:val="24"/>
          <w:szCs w:val="24"/>
          <w:shd w:val="clear" w:color="auto" w:fill="FFFFFF"/>
        </w:rPr>
        <w:t xml:space="preserve">A doctoral review is not just a study of studies whereby the reviewer of a particular study asks questions of the author of that study (Ridley, 2012). A doctoral review is systematically and analytically a deeper study of studies than those studies under review. Thus, for example, a review could investigate the reasons behind the very different empirical findings that application of the very same analytical model yields in different socio-economic contexts or within the very different structures of different organizations. The methodological choices made in studies, for example the use of cross-sectional quantitative surveys as opposed to a longitudinal qualitative study, can bias the results of those studies and mask very important features of human </w:t>
      </w:r>
      <w:proofErr w:type="spellStart"/>
      <w:r w:rsidRPr="009035B7">
        <w:rPr>
          <w:rFonts w:ascii="Times New Roman" w:hAnsi="Times New Roman" w:cs="Times New Roman"/>
          <w:sz w:val="24"/>
          <w:szCs w:val="24"/>
          <w:shd w:val="clear" w:color="auto" w:fill="FFFFFF"/>
        </w:rPr>
        <w:t>behavior</w:t>
      </w:r>
      <w:proofErr w:type="spellEnd"/>
      <w:r w:rsidRPr="009035B7">
        <w:rPr>
          <w:rFonts w:ascii="Times New Roman" w:hAnsi="Times New Roman" w:cs="Times New Roman"/>
          <w:sz w:val="24"/>
          <w:szCs w:val="24"/>
          <w:shd w:val="clear" w:color="auto" w:fill="FFFFFF"/>
        </w:rPr>
        <w:t xml:space="preserve"> (Grant and Booth, 2009). A doctoral review of studies also could investigate the extent to which the theoretical underpinnings of those studies still hold today. Much theorizing on organizational </w:t>
      </w:r>
      <w:proofErr w:type="spellStart"/>
      <w:r w:rsidRPr="009035B7">
        <w:rPr>
          <w:rFonts w:ascii="Times New Roman" w:hAnsi="Times New Roman" w:cs="Times New Roman"/>
          <w:sz w:val="24"/>
          <w:szCs w:val="24"/>
          <w:shd w:val="clear" w:color="auto" w:fill="FFFFFF"/>
        </w:rPr>
        <w:t>behavior</w:t>
      </w:r>
      <w:proofErr w:type="spellEnd"/>
      <w:r w:rsidRPr="009035B7">
        <w:rPr>
          <w:rFonts w:ascii="Times New Roman" w:hAnsi="Times New Roman" w:cs="Times New Roman"/>
          <w:sz w:val="24"/>
          <w:szCs w:val="24"/>
          <w:shd w:val="clear" w:color="auto" w:fill="FFFFFF"/>
        </w:rPr>
        <w:t xml:space="preserve"> was done decades ago, and as a result fails to account for the market, technology and institutional structures of today.</w:t>
      </w:r>
    </w:p>
    <w:p w14:paraId="440D0048" w14:textId="77777777" w:rsidR="00A3088F" w:rsidRPr="007A7657" w:rsidRDefault="00A3088F" w:rsidP="00A3088F">
      <w:pPr>
        <w:spacing w:line="360" w:lineRule="auto"/>
        <w:rPr>
          <w:rFonts w:ascii="Times New Roman" w:hAnsi="Times New Roman" w:cs="Times New Roman"/>
          <w:color w:val="171717"/>
          <w:sz w:val="24"/>
          <w:szCs w:val="24"/>
          <w:shd w:val="clear" w:color="auto" w:fill="FFFFFF"/>
        </w:rPr>
      </w:pPr>
      <w:r w:rsidRPr="007A7657">
        <w:rPr>
          <w:rFonts w:ascii="Times New Roman" w:hAnsi="Times New Roman" w:cs="Times New Roman"/>
          <w:color w:val="4F81BD" w:themeColor="accent1"/>
          <w:sz w:val="24"/>
          <w:szCs w:val="24"/>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Spotting and Justifying Research Gaps</w:t>
      </w:r>
      <w:r w:rsidRPr="007A7657">
        <w:rPr>
          <w:rFonts w:ascii="Times New Roman" w:hAnsi="Times New Roman" w:cs="Times New Roman"/>
          <w:color w:val="171717"/>
          <w:sz w:val="24"/>
          <w:szCs w:val="24"/>
        </w:rPr>
        <w:br/>
      </w:r>
      <w:r w:rsidRPr="007A7657">
        <w:rPr>
          <w:rFonts w:ascii="Times New Roman" w:hAnsi="Times New Roman" w:cs="Times New Roman"/>
          <w:color w:val="171717"/>
          <w:sz w:val="24"/>
          <w:szCs w:val="24"/>
          <w:shd w:val="clear" w:color="auto" w:fill="FFFFFF"/>
        </w:rPr>
        <w:t>The primary function of a literature review within a doctoral study is to identify an original contribution to the body of knowledge. Consequently, within the literature review it is possible to identify research gaps within existing studies that require further empirical work. Such research gaps may exist along several dimensions within existing studies.</w:t>
      </w:r>
      <w:r w:rsidRPr="007A7657">
        <w:rPr>
          <w:rFonts w:ascii="Times New Roman" w:hAnsi="Times New Roman" w:cs="Times New Roman"/>
          <w:color w:val="171717"/>
          <w:sz w:val="24"/>
          <w:szCs w:val="24"/>
        </w:rPr>
        <w:br/>
      </w:r>
      <w:r w:rsidRPr="007A7657">
        <w:rPr>
          <w:rFonts w:ascii="Times New Roman" w:hAnsi="Times New Roman" w:cs="Times New Roman"/>
          <w:color w:val="171717"/>
          <w:sz w:val="24"/>
          <w:szCs w:val="24"/>
          <w:shd w:val="clear" w:color="auto" w:fill="FFFFFF"/>
        </w:rPr>
        <w:t xml:space="preserve"> </w:t>
      </w:r>
      <w:r w:rsidRPr="007A7657">
        <w:rPr>
          <w:rFonts w:ascii="Times New Roman" w:hAnsi="Times New Roman" w:cs="Times New Roman"/>
          <w:color w:val="4F81BD" w:themeColor="accent1"/>
          <w:sz w:val="24"/>
          <w:szCs w:val="24"/>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Theoretical Gaps: </w:t>
      </w:r>
      <w:r w:rsidRPr="007A7657">
        <w:rPr>
          <w:rFonts w:ascii="Times New Roman" w:hAnsi="Times New Roman" w:cs="Times New Roman"/>
          <w:color w:val="171717"/>
          <w:sz w:val="24"/>
          <w:szCs w:val="24"/>
          <w:shd w:val="clear" w:color="auto" w:fill="FFFFFF"/>
        </w:rPr>
        <w:t>There are instances where existing dominant models are not able to be used because of recent developments in the area of business, or in situations where two established theoretical models would produce opposite results or even contradictory results for observed phenomena in a real life setting (Webster and Watson, 2002).</w:t>
      </w:r>
      <w:r w:rsidRPr="007A7657">
        <w:rPr>
          <w:rFonts w:ascii="Times New Roman" w:hAnsi="Times New Roman" w:cs="Times New Roman"/>
          <w:color w:val="171717"/>
          <w:sz w:val="24"/>
          <w:szCs w:val="24"/>
        </w:rPr>
        <w:br/>
      </w:r>
      <w:r w:rsidRPr="007A7657">
        <w:rPr>
          <w:rFonts w:ascii="Times New Roman" w:hAnsi="Times New Roman" w:cs="Times New Roman"/>
          <w:color w:val="4F81BD" w:themeColor="accent1"/>
          <w:sz w:val="24"/>
          <w:szCs w:val="24"/>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Empirical Gaps: </w:t>
      </w:r>
      <w:r w:rsidRPr="007A7657">
        <w:rPr>
          <w:rFonts w:ascii="Times New Roman" w:hAnsi="Times New Roman" w:cs="Times New Roman"/>
          <w:color w:val="171717"/>
          <w:sz w:val="24"/>
          <w:szCs w:val="24"/>
          <w:shd w:val="clear" w:color="auto" w:fill="FFFFFF"/>
        </w:rPr>
        <w:t>A lack of recent empirical evidence from studies on specific management and organization issues, such as appropriate policy and effective business and management strategies and their organizational effects (Saunders, Lewis and Thornhill, 2019).</w:t>
      </w:r>
      <w:r w:rsidRPr="007A7657">
        <w:rPr>
          <w:rFonts w:ascii="Times New Roman" w:hAnsi="Times New Roman" w:cs="Times New Roman"/>
          <w:color w:val="171717"/>
          <w:sz w:val="24"/>
          <w:szCs w:val="24"/>
        </w:rPr>
        <w:br/>
      </w:r>
      <w:r w:rsidRPr="007A7657">
        <w:rPr>
          <w:rFonts w:ascii="Times New Roman" w:hAnsi="Times New Roman" w:cs="Times New Roman"/>
          <w:color w:val="171717"/>
          <w:sz w:val="24"/>
          <w:szCs w:val="24"/>
          <w:shd w:val="clear" w:color="auto" w:fill="FFFFFF"/>
        </w:rPr>
        <w:t xml:space="preserve"> </w:t>
      </w:r>
      <w:r w:rsidRPr="007A7657">
        <w:rPr>
          <w:rFonts w:ascii="Times New Roman" w:hAnsi="Times New Roman" w:cs="Times New Roman"/>
          <w:color w:val="4F81BD" w:themeColor="accent1"/>
          <w:sz w:val="24"/>
          <w:szCs w:val="24"/>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Contextual Gaps: </w:t>
      </w:r>
      <w:r w:rsidRPr="007A7657">
        <w:rPr>
          <w:rFonts w:ascii="Times New Roman" w:hAnsi="Times New Roman" w:cs="Times New Roman"/>
          <w:color w:val="171717"/>
          <w:sz w:val="24"/>
          <w:szCs w:val="24"/>
          <w:shd w:val="clear" w:color="auto" w:fill="FFFFFF"/>
        </w:rPr>
        <w:t xml:space="preserve">These are gaps which arise from the vast majority of theoretical models being developed and tested within highly developed high income countries and therefore having little or no application within emerging, developing and rural economies within which </w:t>
      </w:r>
      <w:r w:rsidRPr="007A7657">
        <w:rPr>
          <w:rFonts w:ascii="Times New Roman" w:hAnsi="Times New Roman" w:cs="Times New Roman"/>
          <w:color w:val="171717"/>
          <w:sz w:val="24"/>
          <w:szCs w:val="24"/>
          <w:shd w:val="clear" w:color="auto" w:fill="FFFFFF"/>
        </w:rPr>
        <w:lastRenderedPageBreak/>
        <w:t>the researcher operates.</w:t>
      </w:r>
      <w:r w:rsidRPr="007A7657">
        <w:rPr>
          <w:rFonts w:ascii="Times New Roman" w:hAnsi="Times New Roman" w:cs="Times New Roman"/>
          <w:color w:val="171717"/>
          <w:sz w:val="24"/>
          <w:szCs w:val="24"/>
        </w:rPr>
        <w:br/>
      </w:r>
      <w:r w:rsidRPr="007A7657">
        <w:rPr>
          <w:rFonts w:ascii="Times New Roman" w:hAnsi="Times New Roman" w:cs="Times New Roman"/>
          <w:color w:val="4F81BD" w:themeColor="accent1"/>
          <w:sz w:val="24"/>
          <w:szCs w:val="24"/>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Methodological Gaps: </w:t>
      </w:r>
      <w:r w:rsidRPr="007A7657">
        <w:rPr>
          <w:rFonts w:ascii="Times New Roman" w:hAnsi="Times New Roman" w:cs="Times New Roman"/>
          <w:color w:val="171717"/>
          <w:sz w:val="24"/>
          <w:szCs w:val="24"/>
          <w:shd w:val="clear" w:color="auto" w:fill="FFFFFF"/>
        </w:rPr>
        <w:t xml:space="preserve">In the same way as there is also a whole research field based on one single method for data collection (e.g. quantitative surveys) while important qualitative aspects, differences of context as well as long-term effects of human </w:t>
      </w:r>
      <w:proofErr w:type="spellStart"/>
      <w:r w:rsidRPr="007A7657">
        <w:rPr>
          <w:rFonts w:ascii="Times New Roman" w:hAnsi="Times New Roman" w:cs="Times New Roman"/>
          <w:color w:val="171717"/>
          <w:sz w:val="24"/>
          <w:szCs w:val="24"/>
          <w:shd w:val="clear" w:color="auto" w:fill="FFFFFF"/>
        </w:rPr>
        <w:t>behavior</w:t>
      </w:r>
      <w:proofErr w:type="spellEnd"/>
      <w:r w:rsidRPr="007A7657">
        <w:rPr>
          <w:rFonts w:ascii="Times New Roman" w:hAnsi="Times New Roman" w:cs="Times New Roman"/>
          <w:color w:val="171717"/>
          <w:sz w:val="24"/>
          <w:szCs w:val="24"/>
          <w:shd w:val="clear" w:color="auto" w:fill="FFFFFF"/>
        </w:rPr>
        <w:t xml:space="preserve"> are neglected.</w:t>
      </w:r>
      <w:r w:rsidRPr="007A7657">
        <w:rPr>
          <w:rFonts w:ascii="Times New Roman" w:hAnsi="Times New Roman" w:cs="Times New Roman"/>
          <w:color w:val="171717"/>
          <w:sz w:val="24"/>
          <w:szCs w:val="24"/>
        </w:rPr>
        <w:br/>
      </w:r>
      <w:r w:rsidRPr="007A7657">
        <w:rPr>
          <w:rFonts w:ascii="Times New Roman" w:hAnsi="Times New Roman" w:cs="Times New Roman"/>
          <w:color w:val="171717"/>
          <w:sz w:val="24"/>
          <w:szCs w:val="24"/>
          <w:shd w:val="clear" w:color="auto" w:fill="FFFFFF"/>
        </w:rPr>
        <w:t>Outlining these links to missing knowledge in sufficient detail enables sufficient justification of the overall aims of a study as well as the specific objectives and the research questions of a thesis (Ridley, 2012).</w:t>
      </w:r>
      <w:r w:rsidRPr="007A7657">
        <w:rPr>
          <w:rFonts w:ascii="Times New Roman" w:hAnsi="Times New Roman" w:cs="Times New Roman"/>
          <w:color w:val="171717"/>
          <w:sz w:val="24"/>
          <w:szCs w:val="24"/>
        </w:rPr>
        <w:br/>
      </w:r>
      <w:r w:rsidRPr="007A7657">
        <w:rPr>
          <w:rFonts w:ascii="Times New Roman" w:hAnsi="Times New Roman" w:cs="Times New Roman"/>
          <w:color w:val="4F81BD" w:themeColor="accent1"/>
          <w:sz w:val="24"/>
          <w:szCs w:val="24"/>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Developing a Theoretical Framework</w:t>
      </w:r>
      <w:r w:rsidRPr="007A7657">
        <w:rPr>
          <w:rFonts w:ascii="Times New Roman" w:hAnsi="Times New Roman" w:cs="Times New Roman"/>
          <w:color w:val="4F81BD"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br/>
      </w:r>
      <w:r w:rsidRPr="007A7657">
        <w:rPr>
          <w:rFonts w:ascii="Times New Roman" w:hAnsi="Times New Roman" w:cs="Times New Roman"/>
          <w:color w:val="171717"/>
          <w:sz w:val="24"/>
          <w:szCs w:val="24"/>
          <w:shd w:val="clear" w:color="auto" w:fill="FFFFFF"/>
        </w:rPr>
        <w:t>The literature review will also be used by the doctoral researcher to identify the theoretical frameworks which could be used to develop an adequate study. Many theories have been utilized by other researchers for similar studies. For example, Human Capital Theory, Institutional Theory and the Resource-Based View have all been utilized as frameworks for studying development within organizations. The various theories would be critically evaluated with a view to determining their appropriateness for the study. In utilizing a theoretical framework within the literature that has been utilized by others for similar research, the researcher would also seek to establish the limitations or boundaries of the theoretical frameworks within which they are expected to operate. The purpose of the literature in this respect would be to allow the doctoral researcher to develop an adequate theoretical framework and a conceptual model that can be integrated together to develop the appropriate study. Such a theoretical framework is crucial in that it will be used as the basis for the analysis of data that is collected in order to interpret the findings from the study (Saunders, Lewis and Thornhill, 2019).</w:t>
      </w:r>
    </w:p>
    <w:p w14:paraId="41D099E1" w14:textId="77777777" w:rsidR="00A3088F" w:rsidRPr="007A7657" w:rsidRDefault="00A3088F" w:rsidP="00A3088F">
      <w:pPr>
        <w:spacing w:line="360" w:lineRule="auto"/>
        <w:rPr>
          <w:rFonts w:ascii="Times New Roman" w:hAnsi="Times New Roman" w:cs="Times New Roman"/>
          <w:color w:val="4F81BD"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A7657">
        <w:rPr>
          <w:rFonts w:ascii="Times New Roman" w:hAnsi="Times New Roman" w:cs="Times New Roman"/>
          <w:color w:val="4F81BD"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Context of a Doctoral Literature Review</w:t>
      </w:r>
    </w:p>
    <w:p w14:paraId="7AAC30C4" w14:textId="77777777" w:rsidR="00A3088F" w:rsidRPr="007A7657" w:rsidRDefault="00A3088F" w:rsidP="00A3088F">
      <w:pPr>
        <w:spacing w:line="360" w:lineRule="auto"/>
        <w:jc w:val="both"/>
        <w:rPr>
          <w:rFonts w:ascii="Times New Roman" w:hAnsi="Times New Roman" w:cs="Times New Roman"/>
          <w:sz w:val="24"/>
          <w:szCs w:val="24"/>
        </w:rPr>
      </w:pPr>
      <w:r w:rsidRPr="007A7657">
        <w:rPr>
          <w:rFonts w:ascii="Times New Roman" w:hAnsi="Times New Roman" w:cs="Times New Roman"/>
          <w:sz w:val="24"/>
          <w:szCs w:val="24"/>
        </w:rPr>
        <w:t xml:space="preserve">Literature reviews are not conducted in a vacuum and the interpretation and aggregation of the reviewed literature will be influenced by the epistemological and ontological assumptions of the researcher (Saunders‚ Lewis and Thornhill‚ </w:t>
      </w:r>
      <w:proofErr w:type="gramStart"/>
      <w:r w:rsidRPr="007A7657">
        <w:rPr>
          <w:rFonts w:ascii="Times New Roman" w:hAnsi="Times New Roman" w:cs="Times New Roman"/>
          <w:sz w:val="24"/>
          <w:szCs w:val="24"/>
        </w:rPr>
        <w:t>2019)․</w:t>
      </w:r>
      <w:proofErr w:type="gramEnd"/>
    </w:p>
    <w:p w14:paraId="3AD7BBDA" w14:textId="77777777" w:rsidR="00A3088F" w:rsidRPr="007A7657" w:rsidRDefault="00A3088F" w:rsidP="00A3088F">
      <w:pPr>
        <w:spacing w:line="360" w:lineRule="auto"/>
        <w:jc w:val="both"/>
        <w:rPr>
          <w:rFonts w:ascii="Times New Roman" w:hAnsi="Times New Roman" w:cs="Times New Roman"/>
          <w:sz w:val="24"/>
          <w:szCs w:val="24"/>
        </w:rPr>
      </w:pPr>
      <w:r w:rsidRPr="007A7657">
        <w:rPr>
          <w:rFonts w:ascii="Times New Roman" w:hAnsi="Times New Roman" w:cs="Times New Roman"/>
          <w:sz w:val="24"/>
          <w:szCs w:val="24"/>
        </w:rPr>
        <w:t>Positivist science stresses the variables considered‚ the formal hypotheses developed‚ and the quantitative empirical evidence gathered for the purposes of establishing causal relationships and general laws․ Conversely‚ interpretive science stresses the qualitative richness of human experience and the context of a given social setting․ Research in such professional doctorates as the DBA often involves pragmatism (Saunders‚ Lewis and Thornhill‚ 2019)‚ which seeks to balance the rigors of research with deliverable‚ actionable findings that contribute to real-</w:t>
      </w:r>
      <w:r w:rsidRPr="007A7657">
        <w:rPr>
          <w:rFonts w:ascii="Times New Roman" w:hAnsi="Times New Roman" w:cs="Times New Roman"/>
          <w:sz w:val="24"/>
          <w:szCs w:val="24"/>
        </w:rPr>
        <w:lastRenderedPageBreak/>
        <w:t>world issues in management and economics․ This positioning is important for ensuring a logical link among the literature review‚ the research philosophy and the empirical methods․</w:t>
      </w:r>
    </w:p>
    <w:p w14:paraId="014E5C5C" w14:textId="77777777" w:rsidR="00A3088F" w:rsidRPr="007A7657" w:rsidRDefault="00A3088F" w:rsidP="00A3088F">
      <w:pPr>
        <w:spacing w:line="360" w:lineRule="auto"/>
        <w:jc w:val="both"/>
        <w:rPr>
          <w:rFonts w:ascii="Times New Roman" w:hAnsi="Times New Roman" w:cs="Times New Roman"/>
          <w:color w:val="4F81BD"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A7657">
        <w:rPr>
          <w:rFonts w:ascii="Times New Roman" w:hAnsi="Times New Roman" w:cs="Times New Roman"/>
          <w:color w:val="4F81BD"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Academic‚ practical and policy relevance</w:t>
      </w:r>
    </w:p>
    <w:p w14:paraId="3639F7CF" w14:textId="77777777" w:rsidR="00A3088F" w:rsidRPr="007A7657" w:rsidRDefault="00A3088F" w:rsidP="00A3088F">
      <w:pPr>
        <w:spacing w:line="360" w:lineRule="auto"/>
        <w:jc w:val="both"/>
        <w:rPr>
          <w:rFonts w:ascii="Times New Roman" w:hAnsi="Times New Roman" w:cs="Times New Roman"/>
          <w:sz w:val="24"/>
          <w:szCs w:val="24"/>
        </w:rPr>
      </w:pPr>
      <w:r w:rsidRPr="007A7657">
        <w:rPr>
          <w:rFonts w:ascii="Times New Roman" w:hAnsi="Times New Roman" w:cs="Times New Roman"/>
          <w:sz w:val="24"/>
          <w:szCs w:val="24"/>
        </w:rPr>
        <w:t>In applied disciplines‚ such as business administration‚ economic development‚ and finance‚ a literature review has three levels of context (</w:t>
      </w:r>
      <w:proofErr w:type="spellStart"/>
      <w:r w:rsidRPr="007A7657">
        <w:rPr>
          <w:rFonts w:ascii="Times New Roman" w:hAnsi="Times New Roman" w:cs="Times New Roman"/>
          <w:sz w:val="24"/>
          <w:szCs w:val="24"/>
        </w:rPr>
        <w:t>Jesson</w:t>
      </w:r>
      <w:proofErr w:type="spellEnd"/>
      <w:r w:rsidRPr="007A7657">
        <w:rPr>
          <w:rFonts w:ascii="Times New Roman" w:hAnsi="Times New Roman" w:cs="Times New Roman"/>
          <w:sz w:val="24"/>
          <w:szCs w:val="24"/>
        </w:rPr>
        <w:t>‚ Matheson and Lacey‚ 2011):</w:t>
      </w:r>
    </w:p>
    <w:p w14:paraId="68E4977D" w14:textId="77777777" w:rsidR="00A3088F" w:rsidRPr="007A7657" w:rsidRDefault="00A3088F" w:rsidP="00A3088F">
      <w:pPr>
        <w:spacing w:line="360" w:lineRule="auto"/>
        <w:jc w:val="both"/>
        <w:rPr>
          <w:rFonts w:ascii="Times New Roman" w:hAnsi="Times New Roman" w:cs="Times New Roman"/>
          <w:sz w:val="24"/>
          <w:szCs w:val="24"/>
        </w:rPr>
      </w:pPr>
      <w:r w:rsidRPr="007A7657">
        <w:rPr>
          <w:rFonts w:ascii="Times New Roman" w:hAnsi="Times New Roman" w:cs="Times New Roman"/>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Academic Context: </w:t>
      </w:r>
      <w:r w:rsidRPr="007A7657">
        <w:rPr>
          <w:rFonts w:ascii="Times New Roman" w:hAnsi="Times New Roman" w:cs="Times New Roman"/>
          <w:sz w:val="24"/>
          <w:szCs w:val="24"/>
        </w:rPr>
        <w:t>Theoretical debates directly reflected in peer-review academic journals and refining existing analytical models․</w:t>
      </w:r>
    </w:p>
    <w:p w14:paraId="2494932B" w14:textId="77777777" w:rsidR="00A3088F" w:rsidRPr="007A7657" w:rsidRDefault="00A3088F" w:rsidP="00A3088F">
      <w:pPr>
        <w:spacing w:line="360" w:lineRule="auto"/>
        <w:jc w:val="both"/>
        <w:rPr>
          <w:rFonts w:ascii="Times New Roman" w:hAnsi="Times New Roman" w:cs="Times New Roman"/>
          <w:sz w:val="24"/>
          <w:szCs w:val="24"/>
        </w:rPr>
      </w:pPr>
      <w:r w:rsidRPr="007A7657">
        <w:rPr>
          <w:rFonts w:ascii="Times New Roman" w:hAnsi="Times New Roman" w:cs="Times New Roman"/>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Managerial Context:</w:t>
      </w:r>
      <w:r w:rsidRPr="007A7657">
        <w:rPr>
          <w:rFonts w:ascii="Times New Roman" w:hAnsi="Times New Roman" w:cs="Times New Roman"/>
          <w:sz w:val="24"/>
          <w:szCs w:val="24"/>
        </w:rPr>
        <w:t xml:space="preserve"> Extracting operational evidence to assist business leaders‚ executives‚ and organizational decision-makers in developing calculated solutions to complex operational problems․</w:t>
      </w:r>
    </w:p>
    <w:p w14:paraId="72DE9CA7" w14:textId="77777777" w:rsidR="00A3088F" w:rsidRPr="007A7657" w:rsidRDefault="00A3088F" w:rsidP="00A3088F">
      <w:pPr>
        <w:spacing w:line="360" w:lineRule="auto"/>
        <w:jc w:val="both"/>
        <w:rPr>
          <w:rFonts w:ascii="Times New Roman" w:hAnsi="Times New Roman" w:cs="Times New Roman"/>
          <w:sz w:val="24"/>
          <w:szCs w:val="24"/>
        </w:rPr>
      </w:pPr>
      <w:r w:rsidRPr="007A7657">
        <w:rPr>
          <w:rFonts w:ascii="Times New Roman" w:hAnsi="Times New Roman" w:cs="Times New Roman"/>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Policy Context:</w:t>
      </w:r>
      <w:r w:rsidRPr="007A7657">
        <w:rPr>
          <w:rFonts w:ascii="Times New Roman" w:hAnsi="Times New Roman" w:cs="Times New Roman"/>
          <w:sz w:val="24"/>
          <w:szCs w:val="24"/>
        </w:rPr>
        <w:t xml:space="preserve"> Generating empirical insights to inform policy-makers‚ government agencies‚ non-governmental organizations‚ and economic institutions engaged in structural planning․</w:t>
      </w:r>
    </w:p>
    <w:p w14:paraId="612CB02C" w14:textId="77777777" w:rsidR="00A3088F" w:rsidRPr="007A7657" w:rsidRDefault="00A3088F" w:rsidP="00A3088F">
      <w:pPr>
        <w:spacing w:line="360" w:lineRule="auto"/>
        <w:jc w:val="both"/>
        <w:rPr>
          <w:rFonts w:ascii="Times New Roman" w:hAnsi="Times New Roman" w:cs="Times New Roman"/>
          <w:color w:val="4F81BD"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A7657">
        <w:rPr>
          <w:rFonts w:ascii="Times New Roman" w:hAnsi="Times New Roman" w:cs="Times New Roman"/>
          <w:color w:val="4F81BD"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Format and Structure of a Critical Literature Review</w:t>
      </w:r>
    </w:p>
    <w:p w14:paraId="0A6F6B6B" w14:textId="77777777" w:rsidR="00A3088F" w:rsidRPr="007A7657" w:rsidRDefault="00A3088F" w:rsidP="00A3088F">
      <w:pPr>
        <w:pStyle w:val="Heading3"/>
        <w:spacing w:before="260" w:after="160"/>
        <w:rPr>
          <w:b w:val="0"/>
          <w:bCs/>
          <w:szCs w:val="24"/>
        </w:rPr>
      </w:pPr>
      <w:r w:rsidRPr="007A7657">
        <w:rPr>
          <w:b w:val="0"/>
          <w:bCs/>
          <w:szCs w:val="24"/>
        </w:rPr>
        <w:t xml:space="preserve">Building a literature review requires intentional organization by theme (Webster and Watson‚ </w:t>
      </w:r>
      <w:proofErr w:type="gramStart"/>
      <w:r w:rsidRPr="007A7657">
        <w:rPr>
          <w:b w:val="0"/>
          <w:bCs/>
          <w:szCs w:val="24"/>
        </w:rPr>
        <w:t>2002)․</w:t>
      </w:r>
      <w:proofErr w:type="gramEnd"/>
      <w:r w:rsidRPr="007A7657">
        <w:rPr>
          <w:b w:val="0"/>
          <w:bCs/>
          <w:szCs w:val="24"/>
        </w:rPr>
        <w:t xml:space="preserve">By understanding its purpose, context, and thematic format, a researcher establishes a solid foundation for empirical work. Mastering these components ensures the study remains theoretically grounded, methodologically justified, and positioned to contribute meaningfully to existing knowledge within the wider academic community. </w:t>
      </w:r>
    </w:p>
    <w:p w14:paraId="6F789CC5" w14:textId="77777777" w:rsidR="00A3088F" w:rsidRPr="009035B7" w:rsidRDefault="00A3088F" w:rsidP="00A3088F">
      <w:pPr>
        <w:pStyle w:val="Heading3"/>
        <w:spacing w:before="260" w:after="160"/>
        <w:rPr>
          <w:b w:val="0"/>
          <w:bCs/>
          <w:color w:val="4F81BD" w:themeColor="accent1"/>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035B7">
        <w:rPr>
          <w:b w:val="0"/>
          <w:bCs/>
          <w:color w:val="4F81BD" w:themeColor="accent1"/>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Structural Flow of the Review</w:t>
      </w:r>
    </w:p>
    <w:p w14:paraId="0123148D" w14:textId="77777777" w:rsidR="00A3088F" w:rsidRPr="007A7657" w:rsidRDefault="00A3088F" w:rsidP="00A3088F">
      <w:pPr>
        <w:spacing w:line="360" w:lineRule="auto"/>
        <w:jc w:val="both"/>
        <w:rPr>
          <w:rFonts w:ascii="Times New Roman" w:hAnsi="Times New Roman" w:cs="Times New Roman"/>
          <w:sz w:val="24"/>
          <w:szCs w:val="24"/>
        </w:rPr>
      </w:pPr>
      <w:r w:rsidRPr="007A7657">
        <w:rPr>
          <w:rFonts w:ascii="Times New Roman" w:hAnsi="Times New Roman" w:cs="Times New Roman"/>
          <w:sz w:val="24"/>
          <w:szCs w:val="24"/>
        </w:rPr>
        <w:t>The review starts with an opening that sets some clear boundaries, it also defines key terminology, and then it kind of lays out the inclusion or exclusion selection parameters, (</w:t>
      </w:r>
      <w:proofErr w:type="spellStart"/>
      <w:r w:rsidRPr="007A7657">
        <w:rPr>
          <w:rFonts w:ascii="Times New Roman" w:hAnsi="Times New Roman" w:cs="Times New Roman"/>
          <w:sz w:val="24"/>
          <w:szCs w:val="24"/>
        </w:rPr>
        <w:t>Boote</w:t>
      </w:r>
      <w:proofErr w:type="spellEnd"/>
      <w:r w:rsidRPr="007A7657">
        <w:rPr>
          <w:rFonts w:ascii="Times New Roman" w:hAnsi="Times New Roman" w:cs="Times New Roman"/>
          <w:sz w:val="24"/>
          <w:szCs w:val="24"/>
        </w:rPr>
        <w:t xml:space="preserve"> and </w:t>
      </w:r>
      <w:proofErr w:type="spellStart"/>
      <w:r w:rsidRPr="007A7657">
        <w:rPr>
          <w:rFonts w:ascii="Times New Roman" w:hAnsi="Times New Roman" w:cs="Times New Roman"/>
          <w:sz w:val="24"/>
          <w:szCs w:val="24"/>
        </w:rPr>
        <w:t>Beile</w:t>
      </w:r>
      <w:proofErr w:type="spellEnd"/>
      <w:r w:rsidRPr="007A7657">
        <w:rPr>
          <w:rFonts w:ascii="Times New Roman" w:hAnsi="Times New Roman" w:cs="Times New Roman"/>
          <w:sz w:val="24"/>
          <w:szCs w:val="24"/>
        </w:rPr>
        <w:t xml:space="preserve">, 2005). After that, there is the theoretical foundation section, where the core theories get critiqued, including their limits, how they’ve evolved over time, and whether they still apply to today’s practical issues. Then the empirical studies are synthesized in a thematic way, comparing contrasting results, and checking sample sizes, plus pointing out methodological limits across the published works. Once all of that is stitched together, it basically leads into the mapping of current knowledge gaps, and that’s where it becomes </w:t>
      </w:r>
      <w:r w:rsidRPr="007A7657">
        <w:rPr>
          <w:rFonts w:ascii="Times New Roman" w:hAnsi="Times New Roman" w:cs="Times New Roman"/>
          <w:sz w:val="24"/>
          <w:szCs w:val="24"/>
        </w:rPr>
        <w:lastRenderedPageBreak/>
        <w:t xml:space="preserve">clear why the research is needed. Finally, the conceptual framework draws links between the key variables, and from that it leads directly to the formal Research </w:t>
      </w:r>
      <w:proofErr w:type="gramStart"/>
      <w:r w:rsidRPr="007A7657">
        <w:rPr>
          <w:rFonts w:ascii="Times New Roman" w:hAnsi="Times New Roman" w:cs="Times New Roman"/>
          <w:sz w:val="24"/>
          <w:szCs w:val="24"/>
        </w:rPr>
        <w:t>Questions..</w:t>
      </w:r>
      <w:proofErr w:type="gramEnd"/>
    </w:p>
    <w:p w14:paraId="39D816C0" w14:textId="77777777" w:rsidR="00A3088F" w:rsidRPr="009035B7" w:rsidRDefault="00A3088F" w:rsidP="00A3088F">
      <w:pPr>
        <w:pStyle w:val="Heading3"/>
        <w:spacing w:before="260" w:after="160"/>
        <w:rPr>
          <w:b w:val="0"/>
          <w:color w:val="4F81BD" w:themeColor="accent1"/>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035B7">
        <w:rPr>
          <w:b w:val="0"/>
          <w:color w:val="4F81BD" w:themeColor="accent1"/>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Academic Voice and Critical Writing Tone</w:t>
      </w:r>
    </w:p>
    <w:p w14:paraId="31EDA010" w14:textId="77777777" w:rsidR="00A3088F" w:rsidRPr="007A7657" w:rsidRDefault="00A3088F" w:rsidP="00A3088F">
      <w:pPr>
        <w:pStyle w:val="Heading2"/>
        <w:spacing w:before="320"/>
        <w:rPr>
          <w:b w:val="0"/>
          <w:bCs/>
          <w:i w:val="0"/>
          <w:iCs/>
          <w:sz w:val="24"/>
          <w:szCs w:val="24"/>
        </w:rPr>
      </w:pPr>
      <w:r w:rsidRPr="007A7657">
        <w:rPr>
          <w:b w:val="0"/>
          <w:bCs/>
          <w:i w:val="0"/>
          <w:iCs/>
          <w:sz w:val="24"/>
          <w:szCs w:val="24"/>
        </w:rPr>
        <w:t>An objective, critical tone needs to stay in place during the whole thesis. Critical writing is not only about marking in negative commentary, or, dismissing earlier work with no real basis (</w:t>
      </w:r>
      <w:proofErr w:type="spellStart"/>
      <w:r w:rsidRPr="007A7657">
        <w:rPr>
          <w:b w:val="0"/>
          <w:bCs/>
          <w:i w:val="0"/>
          <w:iCs/>
          <w:sz w:val="24"/>
          <w:szCs w:val="24"/>
        </w:rPr>
        <w:t>Jesson</w:t>
      </w:r>
      <w:proofErr w:type="spellEnd"/>
      <w:r w:rsidRPr="007A7657">
        <w:rPr>
          <w:b w:val="0"/>
          <w:bCs/>
          <w:i w:val="0"/>
          <w:iCs/>
          <w:sz w:val="24"/>
          <w:szCs w:val="24"/>
        </w:rPr>
        <w:t xml:space="preserve">, Matheson and Lacey, 2011). It rather requires an impartial, evidence-driven evaluation of what the literature can do well and where it falls short. In practice, this tends to happen when a researcher </w:t>
      </w:r>
      <w:proofErr w:type="gramStart"/>
      <w:r w:rsidRPr="007A7657">
        <w:rPr>
          <w:b w:val="0"/>
          <w:bCs/>
          <w:i w:val="0"/>
          <w:iCs/>
          <w:sz w:val="24"/>
          <w:szCs w:val="24"/>
        </w:rPr>
        <w:t>bring</w:t>
      </w:r>
      <w:proofErr w:type="gramEnd"/>
      <w:r w:rsidRPr="007A7657">
        <w:rPr>
          <w:b w:val="0"/>
          <w:bCs/>
          <w:i w:val="0"/>
          <w:iCs/>
          <w:sz w:val="24"/>
          <w:szCs w:val="24"/>
        </w:rPr>
        <w:t xml:space="preserve"> together perspectives from several authors inside the same paragraph, and use obvious logical transitions so the reader can follow why one point leads into the next. Researchers also need to lean on newer peer reviewed journal articles, because they better mirror today’s academic expectations (Saunders, Lewis and Thornhill, 2019).</w:t>
      </w:r>
    </w:p>
    <w:p w14:paraId="042262BA" w14:textId="77777777" w:rsidR="00A3088F" w:rsidRPr="009035B7" w:rsidRDefault="00A3088F" w:rsidP="00A3088F">
      <w:pPr>
        <w:pStyle w:val="Heading2"/>
        <w:spacing w:before="320"/>
        <w:rPr>
          <w:b w:val="0"/>
          <w:color w:val="4F81BD"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035B7">
        <w:rPr>
          <w:b w:val="0"/>
          <w:color w:val="4F81BD"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Conclusion</w:t>
      </w:r>
    </w:p>
    <w:p w14:paraId="3632360A" w14:textId="77777777" w:rsidR="00A3088F" w:rsidRPr="007A7657" w:rsidRDefault="00A3088F" w:rsidP="00A3088F">
      <w:pPr>
        <w:spacing w:line="360" w:lineRule="auto"/>
        <w:jc w:val="both"/>
        <w:rPr>
          <w:rFonts w:ascii="Times New Roman" w:hAnsi="Times New Roman" w:cs="Times New Roman"/>
          <w:sz w:val="24"/>
          <w:szCs w:val="24"/>
        </w:rPr>
      </w:pPr>
      <w:r w:rsidRPr="007A7657">
        <w:rPr>
          <w:rFonts w:ascii="Times New Roman" w:hAnsi="Times New Roman" w:cs="Times New Roman"/>
          <w:sz w:val="24"/>
          <w:szCs w:val="24"/>
        </w:rPr>
        <w:t>The structural core of a doctoral thesis depends on a critical literature review (</w:t>
      </w:r>
      <w:proofErr w:type="spellStart"/>
      <w:r w:rsidRPr="007A7657">
        <w:rPr>
          <w:rFonts w:ascii="Times New Roman" w:hAnsi="Times New Roman" w:cs="Times New Roman"/>
          <w:sz w:val="24"/>
          <w:szCs w:val="24"/>
        </w:rPr>
        <w:t>Boote</w:t>
      </w:r>
      <w:proofErr w:type="spellEnd"/>
      <w:r w:rsidRPr="007A7657">
        <w:rPr>
          <w:rFonts w:ascii="Times New Roman" w:hAnsi="Times New Roman" w:cs="Times New Roman"/>
          <w:sz w:val="24"/>
          <w:szCs w:val="24"/>
        </w:rPr>
        <w:t xml:space="preserve"> and </w:t>
      </w:r>
      <w:proofErr w:type="spellStart"/>
      <w:r w:rsidRPr="007A7657">
        <w:rPr>
          <w:rFonts w:ascii="Times New Roman" w:hAnsi="Times New Roman" w:cs="Times New Roman"/>
          <w:sz w:val="24"/>
          <w:szCs w:val="24"/>
        </w:rPr>
        <w:t>Beile</w:t>
      </w:r>
      <w:proofErr w:type="spellEnd"/>
      <w:r w:rsidRPr="007A7657">
        <w:rPr>
          <w:rFonts w:ascii="Times New Roman" w:hAnsi="Times New Roman" w:cs="Times New Roman"/>
          <w:sz w:val="24"/>
          <w:szCs w:val="24"/>
        </w:rPr>
        <w:t>, 2005). By understanding its purpose, context, and thematic format, a researcher establishes a logical foundation for empirical work. Mastering these components ensures the study remains theoretically grounded, methodologically justified, and positioned to contribute meaningfully to existing knowledge within the wider academic community.</w:t>
      </w:r>
    </w:p>
    <w:p w14:paraId="3F4FE783" w14:textId="77777777" w:rsidR="00A3088F" w:rsidRPr="007A7657" w:rsidRDefault="00A3088F" w:rsidP="00A3088F">
      <w:pPr>
        <w:spacing w:line="360" w:lineRule="auto"/>
        <w:jc w:val="both"/>
        <w:rPr>
          <w:rFonts w:ascii="Times New Roman" w:hAnsi="Times New Roman" w:cs="Times New Roman"/>
          <w:sz w:val="24"/>
          <w:szCs w:val="24"/>
        </w:rPr>
      </w:pPr>
    </w:p>
    <w:p w14:paraId="77716A2C" w14:textId="77777777" w:rsidR="00A3088F" w:rsidRPr="009035B7" w:rsidRDefault="00A3088F" w:rsidP="00A3088F">
      <w:pPr>
        <w:pStyle w:val="Heading2"/>
        <w:spacing w:before="320"/>
        <w:rPr>
          <w:b w:val="0"/>
          <w:i w:val="0"/>
          <w:iCs/>
          <w:color w:val="4F81BD"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035B7">
        <w:rPr>
          <w:b w:val="0"/>
          <w:i w:val="0"/>
          <w:iCs/>
          <w:color w:val="4F81BD"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References (Part 1)</w:t>
      </w:r>
    </w:p>
    <w:p w14:paraId="5503152A" w14:textId="77777777" w:rsidR="00A3088F" w:rsidRPr="00C04847" w:rsidRDefault="00A3088F" w:rsidP="009035B7">
      <w:pPr>
        <w:pStyle w:val="ListParagraph"/>
        <w:numPr>
          <w:ilvl w:val="0"/>
          <w:numId w:val="9"/>
        </w:numPr>
        <w:spacing w:after="160" w:line="360" w:lineRule="auto"/>
        <w:rPr>
          <w:rFonts w:ascii="Times New Roman" w:hAnsi="Times New Roman" w:cs="Times New Roman"/>
          <w:sz w:val="24"/>
          <w:szCs w:val="24"/>
        </w:rPr>
      </w:pPr>
      <w:proofErr w:type="spellStart"/>
      <w:r w:rsidRPr="00C04847">
        <w:rPr>
          <w:rFonts w:ascii="Times New Roman" w:hAnsi="Times New Roman" w:cs="Times New Roman"/>
          <w:sz w:val="24"/>
          <w:szCs w:val="24"/>
        </w:rPr>
        <w:t>Boote</w:t>
      </w:r>
      <w:proofErr w:type="spellEnd"/>
      <w:r w:rsidRPr="00C04847">
        <w:rPr>
          <w:rFonts w:ascii="Times New Roman" w:hAnsi="Times New Roman" w:cs="Times New Roman"/>
          <w:sz w:val="24"/>
          <w:szCs w:val="24"/>
        </w:rPr>
        <w:t xml:space="preserve">, D.N. and </w:t>
      </w:r>
      <w:proofErr w:type="spellStart"/>
      <w:r w:rsidRPr="00C04847">
        <w:rPr>
          <w:rFonts w:ascii="Times New Roman" w:hAnsi="Times New Roman" w:cs="Times New Roman"/>
          <w:sz w:val="24"/>
          <w:szCs w:val="24"/>
        </w:rPr>
        <w:t>Beile</w:t>
      </w:r>
      <w:proofErr w:type="spellEnd"/>
      <w:r w:rsidRPr="00C04847">
        <w:rPr>
          <w:rFonts w:ascii="Times New Roman" w:hAnsi="Times New Roman" w:cs="Times New Roman"/>
          <w:sz w:val="24"/>
          <w:szCs w:val="24"/>
        </w:rPr>
        <w:t>, P. (2005) 'Scholars before researchers: On the centrality of the dissertation literature review in research preparation', Educational Researcher, 34(6), pp. 3–15.</w:t>
      </w:r>
    </w:p>
    <w:p w14:paraId="724FDDC5" w14:textId="77777777" w:rsidR="00A3088F" w:rsidRPr="00C04847" w:rsidRDefault="00A3088F" w:rsidP="009035B7">
      <w:pPr>
        <w:pStyle w:val="ListParagraph"/>
        <w:numPr>
          <w:ilvl w:val="0"/>
          <w:numId w:val="9"/>
        </w:numPr>
        <w:spacing w:after="160" w:line="360" w:lineRule="auto"/>
        <w:rPr>
          <w:rFonts w:ascii="Times New Roman" w:hAnsi="Times New Roman" w:cs="Times New Roman"/>
          <w:sz w:val="24"/>
          <w:szCs w:val="24"/>
        </w:rPr>
      </w:pPr>
      <w:r w:rsidRPr="00C04847">
        <w:rPr>
          <w:rFonts w:ascii="Times New Roman" w:hAnsi="Times New Roman" w:cs="Times New Roman"/>
          <w:sz w:val="24"/>
          <w:szCs w:val="24"/>
        </w:rPr>
        <w:t>Grant, M.J. and Booth, A. (2009) 'A typology of reviews: an analysis of 14 review types and associated methodologies', Health Information &amp; Libraries Journal, 26(2), pp. 91–108.</w:t>
      </w:r>
    </w:p>
    <w:p w14:paraId="7CFBD5E2" w14:textId="77777777" w:rsidR="00A3088F" w:rsidRPr="00C04847" w:rsidRDefault="00A3088F" w:rsidP="009035B7">
      <w:pPr>
        <w:pStyle w:val="ListParagraph"/>
        <w:numPr>
          <w:ilvl w:val="0"/>
          <w:numId w:val="9"/>
        </w:numPr>
        <w:spacing w:after="160" w:line="360" w:lineRule="auto"/>
        <w:rPr>
          <w:rFonts w:ascii="Times New Roman" w:hAnsi="Times New Roman" w:cs="Times New Roman"/>
          <w:sz w:val="24"/>
          <w:szCs w:val="24"/>
        </w:rPr>
      </w:pPr>
      <w:proofErr w:type="spellStart"/>
      <w:r w:rsidRPr="00C04847">
        <w:rPr>
          <w:rFonts w:ascii="Times New Roman" w:hAnsi="Times New Roman" w:cs="Times New Roman"/>
          <w:sz w:val="24"/>
          <w:szCs w:val="24"/>
        </w:rPr>
        <w:t>Jesson</w:t>
      </w:r>
      <w:proofErr w:type="spellEnd"/>
      <w:r w:rsidRPr="00C04847">
        <w:rPr>
          <w:rFonts w:ascii="Times New Roman" w:hAnsi="Times New Roman" w:cs="Times New Roman"/>
          <w:sz w:val="24"/>
          <w:szCs w:val="24"/>
        </w:rPr>
        <w:t>, J., Matheson, L. and Lacey, F.M. (2011) Doing Your Literature Review: Traditional and Systematic Techniques. London: SAGE Publications.</w:t>
      </w:r>
    </w:p>
    <w:p w14:paraId="6449411A" w14:textId="77777777" w:rsidR="00A3088F" w:rsidRPr="009035B7" w:rsidRDefault="00A3088F" w:rsidP="009035B7">
      <w:pPr>
        <w:pStyle w:val="ListParagraph"/>
        <w:numPr>
          <w:ilvl w:val="0"/>
          <w:numId w:val="9"/>
        </w:numPr>
        <w:spacing w:after="160" w:line="360" w:lineRule="auto"/>
        <w:rPr>
          <w:rFonts w:ascii="Times New Roman" w:hAnsi="Times New Roman" w:cs="Times New Roman"/>
          <w:sz w:val="24"/>
          <w:szCs w:val="24"/>
        </w:rPr>
      </w:pPr>
      <w:r w:rsidRPr="009035B7">
        <w:rPr>
          <w:rFonts w:ascii="Times New Roman" w:hAnsi="Times New Roman" w:cs="Times New Roman"/>
          <w:sz w:val="24"/>
          <w:szCs w:val="24"/>
        </w:rPr>
        <w:t xml:space="preserve">Ridley, D. (2012) The Literature Review: A Step-by-Step Guide for Students. 2nd </w:t>
      </w:r>
      <w:proofErr w:type="spellStart"/>
      <w:r w:rsidRPr="009035B7">
        <w:rPr>
          <w:rFonts w:ascii="Times New Roman" w:hAnsi="Times New Roman" w:cs="Times New Roman"/>
          <w:sz w:val="24"/>
          <w:szCs w:val="24"/>
        </w:rPr>
        <w:t>edn</w:t>
      </w:r>
      <w:proofErr w:type="spellEnd"/>
      <w:r w:rsidRPr="009035B7">
        <w:rPr>
          <w:rFonts w:ascii="Times New Roman" w:hAnsi="Times New Roman" w:cs="Times New Roman"/>
          <w:sz w:val="24"/>
          <w:szCs w:val="24"/>
        </w:rPr>
        <w:t>. London: SAGE Publications.</w:t>
      </w:r>
    </w:p>
    <w:p w14:paraId="695361FA" w14:textId="77777777" w:rsidR="00A3088F" w:rsidRPr="009035B7" w:rsidRDefault="00A3088F" w:rsidP="009035B7">
      <w:pPr>
        <w:pStyle w:val="ListParagraph"/>
        <w:numPr>
          <w:ilvl w:val="0"/>
          <w:numId w:val="9"/>
        </w:numPr>
        <w:spacing w:after="160" w:line="360" w:lineRule="auto"/>
        <w:rPr>
          <w:rFonts w:ascii="Times New Roman" w:hAnsi="Times New Roman" w:cs="Times New Roman"/>
          <w:sz w:val="24"/>
          <w:szCs w:val="24"/>
        </w:rPr>
      </w:pPr>
      <w:r w:rsidRPr="009035B7">
        <w:rPr>
          <w:rFonts w:ascii="Times New Roman" w:hAnsi="Times New Roman" w:cs="Times New Roman"/>
          <w:sz w:val="24"/>
          <w:szCs w:val="24"/>
        </w:rPr>
        <w:lastRenderedPageBreak/>
        <w:t xml:space="preserve">Saunders, M., Lewis, P. and Thornhill, A. (2019) Research Methods for Business Students. 8th </w:t>
      </w:r>
      <w:proofErr w:type="spellStart"/>
      <w:r w:rsidRPr="009035B7">
        <w:rPr>
          <w:rFonts w:ascii="Times New Roman" w:hAnsi="Times New Roman" w:cs="Times New Roman"/>
          <w:sz w:val="24"/>
          <w:szCs w:val="24"/>
        </w:rPr>
        <w:t>edn</w:t>
      </w:r>
      <w:proofErr w:type="spellEnd"/>
      <w:r w:rsidRPr="009035B7">
        <w:rPr>
          <w:rFonts w:ascii="Times New Roman" w:hAnsi="Times New Roman" w:cs="Times New Roman"/>
          <w:sz w:val="24"/>
          <w:szCs w:val="24"/>
        </w:rPr>
        <w:t>. Harlow: Pearson Education.</w:t>
      </w:r>
    </w:p>
    <w:p w14:paraId="3EE2A45D" w14:textId="77777777" w:rsidR="00A3088F" w:rsidRPr="009035B7" w:rsidRDefault="00A3088F" w:rsidP="009035B7">
      <w:pPr>
        <w:pStyle w:val="ListParagraph"/>
        <w:numPr>
          <w:ilvl w:val="0"/>
          <w:numId w:val="9"/>
        </w:numPr>
        <w:spacing w:after="160" w:line="360" w:lineRule="auto"/>
        <w:rPr>
          <w:rFonts w:ascii="Times New Roman" w:hAnsi="Times New Roman" w:cs="Times New Roman"/>
          <w:sz w:val="24"/>
          <w:szCs w:val="24"/>
        </w:rPr>
      </w:pPr>
      <w:r w:rsidRPr="009035B7">
        <w:rPr>
          <w:rFonts w:ascii="Times New Roman" w:hAnsi="Times New Roman" w:cs="Times New Roman"/>
          <w:sz w:val="24"/>
          <w:szCs w:val="24"/>
        </w:rPr>
        <w:t>Webster, J. and Watson, R.T. (2002) '</w:t>
      </w:r>
      <w:proofErr w:type="spellStart"/>
      <w:r w:rsidRPr="009035B7">
        <w:rPr>
          <w:rFonts w:ascii="Times New Roman" w:hAnsi="Times New Roman" w:cs="Times New Roman"/>
          <w:sz w:val="24"/>
          <w:szCs w:val="24"/>
        </w:rPr>
        <w:t>Analyzing</w:t>
      </w:r>
      <w:proofErr w:type="spellEnd"/>
      <w:r w:rsidRPr="009035B7">
        <w:rPr>
          <w:rFonts w:ascii="Times New Roman" w:hAnsi="Times New Roman" w:cs="Times New Roman"/>
          <w:sz w:val="24"/>
          <w:szCs w:val="24"/>
        </w:rPr>
        <w:t xml:space="preserve"> the past to prepare for the future: Writing a literature review', MIS Quarterly, 26(2), pp. xiii–xxiii.</w:t>
      </w:r>
    </w:p>
    <w:p w14:paraId="393DD816" w14:textId="77777777" w:rsidR="00B076C3" w:rsidRPr="009035B7" w:rsidRDefault="00B076C3" w:rsidP="00425EB1">
      <w:pPr>
        <w:pStyle w:val="Heading1"/>
        <w:rPr>
          <w:b w:val="0"/>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035B7">
        <w:rPr>
          <w:b w:val="0"/>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PART 2: ANNOTATED BIBLIOGRAPHY – 100 SOURCES</w:t>
      </w:r>
      <w:bookmarkEnd w:id="0"/>
    </w:p>
    <w:p w14:paraId="14978DE0" w14:textId="77777777" w:rsidR="00425EB1" w:rsidRPr="00425EB1" w:rsidRDefault="00425EB1" w:rsidP="00425EB1">
      <w:pPr>
        <w:spacing w:line="360" w:lineRule="auto"/>
        <w:rPr>
          <w:rFonts w:ascii="Times New Roman" w:hAnsi="Times New Roman" w:cs="Times New Roman"/>
          <w:sz w:val="24"/>
          <w:szCs w:val="24"/>
        </w:rPr>
      </w:pPr>
      <w:r w:rsidRPr="00425EB1">
        <w:rPr>
          <w:rFonts w:ascii="Times New Roman" w:hAnsi="Times New Roman" w:cs="Times New Roman"/>
          <w:sz w:val="24"/>
          <w:szCs w:val="24"/>
        </w:rPr>
        <w:t xml:space="preserve">The table below provides an annotated bibliography of 100 scholarly sources across five thematic clusters, all of which look at various aspects of how AI is implemented and the impact on employee trust, organisational readiness, ethical governance, workforce acceptance and organisational performance in organisations. </w:t>
      </w:r>
      <w:r w:rsidR="007A7156" w:rsidRPr="007A7156">
        <w:rPr>
          <w:rFonts w:ascii="Times New Roman" w:hAnsi="Times New Roman" w:cs="Times New Roman"/>
          <w:sz w:val="24"/>
          <w:szCs w:val="24"/>
        </w:rPr>
        <w:t>The bibliography primarily includes peer-reviewed studies published between 2000 and 2026 while incorporating seminal theoretical works publishe</w:t>
      </w:r>
      <w:r w:rsidR="007A7156">
        <w:rPr>
          <w:rFonts w:ascii="Times New Roman" w:hAnsi="Times New Roman" w:cs="Times New Roman"/>
          <w:sz w:val="24"/>
          <w:szCs w:val="24"/>
        </w:rPr>
        <w:t>d prior to 2000 where necessary</w:t>
      </w:r>
      <w:r w:rsidRPr="00425EB1">
        <w:rPr>
          <w:rFonts w:ascii="Times New Roman" w:hAnsi="Times New Roman" w:cs="Times New Roman"/>
          <w:sz w:val="24"/>
          <w:szCs w:val="24"/>
        </w:rPr>
        <w:t xml:space="preserve"> and includes a few seminal papers in theory that serve as conceptual underpinnings to the topics of Artificial Intelligence adoption, technology acceptance, organisational trust, digital transformation and responsible AI governance. A systematic search strategy was employed across major academic databases, including Scopus, Web of Science, Google Scholar, ScienceDirect, IEEE Xplore, SpringerLink, Emerald Insight, Wiley Online Library, Taylor &amp; Francis Online, Sage Journals, and ABS-ranked journals (Tiers 1–4) to identify relevant literature.</w:t>
      </w:r>
    </w:p>
    <w:p w14:paraId="152A819A" w14:textId="77777777" w:rsidR="00425EB1" w:rsidRPr="00425EB1" w:rsidRDefault="00425EB1" w:rsidP="00425EB1">
      <w:pPr>
        <w:spacing w:line="360" w:lineRule="auto"/>
        <w:rPr>
          <w:rFonts w:ascii="Times New Roman" w:hAnsi="Times New Roman" w:cs="Times New Roman"/>
          <w:sz w:val="24"/>
          <w:szCs w:val="24"/>
        </w:rPr>
      </w:pPr>
      <w:r w:rsidRPr="00425EB1">
        <w:rPr>
          <w:rFonts w:ascii="Times New Roman" w:hAnsi="Times New Roman" w:cs="Times New Roman"/>
          <w:sz w:val="24"/>
          <w:szCs w:val="24"/>
        </w:rPr>
        <w:t>For systematic analysis, the annotated bibliography is divided into five thematic clusters which reflect important topics in the current literature in the field of AI and organisational management:</w:t>
      </w:r>
    </w:p>
    <w:p w14:paraId="1ABA9F67" w14:textId="77777777" w:rsidR="00425EB1" w:rsidRPr="00425EB1" w:rsidRDefault="00425EB1" w:rsidP="00425EB1">
      <w:pPr>
        <w:pStyle w:val="ListParagraph"/>
        <w:numPr>
          <w:ilvl w:val="0"/>
          <w:numId w:val="1"/>
        </w:numPr>
        <w:spacing w:line="360" w:lineRule="auto"/>
        <w:rPr>
          <w:rFonts w:ascii="Times New Roman" w:hAnsi="Times New Roman" w:cs="Times New Roman"/>
          <w:sz w:val="24"/>
          <w:szCs w:val="24"/>
        </w:rPr>
      </w:pPr>
      <w:r w:rsidRPr="00425EB1">
        <w:rPr>
          <w:rFonts w:ascii="Times New Roman" w:hAnsi="Times New Roman" w:cs="Times New Roman"/>
          <w:sz w:val="24"/>
          <w:szCs w:val="24"/>
        </w:rPr>
        <w:t>C1: Foundational Trust Theory (Organisational &amp; Automation Trust)</w:t>
      </w:r>
    </w:p>
    <w:p w14:paraId="0481FD93" w14:textId="77777777" w:rsidR="00425EB1" w:rsidRPr="00425EB1" w:rsidRDefault="00425EB1" w:rsidP="00425EB1">
      <w:pPr>
        <w:pStyle w:val="ListParagraph"/>
        <w:numPr>
          <w:ilvl w:val="0"/>
          <w:numId w:val="1"/>
        </w:numPr>
        <w:spacing w:line="360" w:lineRule="auto"/>
        <w:rPr>
          <w:rFonts w:ascii="Times New Roman" w:hAnsi="Times New Roman" w:cs="Times New Roman"/>
          <w:sz w:val="24"/>
          <w:szCs w:val="24"/>
        </w:rPr>
      </w:pPr>
      <w:r w:rsidRPr="00425EB1">
        <w:rPr>
          <w:rFonts w:ascii="Times New Roman" w:hAnsi="Times New Roman" w:cs="Times New Roman"/>
          <w:sz w:val="24"/>
          <w:szCs w:val="24"/>
        </w:rPr>
        <w:t xml:space="preserve">C2: AI Adoption, Technology Acceptance &amp; Organisational Readiness  </w:t>
      </w:r>
    </w:p>
    <w:p w14:paraId="09E9AB00" w14:textId="77777777" w:rsidR="00425EB1" w:rsidRPr="00425EB1" w:rsidRDefault="00425EB1" w:rsidP="00425EB1">
      <w:pPr>
        <w:pStyle w:val="ListParagraph"/>
        <w:numPr>
          <w:ilvl w:val="0"/>
          <w:numId w:val="1"/>
        </w:numPr>
        <w:spacing w:line="360" w:lineRule="auto"/>
        <w:rPr>
          <w:rFonts w:ascii="Times New Roman" w:hAnsi="Times New Roman" w:cs="Times New Roman"/>
          <w:sz w:val="24"/>
          <w:szCs w:val="24"/>
        </w:rPr>
      </w:pPr>
      <w:r w:rsidRPr="00425EB1">
        <w:rPr>
          <w:rFonts w:ascii="Times New Roman" w:hAnsi="Times New Roman" w:cs="Times New Roman"/>
          <w:sz w:val="24"/>
          <w:szCs w:val="24"/>
        </w:rPr>
        <w:t xml:space="preserve">C3: Ethical AI Governance, Accountability &amp; Regulation  </w:t>
      </w:r>
    </w:p>
    <w:p w14:paraId="6451D41F" w14:textId="77777777" w:rsidR="00425EB1" w:rsidRPr="00425EB1" w:rsidRDefault="00425EB1" w:rsidP="00425EB1">
      <w:pPr>
        <w:pStyle w:val="ListParagraph"/>
        <w:numPr>
          <w:ilvl w:val="0"/>
          <w:numId w:val="1"/>
        </w:numPr>
        <w:spacing w:line="360" w:lineRule="auto"/>
        <w:rPr>
          <w:rFonts w:ascii="Times New Roman" w:hAnsi="Times New Roman" w:cs="Times New Roman"/>
          <w:sz w:val="24"/>
          <w:szCs w:val="24"/>
        </w:rPr>
      </w:pPr>
      <w:r w:rsidRPr="00425EB1">
        <w:rPr>
          <w:rFonts w:ascii="Times New Roman" w:hAnsi="Times New Roman" w:cs="Times New Roman"/>
          <w:sz w:val="24"/>
          <w:szCs w:val="24"/>
        </w:rPr>
        <w:t xml:space="preserve">C4: Algorithmic Management, Fairness &amp; Workforce Acceptance </w:t>
      </w:r>
    </w:p>
    <w:p w14:paraId="3243A126" w14:textId="77777777" w:rsidR="00425EB1" w:rsidRPr="00425EB1" w:rsidRDefault="00425EB1" w:rsidP="00425EB1">
      <w:pPr>
        <w:pStyle w:val="ListParagraph"/>
        <w:numPr>
          <w:ilvl w:val="0"/>
          <w:numId w:val="1"/>
        </w:numPr>
        <w:spacing w:line="360" w:lineRule="auto"/>
        <w:rPr>
          <w:rFonts w:ascii="Times New Roman" w:hAnsi="Times New Roman" w:cs="Times New Roman"/>
          <w:sz w:val="24"/>
          <w:szCs w:val="24"/>
        </w:rPr>
      </w:pPr>
      <w:r w:rsidRPr="00425EB1">
        <w:rPr>
          <w:rFonts w:ascii="Times New Roman" w:hAnsi="Times New Roman" w:cs="Times New Roman"/>
          <w:sz w:val="24"/>
          <w:szCs w:val="24"/>
        </w:rPr>
        <w:t>C5: Workforce Impact: Job Insecurity, Reskilling, Surveillance &amp; Change</w:t>
      </w:r>
    </w:p>
    <w:p w14:paraId="6789FA41" w14:textId="77777777" w:rsidR="00425EB1" w:rsidRPr="00425EB1" w:rsidRDefault="00425EB1" w:rsidP="00425EB1">
      <w:pPr>
        <w:spacing w:line="360" w:lineRule="auto"/>
        <w:rPr>
          <w:rFonts w:ascii="Times New Roman" w:hAnsi="Times New Roman" w:cs="Times New Roman"/>
          <w:sz w:val="24"/>
          <w:szCs w:val="24"/>
        </w:rPr>
      </w:pPr>
      <w:r w:rsidRPr="00425EB1">
        <w:rPr>
          <w:rFonts w:ascii="Times New Roman" w:hAnsi="Times New Roman" w:cs="Times New Roman"/>
          <w:sz w:val="24"/>
          <w:szCs w:val="24"/>
        </w:rPr>
        <w:t xml:space="preserve">Information for each of the annotated entries includes the Harvard style citation, identification of the thematic cluster, a summary of the main variables investigated, a description of the research methodology used, and a critical explanation of the specific contribution of the study to the current research. These sources create a holistic evidence base on the impact of the implementation of Artificial Intelligence on employee trust and impacts on organisational outcomes, while also highlighting theoretical advancements, </w:t>
      </w:r>
      <w:r w:rsidRPr="00425EB1">
        <w:rPr>
          <w:rFonts w:ascii="Times New Roman" w:hAnsi="Times New Roman" w:cs="Times New Roman"/>
          <w:sz w:val="24"/>
          <w:szCs w:val="24"/>
        </w:rPr>
        <w:lastRenderedPageBreak/>
        <w:t>methodological challenges, unresolved debates and research gaps that will ensure the literature review in the next chapter is positioned to draw research conclusions.</w:t>
      </w:r>
    </w:p>
    <w:p w14:paraId="33528C72" w14:textId="77777777" w:rsidR="00425EB1" w:rsidRPr="00425EB1" w:rsidRDefault="00425EB1" w:rsidP="00425EB1">
      <w:pPr>
        <w:spacing w:line="360" w:lineRule="auto"/>
        <w:jc w:val="center"/>
        <w:rPr>
          <w:rFonts w:ascii="Times New Roman" w:hAnsi="Times New Roman" w:cs="Times New Roman"/>
          <w:b/>
          <w:sz w:val="24"/>
          <w:szCs w:val="24"/>
        </w:rPr>
      </w:pPr>
      <w:r w:rsidRPr="00425EB1">
        <w:rPr>
          <w:rFonts w:ascii="Times New Roman" w:hAnsi="Times New Roman" w:cs="Times New Roman"/>
          <w:b/>
          <w:sz w:val="24"/>
          <w:szCs w:val="24"/>
        </w:rPr>
        <w:t>Table 1: Annotated Bibliography – 100 Peer-Reviewed Sources Across Five Thematic Clusters (SRC-001 to SRC-100)</w:t>
      </w:r>
    </w:p>
    <w:tbl>
      <w:tblPr>
        <w:tblW w:w="5000" w:type="pct"/>
        <w:tblLook w:val="04A0" w:firstRow="1" w:lastRow="0" w:firstColumn="1" w:lastColumn="0" w:noHBand="0" w:noVBand="1"/>
      </w:tblPr>
      <w:tblGrid>
        <w:gridCol w:w="906"/>
        <w:gridCol w:w="1287"/>
        <w:gridCol w:w="1097"/>
        <w:gridCol w:w="1687"/>
        <w:gridCol w:w="1977"/>
        <w:gridCol w:w="2288"/>
      </w:tblGrid>
      <w:tr w:rsidR="00F702C4" w:rsidRPr="00F25C44" w14:paraId="74182A22" w14:textId="77777777" w:rsidTr="00425EB1">
        <w:trPr>
          <w:trHeight w:val="439"/>
        </w:trPr>
        <w:tc>
          <w:tcPr>
            <w:tcW w:w="405" w:type="pct"/>
            <w:tcBorders>
              <w:top w:val="single" w:sz="4" w:space="0" w:color="B0B0B0"/>
              <w:left w:val="single" w:sz="4" w:space="0" w:color="B0B0B0"/>
              <w:bottom w:val="single" w:sz="4" w:space="0" w:color="B0B0B0"/>
              <w:right w:val="single" w:sz="4" w:space="0" w:color="B0B0B0"/>
            </w:tcBorders>
            <w:shd w:val="clear" w:color="2E5395" w:fill="2E5395"/>
            <w:vAlign w:val="center"/>
            <w:hideMark/>
          </w:tcPr>
          <w:p w14:paraId="00E2BC6C" w14:textId="77777777" w:rsidR="00707574" w:rsidRPr="00F25C44" w:rsidRDefault="00707574" w:rsidP="00425EB1">
            <w:pPr>
              <w:spacing w:after="0" w:line="360" w:lineRule="auto"/>
              <w:jc w:val="center"/>
              <w:rPr>
                <w:rFonts w:ascii="Times New Roman" w:eastAsia="Times New Roman" w:hAnsi="Times New Roman" w:cs="Times New Roman"/>
                <w:b/>
                <w:bCs/>
                <w:color w:val="FFFFFF"/>
                <w:sz w:val="20"/>
                <w:szCs w:val="20"/>
                <w:lang w:eastAsia="en-IN"/>
              </w:rPr>
            </w:pPr>
            <w:r w:rsidRPr="00F25C44">
              <w:rPr>
                <w:rFonts w:ascii="Times New Roman" w:eastAsia="Times New Roman" w:hAnsi="Times New Roman" w:cs="Times New Roman"/>
                <w:b/>
                <w:bCs/>
                <w:color w:val="FFFFFF"/>
                <w:sz w:val="20"/>
                <w:szCs w:val="20"/>
                <w:lang w:eastAsia="en-IN"/>
              </w:rPr>
              <w:t>ID</w:t>
            </w:r>
          </w:p>
        </w:tc>
        <w:tc>
          <w:tcPr>
            <w:tcW w:w="826" w:type="pct"/>
            <w:tcBorders>
              <w:top w:val="single" w:sz="4" w:space="0" w:color="B0B0B0"/>
              <w:left w:val="nil"/>
              <w:bottom w:val="single" w:sz="4" w:space="0" w:color="B0B0B0"/>
              <w:right w:val="single" w:sz="4" w:space="0" w:color="B0B0B0"/>
            </w:tcBorders>
            <w:shd w:val="clear" w:color="2E5395" w:fill="2E5395"/>
            <w:vAlign w:val="center"/>
            <w:hideMark/>
          </w:tcPr>
          <w:p w14:paraId="156327E5" w14:textId="77777777" w:rsidR="00707574" w:rsidRPr="00F25C44" w:rsidRDefault="00707574" w:rsidP="00425EB1">
            <w:pPr>
              <w:spacing w:after="0" w:line="360" w:lineRule="auto"/>
              <w:jc w:val="center"/>
              <w:rPr>
                <w:rFonts w:ascii="Times New Roman" w:eastAsia="Times New Roman" w:hAnsi="Times New Roman" w:cs="Times New Roman"/>
                <w:b/>
                <w:bCs/>
                <w:color w:val="FFFFFF"/>
                <w:sz w:val="20"/>
                <w:szCs w:val="20"/>
                <w:lang w:eastAsia="en-IN"/>
              </w:rPr>
            </w:pPr>
            <w:r w:rsidRPr="00F25C44">
              <w:rPr>
                <w:rFonts w:ascii="Times New Roman" w:eastAsia="Times New Roman" w:hAnsi="Times New Roman" w:cs="Times New Roman"/>
                <w:b/>
                <w:bCs/>
                <w:color w:val="FFFFFF"/>
                <w:sz w:val="20"/>
                <w:szCs w:val="20"/>
                <w:lang w:eastAsia="en-IN"/>
              </w:rPr>
              <w:t>Citation (Harvard)</w:t>
            </w:r>
          </w:p>
        </w:tc>
        <w:tc>
          <w:tcPr>
            <w:tcW w:w="645" w:type="pct"/>
            <w:tcBorders>
              <w:top w:val="single" w:sz="4" w:space="0" w:color="B0B0B0"/>
              <w:left w:val="nil"/>
              <w:bottom w:val="single" w:sz="4" w:space="0" w:color="B0B0B0"/>
              <w:right w:val="single" w:sz="4" w:space="0" w:color="B0B0B0"/>
            </w:tcBorders>
            <w:shd w:val="clear" w:color="2E5395" w:fill="2E5395"/>
            <w:vAlign w:val="center"/>
            <w:hideMark/>
          </w:tcPr>
          <w:p w14:paraId="17FE3990" w14:textId="77777777" w:rsidR="00707574" w:rsidRPr="00F25C44" w:rsidRDefault="00707574" w:rsidP="00425EB1">
            <w:pPr>
              <w:spacing w:after="0" w:line="360" w:lineRule="auto"/>
              <w:jc w:val="center"/>
              <w:rPr>
                <w:rFonts w:ascii="Times New Roman" w:eastAsia="Times New Roman" w:hAnsi="Times New Roman" w:cs="Times New Roman"/>
                <w:b/>
                <w:bCs/>
                <w:color w:val="FFFFFF"/>
                <w:sz w:val="20"/>
                <w:szCs w:val="20"/>
                <w:lang w:eastAsia="en-IN"/>
              </w:rPr>
            </w:pPr>
            <w:r w:rsidRPr="00F25C44">
              <w:rPr>
                <w:rFonts w:ascii="Times New Roman" w:eastAsia="Times New Roman" w:hAnsi="Times New Roman" w:cs="Times New Roman"/>
                <w:b/>
                <w:bCs/>
                <w:color w:val="FFFFFF"/>
                <w:sz w:val="20"/>
                <w:szCs w:val="20"/>
                <w:lang w:eastAsia="en-IN"/>
              </w:rPr>
              <w:t>Cluster / Theme</w:t>
            </w:r>
          </w:p>
        </w:tc>
        <w:tc>
          <w:tcPr>
            <w:tcW w:w="849" w:type="pct"/>
            <w:tcBorders>
              <w:top w:val="single" w:sz="4" w:space="0" w:color="B0B0B0"/>
              <w:left w:val="nil"/>
              <w:bottom w:val="single" w:sz="4" w:space="0" w:color="B0B0B0"/>
              <w:right w:val="single" w:sz="4" w:space="0" w:color="B0B0B0"/>
            </w:tcBorders>
            <w:shd w:val="clear" w:color="2E5395" w:fill="2E5395"/>
            <w:vAlign w:val="center"/>
            <w:hideMark/>
          </w:tcPr>
          <w:p w14:paraId="0EF2FF3A" w14:textId="77777777" w:rsidR="00707574" w:rsidRPr="00F25C44" w:rsidRDefault="00707574" w:rsidP="00425EB1">
            <w:pPr>
              <w:spacing w:after="0" w:line="360" w:lineRule="auto"/>
              <w:jc w:val="center"/>
              <w:rPr>
                <w:rFonts w:ascii="Times New Roman" w:eastAsia="Times New Roman" w:hAnsi="Times New Roman" w:cs="Times New Roman"/>
                <w:b/>
                <w:bCs/>
                <w:color w:val="FFFFFF"/>
                <w:sz w:val="20"/>
                <w:szCs w:val="20"/>
                <w:lang w:eastAsia="en-IN"/>
              </w:rPr>
            </w:pPr>
            <w:r w:rsidRPr="00F25C44">
              <w:rPr>
                <w:rFonts w:ascii="Times New Roman" w:eastAsia="Times New Roman" w:hAnsi="Times New Roman" w:cs="Times New Roman"/>
                <w:b/>
                <w:bCs/>
                <w:color w:val="FFFFFF"/>
                <w:sz w:val="20"/>
                <w:szCs w:val="20"/>
                <w:lang w:eastAsia="en-IN"/>
              </w:rPr>
              <w:t>Key Variables Covered</w:t>
            </w:r>
          </w:p>
        </w:tc>
        <w:tc>
          <w:tcPr>
            <w:tcW w:w="975" w:type="pct"/>
            <w:tcBorders>
              <w:top w:val="single" w:sz="4" w:space="0" w:color="B0B0B0"/>
              <w:left w:val="nil"/>
              <w:bottom w:val="single" w:sz="4" w:space="0" w:color="B0B0B0"/>
              <w:right w:val="single" w:sz="4" w:space="0" w:color="B0B0B0"/>
            </w:tcBorders>
            <w:shd w:val="clear" w:color="2E5395" w:fill="2E5395"/>
            <w:vAlign w:val="center"/>
            <w:hideMark/>
          </w:tcPr>
          <w:p w14:paraId="1B360EDB" w14:textId="77777777" w:rsidR="00707574" w:rsidRPr="00F25C44" w:rsidRDefault="00707574" w:rsidP="00425EB1">
            <w:pPr>
              <w:spacing w:after="0" w:line="360" w:lineRule="auto"/>
              <w:jc w:val="center"/>
              <w:rPr>
                <w:rFonts w:ascii="Times New Roman" w:eastAsia="Times New Roman" w:hAnsi="Times New Roman" w:cs="Times New Roman"/>
                <w:b/>
                <w:bCs/>
                <w:color w:val="FFFFFF"/>
                <w:sz w:val="20"/>
                <w:szCs w:val="20"/>
                <w:lang w:eastAsia="en-IN"/>
              </w:rPr>
            </w:pPr>
            <w:r w:rsidRPr="00F25C44">
              <w:rPr>
                <w:rFonts w:ascii="Times New Roman" w:eastAsia="Times New Roman" w:hAnsi="Times New Roman" w:cs="Times New Roman"/>
                <w:b/>
                <w:bCs/>
                <w:color w:val="FFFFFF"/>
                <w:sz w:val="20"/>
                <w:szCs w:val="20"/>
                <w:lang w:eastAsia="en-IN"/>
              </w:rPr>
              <w:t>Methodological Design</w:t>
            </w:r>
          </w:p>
        </w:tc>
        <w:tc>
          <w:tcPr>
            <w:tcW w:w="1300" w:type="pct"/>
            <w:tcBorders>
              <w:top w:val="single" w:sz="4" w:space="0" w:color="B0B0B0"/>
              <w:left w:val="nil"/>
              <w:bottom w:val="single" w:sz="4" w:space="0" w:color="B0B0B0"/>
              <w:right w:val="single" w:sz="4" w:space="0" w:color="B0B0B0"/>
            </w:tcBorders>
            <w:shd w:val="clear" w:color="2E5395" w:fill="2E5395"/>
            <w:vAlign w:val="center"/>
            <w:hideMark/>
          </w:tcPr>
          <w:p w14:paraId="03E49AED" w14:textId="77777777" w:rsidR="00707574" w:rsidRPr="00F25C44" w:rsidRDefault="00707574" w:rsidP="00425EB1">
            <w:pPr>
              <w:spacing w:after="0" w:line="360" w:lineRule="auto"/>
              <w:jc w:val="center"/>
              <w:rPr>
                <w:rFonts w:ascii="Times New Roman" w:eastAsia="Times New Roman" w:hAnsi="Times New Roman" w:cs="Times New Roman"/>
                <w:b/>
                <w:bCs/>
                <w:color w:val="FFFFFF"/>
                <w:sz w:val="20"/>
                <w:szCs w:val="20"/>
                <w:lang w:eastAsia="en-IN"/>
              </w:rPr>
            </w:pPr>
            <w:r w:rsidRPr="00F25C44">
              <w:rPr>
                <w:rFonts w:ascii="Times New Roman" w:eastAsia="Times New Roman" w:hAnsi="Times New Roman" w:cs="Times New Roman"/>
                <w:b/>
                <w:bCs/>
                <w:color w:val="FFFFFF"/>
                <w:sz w:val="20"/>
                <w:szCs w:val="20"/>
                <w:lang w:eastAsia="en-IN"/>
              </w:rPr>
              <w:t>Usefulness to This Study</w:t>
            </w:r>
          </w:p>
        </w:tc>
      </w:tr>
      <w:tr w:rsidR="00F702C4" w:rsidRPr="00F25C44" w14:paraId="2EAF0FBC"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D9E1F2" w:fill="D9E1F2"/>
            <w:noWrap/>
            <w:hideMark/>
          </w:tcPr>
          <w:p w14:paraId="5E154D1A"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t>SRC-001</w:t>
            </w:r>
          </w:p>
        </w:tc>
        <w:tc>
          <w:tcPr>
            <w:tcW w:w="826" w:type="pct"/>
            <w:tcBorders>
              <w:top w:val="nil"/>
              <w:left w:val="nil"/>
              <w:bottom w:val="single" w:sz="4" w:space="0" w:color="B0B0B0"/>
              <w:right w:val="single" w:sz="4" w:space="0" w:color="B0B0B0"/>
            </w:tcBorders>
            <w:shd w:val="clear" w:color="D9E1F2" w:fill="D9E1F2"/>
            <w:hideMark/>
          </w:tcPr>
          <w:p w14:paraId="723BD282"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Mayer et al. (1995)</w:t>
            </w:r>
          </w:p>
        </w:tc>
        <w:tc>
          <w:tcPr>
            <w:tcW w:w="645" w:type="pct"/>
            <w:tcBorders>
              <w:top w:val="nil"/>
              <w:left w:val="nil"/>
              <w:bottom w:val="single" w:sz="4" w:space="0" w:color="B0B0B0"/>
              <w:right w:val="single" w:sz="4" w:space="0" w:color="B0B0B0"/>
            </w:tcBorders>
            <w:shd w:val="clear" w:color="D9E1F2" w:fill="D9E1F2"/>
            <w:hideMark/>
          </w:tcPr>
          <w:p w14:paraId="7C07ACED"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C1: Trust Theory</w:t>
            </w:r>
          </w:p>
        </w:tc>
        <w:tc>
          <w:tcPr>
            <w:tcW w:w="849" w:type="pct"/>
            <w:tcBorders>
              <w:top w:val="nil"/>
              <w:left w:val="nil"/>
              <w:bottom w:val="single" w:sz="4" w:space="0" w:color="B0B0B0"/>
              <w:right w:val="single" w:sz="4" w:space="0" w:color="B0B0B0"/>
            </w:tcBorders>
            <w:shd w:val="clear" w:color="D9E1F2" w:fill="D9E1F2"/>
            <w:hideMark/>
          </w:tcPr>
          <w:p w14:paraId="4D81E8EC"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Trustor/trustee characteristics; ability, benevolence, integrity</w:t>
            </w:r>
          </w:p>
        </w:tc>
        <w:tc>
          <w:tcPr>
            <w:tcW w:w="975" w:type="pct"/>
            <w:tcBorders>
              <w:top w:val="nil"/>
              <w:left w:val="nil"/>
              <w:bottom w:val="single" w:sz="4" w:space="0" w:color="B0B0B0"/>
              <w:right w:val="single" w:sz="4" w:space="0" w:color="B0B0B0"/>
            </w:tcBorders>
            <w:shd w:val="clear" w:color="D9E1F2" w:fill="D9E1F2"/>
            <w:hideMark/>
          </w:tcPr>
          <w:p w14:paraId="0BD18413"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Integrative theoretical model synthesis</w:t>
            </w:r>
          </w:p>
        </w:tc>
        <w:tc>
          <w:tcPr>
            <w:tcW w:w="1300" w:type="pct"/>
            <w:tcBorders>
              <w:top w:val="nil"/>
              <w:left w:val="nil"/>
              <w:bottom w:val="single" w:sz="4" w:space="0" w:color="B0B0B0"/>
              <w:right w:val="single" w:sz="4" w:space="0" w:color="B0B0B0"/>
            </w:tcBorders>
            <w:shd w:val="clear" w:color="D9E1F2" w:fill="D9E1F2"/>
            <w:hideMark/>
          </w:tcPr>
          <w:p w14:paraId="7FC47450"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Provides ability/benevolence/integrity antecedents applied throughout the review</w:t>
            </w:r>
          </w:p>
        </w:tc>
      </w:tr>
      <w:tr w:rsidR="00F702C4" w:rsidRPr="00F25C44" w14:paraId="1E529422"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D9E1F2" w:fill="D9E1F2"/>
            <w:noWrap/>
            <w:hideMark/>
          </w:tcPr>
          <w:p w14:paraId="0CFB5DB7"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t>SRC-002</w:t>
            </w:r>
          </w:p>
        </w:tc>
        <w:tc>
          <w:tcPr>
            <w:tcW w:w="826" w:type="pct"/>
            <w:tcBorders>
              <w:top w:val="nil"/>
              <w:left w:val="nil"/>
              <w:bottom w:val="single" w:sz="4" w:space="0" w:color="B0B0B0"/>
              <w:right w:val="single" w:sz="4" w:space="0" w:color="B0B0B0"/>
            </w:tcBorders>
            <w:shd w:val="clear" w:color="D9E1F2" w:fill="D9E1F2"/>
            <w:hideMark/>
          </w:tcPr>
          <w:p w14:paraId="2246F4B9"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proofErr w:type="spellStart"/>
            <w:r w:rsidRPr="00F25C44">
              <w:rPr>
                <w:rFonts w:ascii="Times New Roman" w:eastAsia="Times New Roman" w:hAnsi="Times New Roman" w:cs="Times New Roman"/>
                <w:sz w:val="20"/>
                <w:szCs w:val="20"/>
                <w:lang w:eastAsia="en-IN"/>
              </w:rPr>
              <w:t>Schoorman</w:t>
            </w:r>
            <w:proofErr w:type="spellEnd"/>
            <w:r w:rsidRPr="00F25C44">
              <w:rPr>
                <w:rFonts w:ascii="Times New Roman" w:eastAsia="Times New Roman" w:hAnsi="Times New Roman" w:cs="Times New Roman"/>
                <w:sz w:val="20"/>
                <w:szCs w:val="20"/>
                <w:lang w:eastAsia="en-IN"/>
              </w:rPr>
              <w:t xml:space="preserve"> et al. (2007)</w:t>
            </w:r>
          </w:p>
        </w:tc>
        <w:tc>
          <w:tcPr>
            <w:tcW w:w="645" w:type="pct"/>
            <w:tcBorders>
              <w:top w:val="nil"/>
              <w:left w:val="nil"/>
              <w:bottom w:val="single" w:sz="4" w:space="0" w:color="B0B0B0"/>
              <w:right w:val="single" w:sz="4" w:space="0" w:color="B0B0B0"/>
            </w:tcBorders>
            <w:shd w:val="clear" w:color="D9E1F2" w:fill="D9E1F2"/>
            <w:hideMark/>
          </w:tcPr>
          <w:p w14:paraId="17271C60"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C1: Trust Theory</w:t>
            </w:r>
          </w:p>
        </w:tc>
        <w:tc>
          <w:tcPr>
            <w:tcW w:w="849" w:type="pct"/>
            <w:tcBorders>
              <w:top w:val="nil"/>
              <w:left w:val="nil"/>
              <w:bottom w:val="single" w:sz="4" w:space="0" w:color="B0B0B0"/>
              <w:right w:val="single" w:sz="4" w:space="0" w:color="B0B0B0"/>
            </w:tcBorders>
            <w:shd w:val="clear" w:color="D9E1F2" w:fill="D9E1F2"/>
            <w:hideMark/>
          </w:tcPr>
          <w:p w14:paraId="52784712"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Trust dynamics over time; control systems</w:t>
            </w:r>
          </w:p>
        </w:tc>
        <w:tc>
          <w:tcPr>
            <w:tcW w:w="975" w:type="pct"/>
            <w:tcBorders>
              <w:top w:val="nil"/>
              <w:left w:val="nil"/>
              <w:bottom w:val="single" w:sz="4" w:space="0" w:color="B0B0B0"/>
              <w:right w:val="single" w:sz="4" w:space="0" w:color="B0B0B0"/>
            </w:tcBorders>
            <w:shd w:val="clear" w:color="D9E1F2" w:fill="D9E1F2"/>
            <w:hideMark/>
          </w:tcPr>
          <w:p w14:paraId="6B4B6038"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Theoretical retrospective and extension</w:t>
            </w:r>
          </w:p>
        </w:tc>
        <w:tc>
          <w:tcPr>
            <w:tcW w:w="1300" w:type="pct"/>
            <w:tcBorders>
              <w:top w:val="nil"/>
              <w:left w:val="nil"/>
              <w:bottom w:val="single" w:sz="4" w:space="0" w:color="B0B0B0"/>
              <w:right w:val="single" w:sz="4" w:space="0" w:color="B0B0B0"/>
            </w:tcBorders>
            <w:shd w:val="clear" w:color="D9E1F2" w:fill="D9E1F2"/>
            <w:hideMark/>
          </w:tcPr>
          <w:p w14:paraId="45B726A6"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Explains how organisations rebuild trust after AI failures</w:t>
            </w:r>
          </w:p>
        </w:tc>
      </w:tr>
      <w:tr w:rsidR="00F702C4" w:rsidRPr="00F25C44" w14:paraId="3804D723"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D9E1F2" w:fill="D9E1F2"/>
            <w:noWrap/>
            <w:hideMark/>
          </w:tcPr>
          <w:p w14:paraId="6109B06B"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t>SRC-003</w:t>
            </w:r>
          </w:p>
        </w:tc>
        <w:tc>
          <w:tcPr>
            <w:tcW w:w="826" w:type="pct"/>
            <w:tcBorders>
              <w:top w:val="nil"/>
              <w:left w:val="nil"/>
              <w:bottom w:val="single" w:sz="4" w:space="0" w:color="B0B0B0"/>
              <w:right w:val="single" w:sz="4" w:space="0" w:color="B0B0B0"/>
            </w:tcBorders>
            <w:shd w:val="clear" w:color="D9E1F2" w:fill="D9E1F2"/>
            <w:hideMark/>
          </w:tcPr>
          <w:p w14:paraId="4BC1F16E"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McAllister (1995)</w:t>
            </w:r>
          </w:p>
        </w:tc>
        <w:tc>
          <w:tcPr>
            <w:tcW w:w="645" w:type="pct"/>
            <w:tcBorders>
              <w:top w:val="nil"/>
              <w:left w:val="nil"/>
              <w:bottom w:val="single" w:sz="4" w:space="0" w:color="B0B0B0"/>
              <w:right w:val="single" w:sz="4" w:space="0" w:color="B0B0B0"/>
            </w:tcBorders>
            <w:shd w:val="clear" w:color="D9E1F2" w:fill="D9E1F2"/>
            <w:hideMark/>
          </w:tcPr>
          <w:p w14:paraId="6A57ECC3"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C1: Trust Theory</w:t>
            </w:r>
          </w:p>
        </w:tc>
        <w:tc>
          <w:tcPr>
            <w:tcW w:w="849" w:type="pct"/>
            <w:tcBorders>
              <w:top w:val="nil"/>
              <w:left w:val="nil"/>
              <w:bottom w:val="single" w:sz="4" w:space="0" w:color="B0B0B0"/>
              <w:right w:val="single" w:sz="4" w:space="0" w:color="B0B0B0"/>
            </w:tcBorders>
            <w:shd w:val="clear" w:color="D9E1F2" w:fill="D9E1F2"/>
            <w:hideMark/>
          </w:tcPr>
          <w:p w14:paraId="4A22F2F2"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Cognition-based vs affect-based trust; interpersonal cooperation</w:t>
            </w:r>
          </w:p>
        </w:tc>
        <w:tc>
          <w:tcPr>
            <w:tcW w:w="975" w:type="pct"/>
            <w:tcBorders>
              <w:top w:val="nil"/>
              <w:left w:val="nil"/>
              <w:bottom w:val="single" w:sz="4" w:space="0" w:color="B0B0B0"/>
              <w:right w:val="single" w:sz="4" w:space="0" w:color="B0B0B0"/>
            </w:tcBorders>
            <w:shd w:val="clear" w:color="D9E1F2" w:fill="D9E1F2"/>
            <w:hideMark/>
          </w:tcPr>
          <w:p w14:paraId="39CEFC4A"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Quantitative survey with structural modelling</w:t>
            </w:r>
          </w:p>
        </w:tc>
        <w:tc>
          <w:tcPr>
            <w:tcW w:w="1300" w:type="pct"/>
            <w:tcBorders>
              <w:top w:val="nil"/>
              <w:left w:val="nil"/>
              <w:bottom w:val="single" w:sz="4" w:space="0" w:color="B0B0B0"/>
              <w:right w:val="single" w:sz="4" w:space="0" w:color="B0B0B0"/>
            </w:tcBorders>
            <w:shd w:val="clear" w:color="D9E1F2" w:fill="D9E1F2"/>
            <w:hideMark/>
          </w:tcPr>
          <w:p w14:paraId="54B17C92"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Distinguishes cognitive/affective trust, echoed in later AI-trust research</w:t>
            </w:r>
          </w:p>
        </w:tc>
      </w:tr>
      <w:tr w:rsidR="00F702C4" w:rsidRPr="00F25C44" w14:paraId="057D812E"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D9E1F2" w:fill="D9E1F2"/>
            <w:noWrap/>
            <w:hideMark/>
          </w:tcPr>
          <w:p w14:paraId="2CBE3B59"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t>SRC-004</w:t>
            </w:r>
          </w:p>
        </w:tc>
        <w:tc>
          <w:tcPr>
            <w:tcW w:w="826" w:type="pct"/>
            <w:tcBorders>
              <w:top w:val="nil"/>
              <w:left w:val="nil"/>
              <w:bottom w:val="single" w:sz="4" w:space="0" w:color="B0B0B0"/>
              <w:right w:val="single" w:sz="4" w:space="0" w:color="B0B0B0"/>
            </w:tcBorders>
            <w:shd w:val="clear" w:color="D9E1F2" w:fill="D9E1F2"/>
            <w:hideMark/>
          </w:tcPr>
          <w:p w14:paraId="18F792D0"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Lee &amp; See (2004)</w:t>
            </w:r>
          </w:p>
        </w:tc>
        <w:tc>
          <w:tcPr>
            <w:tcW w:w="645" w:type="pct"/>
            <w:tcBorders>
              <w:top w:val="nil"/>
              <w:left w:val="nil"/>
              <w:bottom w:val="single" w:sz="4" w:space="0" w:color="B0B0B0"/>
              <w:right w:val="single" w:sz="4" w:space="0" w:color="B0B0B0"/>
            </w:tcBorders>
            <w:shd w:val="clear" w:color="D9E1F2" w:fill="D9E1F2"/>
            <w:hideMark/>
          </w:tcPr>
          <w:p w14:paraId="6CC7E1FE"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C1: Trust Theory</w:t>
            </w:r>
          </w:p>
        </w:tc>
        <w:tc>
          <w:tcPr>
            <w:tcW w:w="849" w:type="pct"/>
            <w:tcBorders>
              <w:top w:val="nil"/>
              <w:left w:val="nil"/>
              <w:bottom w:val="single" w:sz="4" w:space="0" w:color="B0B0B0"/>
              <w:right w:val="single" w:sz="4" w:space="0" w:color="B0B0B0"/>
            </w:tcBorders>
            <w:shd w:val="clear" w:color="D9E1F2" w:fill="D9E1F2"/>
            <w:hideMark/>
          </w:tcPr>
          <w:p w14:paraId="4B35C276"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Appropriate reliance; calibration</w:t>
            </w:r>
          </w:p>
        </w:tc>
        <w:tc>
          <w:tcPr>
            <w:tcW w:w="975" w:type="pct"/>
            <w:tcBorders>
              <w:top w:val="nil"/>
              <w:left w:val="nil"/>
              <w:bottom w:val="single" w:sz="4" w:space="0" w:color="B0B0B0"/>
              <w:right w:val="single" w:sz="4" w:space="0" w:color="B0B0B0"/>
            </w:tcBorders>
            <w:shd w:val="clear" w:color="D9E1F2" w:fill="D9E1F2"/>
            <w:hideMark/>
          </w:tcPr>
          <w:p w14:paraId="68720600"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Conceptual and empirical literature synthesis</w:t>
            </w:r>
          </w:p>
        </w:tc>
        <w:tc>
          <w:tcPr>
            <w:tcW w:w="1300" w:type="pct"/>
            <w:tcBorders>
              <w:top w:val="nil"/>
              <w:left w:val="nil"/>
              <w:bottom w:val="single" w:sz="4" w:space="0" w:color="B0B0B0"/>
              <w:right w:val="single" w:sz="4" w:space="0" w:color="B0B0B0"/>
            </w:tcBorders>
            <w:shd w:val="clear" w:color="D9E1F2" w:fill="D9E1F2"/>
            <w:hideMark/>
          </w:tcPr>
          <w:p w14:paraId="795D25BB"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Establishes calibration/reliance vocabulary used throughout Part 3</w:t>
            </w:r>
          </w:p>
        </w:tc>
      </w:tr>
      <w:tr w:rsidR="00F702C4" w:rsidRPr="00F25C44" w14:paraId="5354D7E8"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D9E1F2" w:fill="D9E1F2"/>
            <w:noWrap/>
            <w:hideMark/>
          </w:tcPr>
          <w:p w14:paraId="3AD17A22"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t>SRC-005</w:t>
            </w:r>
          </w:p>
        </w:tc>
        <w:tc>
          <w:tcPr>
            <w:tcW w:w="826" w:type="pct"/>
            <w:tcBorders>
              <w:top w:val="nil"/>
              <w:left w:val="nil"/>
              <w:bottom w:val="single" w:sz="4" w:space="0" w:color="B0B0B0"/>
              <w:right w:val="single" w:sz="4" w:space="0" w:color="B0B0B0"/>
            </w:tcBorders>
            <w:shd w:val="clear" w:color="D9E1F2" w:fill="D9E1F2"/>
            <w:hideMark/>
          </w:tcPr>
          <w:p w14:paraId="11473B94"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Hoff &amp; Bashir (2015)</w:t>
            </w:r>
          </w:p>
        </w:tc>
        <w:tc>
          <w:tcPr>
            <w:tcW w:w="645" w:type="pct"/>
            <w:tcBorders>
              <w:top w:val="nil"/>
              <w:left w:val="nil"/>
              <w:bottom w:val="single" w:sz="4" w:space="0" w:color="B0B0B0"/>
              <w:right w:val="single" w:sz="4" w:space="0" w:color="B0B0B0"/>
            </w:tcBorders>
            <w:shd w:val="clear" w:color="D9E1F2" w:fill="D9E1F2"/>
            <w:hideMark/>
          </w:tcPr>
          <w:p w14:paraId="74C54C58"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C1: Trust Theory</w:t>
            </w:r>
          </w:p>
        </w:tc>
        <w:tc>
          <w:tcPr>
            <w:tcW w:w="849" w:type="pct"/>
            <w:tcBorders>
              <w:top w:val="nil"/>
              <w:left w:val="nil"/>
              <w:bottom w:val="single" w:sz="4" w:space="0" w:color="B0B0B0"/>
              <w:right w:val="single" w:sz="4" w:space="0" w:color="B0B0B0"/>
            </w:tcBorders>
            <w:shd w:val="clear" w:color="D9E1F2" w:fill="D9E1F2"/>
            <w:hideMark/>
          </w:tcPr>
          <w:p w14:paraId="500EB2EB"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Dispositional, situational and learned trust layers</w:t>
            </w:r>
          </w:p>
        </w:tc>
        <w:tc>
          <w:tcPr>
            <w:tcW w:w="975" w:type="pct"/>
            <w:tcBorders>
              <w:top w:val="nil"/>
              <w:left w:val="nil"/>
              <w:bottom w:val="single" w:sz="4" w:space="0" w:color="B0B0B0"/>
              <w:right w:val="single" w:sz="4" w:space="0" w:color="B0B0B0"/>
            </w:tcBorders>
            <w:shd w:val="clear" w:color="D9E1F2" w:fill="D9E1F2"/>
            <w:hideMark/>
          </w:tcPr>
          <w:p w14:paraId="5EF2D163"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Systematic review; three-layer trust model</w:t>
            </w:r>
          </w:p>
        </w:tc>
        <w:tc>
          <w:tcPr>
            <w:tcW w:w="1300" w:type="pct"/>
            <w:tcBorders>
              <w:top w:val="nil"/>
              <w:left w:val="nil"/>
              <w:bottom w:val="single" w:sz="4" w:space="0" w:color="B0B0B0"/>
              <w:right w:val="single" w:sz="4" w:space="0" w:color="B0B0B0"/>
            </w:tcBorders>
            <w:shd w:val="clear" w:color="D9E1F2" w:fill="D9E1F2"/>
            <w:hideMark/>
          </w:tcPr>
          <w:p w14:paraId="2457B203"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Three-layer model explains variation in employee AI trust</w:t>
            </w:r>
          </w:p>
        </w:tc>
      </w:tr>
      <w:tr w:rsidR="00F702C4" w:rsidRPr="00F25C44" w14:paraId="20631223"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D9E1F2" w:fill="D9E1F2"/>
            <w:noWrap/>
            <w:hideMark/>
          </w:tcPr>
          <w:p w14:paraId="78EBCFAC"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t>SRC-006</w:t>
            </w:r>
          </w:p>
        </w:tc>
        <w:tc>
          <w:tcPr>
            <w:tcW w:w="826" w:type="pct"/>
            <w:tcBorders>
              <w:top w:val="nil"/>
              <w:left w:val="nil"/>
              <w:bottom w:val="single" w:sz="4" w:space="0" w:color="B0B0B0"/>
              <w:right w:val="single" w:sz="4" w:space="0" w:color="B0B0B0"/>
            </w:tcBorders>
            <w:shd w:val="clear" w:color="D9E1F2" w:fill="D9E1F2"/>
            <w:hideMark/>
          </w:tcPr>
          <w:p w14:paraId="098AE503"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Jian et al. (2000)</w:t>
            </w:r>
          </w:p>
        </w:tc>
        <w:tc>
          <w:tcPr>
            <w:tcW w:w="645" w:type="pct"/>
            <w:tcBorders>
              <w:top w:val="nil"/>
              <w:left w:val="nil"/>
              <w:bottom w:val="single" w:sz="4" w:space="0" w:color="B0B0B0"/>
              <w:right w:val="single" w:sz="4" w:space="0" w:color="B0B0B0"/>
            </w:tcBorders>
            <w:shd w:val="clear" w:color="D9E1F2" w:fill="D9E1F2"/>
            <w:hideMark/>
          </w:tcPr>
          <w:p w14:paraId="30804A61"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C1: Trust Theory</w:t>
            </w:r>
          </w:p>
        </w:tc>
        <w:tc>
          <w:tcPr>
            <w:tcW w:w="849" w:type="pct"/>
            <w:tcBorders>
              <w:top w:val="nil"/>
              <w:left w:val="nil"/>
              <w:bottom w:val="single" w:sz="4" w:space="0" w:color="B0B0B0"/>
              <w:right w:val="single" w:sz="4" w:space="0" w:color="B0B0B0"/>
            </w:tcBorders>
            <w:shd w:val="clear" w:color="D9E1F2" w:fill="D9E1F2"/>
            <w:hideMark/>
          </w:tcPr>
          <w:p w14:paraId="44B23E1C"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Psychometric trust scale; automated system reliance</w:t>
            </w:r>
          </w:p>
        </w:tc>
        <w:tc>
          <w:tcPr>
            <w:tcW w:w="975" w:type="pct"/>
            <w:tcBorders>
              <w:top w:val="nil"/>
              <w:left w:val="nil"/>
              <w:bottom w:val="single" w:sz="4" w:space="0" w:color="B0B0B0"/>
              <w:right w:val="single" w:sz="4" w:space="0" w:color="B0B0B0"/>
            </w:tcBorders>
            <w:shd w:val="clear" w:color="D9E1F2" w:fill="D9E1F2"/>
            <w:hideMark/>
          </w:tcPr>
          <w:p w14:paraId="05058DF8"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Scale development and validation</w:t>
            </w:r>
          </w:p>
        </w:tc>
        <w:tc>
          <w:tcPr>
            <w:tcW w:w="1300" w:type="pct"/>
            <w:tcBorders>
              <w:top w:val="nil"/>
              <w:left w:val="nil"/>
              <w:bottom w:val="single" w:sz="4" w:space="0" w:color="B0B0B0"/>
              <w:right w:val="single" w:sz="4" w:space="0" w:color="B0B0B0"/>
            </w:tcBorders>
            <w:shd w:val="clear" w:color="D9E1F2" w:fill="D9E1F2"/>
            <w:hideMark/>
          </w:tcPr>
          <w:p w14:paraId="412415BF"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Justifies the trust-measurement approach adopted for surveying employees</w:t>
            </w:r>
          </w:p>
        </w:tc>
      </w:tr>
      <w:tr w:rsidR="00F702C4" w:rsidRPr="00F25C44" w14:paraId="53920635"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D9E1F2" w:fill="D9E1F2"/>
            <w:noWrap/>
            <w:hideMark/>
          </w:tcPr>
          <w:p w14:paraId="13BB82B6"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t>SRC-007</w:t>
            </w:r>
          </w:p>
        </w:tc>
        <w:tc>
          <w:tcPr>
            <w:tcW w:w="826" w:type="pct"/>
            <w:tcBorders>
              <w:top w:val="nil"/>
              <w:left w:val="nil"/>
              <w:bottom w:val="single" w:sz="4" w:space="0" w:color="B0B0B0"/>
              <w:right w:val="single" w:sz="4" w:space="0" w:color="B0B0B0"/>
            </w:tcBorders>
            <w:shd w:val="clear" w:color="D9E1F2" w:fill="D9E1F2"/>
            <w:hideMark/>
          </w:tcPr>
          <w:p w14:paraId="1B924A39"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proofErr w:type="spellStart"/>
            <w:r w:rsidRPr="00F25C44">
              <w:rPr>
                <w:rFonts w:ascii="Times New Roman" w:eastAsia="Times New Roman" w:hAnsi="Times New Roman" w:cs="Times New Roman"/>
                <w:sz w:val="20"/>
                <w:szCs w:val="20"/>
                <w:lang w:eastAsia="en-IN"/>
              </w:rPr>
              <w:t>Glikson</w:t>
            </w:r>
            <w:proofErr w:type="spellEnd"/>
            <w:r w:rsidRPr="00F25C44">
              <w:rPr>
                <w:rFonts w:ascii="Times New Roman" w:eastAsia="Times New Roman" w:hAnsi="Times New Roman" w:cs="Times New Roman"/>
                <w:sz w:val="20"/>
                <w:szCs w:val="20"/>
                <w:lang w:eastAsia="en-IN"/>
              </w:rPr>
              <w:t xml:space="preserve"> &amp; Woolley (2020)</w:t>
            </w:r>
          </w:p>
        </w:tc>
        <w:tc>
          <w:tcPr>
            <w:tcW w:w="645" w:type="pct"/>
            <w:tcBorders>
              <w:top w:val="nil"/>
              <w:left w:val="nil"/>
              <w:bottom w:val="single" w:sz="4" w:space="0" w:color="B0B0B0"/>
              <w:right w:val="single" w:sz="4" w:space="0" w:color="B0B0B0"/>
            </w:tcBorders>
            <w:shd w:val="clear" w:color="D9E1F2" w:fill="D9E1F2"/>
            <w:hideMark/>
          </w:tcPr>
          <w:p w14:paraId="563638D5"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C1: Trust Theory</w:t>
            </w:r>
          </w:p>
        </w:tc>
        <w:tc>
          <w:tcPr>
            <w:tcW w:w="849" w:type="pct"/>
            <w:tcBorders>
              <w:top w:val="nil"/>
              <w:left w:val="nil"/>
              <w:bottom w:val="single" w:sz="4" w:space="0" w:color="B0B0B0"/>
              <w:right w:val="single" w:sz="4" w:space="0" w:color="B0B0B0"/>
            </w:tcBorders>
            <w:shd w:val="clear" w:color="D9E1F2" w:fill="D9E1F2"/>
            <w:hideMark/>
          </w:tcPr>
          <w:p w14:paraId="792F3232"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Cognitive and emotional trust; reliability</w:t>
            </w:r>
          </w:p>
        </w:tc>
        <w:tc>
          <w:tcPr>
            <w:tcW w:w="975" w:type="pct"/>
            <w:tcBorders>
              <w:top w:val="nil"/>
              <w:left w:val="nil"/>
              <w:bottom w:val="single" w:sz="4" w:space="0" w:color="B0B0B0"/>
              <w:right w:val="single" w:sz="4" w:space="0" w:color="B0B0B0"/>
            </w:tcBorders>
            <w:shd w:val="clear" w:color="D9E1F2" w:fill="D9E1F2"/>
            <w:hideMark/>
          </w:tcPr>
          <w:p w14:paraId="22A59ACE"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Systematic literature review of empirical AI-trust studies</w:t>
            </w:r>
          </w:p>
        </w:tc>
        <w:tc>
          <w:tcPr>
            <w:tcW w:w="1300" w:type="pct"/>
            <w:tcBorders>
              <w:top w:val="nil"/>
              <w:left w:val="nil"/>
              <w:bottom w:val="single" w:sz="4" w:space="0" w:color="B0B0B0"/>
              <w:right w:val="single" w:sz="4" w:space="0" w:color="B0B0B0"/>
            </w:tcBorders>
            <w:shd w:val="clear" w:color="D9E1F2" w:fill="D9E1F2"/>
            <w:hideMark/>
          </w:tcPr>
          <w:p w14:paraId="4630A761"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Anchors the review's conceptualisation of employee trust in AI</w:t>
            </w:r>
          </w:p>
        </w:tc>
      </w:tr>
      <w:tr w:rsidR="00F702C4" w:rsidRPr="00F25C44" w14:paraId="3F21E466"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D9E1F2" w:fill="D9E1F2"/>
            <w:noWrap/>
            <w:hideMark/>
          </w:tcPr>
          <w:p w14:paraId="24051485"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lastRenderedPageBreak/>
              <w:t>SRC-008</w:t>
            </w:r>
          </w:p>
        </w:tc>
        <w:tc>
          <w:tcPr>
            <w:tcW w:w="826" w:type="pct"/>
            <w:tcBorders>
              <w:top w:val="nil"/>
              <w:left w:val="nil"/>
              <w:bottom w:val="single" w:sz="4" w:space="0" w:color="B0B0B0"/>
              <w:right w:val="single" w:sz="4" w:space="0" w:color="B0B0B0"/>
            </w:tcBorders>
            <w:shd w:val="clear" w:color="D9E1F2" w:fill="D9E1F2"/>
            <w:hideMark/>
          </w:tcPr>
          <w:p w14:paraId="71F0F00E"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 xml:space="preserve">McKnight &amp; </w:t>
            </w:r>
            <w:proofErr w:type="spellStart"/>
            <w:r w:rsidRPr="00F25C44">
              <w:rPr>
                <w:rFonts w:ascii="Times New Roman" w:eastAsia="Times New Roman" w:hAnsi="Times New Roman" w:cs="Times New Roman"/>
                <w:sz w:val="20"/>
                <w:szCs w:val="20"/>
                <w:lang w:eastAsia="en-IN"/>
              </w:rPr>
              <w:t>Chervany</w:t>
            </w:r>
            <w:proofErr w:type="spellEnd"/>
            <w:r w:rsidRPr="00F25C44">
              <w:rPr>
                <w:rFonts w:ascii="Times New Roman" w:eastAsia="Times New Roman" w:hAnsi="Times New Roman" w:cs="Times New Roman"/>
                <w:sz w:val="20"/>
                <w:szCs w:val="20"/>
                <w:lang w:eastAsia="en-IN"/>
              </w:rPr>
              <w:t xml:space="preserve"> (2001)</w:t>
            </w:r>
          </w:p>
        </w:tc>
        <w:tc>
          <w:tcPr>
            <w:tcW w:w="645" w:type="pct"/>
            <w:tcBorders>
              <w:top w:val="nil"/>
              <w:left w:val="nil"/>
              <w:bottom w:val="single" w:sz="4" w:space="0" w:color="B0B0B0"/>
              <w:right w:val="single" w:sz="4" w:space="0" w:color="B0B0B0"/>
            </w:tcBorders>
            <w:shd w:val="clear" w:color="D9E1F2" w:fill="D9E1F2"/>
            <w:hideMark/>
          </w:tcPr>
          <w:p w14:paraId="43363CB3"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C1: Trust Theory</w:t>
            </w:r>
          </w:p>
        </w:tc>
        <w:tc>
          <w:tcPr>
            <w:tcW w:w="849" w:type="pct"/>
            <w:tcBorders>
              <w:top w:val="nil"/>
              <w:left w:val="nil"/>
              <w:bottom w:val="single" w:sz="4" w:space="0" w:color="B0B0B0"/>
              <w:right w:val="single" w:sz="4" w:space="0" w:color="B0B0B0"/>
            </w:tcBorders>
            <w:shd w:val="clear" w:color="D9E1F2" w:fill="D9E1F2"/>
            <w:hideMark/>
          </w:tcPr>
          <w:p w14:paraId="12C3835C"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Typology of trust and distrust constructs</w:t>
            </w:r>
          </w:p>
        </w:tc>
        <w:tc>
          <w:tcPr>
            <w:tcW w:w="975" w:type="pct"/>
            <w:tcBorders>
              <w:top w:val="nil"/>
              <w:left w:val="nil"/>
              <w:bottom w:val="single" w:sz="4" w:space="0" w:color="B0B0B0"/>
              <w:right w:val="single" w:sz="4" w:space="0" w:color="B0B0B0"/>
            </w:tcBorders>
            <w:shd w:val="clear" w:color="D9E1F2" w:fill="D9E1F2"/>
            <w:hideMark/>
          </w:tcPr>
          <w:p w14:paraId="71931C36"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Conceptual/typological analysis</w:t>
            </w:r>
          </w:p>
        </w:tc>
        <w:tc>
          <w:tcPr>
            <w:tcW w:w="1300" w:type="pct"/>
            <w:tcBorders>
              <w:top w:val="nil"/>
              <w:left w:val="nil"/>
              <w:bottom w:val="single" w:sz="4" w:space="0" w:color="B0B0B0"/>
              <w:right w:val="single" w:sz="4" w:space="0" w:color="B0B0B0"/>
            </w:tcBorders>
            <w:shd w:val="clear" w:color="D9E1F2" w:fill="D9E1F2"/>
            <w:hideMark/>
          </w:tcPr>
          <w:p w14:paraId="33AE41DF"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Supports precise definitional work on trust/distrust</w:t>
            </w:r>
          </w:p>
        </w:tc>
      </w:tr>
      <w:tr w:rsidR="00F702C4" w:rsidRPr="00F25C44" w14:paraId="4B7EF1AC"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D9E1F2" w:fill="D9E1F2"/>
            <w:noWrap/>
            <w:hideMark/>
          </w:tcPr>
          <w:p w14:paraId="1243F579"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t>SRC-009</w:t>
            </w:r>
          </w:p>
        </w:tc>
        <w:tc>
          <w:tcPr>
            <w:tcW w:w="826" w:type="pct"/>
            <w:tcBorders>
              <w:top w:val="nil"/>
              <w:left w:val="nil"/>
              <w:bottom w:val="single" w:sz="4" w:space="0" w:color="B0B0B0"/>
              <w:right w:val="single" w:sz="4" w:space="0" w:color="B0B0B0"/>
            </w:tcBorders>
            <w:shd w:val="clear" w:color="D9E1F2" w:fill="D9E1F2"/>
            <w:hideMark/>
          </w:tcPr>
          <w:p w14:paraId="542CE352"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proofErr w:type="spellStart"/>
            <w:r w:rsidRPr="00F25C44">
              <w:rPr>
                <w:rFonts w:ascii="Times New Roman" w:eastAsia="Times New Roman" w:hAnsi="Times New Roman" w:cs="Times New Roman"/>
                <w:sz w:val="20"/>
                <w:szCs w:val="20"/>
                <w:lang w:eastAsia="en-IN"/>
              </w:rPr>
              <w:t>Gillath</w:t>
            </w:r>
            <w:proofErr w:type="spellEnd"/>
            <w:r w:rsidRPr="00F25C44">
              <w:rPr>
                <w:rFonts w:ascii="Times New Roman" w:eastAsia="Times New Roman" w:hAnsi="Times New Roman" w:cs="Times New Roman"/>
                <w:sz w:val="20"/>
                <w:szCs w:val="20"/>
                <w:lang w:eastAsia="en-IN"/>
              </w:rPr>
              <w:t xml:space="preserve"> et al. (2021)</w:t>
            </w:r>
          </w:p>
        </w:tc>
        <w:tc>
          <w:tcPr>
            <w:tcW w:w="645" w:type="pct"/>
            <w:tcBorders>
              <w:top w:val="nil"/>
              <w:left w:val="nil"/>
              <w:bottom w:val="single" w:sz="4" w:space="0" w:color="B0B0B0"/>
              <w:right w:val="single" w:sz="4" w:space="0" w:color="B0B0B0"/>
            </w:tcBorders>
            <w:shd w:val="clear" w:color="D9E1F2" w:fill="D9E1F2"/>
            <w:hideMark/>
          </w:tcPr>
          <w:p w14:paraId="59199BC0"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C1: Trust Theory</w:t>
            </w:r>
          </w:p>
        </w:tc>
        <w:tc>
          <w:tcPr>
            <w:tcW w:w="849" w:type="pct"/>
            <w:tcBorders>
              <w:top w:val="nil"/>
              <w:left w:val="nil"/>
              <w:bottom w:val="single" w:sz="4" w:space="0" w:color="B0B0B0"/>
              <w:right w:val="single" w:sz="4" w:space="0" w:color="B0B0B0"/>
            </w:tcBorders>
            <w:shd w:val="clear" w:color="D9E1F2" w:fill="D9E1F2"/>
            <w:hideMark/>
          </w:tcPr>
          <w:p w14:paraId="46790238"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Attachment style; dispositional trust in AI</w:t>
            </w:r>
          </w:p>
        </w:tc>
        <w:tc>
          <w:tcPr>
            <w:tcW w:w="975" w:type="pct"/>
            <w:tcBorders>
              <w:top w:val="nil"/>
              <w:left w:val="nil"/>
              <w:bottom w:val="single" w:sz="4" w:space="0" w:color="B0B0B0"/>
              <w:right w:val="single" w:sz="4" w:space="0" w:color="B0B0B0"/>
            </w:tcBorders>
            <w:shd w:val="clear" w:color="D9E1F2" w:fill="D9E1F2"/>
            <w:hideMark/>
          </w:tcPr>
          <w:p w14:paraId="2B5706A5"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Quantitative experimental study</w:t>
            </w:r>
          </w:p>
        </w:tc>
        <w:tc>
          <w:tcPr>
            <w:tcW w:w="1300" w:type="pct"/>
            <w:tcBorders>
              <w:top w:val="nil"/>
              <w:left w:val="nil"/>
              <w:bottom w:val="single" w:sz="4" w:space="0" w:color="B0B0B0"/>
              <w:right w:val="single" w:sz="4" w:space="0" w:color="B0B0B0"/>
            </w:tcBorders>
            <w:shd w:val="clear" w:color="D9E1F2" w:fill="D9E1F2"/>
            <w:hideMark/>
          </w:tcPr>
          <w:p w14:paraId="44A6BBC9"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Supports discussion of dispositional antecedents of acceptance</w:t>
            </w:r>
          </w:p>
        </w:tc>
      </w:tr>
      <w:tr w:rsidR="00F702C4" w:rsidRPr="00F25C44" w14:paraId="47EB9361"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D9E1F2" w:fill="D9E1F2"/>
            <w:noWrap/>
            <w:hideMark/>
          </w:tcPr>
          <w:p w14:paraId="600A43A7"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t>SRC-010</w:t>
            </w:r>
          </w:p>
        </w:tc>
        <w:tc>
          <w:tcPr>
            <w:tcW w:w="826" w:type="pct"/>
            <w:tcBorders>
              <w:top w:val="nil"/>
              <w:left w:val="nil"/>
              <w:bottom w:val="single" w:sz="4" w:space="0" w:color="B0B0B0"/>
              <w:right w:val="single" w:sz="4" w:space="0" w:color="B0B0B0"/>
            </w:tcBorders>
            <w:shd w:val="clear" w:color="D9E1F2" w:fill="D9E1F2"/>
            <w:hideMark/>
          </w:tcPr>
          <w:p w14:paraId="04D2344A"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proofErr w:type="spellStart"/>
            <w:r w:rsidRPr="00F25C44">
              <w:rPr>
                <w:rFonts w:ascii="Times New Roman" w:eastAsia="Times New Roman" w:hAnsi="Times New Roman" w:cs="Times New Roman"/>
                <w:sz w:val="20"/>
                <w:szCs w:val="20"/>
                <w:lang w:eastAsia="en-IN"/>
              </w:rPr>
              <w:t>Hengstler</w:t>
            </w:r>
            <w:proofErr w:type="spellEnd"/>
            <w:r w:rsidRPr="00F25C44">
              <w:rPr>
                <w:rFonts w:ascii="Times New Roman" w:eastAsia="Times New Roman" w:hAnsi="Times New Roman" w:cs="Times New Roman"/>
                <w:sz w:val="20"/>
                <w:szCs w:val="20"/>
                <w:lang w:eastAsia="en-IN"/>
              </w:rPr>
              <w:t xml:space="preserve"> et al. (2016)</w:t>
            </w:r>
          </w:p>
        </w:tc>
        <w:tc>
          <w:tcPr>
            <w:tcW w:w="645" w:type="pct"/>
            <w:tcBorders>
              <w:top w:val="nil"/>
              <w:left w:val="nil"/>
              <w:bottom w:val="single" w:sz="4" w:space="0" w:color="B0B0B0"/>
              <w:right w:val="single" w:sz="4" w:space="0" w:color="B0B0B0"/>
            </w:tcBorders>
            <w:shd w:val="clear" w:color="D9E1F2" w:fill="D9E1F2"/>
            <w:hideMark/>
          </w:tcPr>
          <w:p w14:paraId="0F2CAD76"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C1: Trust Theory</w:t>
            </w:r>
          </w:p>
        </w:tc>
        <w:tc>
          <w:tcPr>
            <w:tcW w:w="849" w:type="pct"/>
            <w:tcBorders>
              <w:top w:val="nil"/>
              <w:left w:val="nil"/>
              <w:bottom w:val="single" w:sz="4" w:space="0" w:color="B0B0B0"/>
              <w:right w:val="single" w:sz="4" w:space="0" w:color="B0B0B0"/>
            </w:tcBorders>
            <w:shd w:val="clear" w:color="D9E1F2" w:fill="D9E1F2"/>
            <w:hideMark/>
          </w:tcPr>
          <w:p w14:paraId="400752A5"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Trust antecedents across high-stakes AI applications</w:t>
            </w:r>
          </w:p>
        </w:tc>
        <w:tc>
          <w:tcPr>
            <w:tcW w:w="975" w:type="pct"/>
            <w:tcBorders>
              <w:top w:val="nil"/>
              <w:left w:val="nil"/>
              <w:bottom w:val="single" w:sz="4" w:space="0" w:color="B0B0B0"/>
              <w:right w:val="single" w:sz="4" w:space="0" w:color="B0B0B0"/>
            </w:tcBorders>
            <w:shd w:val="clear" w:color="D9E1F2" w:fill="D9E1F2"/>
            <w:hideMark/>
          </w:tcPr>
          <w:p w14:paraId="73FA686B"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Comparative case-based qualitative analysis</w:t>
            </w:r>
          </w:p>
        </w:tc>
        <w:tc>
          <w:tcPr>
            <w:tcW w:w="1300" w:type="pct"/>
            <w:tcBorders>
              <w:top w:val="nil"/>
              <w:left w:val="nil"/>
              <w:bottom w:val="single" w:sz="4" w:space="0" w:color="B0B0B0"/>
              <w:right w:val="single" w:sz="4" w:space="0" w:color="B0B0B0"/>
            </w:tcBorders>
            <w:shd w:val="clear" w:color="D9E1F2" w:fill="D9E1F2"/>
            <w:hideMark/>
          </w:tcPr>
          <w:p w14:paraId="6884C0F6"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Supports generalising trust determinants across organisational AI contexts</w:t>
            </w:r>
          </w:p>
        </w:tc>
      </w:tr>
      <w:tr w:rsidR="00F702C4" w:rsidRPr="00F25C44" w14:paraId="40904AD7"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D9E1F2" w:fill="D9E1F2"/>
            <w:noWrap/>
            <w:hideMark/>
          </w:tcPr>
          <w:p w14:paraId="3381CD4D"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t>SRC-011</w:t>
            </w:r>
          </w:p>
        </w:tc>
        <w:tc>
          <w:tcPr>
            <w:tcW w:w="826" w:type="pct"/>
            <w:tcBorders>
              <w:top w:val="nil"/>
              <w:left w:val="nil"/>
              <w:bottom w:val="single" w:sz="4" w:space="0" w:color="B0B0B0"/>
              <w:right w:val="single" w:sz="4" w:space="0" w:color="B0B0B0"/>
            </w:tcBorders>
            <w:shd w:val="clear" w:color="D9E1F2" w:fill="D9E1F2"/>
            <w:hideMark/>
          </w:tcPr>
          <w:p w14:paraId="15ADCD61"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proofErr w:type="spellStart"/>
            <w:r w:rsidRPr="00F25C44">
              <w:rPr>
                <w:rFonts w:ascii="Times New Roman" w:eastAsia="Times New Roman" w:hAnsi="Times New Roman" w:cs="Times New Roman"/>
                <w:sz w:val="20"/>
                <w:szCs w:val="20"/>
                <w:lang w:eastAsia="en-IN"/>
              </w:rPr>
              <w:t>Höddinghaus</w:t>
            </w:r>
            <w:proofErr w:type="spellEnd"/>
            <w:r w:rsidRPr="00F25C44">
              <w:rPr>
                <w:rFonts w:ascii="Times New Roman" w:eastAsia="Times New Roman" w:hAnsi="Times New Roman" w:cs="Times New Roman"/>
                <w:sz w:val="20"/>
                <w:szCs w:val="20"/>
                <w:lang w:eastAsia="en-IN"/>
              </w:rPr>
              <w:t xml:space="preserve"> et al. (2021)</w:t>
            </w:r>
          </w:p>
        </w:tc>
        <w:tc>
          <w:tcPr>
            <w:tcW w:w="645" w:type="pct"/>
            <w:tcBorders>
              <w:top w:val="nil"/>
              <w:left w:val="nil"/>
              <w:bottom w:val="single" w:sz="4" w:space="0" w:color="B0B0B0"/>
              <w:right w:val="single" w:sz="4" w:space="0" w:color="B0B0B0"/>
            </w:tcBorders>
            <w:shd w:val="clear" w:color="D9E1F2" w:fill="D9E1F2"/>
            <w:hideMark/>
          </w:tcPr>
          <w:p w14:paraId="47ACC3E0"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C1: Trust Theory</w:t>
            </w:r>
          </w:p>
        </w:tc>
        <w:tc>
          <w:tcPr>
            <w:tcW w:w="849" w:type="pct"/>
            <w:tcBorders>
              <w:top w:val="nil"/>
              <w:left w:val="nil"/>
              <w:bottom w:val="single" w:sz="4" w:space="0" w:color="B0B0B0"/>
              <w:right w:val="single" w:sz="4" w:space="0" w:color="B0B0B0"/>
            </w:tcBorders>
            <w:shd w:val="clear" w:color="D9E1F2" w:fill="D9E1F2"/>
            <w:hideMark/>
          </w:tcPr>
          <w:p w14:paraId="49E346B6"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Trust in algorithmic leadership decisions</w:t>
            </w:r>
          </w:p>
        </w:tc>
        <w:tc>
          <w:tcPr>
            <w:tcW w:w="975" w:type="pct"/>
            <w:tcBorders>
              <w:top w:val="nil"/>
              <w:left w:val="nil"/>
              <w:bottom w:val="single" w:sz="4" w:space="0" w:color="B0B0B0"/>
              <w:right w:val="single" w:sz="4" w:space="0" w:color="B0B0B0"/>
            </w:tcBorders>
            <w:shd w:val="clear" w:color="D9E1F2" w:fill="D9E1F2"/>
            <w:hideMark/>
          </w:tcPr>
          <w:p w14:paraId="2F1C81E5"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Experimental vignette study</w:t>
            </w:r>
          </w:p>
        </w:tc>
        <w:tc>
          <w:tcPr>
            <w:tcW w:w="1300" w:type="pct"/>
            <w:tcBorders>
              <w:top w:val="nil"/>
              <w:left w:val="nil"/>
              <w:bottom w:val="single" w:sz="4" w:space="0" w:color="B0B0B0"/>
              <w:right w:val="single" w:sz="4" w:space="0" w:color="B0B0B0"/>
            </w:tcBorders>
            <w:shd w:val="clear" w:color="D9E1F2" w:fill="D9E1F2"/>
            <w:hideMark/>
          </w:tcPr>
          <w:p w14:paraId="73AFF67F"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Highly relevant to workforce acceptance of AI-led decisions</w:t>
            </w:r>
          </w:p>
        </w:tc>
      </w:tr>
      <w:tr w:rsidR="00F702C4" w:rsidRPr="00F25C44" w14:paraId="41A63380"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D9E1F2" w:fill="D9E1F2"/>
            <w:noWrap/>
            <w:hideMark/>
          </w:tcPr>
          <w:p w14:paraId="7A93F8BD"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t>SRC-012</w:t>
            </w:r>
          </w:p>
        </w:tc>
        <w:tc>
          <w:tcPr>
            <w:tcW w:w="826" w:type="pct"/>
            <w:tcBorders>
              <w:top w:val="nil"/>
              <w:left w:val="nil"/>
              <w:bottom w:val="single" w:sz="4" w:space="0" w:color="B0B0B0"/>
              <w:right w:val="single" w:sz="4" w:space="0" w:color="B0B0B0"/>
            </w:tcBorders>
            <w:shd w:val="clear" w:color="D9E1F2" w:fill="D9E1F2"/>
            <w:hideMark/>
          </w:tcPr>
          <w:p w14:paraId="19BA5450"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proofErr w:type="spellStart"/>
            <w:r w:rsidRPr="00F25C44">
              <w:rPr>
                <w:rFonts w:ascii="Times New Roman" w:eastAsia="Times New Roman" w:hAnsi="Times New Roman" w:cs="Times New Roman"/>
                <w:sz w:val="20"/>
                <w:szCs w:val="20"/>
                <w:lang w:eastAsia="en-IN"/>
              </w:rPr>
              <w:t>Dietvorst</w:t>
            </w:r>
            <w:proofErr w:type="spellEnd"/>
            <w:r w:rsidRPr="00F25C44">
              <w:rPr>
                <w:rFonts w:ascii="Times New Roman" w:eastAsia="Times New Roman" w:hAnsi="Times New Roman" w:cs="Times New Roman"/>
                <w:sz w:val="20"/>
                <w:szCs w:val="20"/>
                <w:lang w:eastAsia="en-IN"/>
              </w:rPr>
              <w:t xml:space="preserve"> et al. (2015)</w:t>
            </w:r>
          </w:p>
        </w:tc>
        <w:tc>
          <w:tcPr>
            <w:tcW w:w="645" w:type="pct"/>
            <w:tcBorders>
              <w:top w:val="nil"/>
              <w:left w:val="nil"/>
              <w:bottom w:val="single" w:sz="4" w:space="0" w:color="B0B0B0"/>
              <w:right w:val="single" w:sz="4" w:space="0" w:color="B0B0B0"/>
            </w:tcBorders>
            <w:shd w:val="clear" w:color="D9E1F2" w:fill="D9E1F2"/>
            <w:hideMark/>
          </w:tcPr>
          <w:p w14:paraId="1C413909"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C1: Trust Theory</w:t>
            </w:r>
          </w:p>
        </w:tc>
        <w:tc>
          <w:tcPr>
            <w:tcW w:w="849" w:type="pct"/>
            <w:tcBorders>
              <w:top w:val="nil"/>
              <w:left w:val="nil"/>
              <w:bottom w:val="single" w:sz="4" w:space="0" w:color="B0B0B0"/>
              <w:right w:val="single" w:sz="4" w:space="0" w:color="B0B0B0"/>
            </w:tcBorders>
            <w:shd w:val="clear" w:color="D9E1F2" w:fill="D9E1F2"/>
            <w:hideMark/>
          </w:tcPr>
          <w:p w14:paraId="0D35DC0C"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Algorithm aversion; error tolerance</w:t>
            </w:r>
          </w:p>
        </w:tc>
        <w:tc>
          <w:tcPr>
            <w:tcW w:w="975" w:type="pct"/>
            <w:tcBorders>
              <w:top w:val="nil"/>
              <w:left w:val="nil"/>
              <w:bottom w:val="single" w:sz="4" w:space="0" w:color="B0B0B0"/>
              <w:right w:val="single" w:sz="4" w:space="0" w:color="B0B0B0"/>
            </w:tcBorders>
            <w:shd w:val="clear" w:color="D9E1F2" w:fill="D9E1F2"/>
            <w:hideMark/>
          </w:tcPr>
          <w:p w14:paraId="664780AA"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Series of controlled experiments</w:t>
            </w:r>
          </w:p>
        </w:tc>
        <w:tc>
          <w:tcPr>
            <w:tcW w:w="1300" w:type="pct"/>
            <w:tcBorders>
              <w:top w:val="nil"/>
              <w:left w:val="nil"/>
              <w:bottom w:val="single" w:sz="4" w:space="0" w:color="B0B0B0"/>
              <w:right w:val="single" w:sz="4" w:space="0" w:color="B0B0B0"/>
            </w:tcBorders>
            <w:shd w:val="clear" w:color="D9E1F2" w:fill="D9E1F2"/>
            <w:hideMark/>
          </w:tcPr>
          <w:p w14:paraId="601FDE76"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Explains why single AI errors damage employee trust</w:t>
            </w:r>
          </w:p>
        </w:tc>
      </w:tr>
      <w:tr w:rsidR="00F702C4" w:rsidRPr="00F25C44" w14:paraId="20671869"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D9E1F2" w:fill="D9E1F2"/>
            <w:noWrap/>
            <w:hideMark/>
          </w:tcPr>
          <w:p w14:paraId="20129F27"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t>SRC-013</w:t>
            </w:r>
          </w:p>
        </w:tc>
        <w:tc>
          <w:tcPr>
            <w:tcW w:w="826" w:type="pct"/>
            <w:tcBorders>
              <w:top w:val="nil"/>
              <w:left w:val="nil"/>
              <w:bottom w:val="single" w:sz="4" w:space="0" w:color="B0B0B0"/>
              <w:right w:val="single" w:sz="4" w:space="0" w:color="B0B0B0"/>
            </w:tcBorders>
            <w:shd w:val="clear" w:color="D9E1F2" w:fill="D9E1F2"/>
            <w:hideMark/>
          </w:tcPr>
          <w:p w14:paraId="057052FE"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Xu (2024)</w:t>
            </w:r>
          </w:p>
        </w:tc>
        <w:tc>
          <w:tcPr>
            <w:tcW w:w="645" w:type="pct"/>
            <w:tcBorders>
              <w:top w:val="nil"/>
              <w:left w:val="nil"/>
              <w:bottom w:val="single" w:sz="4" w:space="0" w:color="B0B0B0"/>
              <w:right w:val="single" w:sz="4" w:space="0" w:color="B0B0B0"/>
            </w:tcBorders>
            <w:shd w:val="clear" w:color="D9E1F2" w:fill="D9E1F2"/>
            <w:hideMark/>
          </w:tcPr>
          <w:p w14:paraId="412C9A1D"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C1: Trust Theory</w:t>
            </w:r>
          </w:p>
        </w:tc>
        <w:tc>
          <w:tcPr>
            <w:tcW w:w="849" w:type="pct"/>
            <w:tcBorders>
              <w:top w:val="nil"/>
              <w:left w:val="nil"/>
              <w:bottom w:val="single" w:sz="4" w:space="0" w:color="B0B0B0"/>
              <w:right w:val="single" w:sz="4" w:space="0" w:color="B0B0B0"/>
            </w:tcBorders>
            <w:shd w:val="clear" w:color="D9E1F2" w:fill="D9E1F2"/>
            <w:hideMark/>
          </w:tcPr>
          <w:p w14:paraId="67211B15"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Initial trust formation; leader endorsement</w:t>
            </w:r>
          </w:p>
        </w:tc>
        <w:tc>
          <w:tcPr>
            <w:tcW w:w="975" w:type="pct"/>
            <w:tcBorders>
              <w:top w:val="nil"/>
              <w:left w:val="nil"/>
              <w:bottom w:val="single" w:sz="4" w:space="0" w:color="B0B0B0"/>
              <w:right w:val="single" w:sz="4" w:space="0" w:color="B0B0B0"/>
            </w:tcBorders>
            <w:shd w:val="clear" w:color="D9E1F2" w:fill="D9E1F2"/>
            <w:hideMark/>
          </w:tcPr>
          <w:p w14:paraId="7C18D894"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Quantitative survey of employees</w:t>
            </w:r>
          </w:p>
        </w:tc>
        <w:tc>
          <w:tcPr>
            <w:tcW w:w="1300" w:type="pct"/>
            <w:tcBorders>
              <w:top w:val="nil"/>
              <w:left w:val="nil"/>
              <w:bottom w:val="single" w:sz="4" w:space="0" w:color="B0B0B0"/>
              <w:right w:val="single" w:sz="4" w:space="0" w:color="B0B0B0"/>
            </w:tcBorders>
            <w:shd w:val="clear" w:color="D9E1F2" w:fill="D9E1F2"/>
            <w:hideMark/>
          </w:tcPr>
          <w:p w14:paraId="6039B1CE"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Supports the leadership/governance argument of the review</w:t>
            </w:r>
          </w:p>
        </w:tc>
      </w:tr>
      <w:tr w:rsidR="00F702C4" w:rsidRPr="00F25C44" w14:paraId="14395045"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D9E1F2" w:fill="D9E1F2"/>
            <w:noWrap/>
            <w:hideMark/>
          </w:tcPr>
          <w:p w14:paraId="2E202F30"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t>SRC-014</w:t>
            </w:r>
          </w:p>
        </w:tc>
        <w:tc>
          <w:tcPr>
            <w:tcW w:w="826" w:type="pct"/>
            <w:tcBorders>
              <w:top w:val="nil"/>
              <w:left w:val="nil"/>
              <w:bottom w:val="single" w:sz="4" w:space="0" w:color="B0B0B0"/>
              <w:right w:val="single" w:sz="4" w:space="0" w:color="B0B0B0"/>
            </w:tcBorders>
            <w:shd w:val="clear" w:color="D9E1F2" w:fill="D9E1F2"/>
            <w:hideMark/>
          </w:tcPr>
          <w:p w14:paraId="23BF2360"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Kong et al. (2023)</w:t>
            </w:r>
          </w:p>
        </w:tc>
        <w:tc>
          <w:tcPr>
            <w:tcW w:w="645" w:type="pct"/>
            <w:tcBorders>
              <w:top w:val="nil"/>
              <w:left w:val="nil"/>
              <w:bottom w:val="single" w:sz="4" w:space="0" w:color="B0B0B0"/>
              <w:right w:val="single" w:sz="4" w:space="0" w:color="B0B0B0"/>
            </w:tcBorders>
            <w:shd w:val="clear" w:color="D9E1F2" w:fill="D9E1F2"/>
            <w:hideMark/>
          </w:tcPr>
          <w:p w14:paraId="76BCD2AB"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C1: Trust Theory</w:t>
            </w:r>
          </w:p>
        </w:tc>
        <w:tc>
          <w:tcPr>
            <w:tcW w:w="849" w:type="pct"/>
            <w:tcBorders>
              <w:top w:val="nil"/>
              <w:left w:val="nil"/>
              <w:bottom w:val="single" w:sz="4" w:space="0" w:color="B0B0B0"/>
              <w:right w:val="single" w:sz="4" w:space="0" w:color="B0B0B0"/>
            </w:tcBorders>
            <w:shd w:val="clear" w:color="D9E1F2" w:fill="D9E1F2"/>
            <w:hideMark/>
          </w:tcPr>
          <w:p w14:paraId="44EADE2F"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Trust in AI; career sustainability</w:t>
            </w:r>
          </w:p>
        </w:tc>
        <w:tc>
          <w:tcPr>
            <w:tcW w:w="975" w:type="pct"/>
            <w:tcBorders>
              <w:top w:val="nil"/>
              <w:left w:val="nil"/>
              <w:bottom w:val="single" w:sz="4" w:space="0" w:color="B0B0B0"/>
              <w:right w:val="single" w:sz="4" w:space="0" w:color="B0B0B0"/>
            </w:tcBorders>
            <w:shd w:val="clear" w:color="D9E1F2" w:fill="D9E1F2"/>
            <w:hideMark/>
          </w:tcPr>
          <w:p w14:paraId="015A98DB"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Quantitative survey with mediation analysis</w:t>
            </w:r>
          </w:p>
        </w:tc>
        <w:tc>
          <w:tcPr>
            <w:tcW w:w="1300" w:type="pct"/>
            <w:tcBorders>
              <w:top w:val="nil"/>
              <w:left w:val="nil"/>
              <w:bottom w:val="single" w:sz="4" w:space="0" w:color="B0B0B0"/>
              <w:right w:val="single" w:sz="4" w:space="0" w:color="B0B0B0"/>
            </w:tcBorders>
            <w:shd w:val="clear" w:color="D9E1F2" w:fill="D9E1F2"/>
            <w:hideMark/>
          </w:tcPr>
          <w:p w14:paraId="0BA6ACA1"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Evidences practical stakes of trust for retention</w:t>
            </w:r>
          </w:p>
        </w:tc>
      </w:tr>
      <w:tr w:rsidR="00F702C4" w:rsidRPr="00F25C44" w14:paraId="3FF2241F"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D9E1F2" w:fill="D9E1F2"/>
            <w:noWrap/>
            <w:hideMark/>
          </w:tcPr>
          <w:p w14:paraId="75C91362"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t>SRC-015</w:t>
            </w:r>
          </w:p>
        </w:tc>
        <w:tc>
          <w:tcPr>
            <w:tcW w:w="826" w:type="pct"/>
            <w:tcBorders>
              <w:top w:val="nil"/>
              <w:left w:val="nil"/>
              <w:bottom w:val="single" w:sz="4" w:space="0" w:color="B0B0B0"/>
              <w:right w:val="single" w:sz="4" w:space="0" w:color="B0B0B0"/>
            </w:tcBorders>
            <w:shd w:val="clear" w:color="D9E1F2" w:fill="D9E1F2"/>
            <w:hideMark/>
          </w:tcPr>
          <w:p w14:paraId="3DF99485"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Frontiers in Organizational Psychology (2025)</w:t>
            </w:r>
          </w:p>
        </w:tc>
        <w:tc>
          <w:tcPr>
            <w:tcW w:w="645" w:type="pct"/>
            <w:tcBorders>
              <w:top w:val="nil"/>
              <w:left w:val="nil"/>
              <w:bottom w:val="single" w:sz="4" w:space="0" w:color="B0B0B0"/>
              <w:right w:val="single" w:sz="4" w:space="0" w:color="B0B0B0"/>
            </w:tcBorders>
            <w:shd w:val="clear" w:color="D9E1F2" w:fill="D9E1F2"/>
            <w:hideMark/>
          </w:tcPr>
          <w:p w14:paraId="2AC38291"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C1: Trust Theory</w:t>
            </w:r>
          </w:p>
        </w:tc>
        <w:tc>
          <w:tcPr>
            <w:tcW w:w="849" w:type="pct"/>
            <w:tcBorders>
              <w:top w:val="nil"/>
              <w:left w:val="nil"/>
              <w:bottom w:val="single" w:sz="4" w:space="0" w:color="B0B0B0"/>
              <w:right w:val="single" w:sz="4" w:space="0" w:color="B0B0B0"/>
            </w:tcBorders>
            <w:shd w:val="clear" w:color="D9E1F2" w:fill="D9E1F2"/>
            <w:hideMark/>
          </w:tcPr>
          <w:p w14:paraId="2974BCC2"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Decision-weighting; trusting beliefs</w:t>
            </w:r>
          </w:p>
        </w:tc>
        <w:tc>
          <w:tcPr>
            <w:tcW w:w="975" w:type="pct"/>
            <w:tcBorders>
              <w:top w:val="nil"/>
              <w:left w:val="nil"/>
              <w:bottom w:val="single" w:sz="4" w:space="0" w:color="B0B0B0"/>
              <w:right w:val="single" w:sz="4" w:space="0" w:color="B0B0B0"/>
            </w:tcBorders>
            <w:shd w:val="clear" w:color="D9E1F2" w:fill="D9E1F2"/>
            <w:hideMark/>
          </w:tcPr>
          <w:p w14:paraId="7E7A2E46"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Quantitative experimental study</w:t>
            </w:r>
          </w:p>
        </w:tc>
        <w:tc>
          <w:tcPr>
            <w:tcW w:w="1300" w:type="pct"/>
            <w:tcBorders>
              <w:top w:val="nil"/>
              <w:left w:val="nil"/>
              <w:bottom w:val="single" w:sz="4" w:space="0" w:color="B0B0B0"/>
              <w:right w:val="single" w:sz="4" w:space="0" w:color="B0B0B0"/>
            </w:tcBorders>
            <w:shd w:val="clear" w:color="D9E1F2" w:fill="D9E1F2"/>
            <w:hideMark/>
          </w:tcPr>
          <w:p w14:paraId="304E1E6E"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Informs governance of human-AI decision delegation</w:t>
            </w:r>
          </w:p>
        </w:tc>
      </w:tr>
      <w:tr w:rsidR="00F702C4" w:rsidRPr="00F25C44" w14:paraId="6D69E485"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D9E1F2" w:fill="D9E1F2"/>
            <w:noWrap/>
            <w:hideMark/>
          </w:tcPr>
          <w:p w14:paraId="4760A203"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t>SRC-016</w:t>
            </w:r>
          </w:p>
        </w:tc>
        <w:tc>
          <w:tcPr>
            <w:tcW w:w="826" w:type="pct"/>
            <w:tcBorders>
              <w:top w:val="nil"/>
              <w:left w:val="nil"/>
              <w:bottom w:val="single" w:sz="4" w:space="0" w:color="B0B0B0"/>
              <w:right w:val="single" w:sz="4" w:space="0" w:color="B0B0B0"/>
            </w:tcBorders>
            <w:shd w:val="clear" w:color="D9E1F2" w:fill="D9E1F2"/>
            <w:hideMark/>
          </w:tcPr>
          <w:p w14:paraId="61342461"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Choung et al. (2023)</w:t>
            </w:r>
          </w:p>
        </w:tc>
        <w:tc>
          <w:tcPr>
            <w:tcW w:w="645" w:type="pct"/>
            <w:tcBorders>
              <w:top w:val="nil"/>
              <w:left w:val="nil"/>
              <w:bottom w:val="single" w:sz="4" w:space="0" w:color="B0B0B0"/>
              <w:right w:val="single" w:sz="4" w:space="0" w:color="B0B0B0"/>
            </w:tcBorders>
            <w:shd w:val="clear" w:color="D9E1F2" w:fill="D9E1F2"/>
            <w:hideMark/>
          </w:tcPr>
          <w:p w14:paraId="28648E88"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C1: Trust Theory</w:t>
            </w:r>
          </w:p>
        </w:tc>
        <w:tc>
          <w:tcPr>
            <w:tcW w:w="849" w:type="pct"/>
            <w:tcBorders>
              <w:top w:val="nil"/>
              <w:left w:val="nil"/>
              <w:bottom w:val="single" w:sz="4" w:space="0" w:color="B0B0B0"/>
              <w:right w:val="single" w:sz="4" w:space="0" w:color="B0B0B0"/>
            </w:tcBorders>
            <w:shd w:val="clear" w:color="D9E1F2" w:fill="D9E1F2"/>
            <w:hideMark/>
          </w:tcPr>
          <w:p w14:paraId="34BCC376"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Cognitive vs affective trust; acceptance intentions</w:t>
            </w:r>
          </w:p>
        </w:tc>
        <w:tc>
          <w:tcPr>
            <w:tcW w:w="975" w:type="pct"/>
            <w:tcBorders>
              <w:top w:val="nil"/>
              <w:left w:val="nil"/>
              <w:bottom w:val="single" w:sz="4" w:space="0" w:color="B0B0B0"/>
              <w:right w:val="single" w:sz="4" w:space="0" w:color="B0B0B0"/>
            </w:tcBorders>
            <w:shd w:val="clear" w:color="D9E1F2" w:fill="D9E1F2"/>
            <w:hideMark/>
          </w:tcPr>
          <w:p w14:paraId="48A3475B"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Survey-based structural equation modelling</w:t>
            </w:r>
          </w:p>
        </w:tc>
        <w:tc>
          <w:tcPr>
            <w:tcW w:w="1300" w:type="pct"/>
            <w:tcBorders>
              <w:top w:val="nil"/>
              <w:left w:val="nil"/>
              <w:bottom w:val="single" w:sz="4" w:space="0" w:color="B0B0B0"/>
              <w:right w:val="single" w:sz="4" w:space="0" w:color="B0B0B0"/>
            </w:tcBorders>
            <w:shd w:val="clear" w:color="D9E1F2" w:fill="D9E1F2"/>
            <w:hideMark/>
          </w:tcPr>
          <w:p w14:paraId="3AF53E75"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Separates cognitive/affective trust as predictors of AI acceptance</w:t>
            </w:r>
          </w:p>
        </w:tc>
      </w:tr>
      <w:tr w:rsidR="00F702C4" w:rsidRPr="00F25C44" w14:paraId="1A9A3475"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D9E1F2" w:fill="D9E1F2"/>
            <w:noWrap/>
            <w:hideMark/>
          </w:tcPr>
          <w:p w14:paraId="1270B03D"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t>SRC-017</w:t>
            </w:r>
          </w:p>
        </w:tc>
        <w:tc>
          <w:tcPr>
            <w:tcW w:w="826" w:type="pct"/>
            <w:tcBorders>
              <w:top w:val="nil"/>
              <w:left w:val="nil"/>
              <w:bottom w:val="single" w:sz="4" w:space="0" w:color="B0B0B0"/>
              <w:right w:val="single" w:sz="4" w:space="0" w:color="B0B0B0"/>
            </w:tcBorders>
            <w:shd w:val="clear" w:color="D9E1F2" w:fill="D9E1F2"/>
            <w:hideMark/>
          </w:tcPr>
          <w:p w14:paraId="0825D99F"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Lewicki &amp; Bunker (1996)</w:t>
            </w:r>
          </w:p>
        </w:tc>
        <w:tc>
          <w:tcPr>
            <w:tcW w:w="645" w:type="pct"/>
            <w:tcBorders>
              <w:top w:val="nil"/>
              <w:left w:val="nil"/>
              <w:bottom w:val="single" w:sz="4" w:space="0" w:color="B0B0B0"/>
              <w:right w:val="single" w:sz="4" w:space="0" w:color="B0B0B0"/>
            </w:tcBorders>
            <w:shd w:val="clear" w:color="D9E1F2" w:fill="D9E1F2"/>
            <w:hideMark/>
          </w:tcPr>
          <w:p w14:paraId="2F1A6ADA"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C1: Trust Theory</w:t>
            </w:r>
          </w:p>
        </w:tc>
        <w:tc>
          <w:tcPr>
            <w:tcW w:w="849" w:type="pct"/>
            <w:tcBorders>
              <w:top w:val="nil"/>
              <w:left w:val="nil"/>
              <w:bottom w:val="single" w:sz="4" w:space="0" w:color="B0B0B0"/>
              <w:right w:val="single" w:sz="4" w:space="0" w:color="B0B0B0"/>
            </w:tcBorders>
            <w:shd w:val="clear" w:color="D9E1F2" w:fill="D9E1F2"/>
            <w:hideMark/>
          </w:tcPr>
          <w:p w14:paraId="2381E89E"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Calculus-based, knowledge-based and identification-based trust</w:t>
            </w:r>
          </w:p>
        </w:tc>
        <w:tc>
          <w:tcPr>
            <w:tcW w:w="975" w:type="pct"/>
            <w:tcBorders>
              <w:top w:val="nil"/>
              <w:left w:val="nil"/>
              <w:bottom w:val="single" w:sz="4" w:space="0" w:color="B0B0B0"/>
              <w:right w:val="single" w:sz="4" w:space="0" w:color="B0B0B0"/>
            </w:tcBorders>
            <w:shd w:val="clear" w:color="D9E1F2" w:fill="D9E1F2"/>
            <w:hideMark/>
          </w:tcPr>
          <w:p w14:paraId="49C5AA73"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Theoretical chapter</w:t>
            </w:r>
          </w:p>
        </w:tc>
        <w:tc>
          <w:tcPr>
            <w:tcW w:w="1300" w:type="pct"/>
            <w:tcBorders>
              <w:top w:val="nil"/>
              <w:left w:val="nil"/>
              <w:bottom w:val="single" w:sz="4" w:space="0" w:color="B0B0B0"/>
              <w:right w:val="single" w:sz="4" w:space="0" w:color="B0B0B0"/>
            </w:tcBorders>
            <w:shd w:val="clear" w:color="D9E1F2" w:fill="D9E1F2"/>
            <w:hideMark/>
          </w:tcPr>
          <w:p w14:paraId="3F28C855"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Applicable to the evolving employee-AI trust relationship</w:t>
            </w:r>
          </w:p>
        </w:tc>
      </w:tr>
      <w:tr w:rsidR="00F702C4" w:rsidRPr="00F25C44" w14:paraId="4DDAE03D"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D9E1F2" w:fill="D9E1F2"/>
            <w:noWrap/>
            <w:hideMark/>
          </w:tcPr>
          <w:p w14:paraId="28DB1C3C"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lastRenderedPageBreak/>
              <w:t>SRC-018</w:t>
            </w:r>
          </w:p>
        </w:tc>
        <w:tc>
          <w:tcPr>
            <w:tcW w:w="826" w:type="pct"/>
            <w:tcBorders>
              <w:top w:val="nil"/>
              <w:left w:val="nil"/>
              <w:bottom w:val="single" w:sz="4" w:space="0" w:color="B0B0B0"/>
              <w:right w:val="single" w:sz="4" w:space="0" w:color="B0B0B0"/>
            </w:tcBorders>
            <w:shd w:val="clear" w:color="D9E1F2" w:fill="D9E1F2"/>
            <w:hideMark/>
          </w:tcPr>
          <w:p w14:paraId="78D6F852"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proofErr w:type="spellStart"/>
            <w:r w:rsidRPr="00F25C44">
              <w:rPr>
                <w:rFonts w:ascii="Times New Roman" w:eastAsia="Times New Roman" w:hAnsi="Times New Roman" w:cs="Times New Roman"/>
                <w:sz w:val="20"/>
                <w:szCs w:val="20"/>
                <w:lang w:eastAsia="en-IN"/>
              </w:rPr>
              <w:t>Vistrust</w:t>
            </w:r>
            <w:proofErr w:type="spellEnd"/>
            <w:r w:rsidRPr="00F25C44">
              <w:rPr>
                <w:rFonts w:ascii="Times New Roman" w:eastAsia="Times New Roman" w:hAnsi="Times New Roman" w:cs="Times New Roman"/>
                <w:sz w:val="20"/>
                <w:szCs w:val="20"/>
                <w:lang w:eastAsia="en-IN"/>
              </w:rPr>
              <w:t xml:space="preserve"> project (2023)</w:t>
            </w:r>
          </w:p>
        </w:tc>
        <w:tc>
          <w:tcPr>
            <w:tcW w:w="645" w:type="pct"/>
            <w:tcBorders>
              <w:top w:val="nil"/>
              <w:left w:val="nil"/>
              <w:bottom w:val="single" w:sz="4" w:space="0" w:color="B0B0B0"/>
              <w:right w:val="single" w:sz="4" w:space="0" w:color="B0B0B0"/>
            </w:tcBorders>
            <w:shd w:val="clear" w:color="D9E1F2" w:fill="D9E1F2"/>
            <w:hideMark/>
          </w:tcPr>
          <w:p w14:paraId="6A01496A"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C1: Trust Theory</w:t>
            </w:r>
          </w:p>
        </w:tc>
        <w:tc>
          <w:tcPr>
            <w:tcW w:w="849" w:type="pct"/>
            <w:tcBorders>
              <w:top w:val="nil"/>
              <w:left w:val="nil"/>
              <w:bottom w:val="single" w:sz="4" w:space="0" w:color="B0B0B0"/>
              <w:right w:val="single" w:sz="4" w:space="0" w:color="B0B0B0"/>
            </w:tcBorders>
            <w:shd w:val="clear" w:color="D9E1F2" w:fill="D9E1F2"/>
            <w:hideMark/>
          </w:tcPr>
          <w:p w14:paraId="4E6A4970"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Multidimensional trust constructs in data-driven systems</w:t>
            </w:r>
          </w:p>
        </w:tc>
        <w:tc>
          <w:tcPr>
            <w:tcW w:w="975" w:type="pct"/>
            <w:tcBorders>
              <w:top w:val="nil"/>
              <w:left w:val="nil"/>
              <w:bottom w:val="single" w:sz="4" w:space="0" w:color="B0B0B0"/>
              <w:right w:val="single" w:sz="4" w:space="0" w:color="B0B0B0"/>
            </w:tcBorders>
            <w:shd w:val="clear" w:color="D9E1F2" w:fill="D9E1F2"/>
            <w:hideMark/>
          </w:tcPr>
          <w:p w14:paraId="5E903709"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Framework development and empirical validation</w:t>
            </w:r>
          </w:p>
        </w:tc>
        <w:tc>
          <w:tcPr>
            <w:tcW w:w="1300" w:type="pct"/>
            <w:tcBorders>
              <w:top w:val="nil"/>
              <w:left w:val="nil"/>
              <w:bottom w:val="single" w:sz="4" w:space="0" w:color="B0B0B0"/>
              <w:right w:val="single" w:sz="4" w:space="0" w:color="B0B0B0"/>
            </w:tcBorders>
            <w:shd w:val="clear" w:color="D9E1F2" w:fill="D9E1F2"/>
            <w:hideMark/>
          </w:tcPr>
          <w:p w14:paraId="5D9C3CF1"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Transferable to trust in AI-generated organisational analytics</w:t>
            </w:r>
          </w:p>
        </w:tc>
      </w:tr>
      <w:tr w:rsidR="00F702C4" w:rsidRPr="00F25C44" w14:paraId="57C12001"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E2EFDA" w:fill="E2EFDA"/>
            <w:noWrap/>
            <w:hideMark/>
          </w:tcPr>
          <w:p w14:paraId="60D95335"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t>SRC-019</w:t>
            </w:r>
          </w:p>
        </w:tc>
        <w:tc>
          <w:tcPr>
            <w:tcW w:w="826" w:type="pct"/>
            <w:tcBorders>
              <w:top w:val="nil"/>
              <w:left w:val="nil"/>
              <w:bottom w:val="single" w:sz="4" w:space="0" w:color="B0B0B0"/>
              <w:right w:val="single" w:sz="4" w:space="0" w:color="B0B0B0"/>
            </w:tcBorders>
            <w:shd w:val="clear" w:color="E2EFDA" w:fill="E2EFDA"/>
            <w:hideMark/>
          </w:tcPr>
          <w:p w14:paraId="0C5A0A4C"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Davis (1989)</w:t>
            </w:r>
          </w:p>
        </w:tc>
        <w:tc>
          <w:tcPr>
            <w:tcW w:w="645" w:type="pct"/>
            <w:tcBorders>
              <w:top w:val="nil"/>
              <w:left w:val="nil"/>
              <w:bottom w:val="single" w:sz="4" w:space="0" w:color="B0B0B0"/>
              <w:right w:val="single" w:sz="4" w:space="0" w:color="B0B0B0"/>
            </w:tcBorders>
            <w:shd w:val="clear" w:color="E2EFDA" w:fill="E2EFDA"/>
            <w:hideMark/>
          </w:tcPr>
          <w:p w14:paraId="7549CA9E"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C2: AI Adoption &amp; Readiness</w:t>
            </w:r>
          </w:p>
        </w:tc>
        <w:tc>
          <w:tcPr>
            <w:tcW w:w="849" w:type="pct"/>
            <w:tcBorders>
              <w:top w:val="nil"/>
              <w:left w:val="nil"/>
              <w:bottom w:val="single" w:sz="4" w:space="0" w:color="B0B0B0"/>
              <w:right w:val="single" w:sz="4" w:space="0" w:color="B0B0B0"/>
            </w:tcBorders>
            <w:shd w:val="clear" w:color="E2EFDA" w:fill="E2EFDA"/>
            <w:hideMark/>
          </w:tcPr>
          <w:p w14:paraId="2AEEF467"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Perceived usefulness; perceived ease of use</w:t>
            </w:r>
          </w:p>
        </w:tc>
        <w:tc>
          <w:tcPr>
            <w:tcW w:w="975" w:type="pct"/>
            <w:tcBorders>
              <w:top w:val="nil"/>
              <w:left w:val="nil"/>
              <w:bottom w:val="single" w:sz="4" w:space="0" w:color="B0B0B0"/>
              <w:right w:val="single" w:sz="4" w:space="0" w:color="B0B0B0"/>
            </w:tcBorders>
            <w:shd w:val="clear" w:color="E2EFDA" w:fill="E2EFDA"/>
            <w:hideMark/>
          </w:tcPr>
          <w:p w14:paraId="2C22E790"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Survey validation of psychometric scales</w:t>
            </w:r>
          </w:p>
        </w:tc>
        <w:tc>
          <w:tcPr>
            <w:tcW w:w="1300" w:type="pct"/>
            <w:tcBorders>
              <w:top w:val="nil"/>
              <w:left w:val="nil"/>
              <w:bottom w:val="single" w:sz="4" w:space="0" w:color="B0B0B0"/>
              <w:right w:val="single" w:sz="4" w:space="0" w:color="B0B0B0"/>
            </w:tcBorders>
            <w:shd w:val="clear" w:color="E2EFDA" w:fill="E2EFDA"/>
            <w:hideMark/>
          </w:tcPr>
          <w:p w14:paraId="521A587A"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Base theoretical scaffold for the AI-adoption studies reviewed</w:t>
            </w:r>
          </w:p>
        </w:tc>
      </w:tr>
      <w:tr w:rsidR="00F702C4" w:rsidRPr="00F25C44" w14:paraId="2820A9C6"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E2EFDA" w:fill="E2EFDA"/>
            <w:noWrap/>
            <w:hideMark/>
          </w:tcPr>
          <w:p w14:paraId="26F59E7B"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t>SRC-020</w:t>
            </w:r>
          </w:p>
        </w:tc>
        <w:tc>
          <w:tcPr>
            <w:tcW w:w="826" w:type="pct"/>
            <w:tcBorders>
              <w:top w:val="nil"/>
              <w:left w:val="nil"/>
              <w:bottom w:val="single" w:sz="4" w:space="0" w:color="B0B0B0"/>
              <w:right w:val="single" w:sz="4" w:space="0" w:color="B0B0B0"/>
            </w:tcBorders>
            <w:shd w:val="clear" w:color="E2EFDA" w:fill="E2EFDA"/>
            <w:hideMark/>
          </w:tcPr>
          <w:p w14:paraId="37CD9F8A"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Venkatesh et al. (2003)</w:t>
            </w:r>
          </w:p>
        </w:tc>
        <w:tc>
          <w:tcPr>
            <w:tcW w:w="645" w:type="pct"/>
            <w:tcBorders>
              <w:top w:val="nil"/>
              <w:left w:val="nil"/>
              <w:bottom w:val="single" w:sz="4" w:space="0" w:color="B0B0B0"/>
              <w:right w:val="single" w:sz="4" w:space="0" w:color="B0B0B0"/>
            </w:tcBorders>
            <w:shd w:val="clear" w:color="E2EFDA" w:fill="E2EFDA"/>
            <w:hideMark/>
          </w:tcPr>
          <w:p w14:paraId="666E3637"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C2: AI Adoption &amp; Readiness</w:t>
            </w:r>
          </w:p>
        </w:tc>
        <w:tc>
          <w:tcPr>
            <w:tcW w:w="849" w:type="pct"/>
            <w:tcBorders>
              <w:top w:val="nil"/>
              <w:left w:val="nil"/>
              <w:bottom w:val="single" w:sz="4" w:space="0" w:color="B0B0B0"/>
              <w:right w:val="single" w:sz="4" w:space="0" w:color="B0B0B0"/>
            </w:tcBorders>
            <w:shd w:val="clear" w:color="E2EFDA" w:fill="E2EFDA"/>
            <w:hideMark/>
          </w:tcPr>
          <w:p w14:paraId="2D22C7F4"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Performance expectancy; effort expectancy</w:t>
            </w:r>
          </w:p>
        </w:tc>
        <w:tc>
          <w:tcPr>
            <w:tcW w:w="975" w:type="pct"/>
            <w:tcBorders>
              <w:top w:val="nil"/>
              <w:left w:val="nil"/>
              <w:bottom w:val="single" w:sz="4" w:space="0" w:color="B0B0B0"/>
              <w:right w:val="single" w:sz="4" w:space="0" w:color="B0B0B0"/>
            </w:tcBorders>
            <w:shd w:val="clear" w:color="E2EFDA" w:fill="E2EFDA"/>
            <w:hideMark/>
          </w:tcPr>
          <w:p w14:paraId="2A5DABAA"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Longitudinal field study across four organisations</w:t>
            </w:r>
          </w:p>
        </w:tc>
        <w:tc>
          <w:tcPr>
            <w:tcW w:w="1300" w:type="pct"/>
            <w:tcBorders>
              <w:top w:val="nil"/>
              <w:left w:val="nil"/>
              <w:bottom w:val="single" w:sz="4" w:space="0" w:color="B0B0B0"/>
              <w:right w:val="single" w:sz="4" w:space="0" w:color="B0B0B0"/>
            </w:tcBorders>
            <w:shd w:val="clear" w:color="E2EFDA" w:fill="E2EFDA"/>
            <w:hideMark/>
          </w:tcPr>
          <w:p w14:paraId="668F724C"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Dominant framework explaining employee AI-adoption intention</w:t>
            </w:r>
          </w:p>
        </w:tc>
      </w:tr>
      <w:tr w:rsidR="00F702C4" w:rsidRPr="00F25C44" w14:paraId="6543118C"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E2EFDA" w:fill="E2EFDA"/>
            <w:noWrap/>
            <w:hideMark/>
          </w:tcPr>
          <w:p w14:paraId="081DD472"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t>SRC-021</w:t>
            </w:r>
          </w:p>
        </w:tc>
        <w:tc>
          <w:tcPr>
            <w:tcW w:w="826" w:type="pct"/>
            <w:tcBorders>
              <w:top w:val="nil"/>
              <w:left w:val="nil"/>
              <w:bottom w:val="single" w:sz="4" w:space="0" w:color="B0B0B0"/>
              <w:right w:val="single" w:sz="4" w:space="0" w:color="B0B0B0"/>
            </w:tcBorders>
            <w:shd w:val="clear" w:color="E2EFDA" w:fill="E2EFDA"/>
            <w:hideMark/>
          </w:tcPr>
          <w:p w14:paraId="7B6BBFC6"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Zhang (2025)</w:t>
            </w:r>
          </w:p>
        </w:tc>
        <w:tc>
          <w:tcPr>
            <w:tcW w:w="645" w:type="pct"/>
            <w:tcBorders>
              <w:top w:val="nil"/>
              <w:left w:val="nil"/>
              <w:bottom w:val="single" w:sz="4" w:space="0" w:color="B0B0B0"/>
              <w:right w:val="single" w:sz="4" w:space="0" w:color="B0B0B0"/>
            </w:tcBorders>
            <w:shd w:val="clear" w:color="E2EFDA" w:fill="E2EFDA"/>
            <w:hideMark/>
          </w:tcPr>
          <w:p w14:paraId="6FA90F21"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C2: AI Adoption &amp; Readiness</w:t>
            </w:r>
          </w:p>
        </w:tc>
        <w:tc>
          <w:tcPr>
            <w:tcW w:w="849" w:type="pct"/>
            <w:tcBorders>
              <w:top w:val="nil"/>
              <w:left w:val="nil"/>
              <w:bottom w:val="single" w:sz="4" w:space="0" w:color="B0B0B0"/>
              <w:right w:val="single" w:sz="4" w:space="0" w:color="B0B0B0"/>
            </w:tcBorders>
            <w:shd w:val="clear" w:color="E2EFDA" w:fill="E2EFDA"/>
            <w:hideMark/>
          </w:tcPr>
          <w:p w14:paraId="43B65D19"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Attitude, self-efficacy, anxiety added to UTAUT; demographic moderators</w:t>
            </w:r>
          </w:p>
        </w:tc>
        <w:tc>
          <w:tcPr>
            <w:tcW w:w="975" w:type="pct"/>
            <w:tcBorders>
              <w:top w:val="nil"/>
              <w:left w:val="nil"/>
              <w:bottom w:val="single" w:sz="4" w:space="0" w:color="B0B0B0"/>
              <w:right w:val="single" w:sz="4" w:space="0" w:color="B0B0B0"/>
            </w:tcBorders>
            <w:shd w:val="clear" w:color="E2EFDA" w:fill="E2EFDA"/>
            <w:hideMark/>
          </w:tcPr>
          <w:p w14:paraId="461E6884"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Cross-sectional survey (n=2,257) with non-parametric testing</w:t>
            </w:r>
          </w:p>
        </w:tc>
        <w:tc>
          <w:tcPr>
            <w:tcW w:w="1300" w:type="pct"/>
            <w:tcBorders>
              <w:top w:val="nil"/>
              <w:left w:val="nil"/>
              <w:bottom w:val="single" w:sz="4" w:space="0" w:color="B0B0B0"/>
              <w:right w:val="single" w:sz="4" w:space="0" w:color="B0B0B0"/>
            </w:tcBorders>
            <w:shd w:val="clear" w:color="E2EFDA" w:fill="E2EFDA"/>
            <w:hideMark/>
          </w:tcPr>
          <w:p w14:paraId="179C6107"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Central empirical anchor for the adoption-readiness discussion</w:t>
            </w:r>
          </w:p>
        </w:tc>
      </w:tr>
      <w:tr w:rsidR="00F702C4" w:rsidRPr="00F25C44" w14:paraId="6913D881"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E2EFDA" w:fill="E2EFDA"/>
            <w:noWrap/>
            <w:hideMark/>
          </w:tcPr>
          <w:p w14:paraId="5905170D"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t>SRC-022</w:t>
            </w:r>
          </w:p>
        </w:tc>
        <w:tc>
          <w:tcPr>
            <w:tcW w:w="826" w:type="pct"/>
            <w:tcBorders>
              <w:top w:val="nil"/>
              <w:left w:val="nil"/>
              <w:bottom w:val="single" w:sz="4" w:space="0" w:color="B0B0B0"/>
              <w:right w:val="single" w:sz="4" w:space="0" w:color="B0B0B0"/>
            </w:tcBorders>
            <w:shd w:val="clear" w:color="E2EFDA" w:fill="E2EFDA"/>
            <w:hideMark/>
          </w:tcPr>
          <w:p w14:paraId="33523CD8" w14:textId="77777777" w:rsidR="00707574" w:rsidRPr="00F25C44" w:rsidRDefault="00B076C3"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Chang et al. (2024)</w:t>
            </w:r>
          </w:p>
        </w:tc>
        <w:tc>
          <w:tcPr>
            <w:tcW w:w="645" w:type="pct"/>
            <w:tcBorders>
              <w:top w:val="nil"/>
              <w:left w:val="nil"/>
              <w:bottom w:val="single" w:sz="4" w:space="0" w:color="B0B0B0"/>
              <w:right w:val="single" w:sz="4" w:space="0" w:color="B0B0B0"/>
            </w:tcBorders>
            <w:shd w:val="clear" w:color="E2EFDA" w:fill="E2EFDA"/>
            <w:hideMark/>
          </w:tcPr>
          <w:p w14:paraId="74F4EC41"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C2: AI Adoption &amp; Readiness</w:t>
            </w:r>
          </w:p>
        </w:tc>
        <w:tc>
          <w:tcPr>
            <w:tcW w:w="849" w:type="pct"/>
            <w:tcBorders>
              <w:top w:val="nil"/>
              <w:left w:val="nil"/>
              <w:bottom w:val="single" w:sz="4" w:space="0" w:color="B0B0B0"/>
              <w:right w:val="single" w:sz="4" w:space="0" w:color="B0B0B0"/>
            </w:tcBorders>
            <w:shd w:val="clear" w:color="E2EFDA" w:fill="E2EFDA"/>
            <w:hideMark/>
          </w:tcPr>
          <w:p w14:paraId="731865E2"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Technostress; self-efficacy</w:t>
            </w:r>
          </w:p>
        </w:tc>
        <w:tc>
          <w:tcPr>
            <w:tcW w:w="975" w:type="pct"/>
            <w:tcBorders>
              <w:top w:val="nil"/>
              <w:left w:val="nil"/>
              <w:bottom w:val="single" w:sz="4" w:space="0" w:color="B0B0B0"/>
              <w:right w:val="single" w:sz="4" w:space="0" w:color="B0B0B0"/>
            </w:tcBorders>
            <w:shd w:val="clear" w:color="E2EFDA" w:fill="E2EFDA"/>
            <w:hideMark/>
          </w:tcPr>
          <w:p w14:paraId="0A097B14"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Quantitative moderated-mediation survey study</w:t>
            </w:r>
          </w:p>
        </w:tc>
        <w:tc>
          <w:tcPr>
            <w:tcW w:w="1300" w:type="pct"/>
            <w:tcBorders>
              <w:top w:val="nil"/>
              <w:left w:val="nil"/>
              <w:bottom w:val="single" w:sz="4" w:space="0" w:color="B0B0B0"/>
              <w:right w:val="single" w:sz="4" w:space="0" w:color="B0B0B0"/>
            </w:tcBorders>
            <w:shd w:val="clear" w:color="E2EFDA" w:fill="E2EFDA"/>
            <w:hideMark/>
          </w:tcPr>
          <w:p w14:paraId="28C35801"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Nuances 'readiness' beyond simple acceptance</w:t>
            </w:r>
          </w:p>
        </w:tc>
      </w:tr>
      <w:tr w:rsidR="00F702C4" w:rsidRPr="00F25C44" w14:paraId="0947BB13"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E2EFDA" w:fill="E2EFDA"/>
            <w:noWrap/>
            <w:hideMark/>
          </w:tcPr>
          <w:p w14:paraId="3965CB45"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t>SRC-023</w:t>
            </w:r>
          </w:p>
        </w:tc>
        <w:tc>
          <w:tcPr>
            <w:tcW w:w="826" w:type="pct"/>
            <w:tcBorders>
              <w:top w:val="nil"/>
              <w:left w:val="nil"/>
              <w:bottom w:val="single" w:sz="4" w:space="0" w:color="B0B0B0"/>
              <w:right w:val="single" w:sz="4" w:space="0" w:color="B0B0B0"/>
            </w:tcBorders>
            <w:shd w:val="clear" w:color="E2EFDA" w:fill="E2EFDA"/>
            <w:hideMark/>
          </w:tcPr>
          <w:p w14:paraId="1133D9F4"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Kim (2024)</w:t>
            </w:r>
          </w:p>
        </w:tc>
        <w:tc>
          <w:tcPr>
            <w:tcW w:w="645" w:type="pct"/>
            <w:tcBorders>
              <w:top w:val="nil"/>
              <w:left w:val="nil"/>
              <w:bottom w:val="single" w:sz="4" w:space="0" w:color="B0B0B0"/>
              <w:right w:val="single" w:sz="4" w:space="0" w:color="B0B0B0"/>
            </w:tcBorders>
            <w:shd w:val="clear" w:color="E2EFDA" w:fill="E2EFDA"/>
            <w:hideMark/>
          </w:tcPr>
          <w:p w14:paraId="0D3D2ED9"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C2: AI Adoption &amp; Readiness</w:t>
            </w:r>
          </w:p>
        </w:tc>
        <w:tc>
          <w:tcPr>
            <w:tcW w:w="849" w:type="pct"/>
            <w:tcBorders>
              <w:top w:val="nil"/>
              <w:left w:val="nil"/>
              <w:bottom w:val="single" w:sz="4" w:space="0" w:color="B0B0B0"/>
              <w:right w:val="single" w:sz="4" w:space="0" w:color="B0B0B0"/>
            </w:tcBorders>
            <w:shd w:val="clear" w:color="E2EFDA" w:fill="E2EFDA"/>
            <w:hideMark/>
          </w:tcPr>
          <w:p w14:paraId="7F3B0010"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Effort expectancy; social influence</w:t>
            </w:r>
          </w:p>
        </w:tc>
        <w:tc>
          <w:tcPr>
            <w:tcW w:w="975" w:type="pct"/>
            <w:tcBorders>
              <w:top w:val="nil"/>
              <w:left w:val="nil"/>
              <w:bottom w:val="single" w:sz="4" w:space="0" w:color="B0B0B0"/>
              <w:right w:val="single" w:sz="4" w:space="0" w:color="B0B0B0"/>
            </w:tcBorders>
            <w:shd w:val="clear" w:color="E2EFDA" w:fill="E2EFDA"/>
            <w:hideMark/>
          </w:tcPr>
          <w:p w14:paraId="157E5FB9"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Survey of 300 employees across enterprises</w:t>
            </w:r>
          </w:p>
        </w:tc>
        <w:tc>
          <w:tcPr>
            <w:tcW w:w="1300" w:type="pct"/>
            <w:tcBorders>
              <w:top w:val="nil"/>
              <w:left w:val="nil"/>
              <w:bottom w:val="single" w:sz="4" w:space="0" w:color="B0B0B0"/>
              <w:right w:val="single" w:sz="4" w:space="0" w:color="B0B0B0"/>
            </w:tcBorders>
            <w:shd w:val="clear" w:color="E2EFDA" w:fill="E2EFDA"/>
            <w:hideMark/>
          </w:tcPr>
          <w:p w14:paraId="2C2B0411"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Provides comparative readiness data across firm sizes</w:t>
            </w:r>
          </w:p>
        </w:tc>
      </w:tr>
      <w:tr w:rsidR="00F702C4" w:rsidRPr="00F25C44" w14:paraId="3EE79BC4"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E2EFDA" w:fill="E2EFDA"/>
            <w:noWrap/>
            <w:hideMark/>
          </w:tcPr>
          <w:p w14:paraId="1FE0728A"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t>SRC-024</w:t>
            </w:r>
          </w:p>
        </w:tc>
        <w:tc>
          <w:tcPr>
            <w:tcW w:w="826" w:type="pct"/>
            <w:tcBorders>
              <w:top w:val="nil"/>
              <w:left w:val="nil"/>
              <w:bottom w:val="single" w:sz="4" w:space="0" w:color="B0B0B0"/>
              <w:right w:val="single" w:sz="4" w:space="0" w:color="B0B0B0"/>
            </w:tcBorders>
            <w:shd w:val="clear" w:color="E2EFDA" w:fill="E2EFDA"/>
            <w:hideMark/>
          </w:tcPr>
          <w:p w14:paraId="0096D92D" w14:textId="77777777" w:rsidR="00707574" w:rsidRPr="00F25C44" w:rsidRDefault="00B076C3"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Jain et al. (2022)</w:t>
            </w:r>
          </w:p>
        </w:tc>
        <w:tc>
          <w:tcPr>
            <w:tcW w:w="645" w:type="pct"/>
            <w:tcBorders>
              <w:top w:val="nil"/>
              <w:left w:val="nil"/>
              <w:bottom w:val="single" w:sz="4" w:space="0" w:color="B0B0B0"/>
              <w:right w:val="single" w:sz="4" w:space="0" w:color="B0B0B0"/>
            </w:tcBorders>
            <w:shd w:val="clear" w:color="E2EFDA" w:fill="E2EFDA"/>
            <w:hideMark/>
          </w:tcPr>
          <w:p w14:paraId="361639F0"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C2: AI Adoption &amp; Readiness</w:t>
            </w:r>
          </w:p>
        </w:tc>
        <w:tc>
          <w:tcPr>
            <w:tcW w:w="849" w:type="pct"/>
            <w:tcBorders>
              <w:top w:val="nil"/>
              <w:left w:val="nil"/>
              <w:bottom w:val="single" w:sz="4" w:space="0" w:color="B0B0B0"/>
              <w:right w:val="single" w:sz="4" w:space="0" w:color="B0B0B0"/>
            </w:tcBorders>
            <w:shd w:val="clear" w:color="E2EFDA" w:fill="E2EFDA"/>
            <w:hideMark/>
          </w:tcPr>
          <w:p w14:paraId="0DB97493"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Algorithm aversion; trust</w:t>
            </w:r>
          </w:p>
        </w:tc>
        <w:tc>
          <w:tcPr>
            <w:tcW w:w="975" w:type="pct"/>
            <w:tcBorders>
              <w:top w:val="nil"/>
              <w:left w:val="nil"/>
              <w:bottom w:val="single" w:sz="4" w:space="0" w:color="B0B0B0"/>
              <w:right w:val="single" w:sz="4" w:space="0" w:color="B0B0B0"/>
            </w:tcBorders>
            <w:shd w:val="clear" w:color="E2EFDA" w:fill="E2EFDA"/>
            <w:hideMark/>
          </w:tcPr>
          <w:p w14:paraId="1EB9D5D0"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Survey-based extended UTAUT model testing</w:t>
            </w:r>
          </w:p>
        </w:tc>
        <w:tc>
          <w:tcPr>
            <w:tcW w:w="1300" w:type="pct"/>
            <w:tcBorders>
              <w:top w:val="nil"/>
              <w:left w:val="nil"/>
              <w:bottom w:val="single" w:sz="4" w:space="0" w:color="B0B0B0"/>
              <w:right w:val="single" w:sz="4" w:space="0" w:color="B0B0B0"/>
            </w:tcBorders>
            <w:shd w:val="clear" w:color="E2EFDA" w:fill="E2EFDA"/>
            <w:hideMark/>
          </w:tcPr>
          <w:p w14:paraId="5A4C5F0F"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Relevant to sectors with lower technological readiness</w:t>
            </w:r>
          </w:p>
        </w:tc>
      </w:tr>
      <w:tr w:rsidR="00F702C4" w:rsidRPr="00F25C44" w14:paraId="6DBD1B03"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E2EFDA" w:fill="E2EFDA"/>
            <w:noWrap/>
            <w:hideMark/>
          </w:tcPr>
          <w:p w14:paraId="564F7575"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t>SRC-025</w:t>
            </w:r>
          </w:p>
        </w:tc>
        <w:tc>
          <w:tcPr>
            <w:tcW w:w="826" w:type="pct"/>
            <w:tcBorders>
              <w:top w:val="nil"/>
              <w:left w:val="nil"/>
              <w:bottom w:val="single" w:sz="4" w:space="0" w:color="B0B0B0"/>
              <w:right w:val="single" w:sz="4" w:space="0" w:color="B0B0B0"/>
            </w:tcBorders>
            <w:shd w:val="clear" w:color="E2EFDA" w:fill="E2EFDA"/>
            <w:hideMark/>
          </w:tcPr>
          <w:p w14:paraId="4159FFBE" w14:textId="77777777" w:rsidR="00707574" w:rsidRPr="00F25C44" w:rsidRDefault="00B076C3"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Sousa et al. (2026)</w:t>
            </w:r>
          </w:p>
        </w:tc>
        <w:tc>
          <w:tcPr>
            <w:tcW w:w="645" w:type="pct"/>
            <w:tcBorders>
              <w:top w:val="nil"/>
              <w:left w:val="nil"/>
              <w:bottom w:val="single" w:sz="4" w:space="0" w:color="B0B0B0"/>
              <w:right w:val="single" w:sz="4" w:space="0" w:color="B0B0B0"/>
            </w:tcBorders>
            <w:shd w:val="clear" w:color="E2EFDA" w:fill="E2EFDA"/>
            <w:hideMark/>
          </w:tcPr>
          <w:p w14:paraId="34B4E7A1"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C2: AI Adoption &amp; Readiness</w:t>
            </w:r>
          </w:p>
        </w:tc>
        <w:tc>
          <w:tcPr>
            <w:tcW w:w="849" w:type="pct"/>
            <w:tcBorders>
              <w:top w:val="nil"/>
              <w:left w:val="nil"/>
              <w:bottom w:val="single" w:sz="4" w:space="0" w:color="B0B0B0"/>
              <w:right w:val="single" w:sz="4" w:space="0" w:color="B0B0B0"/>
            </w:tcBorders>
            <w:shd w:val="clear" w:color="E2EFDA" w:fill="E2EFDA"/>
            <w:hideMark/>
          </w:tcPr>
          <w:p w14:paraId="1B26C988"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Facilitating conditions; perception of use</w:t>
            </w:r>
          </w:p>
        </w:tc>
        <w:tc>
          <w:tcPr>
            <w:tcW w:w="975" w:type="pct"/>
            <w:tcBorders>
              <w:top w:val="nil"/>
              <w:left w:val="nil"/>
              <w:bottom w:val="single" w:sz="4" w:space="0" w:color="B0B0B0"/>
              <w:right w:val="single" w:sz="4" w:space="0" w:color="B0B0B0"/>
            </w:tcBorders>
            <w:shd w:val="clear" w:color="E2EFDA" w:fill="E2EFDA"/>
            <w:hideMark/>
          </w:tcPr>
          <w:p w14:paraId="3A0E292B"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Model development and industrial case validation</w:t>
            </w:r>
          </w:p>
        </w:tc>
        <w:tc>
          <w:tcPr>
            <w:tcW w:w="1300" w:type="pct"/>
            <w:tcBorders>
              <w:top w:val="nil"/>
              <w:left w:val="nil"/>
              <w:bottom w:val="single" w:sz="4" w:space="0" w:color="B0B0B0"/>
              <w:right w:val="single" w:sz="4" w:space="0" w:color="B0B0B0"/>
            </w:tcBorders>
            <w:shd w:val="clear" w:color="E2EFDA" w:fill="E2EFDA"/>
            <w:hideMark/>
          </w:tcPr>
          <w:p w14:paraId="4C4E2A64"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Broadens readiness analysis beyond office-based knowledge work</w:t>
            </w:r>
          </w:p>
        </w:tc>
      </w:tr>
      <w:tr w:rsidR="00F702C4" w:rsidRPr="00F25C44" w14:paraId="51BC1903"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E2EFDA" w:fill="E2EFDA"/>
            <w:noWrap/>
            <w:hideMark/>
          </w:tcPr>
          <w:p w14:paraId="0AC23662"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t>SRC-026</w:t>
            </w:r>
          </w:p>
        </w:tc>
        <w:tc>
          <w:tcPr>
            <w:tcW w:w="826" w:type="pct"/>
            <w:tcBorders>
              <w:top w:val="nil"/>
              <w:left w:val="nil"/>
              <w:bottom w:val="single" w:sz="4" w:space="0" w:color="B0B0B0"/>
              <w:right w:val="single" w:sz="4" w:space="0" w:color="B0B0B0"/>
            </w:tcBorders>
            <w:shd w:val="clear" w:color="E2EFDA" w:fill="E2EFDA"/>
            <w:hideMark/>
          </w:tcPr>
          <w:p w14:paraId="57ACFD7B" w14:textId="77777777" w:rsidR="00707574" w:rsidRPr="00F25C44" w:rsidRDefault="00B076C3"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Ibrahim et al. (2025)</w:t>
            </w:r>
          </w:p>
        </w:tc>
        <w:tc>
          <w:tcPr>
            <w:tcW w:w="645" w:type="pct"/>
            <w:tcBorders>
              <w:top w:val="nil"/>
              <w:left w:val="nil"/>
              <w:bottom w:val="single" w:sz="4" w:space="0" w:color="B0B0B0"/>
              <w:right w:val="single" w:sz="4" w:space="0" w:color="B0B0B0"/>
            </w:tcBorders>
            <w:shd w:val="clear" w:color="E2EFDA" w:fill="E2EFDA"/>
            <w:hideMark/>
          </w:tcPr>
          <w:p w14:paraId="22853426"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C2: AI Adoption &amp; Readiness</w:t>
            </w:r>
          </w:p>
        </w:tc>
        <w:tc>
          <w:tcPr>
            <w:tcW w:w="849" w:type="pct"/>
            <w:tcBorders>
              <w:top w:val="nil"/>
              <w:left w:val="nil"/>
              <w:bottom w:val="single" w:sz="4" w:space="0" w:color="B0B0B0"/>
              <w:right w:val="single" w:sz="4" w:space="0" w:color="B0B0B0"/>
            </w:tcBorders>
            <w:shd w:val="clear" w:color="E2EFDA" w:fill="E2EFDA"/>
            <w:hideMark/>
          </w:tcPr>
          <w:p w14:paraId="6B2E4ED3"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Adopter-type clustering; perceived usefulness</w:t>
            </w:r>
          </w:p>
        </w:tc>
        <w:tc>
          <w:tcPr>
            <w:tcW w:w="975" w:type="pct"/>
            <w:tcBorders>
              <w:top w:val="nil"/>
              <w:left w:val="nil"/>
              <w:bottom w:val="single" w:sz="4" w:space="0" w:color="B0B0B0"/>
              <w:right w:val="single" w:sz="4" w:space="0" w:color="B0B0B0"/>
            </w:tcBorders>
            <w:shd w:val="clear" w:color="E2EFDA" w:fill="E2EFDA"/>
            <w:hideMark/>
          </w:tcPr>
          <w:p w14:paraId="6A92D741"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Cluster analysis of survey respondents</w:t>
            </w:r>
          </w:p>
        </w:tc>
        <w:tc>
          <w:tcPr>
            <w:tcW w:w="1300" w:type="pct"/>
            <w:tcBorders>
              <w:top w:val="nil"/>
              <w:left w:val="nil"/>
              <w:bottom w:val="single" w:sz="4" w:space="0" w:color="B0B0B0"/>
              <w:right w:val="single" w:sz="4" w:space="0" w:color="B0B0B0"/>
            </w:tcBorders>
            <w:shd w:val="clear" w:color="E2EFDA" w:fill="E2EFDA"/>
            <w:hideMark/>
          </w:tcPr>
          <w:p w14:paraId="1E58DA51"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Supports differentiated change-management strategies for readiness</w:t>
            </w:r>
          </w:p>
        </w:tc>
      </w:tr>
      <w:tr w:rsidR="00F702C4" w:rsidRPr="00F25C44" w14:paraId="11C66BD3"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E2EFDA" w:fill="E2EFDA"/>
            <w:noWrap/>
            <w:hideMark/>
          </w:tcPr>
          <w:p w14:paraId="38185BC9"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lastRenderedPageBreak/>
              <w:t>SRC-027</w:t>
            </w:r>
          </w:p>
        </w:tc>
        <w:tc>
          <w:tcPr>
            <w:tcW w:w="826" w:type="pct"/>
            <w:tcBorders>
              <w:top w:val="nil"/>
              <w:left w:val="nil"/>
              <w:bottom w:val="single" w:sz="4" w:space="0" w:color="B0B0B0"/>
              <w:right w:val="single" w:sz="4" w:space="0" w:color="B0B0B0"/>
            </w:tcBorders>
            <w:shd w:val="clear" w:color="E2EFDA" w:fill="E2EFDA"/>
            <w:hideMark/>
          </w:tcPr>
          <w:p w14:paraId="198603BD" w14:textId="77777777" w:rsidR="00707574" w:rsidRPr="00F25C44" w:rsidRDefault="00B076C3"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Song et al. (2025)</w:t>
            </w:r>
          </w:p>
        </w:tc>
        <w:tc>
          <w:tcPr>
            <w:tcW w:w="645" w:type="pct"/>
            <w:tcBorders>
              <w:top w:val="nil"/>
              <w:left w:val="nil"/>
              <w:bottom w:val="single" w:sz="4" w:space="0" w:color="B0B0B0"/>
              <w:right w:val="single" w:sz="4" w:space="0" w:color="B0B0B0"/>
            </w:tcBorders>
            <w:shd w:val="clear" w:color="E2EFDA" w:fill="E2EFDA"/>
            <w:hideMark/>
          </w:tcPr>
          <w:p w14:paraId="454A3BB5"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C2: AI Adoption &amp; Readiness</w:t>
            </w:r>
          </w:p>
        </w:tc>
        <w:tc>
          <w:tcPr>
            <w:tcW w:w="849" w:type="pct"/>
            <w:tcBorders>
              <w:top w:val="nil"/>
              <w:left w:val="nil"/>
              <w:bottom w:val="single" w:sz="4" w:space="0" w:color="B0B0B0"/>
              <w:right w:val="single" w:sz="4" w:space="0" w:color="B0B0B0"/>
            </w:tcBorders>
            <w:shd w:val="clear" w:color="E2EFDA" w:fill="E2EFDA"/>
            <w:hideMark/>
          </w:tcPr>
          <w:p w14:paraId="4BE1649F"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AI adoption; decision-making quality</w:t>
            </w:r>
          </w:p>
        </w:tc>
        <w:tc>
          <w:tcPr>
            <w:tcW w:w="975" w:type="pct"/>
            <w:tcBorders>
              <w:top w:val="nil"/>
              <w:left w:val="nil"/>
              <w:bottom w:val="single" w:sz="4" w:space="0" w:color="B0B0B0"/>
              <w:right w:val="single" w:sz="4" w:space="0" w:color="B0B0B0"/>
            </w:tcBorders>
            <w:shd w:val="clear" w:color="E2EFDA" w:fill="E2EFDA"/>
            <w:hideMark/>
          </w:tcPr>
          <w:p w14:paraId="20DE07BF"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Quantitative empirical study</w:t>
            </w:r>
          </w:p>
        </w:tc>
        <w:tc>
          <w:tcPr>
            <w:tcW w:w="1300" w:type="pct"/>
            <w:tcBorders>
              <w:top w:val="nil"/>
              <w:left w:val="nil"/>
              <w:bottom w:val="single" w:sz="4" w:space="0" w:color="B0B0B0"/>
              <w:right w:val="single" w:sz="4" w:space="0" w:color="B0B0B0"/>
            </w:tcBorders>
            <w:shd w:val="clear" w:color="E2EFDA" w:fill="E2EFDA"/>
            <w:hideMark/>
          </w:tcPr>
          <w:p w14:paraId="00DBF804"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Notes the trust/ethics gap this review addresses</w:t>
            </w:r>
          </w:p>
        </w:tc>
      </w:tr>
      <w:tr w:rsidR="00F702C4" w:rsidRPr="00F25C44" w14:paraId="3EA901E4"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E2EFDA" w:fill="E2EFDA"/>
            <w:noWrap/>
            <w:hideMark/>
          </w:tcPr>
          <w:p w14:paraId="0423443D"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t>SRC-028</w:t>
            </w:r>
          </w:p>
        </w:tc>
        <w:tc>
          <w:tcPr>
            <w:tcW w:w="826" w:type="pct"/>
            <w:tcBorders>
              <w:top w:val="nil"/>
              <w:left w:val="nil"/>
              <w:bottom w:val="single" w:sz="4" w:space="0" w:color="B0B0B0"/>
              <w:right w:val="single" w:sz="4" w:space="0" w:color="B0B0B0"/>
            </w:tcBorders>
            <w:shd w:val="clear" w:color="E2EFDA" w:fill="E2EFDA"/>
            <w:hideMark/>
          </w:tcPr>
          <w:p w14:paraId="57FD9B2F" w14:textId="77777777" w:rsidR="00707574" w:rsidRPr="00F25C44" w:rsidRDefault="00B076C3" w:rsidP="00425EB1">
            <w:pPr>
              <w:spacing w:after="0" w:line="360" w:lineRule="auto"/>
              <w:rPr>
                <w:rFonts w:ascii="Times New Roman" w:eastAsia="Times New Roman" w:hAnsi="Times New Roman" w:cs="Times New Roman"/>
                <w:sz w:val="20"/>
                <w:szCs w:val="20"/>
                <w:lang w:eastAsia="en-IN"/>
              </w:rPr>
            </w:pPr>
            <w:proofErr w:type="spellStart"/>
            <w:r w:rsidRPr="00F25C44">
              <w:rPr>
                <w:rFonts w:ascii="Times New Roman" w:eastAsia="Times New Roman" w:hAnsi="Times New Roman" w:cs="Times New Roman"/>
                <w:sz w:val="20"/>
                <w:szCs w:val="20"/>
                <w:lang w:eastAsia="en-IN"/>
              </w:rPr>
              <w:t>Übellacker</w:t>
            </w:r>
            <w:proofErr w:type="spellEnd"/>
            <w:r w:rsidRPr="00F25C44">
              <w:rPr>
                <w:rFonts w:ascii="Times New Roman" w:eastAsia="Times New Roman" w:hAnsi="Times New Roman" w:cs="Times New Roman"/>
                <w:sz w:val="20"/>
                <w:szCs w:val="20"/>
                <w:lang w:eastAsia="en-IN"/>
              </w:rPr>
              <w:t>, T. (2025)</w:t>
            </w:r>
          </w:p>
        </w:tc>
        <w:tc>
          <w:tcPr>
            <w:tcW w:w="645" w:type="pct"/>
            <w:tcBorders>
              <w:top w:val="nil"/>
              <w:left w:val="nil"/>
              <w:bottom w:val="single" w:sz="4" w:space="0" w:color="B0B0B0"/>
              <w:right w:val="single" w:sz="4" w:space="0" w:color="B0B0B0"/>
            </w:tcBorders>
            <w:shd w:val="clear" w:color="E2EFDA" w:fill="E2EFDA"/>
            <w:hideMark/>
          </w:tcPr>
          <w:p w14:paraId="3737330D"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C2: AI Adoption &amp; Readiness</w:t>
            </w:r>
          </w:p>
        </w:tc>
        <w:tc>
          <w:tcPr>
            <w:tcW w:w="849" w:type="pct"/>
            <w:tcBorders>
              <w:top w:val="nil"/>
              <w:left w:val="nil"/>
              <w:bottom w:val="single" w:sz="4" w:space="0" w:color="B0B0B0"/>
              <w:right w:val="single" w:sz="4" w:space="0" w:color="B0B0B0"/>
            </w:tcBorders>
            <w:shd w:val="clear" w:color="E2EFDA" w:fill="E2EFDA"/>
            <w:hideMark/>
          </w:tcPr>
          <w:p w14:paraId="5BAE5B21"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Organisational readiness; individual perception</w:t>
            </w:r>
          </w:p>
        </w:tc>
        <w:tc>
          <w:tcPr>
            <w:tcW w:w="975" w:type="pct"/>
            <w:tcBorders>
              <w:top w:val="nil"/>
              <w:left w:val="nil"/>
              <w:bottom w:val="single" w:sz="4" w:space="0" w:color="B0B0B0"/>
              <w:right w:val="single" w:sz="4" w:space="0" w:color="B0B0B0"/>
            </w:tcBorders>
            <w:shd w:val="clear" w:color="E2EFDA" w:fill="E2EFDA"/>
            <w:hideMark/>
          </w:tcPr>
          <w:p w14:paraId="4AEADFEC"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Conceptual review integrating multiple empirical strands</w:t>
            </w:r>
          </w:p>
        </w:tc>
        <w:tc>
          <w:tcPr>
            <w:tcW w:w="1300" w:type="pct"/>
            <w:tcBorders>
              <w:top w:val="nil"/>
              <w:left w:val="nil"/>
              <w:bottom w:val="single" w:sz="4" w:space="0" w:color="B0B0B0"/>
              <w:right w:val="single" w:sz="4" w:space="0" w:color="B0B0B0"/>
            </w:tcBorders>
            <w:shd w:val="clear" w:color="E2EFDA" w:fill="E2EFDA"/>
            <w:hideMark/>
          </w:tcPr>
          <w:p w14:paraId="2F9D3FE5"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Key structural source linking leadership, trust and culture</w:t>
            </w:r>
          </w:p>
        </w:tc>
      </w:tr>
      <w:tr w:rsidR="00F702C4" w:rsidRPr="00F25C44" w14:paraId="586509AB"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E2EFDA" w:fill="E2EFDA"/>
            <w:noWrap/>
            <w:hideMark/>
          </w:tcPr>
          <w:p w14:paraId="74BA6F87"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t>SRC-029</w:t>
            </w:r>
          </w:p>
        </w:tc>
        <w:tc>
          <w:tcPr>
            <w:tcW w:w="826" w:type="pct"/>
            <w:tcBorders>
              <w:top w:val="nil"/>
              <w:left w:val="nil"/>
              <w:bottom w:val="single" w:sz="4" w:space="0" w:color="B0B0B0"/>
              <w:right w:val="single" w:sz="4" w:space="0" w:color="B0B0B0"/>
            </w:tcBorders>
            <w:shd w:val="clear" w:color="E2EFDA" w:fill="E2EFDA"/>
            <w:hideMark/>
          </w:tcPr>
          <w:p w14:paraId="2F5576DE" w14:textId="77777777" w:rsidR="00707574" w:rsidRPr="00F25C44" w:rsidRDefault="00F702C4" w:rsidP="00425EB1">
            <w:pPr>
              <w:spacing w:after="0" w:line="360" w:lineRule="auto"/>
              <w:rPr>
                <w:rFonts w:ascii="Times New Roman" w:eastAsia="Times New Roman" w:hAnsi="Times New Roman" w:cs="Times New Roman"/>
                <w:sz w:val="20"/>
                <w:szCs w:val="20"/>
                <w:lang w:eastAsia="en-IN"/>
              </w:rPr>
            </w:pPr>
            <w:proofErr w:type="spellStart"/>
            <w:r w:rsidRPr="00F702C4">
              <w:rPr>
                <w:rFonts w:ascii="Times New Roman" w:eastAsia="Times New Roman" w:hAnsi="Times New Roman" w:cs="Times New Roman"/>
                <w:sz w:val="20"/>
                <w:szCs w:val="20"/>
                <w:lang w:eastAsia="en-IN"/>
              </w:rPr>
              <w:t>Glikson</w:t>
            </w:r>
            <w:proofErr w:type="spellEnd"/>
            <w:r w:rsidRPr="00F702C4">
              <w:rPr>
                <w:rFonts w:ascii="Times New Roman" w:eastAsia="Times New Roman" w:hAnsi="Times New Roman" w:cs="Times New Roman"/>
                <w:sz w:val="20"/>
                <w:szCs w:val="20"/>
                <w:lang w:eastAsia="en-IN"/>
              </w:rPr>
              <w:t xml:space="preserve"> &amp; Woolley (2020)</w:t>
            </w:r>
          </w:p>
        </w:tc>
        <w:tc>
          <w:tcPr>
            <w:tcW w:w="645" w:type="pct"/>
            <w:tcBorders>
              <w:top w:val="nil"/>
              <w:left w:val="nil"/>
              <w:bottom w:val="single" w:sz="4" w:space="0" w:color="B0B0B0"/>
              <w:right w:val="single" w:sz="4" w:space="0" w:color="B0B0B0"/>
            </w:tcBorders>
            <w:shd w:val="clear" w:color="E2EFDA" w:fill="E2EFDA"/>
            <w:hideMark/>
          </w:tcPr>
          <w:p w14:paraId="7CBE00FB"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C2: AI Adoption &amp; Readiness</w:t>
            </w:r>
          </w:p>
        </w:tc>
        <w:tc>
          <w:tcPr>
            <w:tcW w:w="849" w:type="pct"/>
            <w:tcBorders>
              <w:top w:val="nil"/>
              <w:left w:val="nil"/>
              <w:bottom w:val="single" w:sz="4" w:space="0" w:color="B0B0B0"/>
              <w:right w:val="single" w:sz="4" w:space="0" w:color="B0B0B0"/>
            </w:tcBorders>
            <w:shd w:val="clear" w:color="E2EFDA" w:fill="E2EFDA"/>
            <w:hideMark/>
          </w:tcPr>
          <w:p w14:paraId="20389153"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Trust as a determinant of AI readiness and</w:t>
            </w:r>
          </w:p>
        </w:tc>
        <w:tc>
          <w:tcPr>
            <w:tcW w:w="975" w:type="pct"/>
            <w:tcBorders>
              <w:top w:val="nil"/>
              <w:left w:val="nil"/>
              <w:bottom w:val="single" w:sz="4" w:space="0" w:color="B0B0B0"/>
              <w:right w:val="single" w:sz="4" w:space="0" w:color="B0B0B0"/>
            </w:tcBorders>
            <w:shd w:val="clear" w:color="E2EFDA" w:fill="E2EFDA"/>
            <w:hideMark/>
          </w:tcPr>
          <w:p w14:paraId="352BE59C"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Literature review</w:t>
            </w:r>
          </w:p>
        </w:tc>
        <w:tc>
          <w:tcPr>
            <w:tcW w:w="1300" w:type="pct"/>
            <w:tcBorders>
              <w:top w:val="nil"/>
              <w:left w:val="nil"/>
              <w:bottom w:val="single" w:sz="4" w:space="0" w:color="B0B0B0"/>
              <w:right w:val="single" w:sz="4" w:space="0" w:color="B0B0B0"/>
            </w:tcBorders>
            <w:shd w:val="clear" w:color="E2EFDA" w:fill="E2EFDA"/>
            <w:hideMark/>
          </w:tcPr>
          <w:p w14:paraId="70145DF2"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Core to the review's central thesis on trust</w:t>
            </w:r>
          </w:p>
        </w:tc>
      </w:tr>
      <w:tr w:rsidR="00F702C4" w:rsidRPr="00F25C44" w14:paraId="248A308F"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E2EFDA" w:fill="E2EFDA"/>
            <w:noWrap/>
            <w:hideMark/>
          </w:tcPr>
          <w:p w14:paraId="3730CF98"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t>SRC-030</w:t>
            </w:r>
          </w:p>
        </w:tc>
        <w:tc>
          <w:tcPr>
            <w:tcW w:w="826" w:type="pct"/>
            <w:tcBorders>
              <w:top w:val="nil"/>
              <w:left w:val="nil"/>
              <w:bottom w:val="single" w:sz="4" w:space="0" w:color="B0B0B0"/>
              <w:right w:val="single" w:sz="4" w:space="0" w:color="B0B0B0"/>
            </w:tcBorders>
            <w:shd w:val="clear" w:color="E2EFDA" w:fill="E2EFDA"/>
            <w:hideMark/>
          </w:tcPr>
          <w:p w14:paraId="6698D854"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proofErr w:type="spellStart"/>
            <w:r w:rsidRPr="00F25C44">
              <w:rPr>
                <w:rFonts w:ascii="Times New Roman" w:eastAsia="Times New Roman" w:hAnsi="Times New Roman" w:cs="Times New Roman"/>
                <w:sz w:val="20"/>
                <w:szCs w:val="20"/>
                <w:lang w:eastAsia="en-IN"/>
              </w:rPr>
              <w:t>Thiebes</w:t>
            </w:r>
            <w:proofErr w:type="spellEnd"/>
            <w:r w:rsidRPr="00F25C44">
              <w:rPr>
                <w:rFonts w:ascii="Times New Roman" w:eastAsia="Times New Roman" w:hAnsi="Times New Roman" w:cs="Times New Roman"/>
                <w:sz w:val="20"/>
                <w:szCs w:val="20"/>
                <w:lang w:eastAsia="en-IN"/>
              </w:rPr>
              <w:t xml:space="preserve"> et al. (2021)</w:t>
            </w:r>
          </w:p>
        </w:tc>
        <w:tc>
          <w:tcPr>
            <w:tcW w:w="645" w:type="pct"/>
            <w:tcBorders>
              <w:top w:val="nil"/>
              <w:left w:val="nil"/>
              <w:bottom w:val="single" w:sz="4" w:space="0" w:color="B0B0B0"/>
              <w:right w:val="single" w:sz="4" w:space="0" w:color="B0B0B0"/>
            </w:tcBorders>
            <w:shd w:val="clear" w:color="E2EFDA" w:fill="E2EFDA"/>
            <w:hideMark/>
          </w:tcPr>
          <w:p w14:paraId="10AFEDC1"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C2: AI Adoption &amp; Readiness</w:t>
            </w:r>
          </w:p>
        </w:tc>
        <w:tc>
          <w:tcPr>
            <w:tcW w:w="849" w:type="pct"/>
            <w:tcBorders>
              <w:top w:val="nil"/>
              <w:left w:val="nil"/>
              <w:bottom w:val="single" w:sz="4" w:space="0" w:color="B0B0B0"/>
              <w:right w:val="single" w:sz="4" w:space="0" w:color="B0B0B0"/>
            </w:tcBorders>
            <w:shd w:val="clear" w:color="E2EFDA" w:fill="E2EFDA"/>
            <w:hideMark/>
          </w:tcPr>
          <w:p w14:paraId="4840B36B"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Beneficence; non-maleficence</w:t>
            </w:r>
          </w:p>
        </w:tc>
        <w:tc>
          <w:tcPr>
            <w:tcW w:w="975" w:type="pct"/>
            <w:tcBorders>
              <w:top w:val="nil"/>
              <w:left w:val="nil"/>
              <w:bottom w:val="single" w:sz="4" w:space="0" w:color="B0B0B0"/>
              <w:right w:val="single" w:sz="4" w:space="0" w:color="B0B0B0"/>
            </w:tcBorders>
            <w:shd w:val="clear" w:color="E2EFDA" w:fill="E2EFDA"/>
            <w:hideMark/>
          </w:tcPr>
          <w:p w14:paraId="752FF373"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Conceptual synthesis of AI ethics principles into</w:t>
            </w:r>
          </w:p>
        </w:tc>
        <w:tc>
          <w:tcPr>
            <w:tcW w:w="1300" w:type="pct"/>
            <w:tcBorders>
              <w:top w:val="nil"/>
              <w:left w:val="nil"/>
              <w:bottom w:val="single" w:sz="4" w:space="0" w:color="B0B0B0"/>
              <w:right w:val="single" w:sz="4" w:space="0" w:color="B0B0B0"/>
            </w:tcBorders>
            <w:shd w:val="clear" w:color="E2EFDA" w:fill="E2EFDA"/>
            <w:hideMark/>
          </w:tcPr>
          <w:p w14:paraId="4B9B6BFA"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Connects readiness to ethical-governance vocabulary in Part 3</w:t>
            </w:r>
          </w:p>
        </w:tc>
      </w:tr>
      <w:tr w:rsidR="00F702C4" w:rsidRPr="00F25C44" w14:paraId="683D1816"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E2EFDA" w:fill="E2EFDA"/>
            <w:noWrap/>
            <w:hideMark/>
          </w:tcPr>
          <w:p w14:paraId="6475B683"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t>SRC-031</w:t>
            </w:r>
          </w:p>
        </w:tc>
        <w:tc>
          <w:tcPr>
            <w:tcW w:w="826" w:type="pct"/>
            <w:tcBorders>
              <w:top w:val="nil"/>
              <w:left w:val="nil"/>
              <w:bottom w:val="single" w:sz="4" w:space="0" w:color="B0B0B0"/>
              <w:right w:val="single" w:sz="4" w:space="0" w:color="B0B0B0"/>
            </w:tcBorders>
            <w:shd w:val="clear" w:color="E2EFDA" w:fill="E2EFDA"/>
            <w:hideMark/>
          </w:tcPr>
          <w:p w14:paraId="12E7B442"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proofErr w:type="spellStart"/>
            <w:r w:rsidRPr="00F25C44">
              <w:rPr>
                <w:rFonts w:ascii="Times New Roman" w:eastAsia="Times New Roman" w:hAnsi="Times New Roman" w:cs="Times New Roman"/>
                <w:sz w:val="20"/>
                <w:szCs w:val="20"/>
                <w:lang w:eastAsia="en-IN"/>
              </w:rPr>
              <w:t>Siau</w:t>
            </w:r>
            <w:proofErr w:type="spellEnd"/>
            <w:r w:rsidRPr="00F25C44">
              <w:rPr>
                <w:rFonts w:ascii="Times New Roman" w:eastAsia="Times New Roman" w:hAnsi="Times New Roman" w:cs="Times New Roman"/>
                <w:sz w:val="20"/>
                <w:szCs w:val="20"/>
                <w:lang w:eastAsia="en-IN"/>
              </w:rPr>
              <w:t xml:space="preserve"> &amp; Wang (2018)</w:t>
            </w:r>
          </w:p>
        </w:tc>
        <w:tc>
          <w:tcPr>
            <w:tcW w:w="645" w:type="pct"/>
            <w:tcBorders>
              <w:top w:val="nil"/>
              <w:left w:val="nil"/>
              <w:bottom w:val="single" w:sz="4" w:space="0" w:color="B0B0B0"/>
              <w:right w:val="single" w:sz="4" w:space="0" w:color="B0B0B0"/>
            </w:tcBorders>
            <w:shd w:val="clear" w:color="E2EFDA" w:fill="E2EFDA"/>
            <w:hideMark/>
          </w:tcPr>
          <w:p w14:paraId="5DFAF455"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C2: AI Adoption &amp; Readiness</w:t>
            </w:r>
          </w:p>
        </w:tc>
        <w:tc>
          <w:tcPr>
            <w:tcW w:w="849" w:type="pct"/>
            <w:tcBorders>
              <w:top w:val="nil"/>
              <w:left w:val="nil"/>
              <w:bottom w:val="single" w:sz="4" w:space="0" w:color="B0B0B0"/>
              <w:right w:val="single" w:sz="4" w:space="0" w:color="B0B0B0"/>
            </w:tcBorders>
            <w:shd w:val="clear" w:color="E2EFDA" w:fill="E2EFDA"/>
            <w:hideMark/>
          </w:tcPr>
          <w:p w14:paraId="7F7C4F18"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Expert endorsement; validation</w:t>
            </w:r>
          </w:p>
        </w:tc>
        <w:tc>
          <w:tcPr>
            <w:tcW w:w="975" w:type="pct"/>
            <w:tcBorders>
              <w:top w:val="nil"/>
              <w:left w:val="nil"/>
              <w:bottom w:val="single" w:sz="4" w:space="0" w:color="B0B0B0"/>
              <w:right w:val="single" w:sz="4" w:space="0" w:color="B0B0B0"/>
            </w:tcBorders>
            <w:shd w:val="clear" w:color="E2EFDA" w:fill="E2EFDA"/>
            <w:hideMark/>
          </w:tcPr>
          <w:p w14:paraId="5EF35356"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Conceptual/practitioner-oriented analysis</w:t>
            </w:r>
          </w:p>
        </w:tc>
        <w:tc>
          <w:tcPr>
            <w:tcW w:w="1300" w:type="pct"/>
            <w:tcBorders>
              <w:top w:val="nil"/>
              <w:left w:val="nil"/>
              <w:bottom w:val="single" w:sz="4" w:space="0" w:color="B0B0B0"/>
              <w:right w:val="single" w:sz="4" w:space="0" w:color="B0B0B0"/>
            </w:tcBorders>
            <w:shd w:val="clear" w:color="E2EFDA" w:fill="E2EFDA"/>
            <w:hideMark/>
          </w:tcPr>
          <w:p w14:paraId="37D101C1"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Trust-building mechanisms transferable to AI rollout strategy</w:t>
            </w:r>
          </w:p>
        </w:tc>
      </w:tr>
      <w:tr w:rsidR="00F702C4" w:rsidRPr="00F25C44" w14:paraId="4EDC6592"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E2EFDA" w:fill="E2EFDA"/>
            <w:noWrap/>
            <w:hideMark/>
          </w:tcPr>
          <w:p w14:paraId="0AD1EF11"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t>SRC-032</w:t>
            </w:r>
          </w:p>
        </w:tc>
        <w:tc>
          <w:tcPr>
            <w:tcW w:w="826" w:type="pct"/>
            <w:tcBorders>
              <w:top w:val="nil"/>
              <w:left w:val="nil"/>
              <w:bottom w:val="single" w:sz="4" w:space="0" w:color="B0B0B0"/>
              <w:right w:val="single" w:sz="4" w:space="0" w:color="B0B0B0"/>
            </w:tcBorders>
            <w:shd w:val="clear" w:color="E2EFDA" w:fill="E2EFDA"/>
            <w:hideMark/>
          </w:tcPr>
          <w:p w14:paraId="32CD284F"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proofErr w:type="spellStart"/>
            <w:r w:rsidRPr="00F25C44">
              <w:rPr>
                <w:rFonts w:ascii="Times New Roman" w:eastAsia="Times New Roman" w:hAnsi="Times New Roman" w:cs="Times New Roman"/>
                <w:sz w:val="20"/>
                <w:szCs w:val="20"/>
                <w:lang w:eastAsia="en-IN"/>
              </w:rPr>
              <w:t>Lichtenthaler</w:t>
            </w:r>
            <w:proofErr w:type="spellEnd"/>
            <w:r w:rsidRPr="00F25C44">
              <w:rPr>
                <w:rFonts w:ascii="Times New Roman" w:eastAsia="Times New Roman" w:hAnsi="Times New Roman" w:cs="Times New Roman"/>
                <w:sz w:val="20"/>
                <w:szCs w:val="20"/>
                <w:lang w:eastAsia="en-IN"/>
              </w:rPr>
              <w:t xml:space="preserve"> (2020)</w:t>
            </w:r>
          </w:p>
        </w:tc>
        <w:tc>
          <w:tcPr>
            <w:tcW w:w="645" w:type="pct"/>
            <w:tcBorders>
              <w:top w:val="nil"/>
              <w:left w:val="nil"/>
              <w:bottom w:val="single" w:sz="4" w:space="0" w:color="B0B0B0"/>
              <w:right w:val="single" w:sz="4" w:space="0" w:color="B0B0B0"/>
            </w:tcBorders>
            <w:shd w:val="clear" w:color="E2EFDA" w:fill="E2EFDA"/>
            <w:hideMark/>
          </w:tcPr>
          <w:p w14:paraId="03901CF8"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C2: AI Adoption &amp; Readiness</w:t>
            </w:r>
          </w:p>
        </w:tc>
        <w:tc>
          <w:tcPr>
            <w:tcW w:w="849" w:type="pct"/>
            <w:tcBorders>
              <w:top w:val="nil"/>
              <w:left w:val="nil"/>
              <w:bottom w:val="single" w:sz="4" w:space="0" w:color="B0B0B0"/>
              <w:right w:val="single" w:sz="4" w:space="0" w:color="B0B0B0"/>
            </w:tcBorders>
            <w:shd w:val="clear" w:color="E2EFDA" w:fill="E2EFDA"/>
            <w:hideMark/>
          </w:tcPr>
          <w:p w14:paraId="4AB40765"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Bimodal acceptance/rejection attitudes; managerial implications</w:t>
            </w:r>
          </w:p>
        </w:tc>
        <w:tc>
          <w:tcPr>
            <w:tcW w:w="975" w:type="pct"/>
            <w:tcBorders>
              <w:top w:val="nil"/>
              <w:left w:val="nil"/>
              <w:bottom w:val="single" w:sz="4" w:space="0" w:color="B0B0B0"/>
              <w:right w:val="single" w:sz="4" w:space="0" w:color="B0B0B0"/>
            </w:tcBorders>
            <w:shd w:val="clear" w:color="E2EFDA" w:fill="E2EFDA"/>
            <w:hideMark/>
          </w:tcPr>
          <w:p w14:paraId="778C9B75"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Conceptual analysis with practitioner survey evidence</w:t>
            </w:r>
          </w:p>
        </w:tc>
        <w:tc>
          <w:tcPr>
            <w:tcW w:w="1300" w:type="pct"/>
            <w:tcBorders>
              <w:top w:val="nil"/>
              <w:left w:val="nil"/>
              <w:bottom w:val="single" w:sz="4" w:space="0" w:color="B0B0B0"/>
              <w:right w:val="single" w:sz="4" w:space="0" w:color="B0B0B0"/>
            </w:tcBorders>
            <w:shd w:val="clear" w:color="E2EFDA" w:fill="E2EFDA"/>
            <w:hideMark/>
          </w:tcPr>
          <w:p w14:paraId="6834DBAD"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Nuances the 'acceptance' construct central to the study</w:t>
            </w:r>
          </w:p>
        </w:tc>
      </w:tr>
      <w:tr w:rsidR="00F702C4" w:rsidRPr="00F25C44" w14:paraId="08109010"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E2EFDA" w:fill="E2EFDA"/>
            <w:noWrap/>
            <w:hideMark/>
          </w:tcPr>
          <w:p w14:paraId="78317730"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t>SRC-033</w:t>
            </w:r>
          </w:p>
        </w:tc>
        <w:tc>
          <w:tcPr>
            <w:tcW w:w="826" w:type="pct"/>
            <w:tcBorders>
              <w:top w:val="nil"/>
              <w:left w:val="nil"/>
              <w:bottom w:val="single" w:sz="4" w:space="0" w:color="B0B0B0"/>
              <w:right w:val="single" w:sz="4" w:space="0" w:color="B0B0B0"/>
            </w:tcBorders>
            <w:shd w:val="clear" w:color="E2EFDA" w:fill="E2EFDA"/>
            <w:hideMark/>
          </w:tcPr>
          <w:p w14:paraId="1CB674E2"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proofErr w:type="spellStart"/>
            <w:r w:rsidRPr="00F25C44">
              <w:rPr>
                <w:rFonts w:ascii="Times New Roman" w:eastAsia="Times New Roman" w:hAnsi="Times New Roman" w:cs="Times New Roman"/>
                <w:sz w:val="20"/>
                <w:szCs w:val="20"/>
                <w:lang w:eastAsia="en-IN"/>
              </w:rPr>
              <w:t>Bedué</w:t>
            </w:r>
            <w:proofErr w:type="spellEnd"/>
            <w:r w:rsidRPr="00F25C44">
              <w:rPr>
                <w:rFonts w:ascii="Times New Roman" w:eastAsia="Times New Roman" w:hAnsi="Times New Roman" w:cs="Times New Roman"/>
                <w:sz w:val="20"/>
                <w:szCs w:val="20"/>
                <w:lang w:eastAsia="en-IN"/>
              </w:rPr>
              <w:t xml:space="preserve"> &amp; </w:t>
            </w:r>
            <w:proofErr w:type="spellStart"/>
            <w:r w:rsidRPr="00F25C44">
              <w:rPr>
                <w:rFonts w:ascii="Times New Roman" w:eastAsia="Times New Roman" w:hAnsi="Times New Roman" w:cs="Times New Roman"/>
                <w:sz w:val="20"/>
                <w:szCs w:val="20"/>
                <w:lang w:eastAsia="en-IN"/>
              </w:rPr>
              <w:t>Fritzsche</w:t>
            </w:r>
            <w:proofErr w:type="spellEnd"/>
            <w:r w:rsidRPr="00F25C44">
              <w:rPr>
                <w:rFonts w:ascii="Times New Roman" w:eastAsia="Times New Roman" w:hAnsi="Times New Roman" w:cs="Times New Roman"/>
                <w:sz w:val="20"/>
                <w:szCs w:val="20"/>
                <w:lang w:eastAsia="en-IN"/>
              </w:rPr>
              <w:t xml:space="preserve"> (2022)</w:t>
            </w:r>
          </w:p>
        </w:tc>
        <w:tc>
          <w:tcPr>
            <w:tcW w:w="645" w:type="pct"/>
            <w:tcBorders>
              <w:top w:val="nil"/>
              <w:left w:val="nil"/>
              <w:bottom w:val="single" w:sz="4" w:space="0" w:color="B0B0B0"/>
              <w:right w:val="single" w:sz="4" w:space="0" w:color="B0B0B0"/>
            </w:tcBorders>
            <w:shd w:val="clear" w:color="E2EFDA" w:fill="E2EFDA"/>
            <w:hideMark/>
          </w:tcPr>
          <w:p w14:paraId="1EAED31A"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C2: AI Adoption &amp; Readiness</w:t>
            </w:r>
          </w:p>
        </w:tc>
        <w:tc>
          <w:tcPr>
            <w:tcW w:w="849" w:type="pct"/>
            <w:tcBorders>
              <w:top w:val="nil"/>
              <w:left w:val="nil"/>
              <w:bottom w:val="single" w:sz="4" w:space="0" w:color="B0B0B0"/>
              <w:right w:val="single" w:sz="4" w:space="0" w:color="B0B0B0"/>
            </w:tcBorders>
            <w:shd w:val="clear" w:color="E2EFDA" w:fill="E2EFDA"/>
            <w:hideMark/>
          </w:tcPr>
          <w:p w14:paraId="33E54D7C"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Trust requirements; transparency</w:t>
            </w:r>
          </w:p>
        </w:tc>
        <w:tc>
          <w:tcPr>
            <w:tcW w:w="975" w:type="pct"/>
            <w:tcBorders>
              <w:top w:val="nil"/>
              <w:left w:val="nil"/>
              <w:bottom w:val="single" w:sz="4" w:space="0" w:color="B0B0B0"/>
              <w:right w:val="single" w:sz="4" w:space="0" w:color="B0B0B0"/>
            </w:tcBorders>
            <w:shd w:val="clear" w:color="E2EFDA" w:fill="E2EFDA"/>
            <w:hideMark/>
          </w:tcPr>
          <w:p w14:paraId="7EDA5AFF"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Mixed-methods empirical investigation</w:t>
            </w:r>
          </w:p>
        </w:tc>
        <w:tc>
          <w:tcPr>
            <w:tcW w:w="1300" w:type="pct"/>
            <w:tcBorders>
              <w:top w:val="nil"/>
              <w:left w:val="nil"/>
              <w:bottom w:val="single" w:sz="4" w:space="0" w:color="B0B0B0"/>
              <w:right w:val="single" w:sz="4" w:space="0" w:color="B0B0B0"/>
            </w:tcBorders>
            <w:shd w:val="clear" w:color="E2EFDA" w:fill="E2EFDA"/>
            <w:hideMark/>
          </w:tcPr>
          <w:p w14:paraId="19E1D762"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Core empirical pillar linking trust to adoption success</w:t>
            </w:r>
          </w:p>
        </w:tc>
      </w:tr>
      <w:tr w:rsidR="00F702C4" w:rsidRPr="00F25C44" w14:paraId="3D85A5F6"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E2EFDA" w:fill="E2EFDA"/>
            <w:noWrap/>
            <w:hideMark/>
          </w:tcPr>
          <w:p w14:paraId="7E7377E5"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t>SRC-034</w:t>
            </w:r>
          </w:p>
        </w:tc>
        <w:tc>
          <w:tcPr>
            <w:tcW w:w="826" w:type="pct"/>
            <w:tcBorders>
              <w:top w:val="nil"/>
              <w:left w:val="nil"/>
              <w:bottom w:val="single" w:sz="4" w:space="0" w:color="B0B0B0"/>
              <w:right w:val="single" w:sz="4" w:space="0" w:color="B0B0B0"/>
            </w:tcBorders>
            <w:shd w:val="clear" w:color="E2EFDA" w:fill="E2EFDA"/>
            <w:hideMark/>
          </w:tcPr>
          <w:p w14:paraId="2ECB9456"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ScienceDirect (2025)</w:t>
            </w:r>
          </w:p>
        </w:tc>
        <w:tc>
          <w:tcPr>
            <w:tcW w:w="645" w:type="pct"/>
            <w:tcBorders>
              <w:top w:val="nil"/>
              <w:left w:val="nil"/>
              <w:bottom w:val="single" w:sz="4" w:space="0" w:color="B0B0B0"/>
              <w:right w:val="single" w:sz="4" w:space="0" w:color="B0B0B0"/>
            </w:tcBorders>
            <w:shd w:val="clear" w:color="E2EFDA" w:fill="E2EFDA"/>
            <w:hideMark/>
          </w:tcPr>
          <w:p w14:paraId="530682BB"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C2: AI Adoption &amp; Readiness</w:t>
            </w:r>
          </w:p>
        </w:tc>
        <w:tc>
          <w:tcPr>
            <w:tcW w:w="849" w:type="pct"/>
            <w:tcBorders>
              <w:top w:val="nil"/>
              <w:left w:val="nil"/>
              <w:bottom w:val="single" w:sz="4" w:space="0" w:color="B0B0B0"/>
              <w:right w:val="single" w:sz="4" w:space="0" w:color="B0B0B0"/>
            </w:tcBorders>
            <w:shd w:val="clear" w:color="E2EFDA" w:fill="E2EFDA"/>
            <w:hideMark/>
          </w:tcPr>
          <w:p w14:paraId="3BD21175"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Attitudes toward AI; organisational support</w:t>
            </w:r>
          </w:p>
        </w:tc>
        <w:tc>
          <w:tcPr>
            <w:tcW w:w="975" w:type="pct"/>
            <w:tcBorders>
              <w:top w:val="nil"/>
              <w:left w:val="nil"/>
              <w:bottom w:val="single" w:sz="4" w:space="0" w:color="B0B0B0"/>
              <w:right w:val="single" w:sz="4" w:space="0" w:color="B0B0B0"/>
            </w:tcBorders>
            <w:shd w:val="clear" w:color="E2EFDA" w:fill="E2EFDA"/>
            <w:hideMark/>
          </w:tcPr>
          <w:p w14:paraId="04F480F6"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Longitudinal survey analysis</w:t>
            </w:r>
          </w:p>
        </w:tc>
        <w:tc>
          <w:tcPr>
            <w:tcW w:w="1300" w:type="pct"/>
            <w:tcBorders>
              <w:top w:val="nil"/>
              <w:left w:val="nil"/>
              <w:bottom w:val="single" w:sz="4" w:space="0" w:color="B0B0B0"/>
              <w:right w:val="single" w:sz="4" w:space="0" w:color="B0B0B0"/>
            </w:tcBorders>
            <w:shd w:val="clear" w:color="E2EFDA" w:fill="E2EFDA"/>
            <w:hideMark/>
          </w:tcPr>
          <w:p w14:paraId="33040D79"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Shows attitudes and trust jointly shape adoption trajectories</w:t>
            </w:r>
          </w:p>
        </w:tc>
      </w:tr>
      <w:tr w:rsidR="00F702C4" w:rsidRPr="00F25C44" w14:paraId="332BD7C6"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E2EFDA" w:fill="E2EFDA"/>
            <w:noWrap/>
            <w:hideMark/>
          </w:tcPr>
          <w:p w14:paraId="4B3CA163"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t>SRC-035</w:t>
            </w:r>
          </w:p>
        </w:tc>
        <w:tc>
          <w:tcPr>
            <w:tcW w:w="826" w:type="pct"/>
            <w:tcBorders>
              <w:top w:val="nil"/>
              <w:left w:val="nil"/>
              <w:bottom w:val="single" w:sz="4" w:space="0" w:color="B0B0B0"/>
              <w:right w:val="single" w:sz="4" w:space="0" w:color="B0B0B0"/>
            </w:tcBorders>
            <w:shd w:val="clear" w:color="E2EFDA" w:fill="E2EFDA"/>
            <w:hideMark/>
          </w:tcPr>
          <w:p w14:paraId="700836B1"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ScienceDirect (2026)</w:t>
            </w:r>
          </w:p>
        </w:tc>
        <w:tc>
          <w:tcPr>
            <w:tcW w:w="645" w:type="pct"/>
            <w:tcBorders>
              <w:top w:val="nil"/>
              <w:left w:val="nil"/>
              <w:bottom w:val="single" w:sz="4" w:space="0" w:color="B0B0B0"/>
              <w:right w:val="single" w:sz="4" w:space="0" w:color="B0B0B0"/>
            </w:tcBorders>
            <w:shd w:val="clear" w:color="E2EFDA" w:fill="E2EFDA"/>
            <w:hideMark/>
          </w:tcPr>
          <w:p w14:paraId="06271B71"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C2: AI Adoption &amp; Readiness</w:t>
            </w:r>
          </w:p>
        </w:tc>
        <w:tc>
          <w:tcPr>
            <w:tcW w:w="849" w:type="pct"/>
            <w:tcBorders>
              <w:top w:val="nil"/>
              <w:left w:val="nil"/>
              <w:bottom w:val="single" w:sz="4" w:space="0" w:color="B0B0B0"/>
              <w:right w:val="single" w:sz="4" w:space="0" w:color="B0B0B0"/>
            </w:tcBorders>
            <w:shd w:val="clear" w:color="E2EFDA" w:fill="E2EFDA"/>
            <w:hideMark/>
          </w:tcPr>
          <w:p w14:paraId="25546A56"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AI transparency; change readiness</w:t>
            </w:r>
          </w:p>
        </w:tc>
        <w:tc>
          <w:tcPr>
            <w:tcW w:w="975" w:type="pct"/>
            <w:tcBorders>
              <w:top w:val="nil"/>
              <w:left w:val="nil"/>
              <w:bottom w:val="single" w:sz="4" w:space="0" w:color="B0B0B0"/>
              <w:right w:val="single" w:sz="4" w:space="0" w:color="B0B0B0"/>
            </w:tcBorders>
            <w:shd w:val="clear" w:color="E2EFDA" w:fill="E2EFDA"/>
            <w:hideMark/>
          </w:tcPr>
          <w:p w14:paraId="32802622"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Survey-based mediation model (hospitality sector)</w:t>
            </w:r>
          </w:p>
        </w:tc>
        <w:tc>
          <w:tcPr>
            <w:tcW w:w="1300" w:type="pct"/>
            <w:tcBorders>
              <w:top w:val="nil"/>
              <w:left w:val="nil"/>
              <w:bottom w:val="single" w:sz="4" w:space="0" w:color="B0B0B0"/>
              <w:right w:val="single" w:sz="4" w:space="0" w:color="B0B0B0"/>
            </w:tcBorders>
            <w:shd w:val="clear" w:color="E2EFDA" w:fill="E2EFDA"/>
            <w:hideMark/>
          </w:tcPr>
          <w:p w14:paraId="7943A55D"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Supports the governance-readiness link central to the thesis</w:t>
            </w:r>
          </w:p>
        </w:tc>
      </w:tr>
      <w:tr w:rsidR="00F702C4" w:rsidRPr="00F25C44" w14:paraId="09EF9F9F"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E2EFDA" w:fill="E2EFDA"/>
            <w:noWrap/>
            <w:hideMark/>
          </w:tcPr>
          <w:p w14:paraId="34018B7D"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lastRenderedPageBreak/>
              <w:t>SRC-036</w:t>
            </w:r>
          </w:p>
        </w:tc>
        <w:tc>
          <w:tcPr>
            <w:tcW w:w="826" w:type="pct"/>
            <w:tcBorders>
              <w:top w:val="nil"/>
              <w:left w:val="nil"/>
              <w:bottom w:val="single" w:sz="4" w:space="0" w:color="B0B0B0"/>
              <w:right w:val="single" w:sz="4" w:space="0" w:color="B0B0B0"/>
            </w:tcBorders>
            <w:shd w:val="clear" w:color="E2EFDA" w:fill="E2EFDA"/>
            <w:hideMark/>
          </w:tcPr>
          <w:p w14:paraId="3A511BF8"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Frontiers in Artificial Intelligence (2024)</w:t>
            </w:r>
          </w:p>
        </w:tc>
        <w:tc>
          <w:tcPr>
            <w:tcW w:w="645" w:type="pct"/>
            <w:tcBorders>
              <w:top w:val="nil"/>
              <w:left w:val="nil"/>
              <w:bottom w:val="single" w:sz="4" w:space="0" w:color="B0B0B0"/>
              <w:right w:val="single" w:sz="4" w:space="0" w:color="B0B0B0"/>
            </w:tcBorders>
            <w:shd w:val="clear" w:color="E2EFDA" w:fill="E2EFDA"/>
            <w:hideMark/>
          </w:tcPr>
          <w:p w14:paraId="54AABF9A"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C2: AI Adoption &amp; Readiness</w:t>
            </w:r>
          </w:p>
        </w:tc>
        <w:tc>
          <w:tcPr>
            <w:tcW w:w="849" w:type="pct"/>
            <w:tcBorders>
              <w:top w:val="nil"/>
              <w:left w:val="nil"/>
              <w:bottom w:val="single" w:sz="4" w:space="0" w:color="B0B0B0"/>
              <w:right w:val="single" w:sz="4" w:space="0" w:color="B0B0B0"/>
            </w:tcBorders>
            <w:shd w:val="clear" w:color="E2EFDA" w:fill="E2EFDA"/>
            <w:hideMark/>
          </w:tcPr>
          <w:p w14:paraId="35854DDD"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Publication trends; theoretical perspectives (resource, stress, cognitive, motivational)</w:t>
            </w:r>
          </w:p>
        </w:tc>
        <w:tc>
          <w:tcPr>
            <w:tcW w:w="975" w:type="pct"/>
            <w:tcBorders>
              <w:top w:val="nil"/>
              <w:left w:val="nil"/>
              <w:bottom w:val="single" w:sz="4" w:space="0" w:color="B0B0B0"/>
              <w:right w:val="single" w:sz="4" w:space="0" w:color="B0B0B0"/>
            </w:tcBorders>
            <w:shd w:val="clear" w:color="E2EFDA" w:fill="E2EFDA"/>
            <w:hideMark/>
          </w:tcPr>
          <w:p w14:paraId="5608E5BC"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Bibliometric analysis and systematic review</w:t>
            </w:r>
          </w:p>
        </w:tc>
        <w:tc>
          <w:tcPr>
            <w:tcW w:w="1300" w:type="pct"/>
            <w:tcBorders>
              <w:top w:val="nil"/>
              <w:left w:val="nil"/>
              <w:bottom w:val="single" w:sz="4" w:space="0" w:color="B0B0B0"/>
              <w:right w:val="single" w:sz="4" w:space="0" w:color="B0B0B0"/>
            </w:tcBorders>
            <w:shd w:val="clear" w:color="E2EFDA" w:fill="E2EFDA"/>
            <w:hideMark/>
          </w:tcPr>
          <w:p w14:paraId="2E623DF5"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Justifies the five-cluster organisation of this bibliography</w:t>
            </w:r>
          </w:p>
        </w:tc>
      </w:tr>
      <w:tr w:rsidR="00F702C4" w:rsidRPr="00F25C44" w14:paraId="0985A90B"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E2EFDA" w:fill="E2EFDA"/>
            <w:noWrap/>
            <w:hideMark/>
          </w:tcPr>
          <w:p w14:paraId="48CB5268"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t>SRC-037</w:t>
            </w:r>
          </w:p>
        </w:tc>
        <w:tc>
          <w:tcPr>
            <w:tcW w:w="826" w:type="pct"/>
            <w:tcBorders>
              <w:top w:val="nil"/>
              <w:left w:val="nil"/>
              <w:bottom w:val="single" w:sz="4" w:space="0" w:color="B0B0B0"/>
              <w:right w:val="single" w:sz="4" w:space="0" w:color="B0B0B0"/>
            </w:tcBorders>
            <w:shd w:val="clear" w:color="E2EFDA" w:fill="E2EFDA"/>
            <w:hideMark/>
          </w:tcPr>
          <w:p w14:paraId="3B2529BC"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Springer Nature (2025)</w:t>
            </w:r>
          </w:p>
        </w:tc>
        <w:tc>
          <w:tcPr>
            <w:tcW w:w="645" w:type="pct"/>
            <w:tcBorders>
              <w:top w:val="nil"/>
              <w:left w:val="nil"/>
              <w:bottom w:val="single" w:sz="4" w:space="0" w:color="B0B0B0"/>
              <w:right w:val="single" w:sz="4" w:space="0" w:color="B0B0B0"/>
            </w:tcBorders>
            <w:shd w:val="clear" w:color="E2EFDA" w:fill="E2EFDA"/>
            <w:hideMark/>
          </w:tcPr>
          <w:p w14:paraId="1BBEF5DA"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C2: AI Adoption &amp; Readiness</w:t>
            </w:r>
          </w:p>
        </w:tc>
        <w:tc>
          <w:tcPr>
            <w:tcW w:w="849" w:type="pct"/>
            <w:tcBorders>
              <w:top w:val="nil"/>
              <w:left w:val="nil"/>
              <w:bottom w:val="single" w:sz="4" w:space="0" w:color="B0B0B0"/>
              <w:right w:val="single" w:sz="4" w:space="0" w:color="B0B0B0"/>
            </w:tcBorders>
            <w:shd w:val="clear" w:color="E2EFDA" w:fill="E2EFDA"/>
            <w:hideMark/>
          </w:tcPr>
          <w:p w14:paraId="07EA7CE6"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Social exchange theory; commitment climate</w:t>
            </w:r>
          </w:p>
        </w:tc>
        <w:tc>
          <w:tcPr>
            <w:tcW w:w="975" w:type="pct"/>
            <w:tcBorders>
              <w:top w:val="nil"/>
              <w:left w:val="nil"/>
              <w:bottom w:val="single" w:sz="4" w:space="0" w:color="B0B0B0"/>
              <w:right w:val="single" w:sz="4" w:space="0" w:color="B0B0B0"/>
            </w:tcBorders>
            <w:shd w:val="clear" w:color="E2EFDA" w:fill="E2EFDA"/>
            <w:hideMark/>
          </w:tcPr>
          <w:p w14:paraId="49C628B8"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Systematic literature review</w:t>
            </w:r>
          </w:p>
        </w:tc>
        <w:tc>
          <w:tcPr>
            <w:tcW w:w="1300" w:type="pct"/>
            <w:tcBorders>
              <w:top w:val="nil"/>
              <w:left w:val="nil"/>
              <w:bottom w:val="single" w:sz="4" w:space="0" w:color="B0B0B0"/>
              <w:right w:val="single" w:sz="4" w:space="0" w:color="B0B0B0"/>
            </w:tcBorders>
            <w:shd w:val="clear" w:color="E2EFDA" w:fill="E2EFDA"/>
            <w:hideMark/>
          </w:tcPr>
          <w:p w14:paraId="5214F847"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Explains AI tools reciprocated with employee trust and engagement</w:t>
            </w:r>
          </w:p>
        </w:tc>
      </w:tr>
      <w:tr w:rsidR="00F702C4" w:rsidRPr="00F25C44" w14:paraId="0EEE64C8"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E2EFDA" w:fill="E2EFDA"/>
            <w:noWrap/>
            <w:hideMark/>
          </w:tcPr>
          <w:p w14:paraId="67B2B807"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t>SRC-038</w:t>
            </w:r>
          </w:p>
        </w:tc>
        <w:tc>
          <w:tcPr>
            <w:tcW w:w="826" w:type="pct"/>
            <w:tcBorders>
              <w:top w:val="nil"/>
              <w:left w:val="nil"/>
              <w:bottom w:val="single" w:sz="4" w:space="0" w:color="B0B0B0"/>
              <w:right w:val="single" w:sz="4" w:space="0" w:color="B0B0B0"/>
            </w:tcBorders>
            <w:shd w:val="clear" w:color="E2EFDA" w:fill="E2EFDA"/>
            <w:hideMark/>
          </w:tcPr>
          <w:p w14:paraId="4E4AC4C0"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ResearchGate (2025)</w:t>
            </w:r>
          </w:p>
        </w:tc>
        <w:tc>
          <w:tcPr>
            <w:tcW w:w="645" w:type="pct"/>
            <w:tcBorders>
              <w:top w:val="nil"/>
              <w:left w:val="nil"/>
              <w:bottom w:val="single" w:sz="4" w:space="0" w:color="B0B0B0"/>
              <w:right w:val="single" w:sz="4" w:space="0" w:color="B0B0B0"/>
            </w:tcBorders>
            <w:shd w:val="clear" w:color="E2EFDA" w:fill="E2EFDA"/>
            <w:hideMark/>
          </w:tcPr>
          <w:p w14:paraId="256ADC48"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C2: AI Adoption &amp; Readiness</w:t>
            </w:r>
          </w:p>
        </w:tc>
        <w:tc>
          <w:tcPr>
            <w:tcW w:w="849" w:type="pct"/>
            <w:tcBorders>
              <w:top w:val="nil"/>
              <w:left w:val="nil"/>
              <w:bottom w:val="single" w:sz="4" w:space="0" w:color="B0B0B0"/>
              <w:right w:val="single" w:sz="4" w:space="0" w:color="B0B0B0"/>
            </w:tcBorders>
            <w:shd w:val="clear" w:color="E2EFDA" w:fill="E2EFDA"/>
            <w:hideMark/>
          </w:tcPr>
          <w:p w14:paraId="0F918A87"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Trust; acceptance</w:t>
            </w:r>
          </w:p>
        </w:tc>
        <w:tc>
          <w:tcPr>
            <w:tcW w:w="975" w:type="pct"/>
            <w:tcBorders>
              <w:top w:val="nil"/>
              <w:left w:val="nil"/>
              <w:bottom w:val="single" w:sz="4" w:space="0" w:color="B0B0B0"/>
              <w:right w:val="single" w:sz="4" w:space="0" w:color="B0B0B0"/>
            </w:tcBorders>
            <w:shd w:val="clear" w:color="E2EFDA" w:fill="E2EFDA"/>
            <w:hideMark/>
          </w:tcPr>
          <w:p w14:paraId="5D7C24BF"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Mixed-methods survey and interview study</w:t>
            </w:r>
          </w:p>
        </w:tc>
        <w:tc>
          <w:tcPr>
            <w:tcW w:w="1300" w:type="pct"/>
            <w:tcBorders>
              <w:top w:val="nil"/>
              <w:left w:val="nil"/>
              <w:bottom w:val="single" w:sz="4" w:space="0" w:color="B0B0B0"/>
              <w:right w:val="single" w:sz="4" w:space="0" w:color="B0B0B0"/>
            </w:tcBorders>
            <w:shd w:val="clear" w:color="E2EFDA" w:fill="E2EFDA"/>
            <w:hideMark/>
          </w:tcPr>
          <w:p w14:paraId="7E9AAD11"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Supports trust as the central determinant of acceptance</w:t>
            </w:r>
          </w:p>
        </w:tc>
      </w:tr>
      <w:tr w:rsidR="00F702C4" w:rsidRPr="00F25C44" w14:paraId="00E1A602"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E2EFDA" w:fill="E2EFDA"/>
            <w:noWrap/>
            <w:hideMark/>
          </w:tcPr>
          <w:p w14:paraId="6A9D0D04"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t>SRC-039</w:t>
            </w:r>
          </w:p>
        </w:tc>
        <w:tc>
          <w:tcPr>
            <w:tcW w:w="826" w:type="pct"/>
            <w:tcBorders>
              <w:top w:val="nil"/>
              <w:left w:val="nil"/>
              <w:bottom w:val="single" w:sz="4" w:space="0" w:color="B0B0B0"/>
              <w:right w:val="single" w:sz="4" w:space="0" w:color="B0B0B0"/>
            </w:tcBorders>
            <w:shd w:val="clear" w:color="E2EFDA" w:fill="E2EFDA"/>
            <w:hideMark/>
          </w:tcPr>
          <w:p w14:paraId="260953C8"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Wang (2022)</w:t>
            </w:r>
          </w:p>
        </w:tc>
        <w:tc>
          <w:tcPr>
            <w:tcW w:w="645" w:type="pct"/>
            <w:tcBorders>
              <w:top w:val="nil"/>
              <w:left w:val="nil"/>
              <w:bottom w:val="single" w:sz="4" w:space="0" w:color="B0B0B0"/>
              <w:right w:val="single" w:sz="4" w:space="0" w:color="B0B0B0"/>
            </w:tcBorders>
            <w:shd w:val="clear" w:color="E2EFDA" w:fill="E2EFDA"/>
            <w:hideMark/>
          </w:tcPr>
          <w:p w14:paraId="4EDFE6C3"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C2: AI Adoption &amp; Readiness</w:t>
            </w:r>
          </w:p>
        </w:tc>
        <w:tc>
          <w:tcPr>
            <w:tcW w:w="849" w:type="pct"/>
            <w:tcBorders>
              <w:top w:val="nil"/>
              <w:left w:val="nil"/>
              <w:bottom w:val="single" w:sz="4" w:space="0" w:color="B0B0B0"/>
              <w:right w:val="single" w:sz="4" w:space="0" w:color="B0B0B0"/>
            </w:tcBorders>
            <w:shd w:val="clear" w:color="E2EFDA" w:fill="E2EFDA"/>
            <w:hideMark/>
          </w:tcPr>
          <w:p w14:paraId="7EA4AF23"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AI anxiety scale; learning avoidance</w:t>
            </w:r>
          </w:p>
        </w:tc>
        <w:tc>
          <w:tcPr>
            <w:tcW w:w="975" w:type="pct"/>
            <w:tcBorders>
              <w:top w:val="nil"/>
              <w:left w:val="nil"/>
              <w:bottom w:val="single" w:sz="4" w:space="0" w:color="B0B0B0"/>
              <w:right w:val="single" w:sz="4" w:space="0" w:color="B0B0B0"/>
            </w:tcBorders>
            <w:shd w:val="clear" w:color="E2EFDA" w:fill="E2EFDA"/>
            <w:hideMark/>
          </w:tcPr>
          <w:p w14:paraId="0EDFCBED"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Scale development and validation study</w:t>
            </w:r>
          </w:p>
        </w:tc>
        <w:tc>
          <w:tcPr>
            <w:tcW w:w="1300" w:type="pct"/>
            <w:tcBorders>
              <w:top w:val="nil"/>
              <w:left w:val="nil"/>
              <w:bottom w:val="single" w:sz="4" w:space="0" w:color="B0B0B0"/>
              <w:right w:val="single" w:sz="4" w:space="0" w:color="B0B0B0"/>
            </w:tcBorders>
            <w:shd w:val="clear" w:color="E2EFDA" w:fill="E2EFDA"/>
            <w:hideMark/>
          </w:tcPr>
          <w:p w14:paraId="3A9F0077"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Usable for measuring emotional barriers to acceptance</w:t>
            </w:r>
          </w:p>
        </w:tc>
      </w:tr>
      <w:tr w:rsidR="00F702C4" w:rsidRPr="00F25C44" w14:paraId="021F3B38"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E2EFDA" w:fill="E2EFDA"/>
            <w:noWrap/>
            <w:hideMark/>
          </w:tcPr>
          <w:p w14:paraId="6BAA46DB"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t>SRC-040</w:t>
            </w:r>
          </w:p>
        </w:tc>
        <w:tc>
          <w:tcPr>
            <w:tcW w:w="826" w:type="pct"/>
            <w:tcBorders>
              <w:top w:val="nil"/>
              <w:left w:val="nil"/>
              <w:bottom w:val="single" w:sz="4" w:space="0" w:color="B0B0B0"/>
              <w:right w:val="single" w:sz="4" w:space="0" w:color="B0B0B0"/>
            </w:tcBorders>
            <w:shd w:val="clear" w:color="E2EFDA" w:fill="E2EFDA"/>
            <w:hideMark/>
          </w:tcPr>
          <w:p w14:paraId="7E6D3F3C" w14:textId="77777777" w:rsidR="00707574" w:rsidRPr="00F25C44" w:rsidRDefault="00F702C4" w:rsidP="00425EB1">
            <w:pPr>
              <w:spacing w:after="0" w:line="360" w:lineRule="auto"/>
              <w:rPr>
                <w:rFonts w:ascii="Times New Roman" w:eastAsia="Times New Roman" w:hAnsi="Times New Roman" w:cs="Times New Roman"/>
                <w:sz w:val="20"/>
                <w:szCs w:val="20"/>
                <w:lang w:eastAsia="en-IN"/>
              </w:rPr>
            </w:pPr>
            <w:r w:rsidRPr="00F702C4">
              <w:rPr>
                <w:rFonts w:ascii="Times New Roman" w:eastAsia="Times New Roman" w:hAnsi="Times New Roman" w:cs="Times New Roman"/>
                <w:sz w:val="20"/>
                <w:szCs w:val="20"/>
                <w:lang w:eastAsia="en-IN"/>
              </w:rPr>
              <w:t>Ibrahim et al. (2025)</w:t>
            </w:r>
          </w:p>
        </w:tc>
        <w:tc>
          <w:tcPr>
            <w:tcW w:w="645" w:type="pct"/>
            <w:tcBorders>
              <w:top w:val="nil"/>
              <w:left w:val="nil"/>
              <w:bottom w:val="single" w:sz="4" w:space="0" w:color="B0B0B0"/>
              <w:right w:val="single" w:sz="4" w:space="0" w:color="B0B0B0"/>
            </w:tcBorders>
            <w:shd w:val="clear" w:color="E2EFDA" w:fill="E2EFDA"/>
            <w:hideMark/>
          </w:tcPr>
          <w:p w14:paraId="401FD9F5"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C2: AI Adoption &amp; Readiness</w:t>
            </w:r>
          </w:p>
        </w:tc>
        <w:tc>
          <w:tcPr>
            <w:tcW w:w="849" w:type="pct"/>
            <w:tcBorders>
              <w:top w:val="nil"/>
              <w:left w:val="nil"/>
              <w:bottom w:val="single" w:sz="4" w:space="0" w:color="B0B0B0"/>
              <w:right w:val="single" w:sz="4" w:space="0" w:color="B0B0B0"/>
            </w:tcBorders>
            <w:shd w:val="clear" w:color="E2EFDA" w:fill="E2EFDA"/>
            <w:hideMark/>
          </w:tcPr>
          <w:p w14:paraId="20F95AE8"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Automation acceptance antecedents</w:t>
            </w:r>
          </w:p>
        </w:tc>
        <w:tc>
          <w:tcPr>
            <w:tcW w:w="975" w:type="pct"/>
            <w:tcBorders>
              <w:top w:val="nil"/>
              <w:left w:val="nil"/>
              <w:bottom w:val="single" w:sz="4" w:space="0" w:color="B0B0B0"/>
              <w:right w:val="single" w:sz="4" w:space="0" w:color="B0B0B0"/>
            </w:tcBorders>
            <w:shd w:val="clear" w:color="E2EFDA" w:fill="E2EFDA"/>
            <w:hideMark/>
          </w:tcPr>
          <w:p w14:paraId="19213406"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Empirical acceptance study</w:t>
            </w:r>
          </w:p>
        </w:tc>
        <w:tc>
          <w:tcPr>
            <w:tcW w:w="1300" w:type="pct"/>
            <w:tcBorders>
              <w:top w:val="nil"/>
              <w:left w:val="nil"/>
              <w:bottom w:val="single" w:sz="4" w:space="0" w:color="B0B0B0"/>
              <w:right w:val="single" w:sz="4" w:space="0" w:color="B0B0B0"/>
            </w:tcBorders>
            <w:shd w:val="clear" w:color="E2EFDA" w:fill="E2EFDA"/>
            <w:hideMark/>
          </w:tcPr>
          <w:p w14:paraId="29D5976F"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Antecedents reused across adopter-type acceptance studies</w:t>
            </w:r>
          </w:p>
        </w:tc>
      </w:tr>
      <w:tr w:rsidR="00F702C4" w:rsidRPr="00F25C44" w14:paraId="2D6B3F65"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FCE4D6" w:fill="FCE4D6"/>
            <w:noWrap/>
            <w:hideMark/>
          </w:tcPr>
          <w:p w14:paraId="032F882C"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t>SRC-041</w:t>
            </w:r>
          </w:p>
        </w:tc>
        <w:tc>
          <w:tcPr>
            <w:tcW w:w="826" w:type="pct"/>
            <w:tcBorders>
              <w:top w:val="nil"/>
              <w:left w:val="nil"/>
              <w:bottom w:val="single" w:sz="4" w:space="0" w:color="B0B0B0"/>
              <w:right w:val="single" w:sz="4" w:space="0" w:color="B0B0B0"/>
            </w:tcBorders>
            <w:shd w:val="clear" w:color="FCE4D6" w:fill="FCE4D6"/>
            <w:hideMark/>
          </w:tcPr>
          <w:p w14:paraId="5187B5A2"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proofErr w:type="spellStart"/>
            <w:r w:rsidRPr="00F25C44">
              <w:rPr>
                <w:rFonts w:ascii="Times New Roman" w:eastAsia="Times New Roman" w:hAnsi="Times New Roman" w:cs="Times New Roman"/>
                <w:sz w:val="20"/>
                <w:szCs w:val="20"/>
                <w:lang w:eastAsia="en-IN"/>
              </w:rPr>
              <w:t>Floridi</w:t>
            </w:r>
            <w:proofErr w:type="spellEnd"/>
            <w:r w:rsidRPr="00F25C44">
              <w:rPr>
                <w:rFonts w:ascii="Times New Roman" w:eastAsia="Times New Roman" w:hAnsi="Times New Roman" w:cs="Times New Roman"/>
                <w:sz w:val="20"/>
                <w:szCs w:val="20"/>
                <w:lang w:eastAsia="en-IN"/>
              </w:rPr>
              <w:t xml:space="preserve"> &amp; Cowls (2019)</w:t>
            </w:r>
          </w:p>
        </w:tc>
        <w:tc>
          <w:tcPr>
            <w:tcW w:w="645" w:type="pct"/>
            <w:tcBorders>
              <w:top w:val="nil"/>
              <w:left w:val="nil"/>
              <w:bottom w:val="single" w:sz="4" w:space="0" w:color="B0B0B0"/>
              <w:right w:val="single" w:sz="4" w:space="0" w:color="B0B0B0"/>
            </w:tcBorders>
            <w:shd w:val="clear" w:color="FCE4D6" w:fill="FCE4D6"/>
            <w:hideMark/>
          </w:tcPr>
          <w:p w14:paraId="5E4FFAC9"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C3: Ethical AI Governance</w:t>
            </w:r>
          </w:p>
        </w:tc>
        <w:tc>
          <w:tcPr>
            <w:tcW w:w="849" w:type="pct"/>
            <w:tcBorders>
              <w:top w:val="nil"/>
              <w:left w:val="nil"/>
              <w:bottom w:val="single" w:sz="4" w:space="0" w:color="B0B0B0"/>
              <w:right w:val="single" w:sz="4" w:space="0" w:color="B0B0B0"/>
            </w:tcBorders>
            <w:shd w:val="clear" w:color="FCE4D6" w:fill="FCE4D6"/>
            <w:hideMark/>
          </w:tcPr>
          <w:p w14:paraId="3D54DBA5"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Beneficence; non-maleficence</w:t>
            </w:r>
          </w:p>
        </w:tc>
        <w:tc>
          <w:tcPr>
            <w:tcW w:w="975" w:type="pct"/>
            <w:tcBorders>
              <w:top w:val="nil"/>
              <w:left w:val="nil"/>
              <w:bottom w:val="single" w:sz="4" w:space="0" w:color="B0B0B0"/>
              <w:right w:val="single" w:sz="4" w:space="0" w:color="B0B0B0"/>
            </w:tcBorders>
            <w:shd w:val="clear" w:color="FCE4D6" w:fill="FCE4D6"/>
            <w:hideMark/>
          </w:tcPr>
          <w:p w14:paraId="7B7B0E9F"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Conceptual synthesis of AI ethics frameworks</w:t>
            </w:r>
          </w:p>
        </w:tc>
        <w:tc>
          <w:tcPr>
            <w:tcW w:w="1300" w:type="pct"/>
            <w:tcBorders>
              <w:top w:val="nil"/>
              <w:left w:val="nil"/>
              <w:bottom w:val="single" w:sz="4" w:space="0" w:color="B0B0B0"/>
              <w:right w:val="single" w:sz="4" w:space="0" w:color="B0B0B0"/>
            </w:tcBorders>
            <w:shd w:val="clear" w:color="FCE4D6" w:fill="FCE4D6"/>
            <w:hideMark/>
          </w:tcPr>
          <w:p w14:paraId="3AECE71E"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Normative backbone for the governance chapter</w:t>
            </w:r>
          </w:p>
        </w:tc>
      </w:tr>
      <w:tr w:rsidR="00F702C4" w:rsidRPr="00F25C44" w14:paraId="4478CB89"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FCE4D6" w:fill="FCE4D6"/>
            <w:noWrap/>
            <w:hideMark/>
          </w:tcPr>
          <w:p w14:paraId="066BC2D6"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t>SRC-042</w:t>
            </w:r>
          </w:p>
        </w:tc>
        <w:tc>
          <w:tcPr>
            <w:tcW w:w="826" w:type="pct"/>
            <w:tcBorders>
              <w:top w:val="nil"/>
              <w:left w:val="nil"/>
              <w:bottom w:val="single" w:sz="4" w:space="0" w:color="B0B0B0"/>
              <w:right w:val="single" w:sz="4" w:space="0" w:color="B0B0B0"/>
            </w:tcBorders>
            <w:shd w:val="clear" w:color="FCE4D6" w:fill="FCE4D6"/>
            <w:hideMark/>
          </w:tcPr>
          <w:p w14:paraId="6F1E479B"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proofErr w:type="spellStart"/>
            <w:r w:rsidRPr="00F25C44">
              <w:rPr>
                <w:rFonts w:ascii="Times New Roman" w:eastAsia="Times New Roman" w:hAnsi="Times New Roman" w:cs="Times New Roman"/>
                <w:sz w:val="20"/>
                <w:szCs w:val="20"/>
                <w:lang w:eastAsia="en-IN"/>
              </w:rPr>
              <w:t>Mittelstadt</w:t>
            </w:r>
            <w:proofErr w:type="spellEnd"/>
            <w:r w:rsidRPr="00F25C44">
              <w:rPr>
                <w:rFonts w:ascii="Times New Roman" w:eastAsia="Times New Roman" w:hAnsi="Times New Roman" w:cs="Times New Roman"/>
                <w:sz w:val="20"/>
                <w:szCs w:val="20"/>
                <w:lang w:eastAsia="en-IN"/>
              </w:rPr>
              <w:t xml:space="preserve"> (2019)</w:t>
            </w:r>
          </w:p>
        </w:tc>
        <w:tc>
          <w:tcPr>
            <w:tcW w:w="645" w:type="pct"/>
            <w:tcBorders>
              <w:top w:val="nil"/>
              <w:left w:val="nil"/>
              <w:bottom w:val="single" w:sz="4" w:space="0" w:color="B0B0B0"/>
              <w:right w:val="single" w:sz="4" w:space="0" w:color="B0B0B0"/>
            </w:tcBorders>
            <w:shd w:val="clear" w:color="FCE4D6" w:fill="FCE4D6"/>
            <w:hideMark/>
          </w:tcPr>
          <w:p w14:paraId="77AE0A87"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C3: Ethical AI Governance</w:t>
            </w:r>
          </w:p>
        </w:tc>
        <w:tc>
          <w:tcPr>
            <w:tcW w:w="849" w:type="pct"/>
            <w:tcBorders>
              <w:top w:val="nil"/>
              <w:left w:val="nil"/>
              <w:bottom w:val="single" w:sz="4" w:space="0" w:color="B0B0B0"/>
              <w:right w:val="single" w:sz="4" w:space="0" w:color="B0B0B0"/>
            </w:tcBorders>
            <w:shd w:val="clear" w:color="FCE4D6" w:fill="FCE4D6"/>
            <w:hideMark/>
          </w:tcPr>
          <w:p w14:paraId="6AD6DBBF"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Limits of principle-based governance; practical implementation gaps</w:t>
            </w:r>
          </w:p>
        </w:tc>
        <w:tc>
          <w:tcPr>
            <w:tcW w:w="975" w:type="pct"/>
            <w:tcBorders>
              <w:top w:val="nil"/>
              <w:left w:val="nil"/>
              <w:bottom w:val="single" w:sz="4" w:space="0" w:color="B0B0B0"/>
              <w:right w:val="single" w:sz="4" w:space="0" w:color="B0B0B0"/>
            </w:tcBorders>
            <w:shd w:val="clear" w:color="FCE4D6" w:fill="FCE4D6"/>
            <w:hideMark/>
          </w:tcPr>
          <w:p w14:paraId="4FB90E38"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Critical conceptual analysis</w:t>
            </w:r>
          </w:p>
        </w:tc>
        <w:tc>
          <w:tcPr>
            <w:tcW w:w="1300" w:type="pct"/>
            <w:tcBorders>
              <w:top w:val="nil"/>
              <w:left w:val="nil"/>
              <w:bottom w:val="single" w:sz="4" w:space="0" w:color="B0B0B0"/>
              <w:right w:val="single" w:sz="4" w:space="0" w:color="B0B0B0"/>
            </w:tcBorders>
            <w:shd w:val="clear" w:color="FCE4D6" w:fill="FCE4D6"/>
            <w:hideMark/>
          </w:tcPr>
          <w:p w14:paraId="0963607A"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Argues ethical principles alone are insufficient without governance</w:t>
            </w:r>
          </w:p>
        </w:tc>
      </w:tr>
      <w:tr w:rsidR="00F702C4" w:rsidRPr="00F25C44" w14:paraId="356494D4"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FCE4D6" w:fill="FCE4D6"/>
            <w:noWrap/>
            <w:hideMark/>
          </w:tcPr>
          <w:p w14:paraId="69252ED8"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t>SRC-043</w:t>
            </w:r>
          </w:p>
        </w:tc>
        <w:tc>
          <w:tcPr>
            <w:tcW w:w="826" w:type="pct"/>
            <w:tcBorders>
              <w:top w:val="nil"/>
              <w:left w:val="nil"/>
              <w:bottom w:val="single" w:sz="4" w:space="0" w:color="B0B0B0"/>
              <w:right w:val="single" w:sz="4" w:space="0" w:color="B0B0B0"/>
            </w:tcBorders>
            <w:shd w:val="clear" w:color="FCE4D6" w:fill="FCE4D6"/>
            <w:hideMark/>
          </w:tcPr>
          <w:p w14:paraId="5282F9C5"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Emerald (2025)</w:t>
            </w:r>
          </w:p>
        </w:tc>
        <w:tc>
          <w:tcPr>
            <w:tcW w:w="645" w:type="pct"/>
            <w:tcBorders>
              <w:top w:val="nil"/>
              <w:left w:val="nil"/>
              <w:bottom w:val="single" w:sz="4" w:space="0" w:color="B0B0B0"/>
              <w:right w:val="single" w:sz="4" w:space="0" w:color="B0B0B0"/>
            </w:tcBorders>
            <w:shd w:val="clear" w:color="FCE4D6" w:fill="FCE4D6"/>
            <w:hideMark/>
          </w:tcPr>
          <w:p w14:paraId="05B4EA97"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C3: Ethical AI Governance</w:t>
            </w:r>
          </w:p>
        </w:tc>
        <w:tc>
          <w:tcPr>
            <w:tcW w:w="849" w:type="pct"/>
            <w:tcBorders>
              <w:top w:val="nil"/>
              <w:left w:val="nil"/>
              <w:bottom w:val="single" w:sz="4" w:space="0" w:color="B0B0B0"/>
              <w:right w:val="single" w:sz="4" w:space="0" w:color="B0B0B0"/>
            </w:tcBorders>
            <w:shd w:val="clear" w:color="FCE4D6" w:fill="FCE4D6"/>
            <w:hideMark/>
          </w:tcPr>
          <w:p w14:paraId="0898452D"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Autonomy; accountability</w:t>
            </w:r>
          </w:p>
        </w:tc>
        <w:tc>
          <w:tcPr>
            <w:tcW w:w="975" w:type="pct"/>
            <w:tcBorders>
              <w:top w:val="nil"/>
              <w:left w:val="nil"/>
              <w:bottom w:val="single" w:sz="4" w:space="0" w:color="B0B0B0"/>
              <w:right w:val="single" w:sz="4" w:space="0" w:color="B0B0B0"/>
            </w:tcBorders>
            <w:shd w:val="clear" w:color="FCE4D6" w:fill="FCE4D6"/>
            <w:hideMark/>
          </w:tcPr>
          <w:p w14:paraId="54A28A2A"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Quantitative survey (n=452) with structural equation modelling</w:t>
            </w:r>
          </w:p>
        </w:tc>
        <w:tc>
          <w:tcPr>
            <w:tcW w:w="1300" w:type="pct"/>
            <w:tcBorders>
              <w:top w:val="nil"/>
              <w:left w:val="nil"/>
              <w:bottom w:val="single" w:sz="4" w:space="0" w:color="B0B0B0"/>
              <w:right w:val="single" w:sz="4" w:space="0" w:color="B0B0B0"/>
            </w:tcBorders>
            <w:shd w:val="clear" w:color="FCE4D6" w:fill="FCE4D6"/>
            <w:hideMark/>
          </w:tcPr>
          <w:p w14:paraId="7A9B5DA6"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Shows governance dimensions shape decision-making outcomes</w:t>
            </w:r>
          </w:p>
        </w:tc>
      </w:tr>
      <w:tr w:rsidR="00F702C4" w:rsidRPr="00F25C44" w14:paraId="79F1332F"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FCE4D6" w:fill="FCE4D6"/>
            <w:noWrap/>
            <w:hideMark/>
          </w:tcPr>
          <w:p w14:paraId="6EAE55AA"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t>SRC-044</w:t>
            </w:r>
          </w:p>
        </w:tc>
        <w:tc>
          <w:tcPr>
            <w:tcW w:w="826" w:type="pct"/>
            <w:tcBorders>
              <w:top w:val="nil"/>
              <w:left w:val="nil"/>
              <w:bottom w:val="single" w:sz="4" w:space="0" w:color="B0B0B0"/>
              <w:right w:val="single" w:sz="4" w:space="0" w:color="B0B0B0"/>
            </w:tcBorders>
            <w:shd w:val="clear" w:color="FCE4D6" w:fill="FCE4D6"/>
            <w:hideMark/>
          </w:tcPr>
          <w:p w14:paraId="311953FE"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Frontiers in Human Dynamics (2024)</w:t>
            </w:r>
          </w:p>
        </w:tc>
        <w:tc>
          <w:tcPr>
            <w:tcW w:w="645" w:type="pct"/>
            <w:tcBorders>
              <w:top w:val="nil"/>
              <w:left w:val="nil"/>
              <w:bottom w:val="single" w:sz="4" w:space="0" w:color="B0B0B0"/>
              <w:right w:val="single" w:sz="4" w:space="0" w:color="B0B0B0"/>
            </w:tcBorders>
            <w:shd w:val="clear" w:color="FCE4D6" w:fill="FCE4D6"/>
            <w:hideMark/>
          </w:tcPr>
          <w:p w14:paraId="33B80D38"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C3: Ethical AI Governance</w:t>
            </w:r>
          </w:p>
        </w:tc>
        <w:tc>
          <w:tcPr>
            <w:tcW w:w="849" w:type="pct"/>
            <w:tcBorders>
              <w:top w:val="nil"/>
              <w:left w:val="nil"/>
              <w:bottom w:val="single" w:sz="4" w:space="0" w:color="B0B0B0"/>
              <w:right w:val="single" w:sz="4" w:space="0" w:color="B0B0B0"/>
            </w:tcBorders>
            <w:shd w:val="clear" w:color="FCE4D6" w:fill="FCE4D6"/>
            <w:hideMark/>
          </w:tcPr>
          <w:p w14:paraId="36DFDDEF"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Institutional oversight; ombudspersons</w:t>
            </w:r>
          </w:p>
        </w:tc>
        <w:tc>
          <w:tcPr>
            <w:tcW w:w="975" w:type="pct"/>
            <w:tcBorders>
              <w:top w:val="nil"/>
              <w:left w:val="nil"/>
              <w:bottom w:val="single" w:sz="4" w:space="0" w:color="B0B0B0"/>
              <w:right w:val="single" w:sz="4" w:space="0" w:color="B0B0B0"/>
            </w:tcBorders>
            <w:shd w:val="clear" w:color="FCE4D6" w:fill="FCE4D6"/>
            <w:hideMark/>
          </w:tcPr>
          <w:p w14:paraId="4551E354"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Narrative review of legal and ethical literature</w:t>
            </w:r>
          </w:p>
        </w:tc>
        <w:tc>
          <w:tcPr>
            <w:tcW w:w="1300" w:type="pct"/>
            <w:tcBorders>
              <w:top w:val="nil"/>
              <w:left w:val="nil"/>
              <w:bottom w:val="single" w:sz="4" w:space="0" w:color="B0B0B0"/>
              <w:right w:val="single" w:sz="4" w:space="0" w:color="B0B0B0"/>
            </w:tcBorders>
            <w:shd w:val="clear" w:color="FCE4D6" w:fill="FCE4D6"/>
            <w:hideMark/>
          </w:tcPr>
          <w:p w14:paraId="718AEE9F"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Informs recommendations for organisational AI governance structures</w:t>
            </w:r>
          </w:p>
        </w:tc>
      </w:tr>
      <w:tr w:rsidR="00F702C4" w:rsidRPr="00F25C44" w14:paraId="7BEC221A"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FCE4D6" w:fill="FCE4D6"/>
            <w:noWrap/>
            <w:hideMark/>
          </w:tcPr>
          <w:p w14:paraId="354581CB"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lastRenderedPageBreak/>
              <w:t>SRC-045</w:t>
            </w:r>
          </w:p>
        </w:tc>
        <w:tc>
          <w:tcPr>
            <w:tcW w:w="826" w:type="pct"/>
            <w:tcBorders>
              <w:top w:val="nil"/>
              <w:left w:val="nil"/>
              <w:bottom w:val="single" w:sz="4" w:space="0" w:color="B0B0B0"/>
              <w:right w:val="single" w:sz="4" w:space="0" w:color="B0B0B0"/>
            </w:tcBorders>
            <w:shd w:val="clear" w:color="FCE4D6" w:fill="FCE4D6"/>
            <w:hideMark/>
          </w:tcPr>
          <w:p w14:paraId="46911BFE" w14:textId="77777777" w:rsidR="00707574" w:rsidRPr="00F25C44" w:rsidRDefault="00E41687" w:rsidP="00425EB1">
            <w:pPr>
              <w:spacing w:after="0" w:line="360" w:lineRule="auto"/>
              <w:rPr>
                <w:rFonts w:ascii="Times New Roman" w:eastAsia="Times New Roman" w:hAnsi="Times New Roman" w:cs="Times New Roman"/>
                <w:sz w:val="20"/>
                <w:szCs w:val="20"/>
                <w:lang w:eastAsia="en-IN"/>
              </w:rPr>
            </w:pPr>
            <w:r w:rsidRPr="00E41687">
              <w:rPr>
                <w:rFonts w:ascii="Times New Roman" w:eastAsia="Times New Roman" w:hAnsi="Times New Roman" w:cs="Times New Roman"/>
                <w:sz w:val="20"/>
                <w:szCs w:val="20"/>
                <w:lang w:eastAsia="en-IN"/>
              </w:rPr>
              <w:t>Frimpong (2026)</w:t>
            </w:r>
          </w:p>
        </w:tc>
        <w:tc>
          <w:tcPr>
            <w:tcW w:w="645" w:type="pct"/>
            <w:tcBorders>
              <w:top w:val="nil"/>
              <w:left w:val="nil"/>
              <w:bottom w:val="single" w:sz="4" w:space="0" w:color="B0B0B0"/>
              <w:right w:val="single" w:sz="4" w:space="0" w:color="B0B0B0"/>
            </w:tcBorders>
            <w:shd w:val="clear" w:color="FCE4D6" w:fill="FCE4D6"/>
            <w:hideMark/>
          </w:tcPr>
          <w:p w14:paraId="47EBB18B"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C3: Ethical AI Governance</w:t>
            </w:r>
          </w:p>
        </w:tc>
        <w:tc>
          <w:tcPr>
            <w:tcW w:w="849" w:type="pct"/>
            <w:tcBorders>
              <w:top w:val="nil"/>
              <w:left w:val="nil"/>
              <w:bottom w:val="single" w:sz="4" w:space="0" w:color="B0B0B0"/>
              <w:right w:val="single" w:sz="4" w:space="0" w:color="B0B0B0"/>
            </w:tcBorders>
            <w:shd w:val="clear" w:color="FCE4D6" w:fill="FCE4D6"/>
            <w:hideMark/>
          </w:tcPr>
          <w:p w14:paraId="38070C45"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Regulatory frameworks (NIST, ISO/IEC 42001, EU AI Act);</w:t>
            </w:r>
          </w:p>
        </w:tc>
        <w:tc>
          <w:tcPr>
            <w:tcW w:w="975" w:type="pct"/>
            <w:tcBorders>
              <w:top w:val="nil"/>
              <w:left w:val="nil"/>
              <w:bottom w:val="single" w:sz="4" w:space="0" w:color="B0B0B0"/>
              <w:right w:val="single" w:sz="4" w:space="0" w:color="B0B0B0"/>
            </w:tcBorders>
            <w:shd w:val="clear" w:color="FCE4D6" w:fill="FCE4D6"/>
            <w:hideMark/>
          </w:tcPr>
          <w:p w14:paraId="016E86B1"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Conceptual/theoretical analysis</w:t>
            </w:r>
          </w:p>
        </w:tc>
        <w:tc>
          <w:tcPr>
            <w:tcW w:w="1300" w:type="pct"/>
            <w:tcBorders>
              <w:top w:val="nil"/>
              <w:left w:val="nil"/>
              <w:bottom w:val="single" w:sz="4" w:space="0" w:color="B0B0B0"/>
              <w:right w:val="single" w:sz="4" w:space="0" w:color="B0B0B0"/>
            </w:tcBorders>
            <w:shd w:val="clear" w:color="FCE4D6" w:fill="FCE4D6"/>
            <w:hideMark/>
          </w:tcPr>
          <w:p w14:paraId="0831DCB1"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Critical lens on unintended consequences of AI regulation</w:t>
            </w:r>
          </w:p>
        </w:tc>
      </w:tr>
      <w:tr w:rsidR="00F702C4" w:rsidRPr="00F25C44" w14:paraId="02023292"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FCE4D6" w:fill="FCE4D6"/>
            <w:noWrap/>
            <w:hideMark/>
          </w:tcPr>
          <w:p w14:paraId="2CE546CE"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t>SRC-046</w:t>
            </w:r>
          </w:p>
        </w:tc>
        <w:tc>
          <w:tcPr>
            <w:tcW w:w="826" w:type="pct"/>
            <w:tcBorders>
              <w:top w:val="nil"/>
              <w:left w:val="nil"/>
              <w:bottom w:val="single" w:sz="4" w:space="0" w:color="B0B0B0"/>
              <w:right w:val="single" w:sz="4" w:space="0" w:color="B0B0B0"/>
            </w:tcBorders>
            <w:shd w:val="clear" w:color="FCE4D6" w:fill="FCE4D6"/>
            <w:hideMark/>
          </w:tcPr>
          <w:p w14:paraId="72DA18BC"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Camilleri (2024)</w:t>
            </w:r>
          </w:p>
        </w:tc>
        <w:tc>
          <w:tcPr>
            <w:tcW w:w="645" w:type="pct"/>
            <w:tcBorders>
              <w:top w:val="nil"/>
              <w:left w:val="nil"/>
              <w:bottom w:val="single" w:sz="4" w:space="0" w:color="B0B0B0"/>
              <w:right w:val="single" w:sz="4" w:space="0" w:color="B0B0B0"/>
            </w:tcBorders>
            <w:shd w:val="clear" w:color="FCE4D6" w:fill="FCE4D6"/>
            <w:hideMark/>
          </w:tcPr>
          <w:p w14:paraId="33F3E493"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C3: Ethical AI Governance</w:t>
            </w:r>
          </w:p>
        </w:tc>
        <w:tc>
          <w:tcPr>
            <w:tcW w:w="849" w:type="pct"/>
            <w:tcBorders>
              <w:top w:val="nil"/>
              <w:left w:val="nil"/>
              <w:bottom w:val="single" w:sz="4" w:space="0" w:color="B0B0B0"/>
              <w:right w:val="single" w:sz="4" w:space="0" w:color="B0B0B0"/>
            </w:tcBorders>
            <w:shd w:val="clear" w:color="FCE4D6" w:fill="FCE4D6"/>
            <w:hideMark/>
          </w:tcPr>
          <w:p w14:paraId="2E94B40B"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 xml:space="preserve">Corporate social responsibility; </w:t>
            </w:r>
            <w:proofErr w:type="spellStart"/>
            <w:r w:rsidRPr="00F25C44">
              <w:rPr>
                <w:rFonts w:ascii="Times New Roman" w:eastAsia="Times New Roman" w:hAnsi="Times New Roman" w:cs="Times New Roman"/>
                <w:sz w:val="20"/>
                <w:szCs w:val="20"/>
                <w:lang w:eastAsia="en-IN"/>
              </w:rPr>
              <w:t>explainability</w:t>
            </w:r>
            <w:proofErr w:type="spellEnd"/>
          </w:p>
        </w:tc>
        <w:tc>
          <w:tcPr>
            <w:tcW w:w="975" w:type="pct"/>
            <w:tcBorders>
              <w:top w:val="nil"/>
              <w:left w:val="nil"/>
              <w:bottom w:val="single" w:sz="4" w:space="0" w:color="B0B0B0"/>
              <w:right w:val="single" w:sz="4" w:space="0" w:color="B0B0B0"/>
            </w:tcBorders>
            <w:shd w:val="clear" w:color="FCE4D6" w:fill="FCE4D6"/>
            <w:hideMark/>
          </w:tcPr>
          <w:p w14:paraId="19CBDF44"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Conceptual review integrating CSR and AI governance</w:t>
            </w:r>
          </w:p>
        </w:tc>
        <w:tc>
          <w:tcPr>
            <w:tcW w:w="1300" w:type="pct"/>
            <w:tcBorders>
              <w:top w:val="nil"/>
              <w:left w:val="nil"/>
              <w:bottom w:val="single" w:sz="4" w:space="0" w:color="B0B0B0"/>
              <w:right w:val="single" w:sz="4" w:space="0" w:color="B0B0B0"/>
            </w:tcBorders>
            <w:shd w:val="clear" w:color="FCE4D6" w:fill="FCE4D6"/>
            <w:hideMark/>
          </w:tcPr>
          <w:p w14:paraId="3D41024E"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Supports governance as strategic, not just compliance</w:t>
            </w:r>
          </w:p>
        </w:tc>
      </w:tr>
      <w:tr w:rsidR="00F702C4" w:rsidRPr="00F25C44" w14:paraId="7C717B48"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FCE4D6" w:fill="FCE4D6"/>
            <w:noWrap/>
            <w:hideMark/>
          </w:tcPr>
          <w:p w14:paraId="295AC26A"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t>SRC-047</w:t>
            </w:r>
          </w:p>
        </w:tc>
        <w:tc>
          <w:tcPr>
            <w:tcW w:w="826" w:type="pct"/>
            <w:tcBorders>
              <w:top w:val="nil"/>
              <w:left w:val="nil"/>
              <w:bottom w:val="single" w:sz="4" w:space="0" w:color="B0B0B0"/>
              <w:right w:val="single" w:sz="4" w:space="0" w:color="B0B0B0"/>
            </w:tcBorders>
            <w:shd w:val="clear" w:color="FCE4D6" w:fill="FCE4D6"/>
            <w:hideMark/>
          </w:tcPr>
          <w:p w14:paraId="19E118E8"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Springer Nature (2025)</w:t>
            </w:r>
          </w:p>
        </w:tc>
        <w:tc>
          <w:tcPr>
            <w:tcW w:w="645" w:type="pct"/>
            <w:tcBorders>
              <w:top w:val="nil"/>
              <w:left w:val="nil"/>
              <w:bottom w:val="single" w:sz="4" w:space="0" w:color="B0B0B0"/>
              <w:right w:val="single" w:sz="4" w:space="0" w:color="B0B0B0"/>
            </w:tcBorders>
            <w:shd w:val="clear" w:color="FCE4D6" w:fill="FCE4D6"/>
            <w:hideMark/>
          </w:tcPr>
          <w:p w14:paraId="6B852FD4"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C3: Ethical AI Governance</w:t>
            </w:r>
          </w:p>
        </w:tc>
        <w:tc>
          <w:tcPr>
            <w:tcW w:w="849" w:type="pct"/>
            <w:tcBorders>
              <w:top w:val="nil"/>
              <w:left w:val="nil"/>
              <w:bottom w:val="single" w:sz="4" w:space="0" w:color="B0B0B0"/>
              <w:right w:val="single" w:sz="4" w:space="0" w:color="B0B0B0"/>
            </w:tcBorders>
            <w:shd w:val="clear" w:color="FCE4D6" w:fill="FCE4D6"/>
            <w:hideMark/>
          </w:tcPr>
          <w:p w14:paraId="6F88D704"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Ethical and responsible AI governance principles; risk frameworks</w:t>
            </w:r>
          </w:p>
        </w:tc>
        <w:tc>
          <w:tcPr>
            <w:tcW w:w="975" w:type="pct"/>
            <w:tcBorders>
              <w:top w:val="nil"/>
              <w:left w:val="nil"/>
              <w:bottom w:val="single" w:sz="4" w:space="0" w:color="B0B0B0"/>
              <w:right w:val="single" w:sz="4" w:space="0" w:color="B0B0B0"/>
            </w:tcBorders>
            <w:shd w:val="clear" w:color="FCE4D6" w:fill="FCE4D6"/>
            <w:hideMark/>
          </w:tcPr>
          <w:p w14:paraId="6FADB028"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Systematic literature review</w:t>
            </w:r>
          </w:p>
        </w:tc>
        <w:tc>
          <w:tcPr>
            <w:tcW w:w="1300" w:type="pct"/>
            <w:tcBorders>
              <w:top w:val="nil"/>
              <w:left w:val="nil"/>
              <w:bottom w:val="single" w:sz="4" w:space="0" w:color="B0B0B0"/>
              <w:right w:val="single" w:sz="4" w:space="0" w:color="B0B0B0"/>
            </w:tcBorders>
            <w:shd w:val="clear" w:color="FCE4D6" w:fill="FCE4D6"/>
            <w:hideMark/>
          </w:tcPr>
          <w:p w14:paraId="754BEA89"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Structures the review's ethics/governance sub-section</w:t>
            </w:r>
          </w:p>
        </w:tc>
      </w:tr>
      <w:tr w:rsidR="00F702C4" w:rsidRPr="00F25C44" w14:paraId="41CEF3F7"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FCE4D6" w:fill="FCE4D6"/>
            <w:noWrap/>
            <w:hideMark/>
          </w:tcPr>
          <w:p w14:paraId="2893808E"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t>SRC-048</w:t>
            </w:r>
          </w:p>
        </w:tc>
        <w:tc>
          <w:tcPr>
            <w:tcW w:w="826" w:type="pct"/>
            <w:tcBorders>
              <w:top w:val="nil"/>
              <w:left w:val="nil"/>
              <w:bottom w:val="single" w:sz="4" w:space="0" w:color="B0B0B0"/>
              <w:right w:val="single" w:sz="4" w:space="0" w:color="B0B0B0"/>
            </w:tcBorders>
            <w:shd w:val="clear" w:color="FCE4D6" w:fill="FCE4D6"/>
            <w:hideMark/>
          </w:tcPr>
          <w:p w14:paraId="3DB783C1"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Taylor &amp; Francis (2025)</w:t>
            </w:r>
          </w:p>
        </w:tc>
        <w:tc>
          <w:tcPr>
            <w:tcW w:w="645" w:type="pct"/>
            <w:tcBorders>
              <w:top w:val="nil"/>
              <w:left w:val="nil"/>
              <w:bottom w:val="single" w:sz="4" w:space="0" w:color="B0B0B0"/>
              <w:right w:val="single" w:sz="4" w:space="0" w:color="B0B0B0"/>
            </w:tcBorders>
            <w:shd w:val="clear" w:color="FCE4D6" w:fill="FCE4D6"/>
            <w:hideMark/>
          </w:tcPr>
          <w:p w14:paraId="4446577C"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C3: Ethical AI Governance</w:t>
            </w:r>
          </w:p>
        </w:tc>
        <w:tc>
          <w:tcPr>
            <w:tcW w:w="849" w:type="pct"/>
            <w:tcBorders>
              <w:top w:val="nil"/>
              <w:left w:val="nil"/>
              <w:bottom w:val="single" w:sz="4" w:space="0" w:color="B0B0B0"/>
              <w:right w:val="single" w:sz="4" w:space="0" w:color="B0B0B0"/>
            </w:tcBorders>
            <w:shd w:val="clear" w:color="FCE4D6" w:fill="FCE4D6"/>
            <w:hideMark/>
          </w:tcPr>
          <w:p w14:paraId="5996F7C1"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Transparency; fairness</w:t>
            </w:r>
          </w:p>
        </w:tc>
        <w:tc>
          <w:tcPr>
            <w:tcW w:w="975" w:type="pct"/>
            <w:tcBorders>
              <w:top w:val="nil"/>
              <w:left w:val="nil"/>
              <w:bottom w:val="single" w:sz="4" w:space="0" w:color="B0B0B0"/>
              <w:right w:val="single" w:sz="4" w:space="0" w:color="B0B0B0"/>
            </w:tcBorders>
            <w:shd w:val="clear" w:color="FCE4D6" w:fill="FCE4D6"/>
            <w:hideMark/>
          </w:tcPr>
          <w:p w14:paraId="0FAB7A70"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Comparative policy analysis (EU, US, China)</w:t>
            </w:r>
          </w:p>
        </w:tc>
        <w:tc>
          <w:tcPr>
            <w:tcW w:w="1300" w:type="pct"/>
            <w:tcBorders>
              <w:top w:val="nil"/>
              <w:left w:val="nil"/>
              <w:bottom w:val="single" w:sz="4" w:space="0" w:color="B0B0B0"/>
              <w:right w:val="single" w:sz="4" w:space="0" w:color="B0B0B0"/>
            </w:tcBorders>
            <w:shd w:val="clear" w:color="FCE4D6" w:fill="FCE4D6"/>
            <w:hideMark/>
          </w:tcPr>
          <w:p w14:paraId="4084CD90"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Situates organisational governance practice internationally</w:t>
            </w:r>
          </w:p>
        </w:tc>
      </w:tr>
      <w:tr w:rsidR="00F702C4" w:rsidRPr="00F25C44" w14:paraId="0F36AE76"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FCE4D6" w:fill="FCE4D6"/>
            <w:noWrap/>
            <w:hideMark/>
          </w:tcPr>
          <w:p w14:paraId="3B721EBA"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t>SRC-049</w:t>
            </w:r>
          </w:p>
        </w:tc>
        <w:tc>
          <w:tcPr>
            <w:tcW w:w="826" w:type="pct"/>
            <w:tcBorders>
              <w:top w:val="nil"/>
              <w:left w:val="nil"/>
              <w:bottom w:val="single" w:sz="4" w:space="0" w:color="B0B0B0"/>
              <w:right w:val="single" w:sz="4" w:space="0" w:color="B0B0B0"/>
            </w:tcBorders>
            <w:shd w:val="clear" w:color="FCE4D6" w:fill="FCE4D6"/>
            <w:hideMark/>
          </w:tcPr>
          <w:p w14:paraId="241190CD" w14:textId="77777777" w:rsidR="00707574" w:rsidRPr="00F25C44" w:rsidRDefault="00F702C4" w:rsidP="00425EB1">
            <w:pPr>
              <w:spacing w:after="0" w:line="360" w:lineRule="auto"/>
              <w:rPr>
                <w:rFonts w:ascii="Times New Roman" w:eastAsia="Times New Roman" w:hAnsi="Times New Roman" w:cs="Times New Roman"/>
                <w:sz w:val="20"/>
                <w:szCs w:val="20"/>
                <w:lang w:eastAsia="en-IN"/>
              </w:rPr>
            </w:pPr>
            <w:proofErr w:type="spellStart"/>
            <w:r w:rsidRPr="00F702C4">
              <w:rPr>
                <w:rFonts w:ascii="Times New Roman" w:eastAsia="Times New Roman" w:hAnsi="Times New Roman" w:cs="Times New Roman"/>
                <w:sz w:val="20"/>
                <w:szCs w:val="20"/>
                <w:lang w:eastAsia="en-IN"/>
              </w:rPr>
              <w:t>Madanchian</w:t>
            </w:r>
            <w:proofErr w:type="spellEnd"/>
            <w:r w:rsidRPr="00F702C4">
              <w:rPr>
                <w:rFonts w:ascii="Times New Roman" w:eastAsia="Times New Roman" w:hAnsi="Times New Roman" w:cs="Times New Roman"/>
                <w:sz w:val="20"/>
                <w:szCs w:val="20"/>
                <w:lang w:eastAsia="en-IN"/>
              </w:rPr>
              <w:t xml:space="preserve"> &amp; </w:t>
            </w:r>
            <w:proofErr w:type="spellStart"/>
            <w:r w:rsidRPr="00F702C4">
              <w:rPr>
                <w:rFonts w:ascii="Times New Roman" w:eastAsia="Times New Roman" w:hAnsi="Times New Roman" w:cs="Times New Roman"/>
                <w:sz w:val="20"/>
                <w:szCs w:val="20"/>
                <w:lang w:eastAsia="en-IN"/>
              </w:rPr>
              <w:t>Taherdoost</w:t>
            </w:r>
            <w:proofErr w:type="spellEnd"/>
            <w:r w:rsidRPr="00F702C4">
              <w:rPr>
                <w:rFonts w:ascii="Times New Roman" w:eastAsia="Times New Roman" w:hAnsi="Times New Roman" w:cs="Times New Roman"/>
                <w:sz w:val="20"/>
                <w:szCs w:val="20"/>
                <w:lang w:eastAsia="en-IN"/>
              </w:rPr>
              <w:t xml:space="preserve"> (2025)</w:t>
            </w:r>
          </w:p>
        </w:tc>
        <w:tc>
          <w:tcPr>
            <w:tcW w:w="645" w:type="pct"/>
            <w:tcBorders>
              <w:top w:val="nil"/>
              <w:left w:val="nil"/>
              <w:bottom w:val="single" w:sz="4" w:space="0" w:color="B0B0B0"/>
              <w:right w:val="single" w:sz="4" w:space="0" w:color="B0B0B0"/>
            </w:tcBorders>
            <w:shd w:val="clear" w:color="FCE4D6" w:fill="FCE4D6"/>
            <w:hideMark/>
          </w:tcPr>
          <w:p w14:paraId="50ECCA09"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C3: Ethical AI Governance</w:t>
            </w:r>
          </w:p>
        </w:tc>
        <w:tc>
          <w:tcPr>
            <w:tcW w:w="849" w:type="pct"/>
            <w:tcBorders>
              <w:top w:val="nil"/>
              <w:left w:val="nil"/>
              <w:bottom w:val="single" w:sz="4" w:space="0" w:color="B0B0B0"/>
              <w:right w:val="single" w:sz="4" w:space="0" w:color="B0B0B0"/>
            </w:tcBorders>
            <w:shd w:val="clear" w:color="FCE4D6" w:fill="FCE4D6"/>
            <w:hideMark/>
          </w:tcPr>
          <w:p w14:paraId="270F92A3"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Utilitarianism; deontology</w:t>
            </w:r>
          </w:p>
        </w:tc>
        <w:tc>
          <w:tcPr>
            <w:tcW w:w="975" w:type="pct"/>
            <w:tcBorders>
              <w:top w:val="nil"/>
              <w:left w:val="nil"/>
              <w:bottom w:val="single" w:sz="4" w:space="0" w:color="B0B0B0"/>
              <w:right w:val="single" w:sz="4" w:space="0" w:color="B0B0B0"/>
            </w:tcBorders>
            <w:shd w:val="clear" w:color="FCE4D6" w:fill="FCE4D6"/>
            <w:hideMark/>
          </w:tcPr>
          <w:p w14:paraId="1B79491D"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Conceptual synthesis of ethical theory and governance</w:t>
            </w:r>
          </w:p>
        </w:tc>
        <w:tc>
          <w:tcPr>
            <w:tcW w:w="1300" w:type="pct"/>
            <w:tcBorders>
              <w:top w:val="nil"/>
              <w:left w:val="nil"/>
              <w:bottom w:val="single" w:sz="4" w:space="0" w:color="B0B0B0"/>
              <w:right w:val="single" w:sz="4" w:space="0" w:color="B0B0B0"/>
            </w:tcBorders>
            <w:shd w:val="clear" w:color="FCE4D6" w:fill="FCE4D6"/>
            <w:hideMark/>
          </w:tcPr>
          <w:p w14:paraId="16F6A578"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Informs the review's ethical-governance chapter structure</w:t>
            </w:r>
          </w:p>
        </w:tc>
      </w:tr>
      <w:tr w:rsidR="00F702C4" w:rsidRPr="00F25C44" w14:paraId="2B928E1F"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FCE4D6" w:fill="FCE4D6"/>
            <w:noWrap/>
            <w:hideMark/>
          </w:tcPr>
          <w:p w14:paraId="3FCF8B61"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t>SRC-050</w:t>
            </w:r>
          </w:p>
        </w:tc>
        <w:tc>
          <w:tcPr>
            <w:tcW w:w="826" w:type="pct"/>
            <w:tcBorders>
              <w:top w:val="nil"/>
              <w:left w:val="nil"/>
              <w:bottom w:val="single" w:sz="4" w:space="0" w:color="B0B0B0"/>
              <w:right w:val="single" w:sz="4" w:space="0" w:color="B0B0B0"/>
            </w:tcBorders>
            <w:shd w:val="clear" w:color="FCE4D6" w:fill="FCE4D6"/>
            <w:hideMark/>
          </w:tcPr>
          <w:p w14:paraId="1822F004"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proofErr w:type="spellStart"/>
            <w:r w:rsidRPr="00F25C44">
              <w:rPr>
                <w:rFonts w:ascii="Times New Roman" w:eastAsia="Times New Roman" w:hAnsi="Times New Roman" w:cs="Times New Roman"/>
                <w:sz w:val="20"/>
                <w:szCs w:val="20"/>
                <w:lang w:eastAsia="en-IN"/>
              </w:rPr>
              <w:t>Mirishli</w:t>
            </w:r>
            <w:proofErr w:type="spellEnd"/>
            <w:r w:rsidRPr="00F25C44">
              <w:rPr>
                <w:rFonts w:ascii="Times New Roman" w:eastAsia="Times New Roman" w:hAnsi="Times New Roman" w:cs="Times New Roman"/>
                <w:sz w:val="20"/>
                <w:szCs w:val="20"/>
                <w:lang w:eastAsia="en-IN"/>
              </w:rPr>
              <w:t xml:space="preserve"> (2025)</w:t>
            </w:r>
          </w:p>
        </w:tc>
        <w:tc>
          <w:tcPr>
            <w:tcW w:w="645" w:type="pct"/>
            <w:tcBorders>
              <w:top w:val="nil"/>
              <w:left w:val="nil"/>
              <w:bottom w:val="single" w:sz="4" w:space="0" w:color="B0B0B0"/>
              <w:right w:val="single" w:sz="4" w:space="0" w:color="B0B0B0"/>
            </w:tcBorders>
            <w:shd w:val="clear" w:color="FCE4D6" w:fill="FCE4D6"/>
            <w:hideMark/>
          </w:tcPr>
          <w:p w14:paraId="0F5E92E3"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C3: Ethical AI Governance</w:t>
            </w:r>
          </w:p>
        </w:tc>
        <w:tc>
          <w:tcPr>
            <w:tcW w:w="849" w:type="pct"/>
            <w:tcBorders>
              <w:top w:val="nil"/>
              <w:left w:val="nil"/>
              <w:bottom w:val="single" w:sz="4" w:space="0" w:color="B0B0B0"/>
              <w:right w:val="single" w:sz="4" w:space="0" w:color="B0B0B0"/>
            </w:tcBorders>
            <w:shd w:val="clear" w:color="FCE4D6" w:fill="FCE4D6"/>
            <w:hideMark/>
          </w:tcPr>
          <w:p w14:paraId="3A35C23E"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Legal regulation; corporate governance</w:t>
            </w:r>
          </w:p>
        </w:tc>
        <w:tc>
          <w:tcPr>
            <w:tcW w:w="975" w:type="pct"/>
            <w:tcBorders>
              <w:top w:val="nil"/>
              <w:left w:val="nil"/>
              <w:bottom w:val="single" w:sz="4" w:space="0" w:color="B0B0B0"/>
              <w:right w:val="single" w:sz="4" w:space="0" w:color="B0B0B0"/>
            </w:tcBorders>
            <w:shd w:val="clear" w:color="FCE4D6" w:fill="FCE4D6"/>
            <w:hideMark/>
          </w:tcPr>
          <w:p w14:paraId="3B698BB5"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Doctrinal/legal analysis of legislative initiatives</w:t>
            </w:r>
          </w:p>
        </w:tc>
        <w:tc>
          <w:tcPr>
            <w:tcW w:w="1300" w:type="pct"/>
            <w:tcBorders>
              <w:top w:val="nil"/>
              <w:left w:val="nil"/>
              <w:bottom w:val="single" w:sz="4" w:space="0" w:color="B0B0B0"/>
              <w:right w:val="single" w:sz="4" w:space="0" w:color="B0B0B0"/>
            </w:tcBorders>
            <w:shd w:val="clear" w:color="FCE4D6" w:fill="FCE4D6"/>
            <w:hideMark/>
          </w:tcPr>
          <w:p w14:paraId="5B2167A8"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Supports the regulatory-compliance dimension of governance</w:t>
            </w:r>
          </w:p>
        </w:tc>
      </w:tr>
      <w:tr w:rsidR="00F702C4" w:rsidRPr="00F25C44" w14:paraId="4EAFDD94"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FCE4D6" w:fill="FCE4D6"/>
            <w:noWrap/>
            <w:hideMark/>
          </w:tcPr>
          <w:p w14:paraId="3062F8EE"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t>SRC-051</w:t>
            </w:r>
          </w:p>
        </w:tc>
        <w:tc>
          <w:tcPr>
            <w:tcW w:w="826" w:type="pct"/>
            <w:tcBorders>
              <w:top w:val="nil"/>
              <w:left w:val="nil"/>
              <w:bottom w:val="single" w:sz="4" w:space="0" w:color="B0B0B0"/>
              <w:right w:val="single" w:sz="4" w:space="0" w:color="B0B0B0"/>
            </w:tcBorders>
            <w:shd w:val="clear" w:color="FCE4D6" w:fill="FCE4D6"/>
            <w:hideMark/>
          </w:tcPr>
          <w:p w14:paraId="5FF488BE"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UNESCO (2021)</w:t>
            </w:r>
          </w:p>
        </w:tc>
        <w:tc>
          <w:tcPr>
            <w:tcW w:w="645" w:type="pct"/>
            <w:tcBorders>
              <w:top w:val="nil"/>
              <w:left w:val="nil"/>
              <w:bottom w:val="single" w:sz="4" w:space="0" w:color="B0B0B0"/>
              <w:right w:val="single" w:sz="4" w:space="0" w:color="B0B0B0"/>
            </w:tcBorders>
            <w:shd w:val="clear" w:color="FCE4D6" w:fill="FCE4D6"/>
            <w:hideMark/>
          </w:tcPr>
          <w:p w14:paraId="432EC966"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C3: Ethical AI Governance</w:t>
            </w:r>
          </w:p>
        </w:tc>
        <w:tc>
          <w:tcPr>
            <w:tcW w:w="849" w:type="pct"/>
            <w:tcBorders>
              <w:top w:val="nil"/>
              <w:left w:val="nil"/>
              <w:bottom w:val="single" w:sz="4" w:space="0" w:color="B0B0B0"/>
              <w:right w:val="single" w:sz="4" w:space="0" w:color="B0B0B0"/>
            </w:tcBorders>
            <w:shd w:val="clear" w:color="FCE4D6" w:fill="FCE4D6"/>
            <w:hideMark/>
          </w:tcPr>
          <w:p w14:paraId="74F128DD"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 xml:space="preserve">Transparency and </w:t>
            </w:r>
            <w:proofErr w:type="spellStart"/>
            <w:r w:rsidRPr="00F25C44">
              <w:rPr>
                <w:rFonts w:ascii="Times New Roman" w:eastAsia="Times New Roman" w:hAnsi="Times New Roman" w:cs="Times New Roman"/>
                <w:sz w:val="20"/>
                <w:szCs w:val="20"/>
                <w:lang w:eastAsia="en-IN"/>
              </w:rPr>
              <w:t>explainability</w:t>
            </w:r>
            <w:proofErr w:type="spellEnd"/>
            <w:r w:rsidRPr="00F25C44">
              <w:rPr>
                <w:rFonts w:ascii="Times New Roman" w:eastAsia="Times New Roman" w:hAnsi="Times New Roman" w:cs="Times New Roman"/>
                <w:sz w:val="20"/>
                <w:szCs w:val="20"/>
                <w:lang w:eastAsia="en-IN"/>
              </w:rPr>
              <w:t>; auditability</w:t>
            </w:r>
          </w:p>
        </w:tc>
        <w:tc>
          <w:tcPr>
            <w:tcW w:w="975" w:type="pct"/>
            <w:tcBorders>
              <w:top w:val="nil"/>
              <w:left w:val="nil"/>
              <w:bottom w:val="single" w:sz="4" w:space="0" w:color="B0B0B0"/>
              <w:right w:val="single" w:sz="4" w:space="0" w:color="B0B0B0"/>
            </w:tcBorders>
            <w:shd w:val="clear" w:color="FCE4D6" w:fill="FCE4D6"/>
            <w:hideMark/>
          </w:tcPr>
          <w:p w14:paraId="62B9AC2E"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International policy recommendation document</w:t>
            </w:r>
          </w:p>
        </w:tc>
        <w:tc>
          <w:tcPr>
            <w:tcW w:w="1300" w:type="pct"/>
            <w:tcBorders>
              <w:top w:val="nil"/>
              <w:left w:val="nil"/>
              <w:bottom w:val="single" w:sz="4" w:space="0" w:color="B0B0B0"/>
              <w:right w:val="single" w:sz="4" w:space="0" w:color="B0B0B0"/>
            </w:tcBorders>
            <w:shd w:val="clear" w:color="FCE4D6" w:fill="FCE4D6"/>
            <w:hideMark/>
          </w:tcPr>
          <w:p w14:paraId="080F5155"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Benchmark standard for organisational ethical governance</w:t>
            </w:r>
          </w:p>
        </w:tc>
      </w:tr>
      <w:tr w:rsidR="00F702C4" w:rsidRPr="00F25C44" w14:paraId="355B71A4"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FCE4D6" w:fill="FCE4D6"/>
            <w:noWrap/>
            <w:hideMark/>
          </w:tcPr>
          <w:p w14:paraId="4BD45D58"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t>SRC-052</w:t>
            </w:r>
          </w:p>
        </w:tc>
        <w:tc>
          <w:tcPr>
            <w:tcW w:w="826" w:type="pct"/>
            <w:tcBorders>
              <w:top w:val="nil"/>
              <w:left w:val="nil"/>
              <w:bottom w:val="single" w:sz="4" w:space="0" w:color="B0B0B0"/>
              <w:right w:val="single" w:sz="4" w:space="0" w:color="B0B0B0"/>
            </w:tcBorders>
            <w:shd w:val="clear" w:color="FCE4D6" w:fill="FCE4D6"/>
            <w:hideMark/>
          </w:tcPr>
          <w:p w14:paraId="2D0DC5FF"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Raji et al. (2021)</w:t>
            </w:r>
          </w:p>
        </w:tc>
        <w:tc>
          <w:tcPr>
            <w:tcW w:w="645" w:type="pct"/>
            <w:tcBorders>
              <w:top w:val="nil"/>
              <w:left w:val="nil"/>
              <w:bottom w:val="single" w:sz="4" w:space="0" w:color="B0B0B0"/>
              <w:right w:val="single" w:sz="4" w:space="0" w:color="B0B0B0"/>
            </w:tcBorders>
            <w:shd w:val="clear" w:color="FCE4D6" w:fill="FCE4D6"/>
            <w:hideMark/>
          </w:tcPr>
          <w:p w14:paraId="047196FD"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C3: Ethical AI Governance</w:t>
            </w:r>
          </w:p>
        </w:tc>
        <w:tc>
          <w:tcPr>
            <w:tcW w:w="849" w:type="pct"/>
            <w:tcBorders>
              <w:top w:val="nil"/>
              <w:left w:val="nil"/>
              <w:bottom w:val="single" w:sz="4" w:space="0" w:color="B0B0B0"/>
              <w:right w:val="single" w:sz="4" w:space="0" w:color="B0B0B0"/>
            </w:tcBorders>
            <w:shd w:val="clear" w:color="FCE4D6" w:fill="FCE4D6"/>
            <w:hideMark/>
          </w:tcPr>
          <w:p w14:paraId="14BA291A"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AI ethics education; exclusionary practice</w:t>
            </w:r>
          </w:p>
        </w:tc>
        <w:tc>
          <w:tcPr>
            <w:tcW w:w="975" w:type="pct"/>
            <w:tcBorders>
              <w:top w:val="nil"/>
              <w:left w:val="nil"/>
              <w:bottom w:val="single" w:sz="4" w:space="0" w:color="B0B0B0"/>
              <w:right w:val="single" w:sz="4" w:space="0" w:color="B0B0B0"/>
            </w:tcBorders>
            <w:shd w:val="clear" w:color="FCE4D6" w:fill="FCE4D6"/>
            <w:hideMark/>
          </w:tcPr>
          <w:p w14:paraId="44C77EF8"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Critical qualitative analysis</w:t>
            </w:r>
          </w:p>
        </w:tc>
        <w:tc>
          <w:tcPr>
            <w:tcW w:w="1300" w:type="pct"/>
            <w:tcBorders>
              <w:top w:val="nil"/>
              <w:left w:val="nil"/>
              <w:bottom w:val="single" w:sz="4" w:space="0" w:color="B0B0B0"/>
              <w:right w:val="single" w:sz="4" w:space="0" w:color="B0B0B0"/>
            </w:tcBorders>
            <w:shd w:val="clear" w:color="FCE4D6" w:fill="FCE4D6"/>
            <w:hideMark/>
          </w:tcPr>
          <w:p w14:paraId="345ED699"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Relevant to organisational AI-ethics training design</w:t>
            </w:r>
          </w:p>
        </w:tc>
      </w:tr>
      <w:tr w:rsidR="00F702C4" w:rsidRPr="00F25C44" w14:paraId="15E697DE"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FCE4D6" w:fill="FCE4D6"/>
            <w:noWrap/>
            <w:hideMark/>
          </w:tcPr>
          <w:p w14:paraId="1023740D"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t>SRC-053</w:t>
            </w:r>
          </w:p>
        </w:tc>
        <w:tc>
          <w:tcPr>
            <w:tcW w:w="826" w:type="pct"/>
            <w:tcBorders>
              <w:top w:val="nil"/>
              <w:left w:val="nil"/>
              <w:bottom w:val="single" w:sz="4" w:space="0" w:color="B0B0B0"/>
              <w:right w:val="single" w:sz="4" w:space="0" w:color="B0B0B0"/>
            </w:tcBorders>
            <w:shd w:val="clear" w:color="FCE4D6" w:fill="FCE4D6"/>
            <w:hideMark/>
          </w:tcPr>
          <w:p w14:paraId="3B27D789"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proofErr w:type="spellStart"/>
            <w:r w:rsidRPr="00F25C44">
              <w:rPr>
                <w:rFonts w:ascii="Times New Roman" w:eastAsia="Times New Roman" w:hAnsi="Times New Roman" w:cs="Times New Roman"/>
                <w:sz w:val="20"/>
                <w:szCs w:val="20"/>
                <w:lang w:eastAsia="en-IN"/>
              </w:rPr>
              <w:t>Tilmes</w:t>
            </w:r>
            <w:proofErr w:type="spellEnd"/>
            <w:r w:rsidRPr="00F25C44">
              <w:rPr>
                <w:rFonts w:ascii="Times New Roman" w:eastAsia="Times New Roman" w:hAnsi="Times New Roman" w:cs="Times New Roman"/>
                <w:sz w:val="20"/>
                <w:szCs w:val="20"/>
                <w:lang w:eastAsia="en-IN"/>
              </w:rPr>
              <w:t xml:space="preserve"> (2022)</w:t>
            </w:r>
          </w:p>
        </w:tc>
        <w:tc>
          <w:tcPr>
            <w:tcW w:w="645" w:type="pct"/>
            <w:tcBorders>
              <w:top w:val="nil"/>
              <w:left w:val="nil"/>
              <w:bottom w:val="single" w:sz="4" w:space="0" w:color="B0B0B0"/>
              <w:right w:val="single" w:sz="4" w:space="0" w:color="B0B0B0"/>
            </w:tcBorders>
            <w:shd w:val="clear" w:color="FCE4D6" w:fill="FCE4D6"/>
            <w:hideMark/>
          </w:tcPr>
          <w:p w14:paraId="0284812F"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C3: Ethical AI Governance</w:t>
            </w:r>
          </w:p>
        </w:tc>
        <w:tc>
          <w:tcPr>
            <w:tcW w:w="849" w:type="pct"/>
            <w:tcBorders>
              <w:top w:val="nil"/>
              <w:left w:val="nil"/>
              <w:bottom w:val="single" w:sz="4" w:space="0" w:color="B0B0B0"/>
              <w:right w:val="single" w:sz="4" w:space="0" w:color="B0B0B0"/>
            </w:tcBorders>
            <w:shd w:val="clear" w:color="FCE4D6" w:fill="FCE4D6"/>
            <w:hideMark/>
          </w:tcPr>
          <w:p w14:paraId="305C9675"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Disability bias; algorithmic fairness in recruitment</w:t>
            </w:r>
          </w:p>
        </w:tc>
        <w:tc>
          <w:tcPr>
            <w:tcW w:w="975" w:type="pct"/>
            <w:tcBorders>
              <w:top w:val="nil"/>
              <w:left w:val="nil"/>
              <w:bottom w:val="single" w:sz="4" w:space="0" w:color="B0B0B0"/>
              <w:right w:val="single" w:sz="4" w:space="0" w:color="B0B0B0"/>
            </w:tcBorders>
            <w:shd w:val="clear" w:color="FCE4D6" w:fill="FCE4D6"/>
            <w:hideMark/>
          </w:tcPr>
          <w:p w14:paraId="6B04CAB0"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Conceptual/ethical analysis</w:t>
            </w:r>
          </w:p>
        </w:tc>
        <w:tc>
          <w:tcPr>
            <w:tcW w:w="1300" w:type="pct"/>
            <w:tcBorders>
              <w:top w:val="nil"/>
              <w:left w:val="nil"/>
              <w:bottom w:val="single" w:sz="4" w:space="0" w:color="B0B0B0"/>
              <w:right w:val="single" w:sz="4" w:space="0" w:color="B0B0B0"/>
            </w:tcBorders>
            <w:shd w:val="clear" w:color="FCE4D6" w:fill="FCE4D6"/>
            <w:hideMark/>
          </w:tcPr>
          <w:p w14:paraId="31E0BE05"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Broadens fairness discussion beyond gender/race bias</w:t>
            </w:r>
          </w:p>
        </w:tc>
      </w:tr>
      <w:tr w:rsidR="00F702C4" w:rsidRPr="00F25C44" w14:paraId="0EC1DE30"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FCE4D6" w:fill="FCE4D6"/>
            <w:noWrap/>
            <w:hideMark/>
          </w:tcPr>
          <w:p w14:paraId="4A5CCF27"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lastRenderedPageBreak/>
              <w:t>SRC-054</w:t>
            </w:r>
          </w:p>
        </w:tc>
        <w:tc>
          <w:tcPr>
            <w:tcW w:w="826" w:type="pct"/>
            <w:tcBorders>
              <w:top w:val="nil"/>
              <w:left w:val="nil"/>
              <w:bottom w:val="single" w:sz="4" w:space="0" w:color="B0B0B0"/>
              <w:right w:val="single" w:sz="4" w:space="0" w:color="B0B0B0"/>
            </w:tcBorders>
            <w:shd w:val="clear" w:color="FCE4D6" w:fill="FCE4D6"/>
            <w:hideMark/>
          </w:tcPr>
          <w:p w14:paraId="6583EB26"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AI Now Institute (2025)</w:t>
            </w:r>
          </w:p>
        </w:tc>
        <w:tc>
          <w:tcPr>
            <w:tcW w:w="645" w:type="pct"/>
            <w:tcBorders>
              <w:top w:val="nil"/>
              <w:left w:val="nil"/>
              <w:bottom w:val="single" w:sz="4" w:space="0" w:color="B0B0B0"/>
              <w:right w:val="single" w:sz="4" w:space="0" w:color="B0B0B0"/>
            </w:tcBorders>
            <w:shd w:val="clear" w:color="FCE4D6" w:fill="FCE4D6"/>
            <w:hideMark/>
          </w:tcPr>
          <w:p w14:paraId="10E104CC"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C3: Ethical AI Governance</w:t>
            </w:r>
          </w:p>
        </w:tc>
        <w:tc>
          <w:tcPr>
            <w:tcW w:w="849" w:type="pct"/>
            <w:tcBorders>
              <w:top w:val="nil"/>
              <w:left w:val="nil"/>
              <w:bottom w:val="single" w:sz="4" w:space="0" w:color="B0B0B0"/>
              <w:right w:val="single" w:sz="4" w:space="0" w:color="B0B0B0"/>
            </w:tcBorders>
            <w:shd w:val="clear" w:color="FCE4D6" w:fill="FCE4D6"/>
            <w:hideMark/>
          </w:tcPr>
          <w:p w14:paraId="2381C07B"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Data access rights; regulatory enforcement</w:t>
            </w:r>
          </w:p>
        </w:tc>
        <w:tc>
          <w:tcPr>
            <w:tcW w:w="975" w:type="pct"/>
            <w:tcBorders>
              <w:top w:val="nil"/>
              <w:left w:val="nil"/>
              <w:bottom w:val="single" w:sz="4" w:space="0" w:color="B0B0B0"/>
              <w:right w:val="single" w:sz="4" w:space="0" w:color="B0B0B0"/>
            </w:tcBorders>
            <w:shd w:val="clear" w:color="FCE4D6" w:fill="FCE4D6"/>
            <w:hideMark/>
          </w:tcPr>
          <w:p w14:paraId="43C1F544"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Policy report drawing on legal case analysis</w:t>
            </w:r>
          </w:p>
        </w:tc>
        <w:tc>
          <w:tcPr>
            <w:tcW w:w="1300" w:type="pct"/>
            <w:tcBorders>
              <w:top w:val="nil"/>
              <w:left w:val="nil"/>
              <w:bottom w:val="single" w:sz="4" w:space="0" w:color="B0B0B0"/>
              <w:right w:val="single" w:sz="4" w:space="0" w:color="B0B0B0"/>
            </w:tcBorders>
            <w:shd w:val="clear" w:color="FCE4D6" w:fill="FCE4D6"/>
            <w:hideMark/>
          </w:tcPr>
          <w:p w14:paraId="02EB0F98"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Grounds governance discussion in regulatory practice</w:t>
            </w:r>
          </w:p>
        </w:tc>
      </w:tr>
      <w:tr w:rsidR="00F702C4" w:rsidRPr="00F25C44" w14:paraId="64280433"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FCE4D6" w:fill="FCE4D6"/>
            <w:noWrap/>
            <w:hideMark/>
          </w:tcPr>
          <w:p w14:paraId="3E75921C"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t>SRC-055</w:t>
            </w:r>
          </w:p>
        </w:tc>
        <w:tc>
          <w:tcPr>
            <w:tcW w:w="826" w:type="pct"/>
            <w:tcBorders>
              <w:top w:val="nil"/>
              <w:left w:val="nil"/>
              <w:bottom w:val="single" w:sz="4" w:space="0" w:color="B0B0B0"/>
              <w:right w:val="single" w:sz="4" w:space="0" w:color="B0B0B0"/>
            </w:tcBorders>
            <w:shd w:val="clear" w:color="FCE4D6" w:fill="FCE4D6"/>
            <w:hideMark/>
          </w:tcPr>
          <w:p w14:paraId="3F730F45"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Whittaker (2021)</w:t>
            </w:r>
          </w:p>
        </w:tc>
        <w:tc>
          <w:tcPr>
            <w:tcW w:w="645" w:type="pct"/>
            <w:tcBorders>
              <w:top w:val="nil"/>
              <w:left w:val="nil"/>
              <w:bottom w:val="single" w:sz="4" w:space="0" w:color="B0B0B0"/>
              <w:right w:val="single" w:sz="4" w:space="0" w:color="B0B0B0"/>
            </w:tcBorders>
            <w:shd w:val="clear" w:color="FCE4D6" w:fill="FCE4D6"/>
            <w:hideMark/>
          </w:tcPr>
          <w:p w14:paraId="3C1D8E67"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C3: Ethical AI Governance</w:t>
            </w:r>
          </w:p>
        </w:tc>
        <w:tc>
          <w:tcPr>
            <w:tcW w:w="849" w:type="pct"/>
            <w:tcBorders>
              <w:top w:val="nil"/>
              <w:left w:val="nil"/>
              <w:bottom w:val="single" w:sz="4" w:space="0" w:color="B0B0B0"/>
              <w:right w:val="single" w:sz="4" w:space="0" w:color="B0B0B0"/>
            </w:tcBorders>
            <w:shd w:val="clear" w:color="FCE4D6" w:fill="FCE4D6"/>
            <w:hideMark/>
          </w:tcPr>
          <w:p w14:paraId="54ECD212"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Corporate capture of AI ethics research; accountability erosion</w:t>
            </w:r>
          </w:p>
        </w:tc>
        <w:tc>
          <w:tcPr>
            <w:tcW w:w="975" w:type="pct"/>
            <w:tcBorders>
              <w:top w:val="nil"/>
              <w:left w:val="nil"/>
              <w:bottom w:val="single" w:sz="4" w:space="0" w:color="B0B0B0"/>
              <w:right w:val="single" w:sz="4" w:space="0" w:color="B0B0B0"/>
            </w:tcBorders>
            <w:shd w:val="clear" w:color="FCE4D6" w:fill="FCE4D6"/>
            <w:hideMark/>
          </w:tcPr>
          <w:p w14:paraId="1C43CF6A"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Critical commentary/analysis</w:t>
            </w:r>
          </w:p>
        </w:tc>
        <w:tc>
          <w:tcPr>
            <w:tcW w:w="1300" w:type="pct"/>
            <w:tcBorders>
              <w:top w:val="nil"/>
              <w:left w:val="nil"/>
              <w:bottom w:val="single" w:sz="4" w:space="0" w:color="B0B0B0"/>
              <w:right w:val="single" w:sz="4" w:space="0" w:color="B0B0B0"/>
            </w:tcBorders>
            <w:shd w:val="clear" w:color="FCE4D6" w:fill="FCE4D6"/>
            <w:hideMark/>
          </w:tcPr>
          <w:p w14:paraId="7078C4EF"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Supports a balanced, critical review stance</w:t>
            </w:r>
          </w:p>
        </w:tc>
      </w:tr>
      <w:tr w:rsidR="00F702C4" w:rsidRPr="00F25C44" w14:paraId="60DB17A4"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FFF2CC" w:fill="FFF2CC"/>
            <w:noWrap/>
            <w:hideMark/>
          </w:tcPr>
          <w:p w14:paraId="6E3610A3"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t>SRC-056</w:t>
            </w:r>
          </w:p>
        </w:tc>
        <w:tc>
          <w:tcPr>
            <w:tcW w:w="826" w:type="pct"/>
            <w:tcBorders>
              <w:top w:val="nil"/>
              <w:left w:val="nil"/>
              <w:bottom w:val="single" w:sz="4" w:space="0" w:color="B0B0B0"/>
              <w:right w:val="single" w:sz="4" w:space="0" w:color="B0B0B0"/>
            </w:tcBorders>
            <w:shd w:val="clear" w:color="FFF2CC" w:fill="FFF2CC"/>
            <w:hideMark/>
          </w:tcPr>
          <w:p w14:paraId="2B291D93"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Kellogg et al. (2020)</w:t>
            </w:r>
          </w:p>
        </w:tc>
        <w:tc>
          <w:tcPr>
            <w:tcW w:w="645" w:type="pct"/>
            <w:tcBorders>
              <w:top w:val="nil"/>
              <w:left w:val="nil"/>
              <w:bottom w:val="single" w:sz="4" w:space="0" w:color="B0B0B0"/>
              <w:right w:val="single" w:sz="4" w:space="0" w:color="B0B0B0"/>
            </w:tcBorders>
            <w:shd w:val="clear" w:color="FFF2CC" w:fill="FFF2CC"/>
            <w:hideMark/>
          </w:tcPr>
          <w:p w14:paraId="63605AA8"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 xml:space="preserve">C4: Algorithmic </w:t>
            </w:r>
            <w:proofErr w:type="spellStart"/>
            <w:r w:rsidRPr="00F25C44">
              <w:rPr>
                <w:rFonts w:ascii="Times New Roman" w:eastAsia="Times New Roman" w:hAnsi="Times New Roman" w:cs="Times New Roman"/>
                <w:sz w:val="20"/>
                <w:szCs w:val="20"/>
                <w:lang w:eastAsia="en-IN"/>
              </w:rPr>
              <w:t>Mgmt</w:t>
            </w:r>
            <w:proofErr w:type="spellEnd"/>
            <w:r w:rsidRPr="00F25C44">
              <w:rPr>
                <w:rFonts w:ascii="Times New Roman" w:eastAsia="Times New Roman" w:hAnsi="Times New Roman" w:cs="Times New Roman"/>
                <w:sz w:val="20"/>
                <w:szCs w:val="20"/>
                <w:lang w:eastAsia="en-IN"/>
              </w:rPr>
              <w:t xml:space="preserve"> &amp; Fairness</w:t>
            </w:r>
          </w:p>
        </w:tc>
        <w:tc>
          <w:tcPr>
            <w:tcW w:w="849" w:type="pct"/>
            <w:tcBorders>
              <w:top w:val="nil"/>
              <w:left w:val="nil"/>
              <w:bottom w:val="single" w:sz="4" w:space="0" w:color="B0B0B0"/>
              <w:right w:val="single" w:sz="4" w:space="0" w:color="B0B0B0"/>
            </w:tcBorders>
            <w:shd w:val="clear" w:color="FFF2CC" w:fill="FFF2CC"/>
            <w:hideMark/>
          </w:tcPr>
          <w:p w14:paraId="0282B919"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Algorithmic control mechanisms ('6 Rs'); worker contestation</w:t>
            </w:r>
          </w:p>
        </w:tc>
        <w:tc>
          <w:tcPr>
            <w:tcW w:w="975" w:type="pct"/>
            <w:tcBorders>
              <w:top w:val="nil"/>
              <w:left w:val="nil"/>
              <w:bottom w:val="single" w:sz="4" w:space="0" w:color="B0B0B0"/>
              <w:right w:val="single" w:sz="4" w:space="0" w:color="B0B0B0"/>
            </w:tcBorders>
            <w:shd w:val="clear" w:color="FFF2CC" w:fill="FFF2CC"/>
            <w:hideMark/>
          </w:tcPr>
          <w:p w14:paraId="6C03B44B"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Qualitative synthesis of organisational case studies</w:t>
            </w:r>
          </w:p>
        </w:tc>
        <w:tc>
          <w:tcPr>
            <w:tcW w:w="1300" w:type="pct"/>
            <w:tcBorders>
              <w:top w:val="nil"/>
              <w:left w:val="nil"/>
              <w:bottom w:val="single" w:sz="4" w:space="0" w:color="B0B0B0"/>
              <w:right w:val="single" w:sz="4" w:space="0" w:color="B0B0B0"/>
            </w:tcBorders>
            <w:shd w:val="clear" w:color="FFF2CC" w:fill="FFF2CC"/>
            <w:hideMark/>
          </w:tcPr>
          <w:p w14:paraId="652894A3"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Central theoretical anchor for the workforce-acceptance cluster</w:t>
            </w:r>
          </w:p>
        </w:tc>
      </w:tr>
      <w:tr w:rsidR="00F702C4" w:rsidRPr="00F25C44" w14:paraId="6B9AE2B5"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FFF2CC" w:fill="FFF2CC"/>
            <w:noWrap/>
            <w:hideMark/>
          </w:tcPr>
          <w:p w14:paraId="5026D408"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t>SRC-057</w:t>
            </w:r>
          </w:p>
        </w:tc>
        <w:tc>
          <w:tcPr>
            <w:tcW w:w="826" w:type="pct"/>
            <w:tcBorders>
              <w:top w:val="nil"/>
              <w:left w:val="nil"/>
              <w:bottom w:val="single" w:sz="4" w:space="0" w:color="B0B0B0"/>
              <w:right w:val="single" w:sz="4" w:space="0" w:color="B0B0B0"/>
            </w:tcBorders>
            <w:shd w:val="clear" w:color="FFF2CC" w:fill="FFF2CC"/>
            <w:hideMark/>
          </w:tcPr>
          <w:p w14:paraId="7CA10E7E"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Lee (2018)</w:t>
            </w:r>
          </w:p>
        </w:tc>
        <w:tc>
          <w:tcPr>
            <w:tcW w:w="645" w:type="pct"/>
            <w:tcBorders>
              <w:top w:val="nil"/>
              <w:left w:val="nil"/>
              <w:bottom w:val="single" w:sz="4" w:space="0" w:color="B0B0B0"/>
              <w:right w:val="single" w:sz="4" w:space="0" w:color="B0B0B0"/>
            </w:tcBorders>
            <w:shd w:val="clear" w:color="FFF2CC" w:fill="FFF2CC"/>
            <w:hideMark/>
          </w:tcPr>
          <w:p w14:paraId="49B604F0"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 xml:space="preserve">C4: Algorithmic </w:t>
            </w:r>
            <w:proofErr w:type="spellStart"/>
            <w:r w:rsidRPr="00F25C44">
              <w:rPr>
                <w:rFonts w:ascii="Times New Roman" w:eastAsia="Times New Roman" w:hAnsi="Times New Roman" w:cs="Times New Roman"/>
                <w:sz w:val="20"/>
                <w:szCs w:val="20"/>
                <w:lang w:eastAsia="en-IN"/>
              </w:rPr>
              <w:t>Mgmt</w:t>
            </w:r>
            <w:proofErr w:type="spellEnd"/>
            <w:r w:rsidRPr="00F25C44">
              <w:rPr>
                <w:rFonts w:ascii="Times New Roman" w:eastAsia="Times New Roman" w:hAnsi="Times New Roman" w:cs="Times New Roman"/>
                <w:sz w:val="20"/>
                <w:szCs w:val="20"/>
                <w:lang w:eastAsia="en-IN"/>
              </w:rPr>
              <w:t xml:space="preserve"> &amp; Fairness</w:t>
            </w:r>
          </w:p>
        </w:tc>
        <w:tc>
          <w:tcPr>
            <w:tcW w:w="849" w:type="pct"/>
            <w:tcBorders>
              <w:top w:val="nil"/>
              <w:left w:val="nil"/>
              <w:bottom w:val="single" w:sz="4" w:space="0" w:color="B0B0B0"/>
              <w:right w:val="single" w:sz="4" w:space="0" w:color="B0B0B0"/>
            </w:tcBorders>
            <w:shd w:val="clear" w:color="FFF2CC" w:fill="FFF2CC"/>
            <w:hideMark/>
          </w:tcPr>
          <w:p w14:paraId="66E84D1E"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Fairness perception; trust</w:t>
            </w:r>
          </w:p>
        </w:tc>
        <w:tc>
          <w:tcPr>
            <w:tcW w:w="975" w:type="pct"/>
            <w:tcBorders>
              <w:top w:val="nil"/>
              <w:left w:val="nil"/>
              <w:bottom w:val="single" w:sz="4" w:space="0" w:color="B0B0B0"/>
              <w:right w:val="single" w:sz="4" w:space="0" w:color="B0B0B0"/>
            </w:tcBorders>
            <w:shd w:val="clear" w:color="FFF2CC" w:fill="FFF2CC"/>
            <w:hideMark/>
          </w:tcPr>
          <w:p w14:paraId="78E3613F"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Online experimental vignette study</w:t>
            </w:r>
          </w:p>
        </w:tc>
        <w:tc>
          <w:tcPr>
            <w:tcW w:w="1300" w:type="pct"/>
            <w:tcBorders>
              <w:top w:val="nil"/>
              <w:left w:val="nil"/>
              <w:bottom w:val="single" w:sz="4" w:space="0" w:color="B0B0B0"/>
              <w:right w:val="single" w:sz="4" w:space="0" w:color="B0B0B0"/>
            </w:tcBorders>
            <w:shd w:val="clear" w:color="FFF2CC" w:fill="FFF2CC"/>
            <w:hideMark/>
          </w:tcPr>
          <w:p w14:paraId="46169690"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Links fairness and trust to emotional reactions to algorithms</w:t>
            </w:r>
          </w:p>
        </w:tc>
      </w:tr>
      <w:tr w:rsidR="00F702C4" w:rsidRPr="00F25C44" w14:paraId="5D4E794B"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FFF2CC" w:fill="FFF2CC"/>
            <w:noWrap/>
            <w:hideMark/>
          </w:tcPr>
          <w:p w14:paraId="2FF83623"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t>SRC-058</w:t>
            </w:r>
          </w:p>
        </w:tc>
        <w:tc>
          <w:tcPr>
            <w:tcW w:w="826" w:type="pct"/>
            <w:tcBorders>
              <w:top w:val="nil"/>
              <w:left w:val="nil"/>
              <w:bottom w:val="single" w:sz="4" w:space="0" w:color="B0B0B0"/>
              <w:right w:val="single" w:sz="4" w:space="0" w:color="B0B0B0"/>
            </w:tcBorders>
            <w:shd w:val="clear" w:color="FFF2CC" w:fill="FFF2CC"/>
            <w:hideMark/>
          </w:tcPr>
          <w:p w14:paraId="6041A445"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proofErr w:type="spellStart"/>
            <w:r w:rsidRPr="00F25C44">
              <w:rPr>
                <w:rFonts w:ascii="Times New Roman" w:eastAsia="Times New Roman" w:hAnsi="Times New Roman" w:cs="Times New Roman"/>
                <w:sz w:val="20"/>
                <w:szCs w:val="20"/>
                <w:lang w:eastAsia="en-IN"/>
              </w:rPr>
              <w:t>Bankins</w:t>
            </w:r>
            <w:proofErr w:type="spellEnd"/>
            <w:r w:rsidRPr="00F25C44">
              <w:rPr>
                <w:rFonts w:ascii="Times New Roman" w:eastAsia="Times New Roman" w:hAnsi="Times New Roman" w:cs="Times New Roman"/>
                <w:sz w:val="20"/>
                <w:szCs w:val="20"/>
                <w:lang w:eastAsia="en-IN"/>
              </w:rPr>
              <w:t xml:space="preserve"> et al. (2022)</w:t>
            </w:r>
          </w:p>
        </w:tc>
        <w:tc>
          <w:tcPr>
            <w:tcW w:w="645" w:type="pct"/>
            <w:tcBorders>
              <w:top w:val="nil"/>
              <w:left w:val="nil"/>
              <w:bottom w:val="single" w:sz="4" w:space="0" w:color="B0B0B0"/>
              <w:right w:val="single" w:sz="4" w:space="0" w:color="B0B0B0"/>
            </w:tcBorders>
            <w:shd w:val="clear" w:color="FFF2CC" w:fill="FFF2CC"/>
            <w:hideMark/>
          </w:tcPr>
          <w:p w14:paraId="5147D6D0"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 xml:space="preserve">C4: Algorithmic </w:t>
            </w:r>
            <w:proofErr w:type="spellStart"/>
            <w:r w:rsidRPr="00F25C44">
              <w:rPr>
                <w:rFonts w:ascii="Times New Roman" w:eastAsia="Times New Roman" w:hAnsi="Times New Roman" w:cs="Times New Roman"/>
                <w:sz w:val="20"/>
                <w:szCs w:val="20"/>
                <w:lang w:eastAsia="en-IN"/>
              </w:rPr>
              <w:t>Mgmt</w:t>
            </w:r>
            <w:proofErr w:type="spellEnd"/>
            <w:r w:rsidRPr="00F25C44">
              <w:rPr>
                <w:rFonts w:ascii="Times New Roman" w:eastAsia="Times New Roman" w:hAnsi="Times New Roman" w:cs="Times New Roman"/>
                <w:sz w:val="20"/>
                <w:szCs w:val="20"/>
                <w:lang w:eastAsia="en-IN"/>
              </w:rPr>
              <w:t xml:space="preserve"> &amp; Fairness</w:t>
            </w:r>
          </w:p>
        </w:tc>
        <w:tc>
          <w:tcPr>
            <w:tcW w:w="849" w:type="pct"/>
            <w:tcBorders>
              <w:top w:val="nil"/>
              <w:left w:val="nil"/>
              <w:bottom w:val="single" w:sz="4" w:space="0" w:color="B0B0B0"/>
              <w:right w:val="single" w:sz="4" w:space="0" w:color="B0B0B0"/>
            </w:tcBorders>
            <w:shd w:val="clear" w:color="FFF2CC" w:fill="FFF2CC"/>
            <w:hideMark/>
          </w:tcPr>
          <w:p w14:paraId="4C08CB0B"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Organisational justice; dignity</w:t>
            </w:r>
          </w:p>
        </w:tc>
        <w:tc>
          <w:tcPr>
            <w:tcW w:w="975" w:type="pct"/>
            <w:tcBorders>
              <w:top w:val="nil"/>
              <w:left w:val="nil"/>
              <w:bottom w:val="single" w:sz="4" w:space="0" w:color="B0B0B0"/>
              <w:right w:val="single" w:sz="4" w:space="0" w:color="B0B0B0"/>
            </w:tcBorders>
            <w:shd w:val="clear" w:color="FFF2CC" w:fill="FFF2CC"/>
            <w:hideMark/>
          </w:tcPr>
          <w:p w14:paraId="08624AE7"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Comparative experimental survey design</w:t>
            </w:r>
          </w:p>
        </w:tc>
        <w:tc>
          <w:tcPr>
            <w:tcW w:w="1300" w:type="pct"/>
            <w:tcBorders>
              <w:top w:val="nil"/>
              <w:left w:val="nil"/>
              <w:bottom w:val="single" w:sz="4" w:space="0" w:color="B0B0B0"/>
              <w:right w:val="single" w:sz="4" w:space="0" w:color="B0B0B0"/>
            </w:tcBorders>
            <w:shd w:val="clear" w:color="FFF2CC" w:fill="FFF2CC"/>
            <w:hideMark/>
          </w:tcPr>
          <w:p w14:paraId="3DE03498"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Core evidence for workforce acceptance debates</w:t>
            </w:r>
          </w:p>
        </w:tc>
      </w:tr>
      <w:tr w:rsidR="00F702C4" w:rsidRPr="00F25C44" w14:paraId="0A68F4FC"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FFF2CC" w:fill="FFF2CC"/>
            <w:noWrap/>
            <w:hideMark/>
          </w:tcPr>
          <w:p w14:paraId="2690166D"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t>SRC-059</w:t>
            </w:r>
          </w:p>
        </w:tc>
        <w:tc>
          <w:tcPr>
            <w:tcW w:w="826" w:type="pct"/>
            <w:tcBorders>
              <w:top w:val="nil"/>
              <w:left w:val="nil"/>
              <w:bottom w:val="single" w:sz="4" w:space="0" w:color="B0B0B0"/>
              <w:right w:val="single" w:sz="4" w:space="0" w:color="B0B0B0"/>
            </w:tcBorders>
            <w:shd w:val="clear" w:color="FFF2CC" w:fill="FFF2CC"/>
            <w:hideMark/>
          </w:tcPr>
          <w:p w14:paraId="00B927D2"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Bujold et al. (2022)</w:t>
            </w:r>
          </w:p>
        </w:tc>
        <w:tc>
          <w:tcPr>
            <w:tcW w:w="645" w:type="pct"/>
            <w:tcBorders>
              <w:top w:val="nil"/>
              <w:left w:val="nil"/>
              <w:bottom w:val="single" w:sz="4" w:space="0" w:color="B0B0B0"/>
              <w:right w:val="single" w:sz="4" w:space="0" w:color="B0B0B0"/>
            </w:tcBorders>
            <w:shd w:val="clear" w:color="FFF2CC" w:fill="FFF2CC"/>
            <w:hideMark/>
          </w:tcPr>
          <w:p w14:paraId="5A395D0F"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 xml:space="preserve">C4: Algorithmic </w:t>
            </w:r>
            <w:proofErr w:type="spellStart"/>
            <w:r w:rsidRPr="00F25C44">
              <w:rPr>
                <w:rFonts w:ascii="Times New Roman" w:eastAsia="Times New Roman" w:hAnsi="Times New Roman" w:cs="Times New Roman"/>
                <w:sz w:val="20"/>
                <w:szCs w:val="20"/>
                <w:lang w:eastAsia="en-IN"/>
              </w:rPr>
              <w:t>Mgmt</w:t>
            </w:r>
            <w:proofErr w:type="spellEnd"/>
            <w:r w:rsidRPr="00F25C44">
              <w:rPr>
                <w:rFonts w:ascii="Times New Roman" w:eastAsia="Times New Roman" w:hAnsi="Times New Roman" w:cs="Times New Roman"/>
                <w:sz w:val="20"/>
                <w:szCs w:val="20"/>
                <w:lang w:eastAsia="en-IN"/>
              </w:rPr>
              <w:t xml:space="preserve"> &amp; Fairness</w:t>
            </w:r>
          </w:p>
        </w:tc>
        <w:tc>
          <w:tcPr>
            <w:tcW w:w="849" w:type="pct"/>
            <w:tcBorders>
              <w:top w:val="nil"/>
              <w:left w:val="nil"/>
              <w:bottom w:val="single" w:sz="4" w:space="0" w:color="B0B0B0"/>
              <w:right w:val="single" w:sz="4" w:space="0" w:color="B0B0B0"/>
            </w:tcBorders>
            <w:shd w:val="clear" w:color="FFF2CC" w:fill="FFF2CC"/>
            <w:hideMark/>
          </w:tcPr>
          <w:p w14:paraId="65B3E403"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Algorithmic transparency; justice perception</w:t>
            </w:r>
          </w:p>
        </w:tc>
        <w:tc>
          <w:tcPr>
            <w:tcW w:w="975" w:type="pct"/>
            <w:tcBorders>
              <w:top w:val="nil"/>
              <w:left w:val="nil"/>
              <w:bottom w:val="single" w:sz="4" w:space="0" w:color="B0B0B0"/>
              <w:right w:val="single" w:sz="4" w:space="0" w:color="B0B0B0"/>
            </w:tcBorders>
            <w:shd w:val="clear" w:color="FFF2CC" w:fill="FFF2CC"/>
            <w:hideMark/>
          </w:tcPr>
          <w:p w14:paraId="413F2B0B"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Field survey among truck drivers</w:t>
            </w:r>
          </w:p>
        </w:tc>
        <w:tc>
          <w:tcPr>
            <w:tcW w:w="1300" w:type="pct"/>
            <w:tcBorders>
              <w:top w:val="nil"/>
              <w:left w:val="nil"/>
              <w:bottom w:val="single" w:sz="4" w:space="0" w:color="B0B0B0"/>
              <w:right w:val="single" w:sz="4" w:space="0" w:color="B0B0B0"/>
            </w:tcBorders>
            <w:shd w:val="clear" w:color="FFF2CC" w:fill="FFF2CC"/>
            <w:hideMark/>
          </w:tcPr>
          <w:p w14:paraId="2F632AAD"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Informs recommendations on transparent AI governance</w:t>
            </w:r>
          </w:p>
        </w:tc>
      </w:tr>
      <w:tr w:rsidR="00F702C4" w:rsidRPr="00F25C44" w14:paraId="16634746"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FFF2CC" w:fill="FFF2CC"/>
            <w:noWrap/>
            <w:hideMark/>
          </w:tcPr>
          <w:p w14:paraId="778B1B9E"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t>SRC-060</w:t>
            </w:r>
          </w:p>
        </w:tc>
        <w:tc>
          <w:tcPr>
            <w:tcW w:w="826" w:type="pct"/>
            <w:tcBorders>
              <w:top w:val="nil"/>
              <w:left w:val="nil"/>
              <w:bottom w:val="single" w:sz="4" w:space="0" w:color="B0B0B0"/>
              <w:right w:val="single" w:sz="4" w:space="0" w:color="B0B0B0"/>
            </w:tcBorders>
            <w:shd w:val="clear" w:color="FFF2CC" w:fill="FFF2CC"/>
            <w:hideMark/>
          </w:tcPr>
          <w:p w14:paraId="2EAF85D1"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Qin et al. (2023)</w:t>
            </w:r>
          </w:p>
        </w:tc>
        <w:tc>
          <w:tcPr>
            <w:tcW w:w="645" w:type="pct"/>
            <w:tcBorders>
              <w:top w:val="nil"/>
              <w:left w:val="nil"/>
              <w:bottom w:val="single" w:sz="4" w:space="0" w:color="B0B0B0"/>
              <w:right w:val="single" w:sz="4" w:space="0" w:color="B0B0B0"/>
            </w:tcBorders>
            <w:shd w:val="clear" w:color="FFF2CC" w:fill="FFF2CC"/>
            <w:hideMark/>
          </w:tcPr>
          <w:p w14:paraId="1EAD81DD"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 xml:space="preserve">C4: Algorithmic </w:t>
            </w:r>
            <w:proofErr w:type="spellStart"/>
            <w:r w:rsidRPr="00F25C44">
              <w:rPr>
                <w:rFonts w:ascii="Times New Roman" w:eastAsia="Times New Roman" w:hAnsi="Times New Roman" w:cs="Times New Roman"/>
                <w:sz w:val="20"/>
                <w:szCs w:val="20"/>
                <w:lang w:eastAsia="en-IN"/>
              </w:rPr>
              <w:t>Mgmt</w:t>
            </w:r>
            <w:proofErr w:type="spellEnd"/>
            <w:r w:rsidRPr="00F25C44">
              <w:rPr>
                <w:rFonts w:ascii="Times New Roman" w:eastAsia="Times New Roman" w:hAnsi="Times New Roman" w:cs="Times New Roman"/>
                <w:sz w:val="20"/>
                <w:szCs w:val="20"/>
                <w:lang w:eastAsia="en-IN"/>
              </w:rPr>
              <w:t xml:space="preserve"> &amp; Fairness</w:t>
            </w:r>
          </w:p>
        </w:tc>
        <w:tc>
          <w:tcPr>
            <w:tcW w:w="849" w:type="pct"/>
            <w:tcBorders>
              <w:top w:val="nil"/>
              <w:left w:val="nil"/>
              <w:bottom w:val="single" w:sz="4" w:space="0" w:color="B0B0B0"/>
              <w:right w:val="single" w:sz="4" w:space="0" w:color="B0B0B0"/>
            </w:tcBorders>
            <w:shd w:val="clear" w:color="FFF2CC" w:fill="FFF2CC"/>
            <w:hideMark/>
          </w:tcPr>
          <w:p w14:paraId="015BB416"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Perceived fairness; performance evaluation</w:t>
            </w:r>
          </w:p>
        </w:tc>
        <w:tc>
          <w:tcPr>
            <w:tcW w:w="975" w:type="pct"/>
            <w:tcBorders>
              <w:top w:val="nil"/>
              <w:left w:val="nil"/>
              <w:bottom w:val="single" w:sz="4" w:space="0" w:color="B0B0B0"/>
              <w:right w:val="single" w:sz="4" w:space="0" w:color="B0B0B0"/>
            </w:tcBorders>
            <w:shd w:val="clear" w:color="FFF2CC" w:fill="FFF2CC"/>
            <w:hideMark/>
          </w:tcPr>
          <w:p w14:paraId="36185755"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Multi-study experimental research design</w:t>
            </w:r>
          </w:p>
        </w:tc>
        <w:tc>
          <w:tcPr>
            <w:tcW w:w="1300" w:type="pct"/>
            <w:tcBorders>
              <w:top w:val="nil"/>
              <w:left w:val="nil"/>
              <w:bottom w:val="single" w:sz="4" w:space="0" w:color="B0B0B0"/>
              <w:right w:val="single" w:sz="4" w:space="0" w:color="B0B0B0"/>
            </w:tcBorders>
            <w:shd w:val="clear" w:color="FFF2CC" w:fill="FFF2CC"/>
            <w:hideMark/>
          </w:tcPr>
          <w:p w14:paraId="5EDB1937"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Central evidence on AI versus human fairness perceptions</w:t>
            </w:r>
          </w:p>
        </w:tc>
      </w:tr>
      <w:tr w:rsidR="00F702C4" w:rsidRPr="00F25C44" w14:paraId="63C6C939"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FFF2CC" w:fill="FFF2CC"/>
            <w:noWrap/>
            <w:hideMark/>
          </w:tcPr>
          <w:p w14:paraId="79B1F84E"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t>SRC-061</w:t>
            </w:r>
          </w:p>
        </w:tc>
        <w:tc>
          <w:tcPr>
            <w:tcW w:w="826" w:type="pct"/>
            <w:tcBorders>
              <w:top w:val="nil"/>
              <w:left w:val="nil"/>
              <w:bottom w:val="single" w:sz="4" w:space="0" w:color="B0B0B0"/>
              <w:right w:val="single" w:sz="4" w:space="0" w:color="B0B0B0"/>
            </w:tcBorders>
            <w:shd w:val="clear" w:color="FFF2CC" w:fill="FFF2CC"/>
            <w:hideMark/>
          </w:tcPr>
          <w:p w14:paraId="3B8FCB29"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Raghavan et al. (2020)</w:t>
            </w:r>
          </w:p>
        </w:tc>
        <w:tc>
          <w:tcPr>
            <w:tcW w:w="645" w:type="pct"/>
            <w:tcBorders>
              <w:top w:val="nil"/>
              <w:left w:val="nil"/>
              <w:bottom w:val="single" w:sz="4" w:space="0" w:color="B0B0B0"/>
              <w:right w:val="single" w:sz="4" w:space="0" w:color="B0B0B0"/>
            </w:tcBorders>
            <w:shd w:val="clear" w:color="FFF2CC" w:fill="FFF2CC"/>
            <w:hideMark/>
          </w:tcPr>
          <w:p w14:paraId="1671C36E"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 xml:space="preserve">C4: Algorithmic </w:t>
            </w:r>
            <w:proofErr w:type="spellStart"/>
            <w:r w:rsidRPr="00F25C44">
              <w:rPr>
                <w:rFonts w:ascii="Times New Roman" w:eastAsia="Times New Roman" w:hAnsi="Times New Roman" w:cs="Times New Roman"/>
                <w:sz w:val="20"/>
                <w:szCs w:val="20"/>
                <w:lang w:eastAsia="en-IN"/>
              </w:rPr>
              <w:t>Mgmt</w:t>
            </w:r>
            <w:proofErr w:type="spellEnd"/>
            <w:r w:rsidRPr="00F25C44">
              <w:rPr>
                <w:rFonts w:ascii="Times New Roman" w:eastAsia="Times New Roman" w:hAnsi="Times New Roman" w:cs="Times New Roman"/>
                <w:sz w:val="20"/>
                <w:szCs w:val="20"/>
                <w:lang w:eastAsia="en-IN"/>
              </w:rPr>
              <w:t xml:space="preserve"> &amp; Fairness</w:t>
            </w:r>
          </w:p>
        </w:tc>
        <w:tc>
          <w:tcPr>
            <w:tcW w:w="849" w:type="pct"/>
            <w:tcBorders>
              <w:top w:val="nil"/>
              <w:left w:val="nil"/>
              <w:bottom w:val="single" w:sz="4" w:space="0" w:color="B0B0B0"/>
              <w:right w:val="single" w:sz="4" w:space="0" w:color="B0B0B0"/>
            </w:tcBorders>
            <w:shd w:val="clear" w:color="FFF2CC" w:fill="FFF2CC"/>
            <w:hideMark/>
          </w:tcPr>
          <w:p w14:paraId="25631D24"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Algorithmic bias; validation claims</w:t>
            </w:r>
          </w:p>
        </w:tc>
        <w:tc>
          <w:tcPr>
            <w:tcW w:w="975" w:type="pct"/>
            <w:tcBorders>
              <w:top w:val="nil"/>
              <w:left w:val="nil"/>
              <w:bottom w:val="single" w:sz="4" w:space="0" w:color="B0B0B0"/>
              <w:right w:val="single" w:sz="4" w:space="0" w:color="B0B0B0"/>
            </w:tcBorders>
            <w:shd w:val="clear" w:color="FFF2CC" w:fill="FFF2CC"/>
            <w:hideMark/>
          </w:tcPr>
          <w:p w14:paraId="6661C12C"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Critical technical and policy analysis</w:t>
            </w:r>
          </w:p>
        </w:tc>
        <w:tc>
          <w:tcPr>
            <w:tcW w:w="1300" w:type="pct"/>
            <w:tcBorders>
              <w:top w:val="nil"/>
              <w:left w:val="nil"/>
              <w:bottom w:val="single" w:sz="4" w:space="0" w:color="B0B0B0"/>
              <w:right w:val="single" w:sz="4" w:space="0" w:color="B0B0B0"/>
            </w:tcBorders>
            <w:shd w:val="clear" w:color="FFF2CC" w:fill="FFF2CC"/>
            <w:hideMark/>
          </w:tcPr>
          <w:p w14:paraId="4F3C9FAF"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Grounds recruitment-AI governance discussion in technical reality</w:t>
            </w:r>
          </w:p>
        </w:tc>
      </w:tr>
      <w:tr w:rsidR="00F702C4" w:rsidRPr="00F25C44" w14:paraId="79A95760"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FFF2CC" w:fill="FFF2CC"/>
            <w:noWrap/>
            <w:hideMark/>
          </w:tcPr>
          <w:p w14:paraId="5C2288F1"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t>SRC-062</w:t>
            </w:r>
          </w:p>
        </w:tc>
        <w:tc>
          <w:tcPr>
            <w:tcW w:w="826" w:type="pct"/>
            <w:tcBorders>
              <w:top w:val="nil"/>
              <w:left w:val="nil"/>
              <w:bottom w:val="single" w:sz="4" w:space="0" w:color="B0B0B0"/>
              <w:right w:val="single" w:sz="4" w:space="0" w:color="B0B0B0"/>
            </w:tcBorders>
            <w:shd w:val="clear" w:color="FFF2CC" w:fill="FFF2CC"/>
            <w:hideMark/>
          </w:tcPr>
          <w:p w14:paraId="33EC5B58"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proofErr w:type="spellStart"/>
            <w:r w:rsidRPr="00F25C44">
              <w:rPr>
                <w:rFonts w:ascii="Times New Roman" w:eastAsia="Times New Roman" w:hAnsi="Times New Roman" w:cs="Times New Roman"/>
                <w:sz w:val="20"/>
                <w:szCs w:val="20"/>
                <w:lang w:eastAsia="en-IN"/>
              </w:rPr>
              <w:t>Raisch</w:t>
            </w:r>
            <w:proofErr w:type="spellEnd"/>
            <w:r w:rsidRPr="00F25C44">
              <w:rPr>
                <w:rFonts w:ascii="Times New Roman" w:eastAsia="Times New Roman" w:hAnsi="Times New Roman" w:cs="Times New Roman"/>
                <w:sz w:val="20"/>
                <w:szCs w:val="20"/>
                <w:lang w:eastAsia="en-IN"/>
              </w:rPr>
              <w:t xml:space="preserve"> &amp; Krakowski (2021)</w:t>
            </w:r>
          </w:p>
        </w:tc>
        <w:tc>
          <w:tcPr>
            <w:tcW w:w="645" w:type="pct"/>
            <w:tcBorders>
              <w:top w:val="nil"/>
              <w:left w:val="nil"/>
              <w:bottom w:val="single" w:sz="4" w:space="0" w:color="B0B0B0"/>
              <w:right w:val="single" w:sz="4" w:space="0" w:color="B0B0B0"/>
            </w:tcBorders>
            <w:shd w:val="clear" w:color="FFF2CC" w:fill="FFF2CC"/>
            <w:hideMark/>
          </w:tcPr>
          <w:p w14:paraId="0D7917FD"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 xml:space="preserve">C4: Algorithmic </w:t>
            </w:r>
            <w:proofErr w:type="spellStart"/>
            <w:r w:rsidRPr="00F25C44">
              <w:rPr>
                <w:rFonts w:ascii="Times New Roman" w:eastAsia="Times New Roman" w:hAnsi="Times New Roman" w:cs="Times New Roman"/>
                <w:sz w:val="20"/>
                <w:szCs w:val="20"/>
                <w:lang w:eastAsia="en-IN"/>
              </w:rPr>
              <w:t>Mgmt</w:t>
            </w:r>
            <w:proofErr w:type="spellEnd"/>
            <w:r w:rsidRPr="00F25C44">
              <w:rPr>
                <w:rFonts w:ascii="Times New Roman" w:eastAsia="Times New Roman" w:hAnsi="Times New Roman" w:cs="Times New Roman"/>
                <w:sz w:val="20"/>
                <w:szCs w:val="20"/>
                <w:lang w:eastAsia="en-IN"/>
              </w:rPr>
              <w:t xml:space="preserve"> &amp; Fairness</w:t>
            </w:r>
          </w:p>
        </w:tc>
        <w:tc>
          <w:tcPr>
            <w:tcW w:w="849" w:type="pct"/>
            <w:tcBorders>
              <w:top w:val="nil"/>
              <w:left w:val="nil"/>
              <w:bottom w:val="single" w:sz="4" w:space="0" w:color="B0B0B0"/>
              <w:right w:val="single" w:sz="4" w:space="0" w:color="B0B0B0"/>
            </w:tcBorders>
            <w:shd w:val="clear" w:color="FFF2CC" w:fill="FFF2CC"/>
            <w:hideMark/>
          </w:tcPr>
          <w:p w14:paraId="7999F04A"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Automation vs augmentation; managerial role redesign</w:t>
            </w:r>
          </w:p>
        </w:tc>
        <w:tc>
          <w:tcPr>
            <w:tcW w:w="975" w:type="pct"/>
            <w:tcBorders>
              <w:top w:val="nil"/>
              <w:left w:val="nil"/>
              <w:bottom w:val="single" w:sz="4" w:space="0" w:color="B0B0B0"/>
              <w:right w:val="single" w:sz="4" w:space="0" w:color="B0B0B0"/>
            </w:tcBorders>
            <w:shd w:val="clear" w:color="FFF2CC" w:fill="FFF2CC"/>
            <w:hideMark/>
          </w:tcPr>
          <w:p w14:paraId="21A44D9B"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Conceptual theory-building paper</w:t>
            </w:r>
          </w:p>
        </w:tc>
        <w:tc>
          <w:tcPr>
            <w:tcW w:w="1300" w:type="pct"/>
            <w:tcBorders>
              <w:top w:val="nil"/>
              <w:left w:val="nil"/>
              <w:bottom w:val="single" w:sz="4" w:space="0" w:color="B0B0B0"/>
              <w:right w:val="single" w:sz="4" w:space="0" w:color="B0B0B0"/>
            </w:tcBorders>
            <w:shd w:val="clear" w:color="FFF2CC" w:fill="FFF2CC"/>
            <w:hideMark/>
          </w:tcPr>
          <w:p w14:paraId="3741FD90"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Frames AI's dual effect on roles and trust</w:t>
            </w:r>
          </w:p>
        </w:tc>
      </w:tr>
      <w:tr w:rsidR="00F702C4" w:rsidRPr="00F25C44" w14:paraId="1CBBCDDB"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FFF2CC" w:fill="FFF2CC"/>
            <w:noWrap/>
            <w:hideMark/>
          </w:tcPr>
          <w:p w14:paraId="7089E473"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lastRenderedPageBreak/>
              <w:t>SRC-063</w:t>
            </w:r>
          </w:p>
        </w:tc>
        <w:tc>
          <w:tcPr>
            <w:tcW w:w="826" w:type="pct"/>
            <w:tcBorders>
              <w:top w:val="nil"/>
              <w:left w:val="nil"/>
              <w:bottom w:val="single" w:sz="4" w:space="0" w:color="B0B0B0"/>
              <w:right w:val="single" w:sz="4" w:space="0" w:color="B0B0B0"/>
            </w:tcBorders>
            <w:shd w:val="clear" w:color="FFF2CC" w:fill="FFF2CC"/>
            <w:hideMark/>
          </w:tcPr>
          <w:p w14:paraId="750E033D"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Kelan (2024)</w:t>
            </w:r>
          </w:p>
        </w:tc>
        <w:tc>
          <w:tcPr>
            <w:tcW w:w="645" w:type="pct"/>
            <w:tcBorders>
              <w:top w:val="nil"/>
              <w:left w:val="nil"/>
              <w:bottom w:val="single" w:sz="4" w:space="0" w:color="B0B0B0"/>
              <w:right w:val="single" w:sz="4" w:space="0" w:color="B0B0B0"/>
            </w:tcBorders>
            <w:shd w:val="clear" w:color="FFF2CC" w:fill="FFF2CC"/>
            <w:hideMark/>
          </w:tcPr>
          <w:p w14:paraId="359F37EB"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 xml:space="preserve">C4: Algorithmic </w:t>
            </w:r>
            <w:proofErr w:type="spellStart"/>
            <w:r w:rsidRPr="00F25C44">
              <w:rPr>
                <w:rFonts w:ascii="Times New Roman" w:eastAsia="Times New Roman" w:hAnsi="Times New Roman" w:cs="Times New Roman"/>
                <w:sz w:val="20"/>
                <w:szCs w:val="20"/>
                <w:lang w:eastAsia="en-IN"/>
              </w:rPr>
              <w:t>Mgmt</w:t>
            </w:r>
            <w:proofErr w:type="spellEnd"/>
            <w:r w:rsidRPr="00F25C44">
              <w:rPr>
                <w:rFonts w:ascii="Times New Roman" w:eastAsia="Times New Roman" w:hAnsi="Times New Roman" w:cs="Times New Roman"/>
                <w:sz w:val="20"/>
                <w:szCs w:val="20"/>
                <w:lang w:eastAsia="en-IN"/>
              </w:rPr>
              <w:t xml:space="preserve"> &amp; Fairness</w:t>
            </w:r>
          </w:p>
        </w:tc>
        <w:tc>
          <w:tcPr>
            <w:tcW w:w="849" w:type="pct"/>
            <w:tcBorders>
              <w:top w:val="nil"/>
              <w:left w:val="nil"/>
              <w:bottom w:val="single" w:sz="4" w:space="0" w:color="B0B0B0"/>
              <w:right w:val="single" w:sz="4" w:space="0" w:color="B0B0B0"/>
            </w:tcBorders>
            <w:shd w:val="clear" w:color="FFF2CC" w:fill="FFF2CC"/>
            <w:hideMark/>
          </w:tcPr>
          <w:p w14:paraId="3830F67B"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Algorithmic inclusion; predictive hiring models</w:t>
            </w:r>
          </w:p>
        </w:tc>
        <w:tc>
          <w:tcPr>
            <w:tcW w:w="975" w:type="pct"/>
            <w:tcBorders>
              <w:top w:val="nil"/>
              <w:left w:val="nil"/>
              <w:bottom w:val="single" w:sz="4" w:space="0" w:color="B0B0B0"/>
              <w:right w:val="single" w:sz="4" w:space="0" w:color="B0B0B0"/>
            </w:tcBorders>
            <w:shd w:val="clear" w:color="FFF2CC" w:fill="FFF2CC"/>
            <w:hideMark/>
          </w:tcPr>
          <w:p w14:paraId="496CAACB"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Qualitative organisational case study</w:t>
            </w:r>
          </w:p>
        </w:tc>
        <w:tc>
          <w:tcPr>
            <w:tcW w:w="1300" w:type="pct"/>
            <w:tcBorders>
              <w:top w:val="nil"/>
              <w:left w:val="nil"/>
              <w:bottom w:val="single" w:sz="4" w:space="0" w:color="B0B0B0"/>
              <w:right w:val="single" w:sz="4" w:space="0" w:color="B0B0B0"/>
            </w:tcBorders>
            <w:shd w:val="clear" w:color="FFF2CC" w:fill="FFF2CC"/>
            <w:hideMark/>
          </w:tcPr>
          <w:p w14:paraId="68E10CFA"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Offers a constructive governance pathway for inclusion</w:t>
            </w:r>
          </w:p>
        </w:tc>
      </w:tr>
      <w:tr w:rsidR="00F702C4" w:rsidRPr="00F25C44" w14:paraId="45CA8EFC"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FFF2CC" w:fill="FFF2CC"/>
            <w:noWrap/>
            <w:hideMark/>
          </w:tcPr>
          <w:p w14:paraId="6BD507C6"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t>SRC-064</w:t>
            </w:r>
          </w:p>
        </w:tc>
        <w:tc>
          <w:tcPr>
            <w:tcW w:w="826" w:type="pct"/>
            <w:tcBorders>
              <w:top w:val="nil"/>
              <w:left w:val="nil"/>
              <w:bottom w:val="single" w:sz="4" w:space="0" w:color="B0B0B0"/>
              <w:right w:val="single" w:sz="4" w:space="0" w:color="B0B0B0"/>
            </w:tcBorders>
            <w:shd w:val="clear" w:color="FFF2CC" w:fill="FFF2CC"/>
            <w:hideMark/>
          </w:tcPr>
          <w:p w14:paraId="66982021"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proofErr w:type="spellStart"/>
            <w:r w:rsidRPr="00F25C44">
              <w:rPr>
                <w:rFonts w:ascii="Times New Roman" w:eastAsia="Times New Roman" w:hAnsi="Times New Roman" w:cs="Times New Roman"/>
                <w:sz w:val="20"/>
                <w:szCs w:val="20"/>
                <w:lang w:eastAsia="en-IN"/>
              </w:rPr>
              <w:t>Fabris</w:t>
            </w:r>
            <w:proofErr w:type="spellEnd"/>
            <w:r w:rsidRPr="00F25C44">
              <w:rPr>
                <w:rFonts w:ascii="Times New Roman" w:eastAsia="Times New Roman" w:hAnsi="Times New Roman" w:cs="Times New Roman"/>
                <w:sz w:val="20"/>
                <w:szCs w:val="20"/>
                <w:lang w:eastAsia="en-IN"/>
              </w:rPr>
              <w:t xml:space="preserve"> et al. (2025)</w:t>
            </w:r>
          </w:p>
        </w:tc>
        <w:tc>
          <w:tcPr>
            <w:tcW w:w="645" w:type="pct"/>
            <w:tcBorders>
              <w:top w:val="nil"/>
              <w:left w:val="nil"/>
              <w:bottom w:val="single" w:sz="4" w:space="0" w:color="B0B0B0"/>
              <w:right w:val="single" w:sz="4" w:space="0" w:color="B0B0B0"/>
            </w:tcBorders>
            <w:shd w:val="clear" w:color="FFF2CC" w:fill="FFF2CC"/>
            <w:hideMark/>
          </w:tcPr>
          <w:p w14:paraId="75156CB9"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 xml:space="preserve">C4: Algorithmic </w:t>
            </w:r>
            <w:proofErr w:type="spellStart"/>
            <w:r w:rsidRPr="00F25C44">
              <w:rPr>
                <w:rFonts w:ascii="Times New Roman" w:eastAsia="Times New Roman" w:hAnsi="Times New Roman" w:cs="Times New Roman"/>
                <w:sz w:val="20"/>
                <w:szCs w:val="20"/>
                <w:lang w:eastAsia="en-IN"/>
              </w:rPr>
              <w:t>Mgmt</w:t>
            </w:r>
            <w:proofErr w:type="spellEnd"/>
            <w:r w:rsidRPr="00F25C44">
              <w:rPr>
                <w:rFonts w:ascii="Times New Roman" w:eastAsia="Times New Roman" w:hAnsi="Times New Roman" w:cs="Times New Roman"/>
                <w:sz w:val="20"/>
                <w:szCs w:val="20"/>
                <w:lang w:eastAsia="en-IN"/>
              </w:rPr>
              <w:t xml:space="preserve"> &amp; Fairness</w:t>
            </w:r>
          </w:p>
        </w:tc>
        <w:tc>
          <w:tcPr>
            <w:tcW w:w="849" w:type="pct"/>
            <w:tcBorders>
              <w:top w:val="nil"/>
              <w:left w:val="nil"/>
              <w:bottom w:val="single" w:sz="4" w:space="0" w:color="B0B0B0"/>
              <w:right w:val="single" w:sz="4" w:space="0" w:color="B0B0B0"/>
            </w:tcBorders>
            <w:shd w:val="clear" w:color="FFF2CC" w:fill="FFF2CC"/>
            <w:hideMark/>
          </w:tcPr>
          <w:p w14:paraId="51F8F423"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Multidisciplinary fairness taxonomy; hiring bias mitigation</w:t>
            </w:r>
          </w:p>
        </w:tc>
        <w:tc>
          <w:tcPr>
            <w:tcW w:w="975" w:type="pct"/>
            <w:tcBorders>
              <w:top w:val="nil"/>
              <w:left w:val="nil"/>
              <w:bottom w:val="single" w:sz="4" w:space="0" w:color="B0B0B0"/>
              <w:right w:val="single" w:sz="4" w:space="0" w:color="B0B0B0"/>
            </w:tcBorders>
            <w:shd w:val="clear" w:color="FFF2CC" w:fill="FFF2CC"/>
            <w:hideMark/>
          </w:tcPr>
          <w:p w14:paraId="56BAB12A"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Comprehensive multidisciplinary literature survey</w:t>
            </w:r>
          </w:p>
        </w:tc>
        <w:tc>
          <w:tcPr>
            <w:tcW w:w="1300" w:type="pct"/>
            <w:tcBorders>
              <w:top w:val="nil"/>
              <w:left w:val="nil"/>
              <w:bottom w:val="single" w:sz="4" w:space="0" w:color="B0B0B0"/>
              <w:right w:val="single" w:sz="4" w:space="0" w:color="B0B0B0"/>
            </w:tcBorders>
            <w:shd w:val="clear" w:color="FFF2CC" w:fill="FFF2CC"/>
            <w:hideMark/>
          </w:tcPr>
          <w:p w14:paraId="532B78EA"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Key reference underpinning the fairness sub-theme</w:t>
            </w:r>
          </w:p>
        </w:tc>
      </w:tr>
      <w:tr w:rsidR="00F702C4" w:rsidRPr="00F25C44" w14:paraId="3F594DC0"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FFF2CC" w:fill="FFF2CC"/>
            <w:noWrap/>
            <w:hideMark/>
          </w:tcPr>
          <w:p w14:paraId="06DC3B8F"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t>SRC-065</w:t>
            </w:r>
          </w:p>
        </w:tc>
        <w:tc>
          <w:tcPr>
            <w:tcW w:w="826" w:type="pct"/>
            <w:tcBorders>
              <w:top w:val="nil"/>
              <w:left w:val="nil"/>
              <w:bottom w:val="single" w:sz="4" w:space="0" w:color="B0B0B0"/>
              <w:right w:val="single" w:sz="4" w:space="0" w:color="B0B0B0"/>
            </w:tcBorders>
            <w:shd w:val="clear" w:color="FFF2CC" w:fill="FFF2CC"/>
            <w:hideMark/>
          </w:tcPr>
          <w:p w14:paraId="49E5808A"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proofErr w:type="spellStart"/>
            <w:r w:rsidRPr="00F25C44">
              <w:rPr>
                <w:rFonts w:ascii="Times New Roman" w:eastAsia="Times New Roman" w:hAnsi="Times New Roman" w:cs="Times New Roman"/>
                <w:sz w:val="20"/>
                <w:szCs w:val="20"/>
                <w:lang w:eastAsia="en-IN"/>
              </w:rPr>
              <w:t>Rampersad</w:t>
            </w:r>
            <w:proofErr w:type="spellEnd"/>
            <w:r w:rsidRPr="00F25C44">
              <w:rPr>
                <w:rFonts w:ascii="Times New Roman" w:eastAsia="Times New Roman" w:hAnsi="Times New Roman" w:cs="Times New Roman"/>
                <w:sz w:val="20"/>
                <w:szCs w:val="20"/>
                <w:lang w:eastAsia="en-IN"/>
              </w:rPr>
              <w:t xml:space="preserve"> (2020)</w:t>
            </w:r>
          </w:p>
        </w:tc>
        <w:tc>
          <w:tcPr>
            <w:tcW w:w="645" w:type="pct"/>
            <w:tcBorders>
              <w:top w:val="nil"/>
              <w:left w:val="nil"/>
              <w:bottom w:val="single" w:sz="4" w:space="0" w:color="B0B0B0"/>
              <w:right w:val="single" w:sz="4" w:space="0" w:color="B0B0B0"/>
            </w:tcBorders>
            <w:shd w:val="clear" w:color="FFF2CC" w:fill="FFF2CC"/>
            <w:hideMark/>
          </w:tcPr>
          <w:p w14:paraId="048112B1"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 xml:space="preserve">C4: Algorithmic </w:t>
            </w:r>
            <w:proofErr w:type="spellStart"/>
            <w:r w:rsidRPr="00F25C44">
              <w:rPr>
                <w:rFonts w:ascii="Times New Roman" w:eastAsia="Times New Roman" w:hAnsi="Times New Roman" w:cs="Times New Roman"/>
                <w:sz w:val="20"/>
                <w:szCs w:val="20"/>
                <w:lang w:eastAsia="en-IN"/>
              </w:rPr>
              <w:t>Mgmt</w:t>
            </w:r>
            <w:proofErr w:type="spellEnd"/>
            <w:r w:rsidRPr="00F25C44">
              <w:rPr>
                <w:rFonts w:ascii="Times New Roman" w:eastAsia="Times New Roman" w:hAnsi="Times New Roman" w:cs="Times New Roman"/>
                <w:sz w:val="20"/>
                <w:szCs w:val="20"/>
                <w:lang w:eastAsia="en-IN"/>
              </w:rPr>
              <w:t xml:space="preserve"> &amp; Fairness</w:t>
            </w:r>
          </w:p>
        </w:tc>
        <w:tc>
          <w:tcPr>
            <w:tcW w:w="849" w:type="pct"/>
            <w:tcBorders>
              <w:top w:val="nil"/>
              <w:left w:val="nil"/>
              <w:bottom w:val="single" w:sz="4" w:space="0" w:color="B0B0B0"/>
              <w:right w:val="single" w:sz="4" w:space="0" w:color="B0B0B0"/>
            </w:tcBorders>
            <w:shd w:val="clear" w:color="FFF2CC" w:fill="FFF2CC"/>
            <w:hideMark/>
          </w:tcPr>
          <w:p w14:paraId="66B6BAA2"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Job displacement perception; innovation adoption</w:t>
            </w:r>
          </w:p>
        </w:tc>
        <w:tc>
          <w:tcPr>
            <w:tcW w:w="975" w:type="pct"/>
            <w:tcBorders>
              <w:top w:val="nil"/>
              <w:left w:val="nil"/>
              <w:bottom w:val="single" w:sz="4" w:space="0" w:color="B0B0B0"/>
              <w:right w:val="single" w:sz="4" w:space="0" w:color="B0B0B0"/>
            </w:tcBorders>
            <w:shd w:val="clear" w:color="FFF2CC" w:fill="FFF2CC"/>
            <w:hideMark/>
          </w:tcPr>
          <w:p w14:paraId="0B22CABF"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Conceptual analysis with illustrative evidence</w:t>
            </w:r>
          </w:p>
        </w:tc>
        <w:tc>
          <w:tcPr>
            <w:tcW w:w="1300" w:type="pct"/>
            <w:tcBorders>
              <w:top w:val="nil"/>
              <w:left w:val="nil"/>
              <w:bottom w:val="single" w:sz="4" w:space="0" w:color="B0B0B0"/>
              <w:right w:val="single" w:sz="4" w:space="0" w:color="B0B0B0"/>
            </w:tcBorders>
            <w:shd w:val="clear" w:color="FFF2CC" w:fill="FFF2CC"/>
            <w:hideMark/>
          </w:tcPr>
          <w:p w14:paraId="50C8B875"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Frames the job-loss fear underlying workforce resistance</w:t>
            </w:r>
          </w:p>
        </w:tc>
      </w:tr>
      <w:tr w:rsidR="00F702C4" w:rsidRPr="00F25C44" w14:paraId="4A1F11B5"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FFF2CC" w:fill="FFF2CC"/>
            <w:noWrap/>
            <w:hideMark/>
          </w:tcPr>
          <w:p w14:paraId="60089225"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t>SRC-066</w:t>
            </w:r>
          </w:p>
        </w:tc>
        <w:tc>
          <w:tcPr>
            <w:tcW w:w="826" w:type="pct"/>
            <w:tcBorders>
              <w:top w:val="nil"/>
              <w:left w:val="nil"/>
              <w:bottom w:val="single" w:sz="4" w:space="0" w:color="B0B0B0"/>
              <w:right w:val="single" w:sz="4" w:space="0" w:color="B0B0B0"/>
            </w:tcBorders>
            <w:shd w:val="clear" w:color="FFF2CC" w:fill="FFF2CC"/>
            <w:hideMark/>
          </w:tcPr>
          <w:p w14:paraId="43DB75A6"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Chen (2023)</w:t>
            </w:r>
          </w:p>
        </w:tc>
        <w:tc>
          <w:tcPr>
            <w:tcW w:w="645" w:type="pct"/>
            <w:tcBorders>
              <w:top w:val="nil"/>
              <w:left w:val="nil"/>
              <w:bottom w:val="single" w:sz="4" w:space="0" w:color="B0B0B0"/>
              <w:right w:val="single" w:sz="4" w:space="0" w:color="B0B0B0"/>
            </w:tcBorders>
            <w:shd w:val="clear" w:color="FFF2CC" w:fill="FFF2CC"/>
            <w:hideMark/>
          </w:tcPr>
          <w:p w14:paraId="553D43D6"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 xml:space="preserve">C4: Algorithmic </w:t>
            </w:r>
            <w:proofErr w:type="spellStart"/>
            <w:r w:rsidRPr="00F25C44">
              <w:rPr>
                <w:rFonts w:ascii="Times New Roman" w:eastAsia="Times New Roman" w:hAnsi="Times New Roman" w:cs="Times New Roman"/>
                <w:sz w:val="20"/>
                <w:szCs w:val="20"/>
                <w:lang w:eastAsia="en-IN"/>
              </w:rPr>
              <w:t>Mgmt</w:t>
            </w:r>
            <w:proofErr w:type="spellEnd"/>
            <w:r w:rsidRPr="00F25C44">
              <w:rPr>
                <w:rFonts w:ascii="Times New Roman" w:eastAsia="Times New Roman" w:hAnsi="Times New Roman" w:cs="Times New Roman"/>
                <w:sz w:val="20"/>
                <w:szCs w:val="20"/>
                <w:lang w:eastAsia="en-IN"/>
              </w:rPr>
              <w:t xml:space="preserve"> &amp; Fairness</w:t>
            </w:r>
          </w:p>
        </w:tc>
        <w:tc>
          <w:tcPr>
            <w:tcW w:w="849" w:type="pct"/>
            <w:tcBorders>
              <w:top w:val="nil"/>
              <w:left w:val="nil"/>
              <w:bottom w:val="single" w:sz="4" w:space="0" w:color="B0B0B0"/>
              <w:right w:val="single" w:sz="4" w:space="0" w:color="B0B0B0"/>
            </w:tcBorders>
            <w:shd w:val="clear" w:color="FFF2CC" w:fill="FFF2CC"/>
            <w:hideMark/>
          </w:tcPr>
          <w:p w14:paraId="2A603D1D"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Human-AI collaboration; bias reduction in recruitment</w:t>
            </w:r>
          </w:p>
        </w:tc>
        <w:tc>
          <w:tcPr>
            <w:tcW w:w="975" w:type="pct"/>
            <w:tcBorders>
              <w:top w:val="nil"/>
              <w:left w:val="nil"/>
              <w:bottom w:val="single" w:sz="4" w:space="0" w:color="B0B0B0"/>
              <w:right w:val="single" w:sz="4" w:space="0" w:color="B0B0B0"/>
            </w:tcBorders>
            <w:shd w:val="clear" w:color="FFF2CC" w:fill="FFF2CC"/>
            <w:hideMark/>
          </w:tcPr>
          <w:p w14:paraId="4915493E"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Qualitative interview-based study</w:t>
            </w:r>
          </w:p>
        </w:tc>
        <w:tc>
          <w:tcPr>
            <w:tcW w:w="1300" w:type="pct"/>
            <w:tcBorders>
              <w:top w:val="nil"/>
              <w:left w:val="nil"/>
              <w:bottom w:val="single" w:sz="4" w:space="0" w:color="B0B0B0"/>
              <w:right w:val="single" w:sz="4" w:space="0" w:color="B0B0B0"/>
            </w:tcBorders>
            <w:shd w:val="clear" w:color="FFF2CC" w:fill="FFF2CC"/>
            <w:hideMark/>
          </w:tcPr>
          <w:p w14:paraId="50A7A2D8"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Optimistic counter-narrative on AI reducing recruiter bias</w:t>
            </w:r>
          </w:p>
        </w:tc>
      </w:tr>
      <w:tr w:rsidR="00F702C4" w:rsidRPr="00F25C44" w14:paraId="7B25A780"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FFF2CC" w:fill="FFF2CC"/>
            <w:noWrap/>
            <w:hideMark/>
          </w:tcPr>
          <w:p w14:paraId="24F73368"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t>SRC-067</w:t>
            </w:r>
          </w:p>
        </w:tc>
        <w:tc>
          <w:tcPr>
            <w:tcW w:w="826" w:type="pct"/>
            <w:tcBorders>
              <w:top w:val="nil"/>
              <w:left w:val="nil"/>
              <w:bottom w:val="single" w:sz="4" w:space="0" w:color="B0B0B0"/>
              <w:right w:val="single" w:sz="4" w:space="0" w:color="B0B0B0"/>
            </w:tcBorders>
            <w:shd w:val="clear" w:color="FFF2CC" w:fill="FFF2CC"/>
            <w:hideMark/>
          </w:tcPr>
          <w:p w14:paraId="3A7BF0C7"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Ebert et al. (2021)</w:t>
            </w:r>
          </w:p>
        </w:tc>
        <w:tc>
          <w:tcPr>
            <w:tcW w:w="645" w:type="pct"/>
            <w:tcBorders>
              <w:top w:val="nil"/>
              <w:left w:val="nil"/>
              <w:bottom w:val="single" w:sz="4" w:space="0" w:color="B0B0B0"/>
              <w:right w:val="single" w:sz="4" w:space="0" w:color="B0B0B0"/>
            </w:tcBorders>
            <w:shd w:val="clear" w:color="FFF2CC" w:fill="FFF2CC"/>
            <w:hideMark/>
          </w:tcPr>
          <w:p w14:paraId="3FD0CD85"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 xml:space="preserve">C4: Algorithmic </w:t>
            </w:r>
            <w:proofErr w:type="spellStart"/>
            <w:r w:rsidRPr="00F25C44">
              <w:rPr>
                <w:rFonts w:ascii="Times New Roman" w:eastAsia="Times New Roman" w:hAnsi="Times New Roman" w:cs="Times New Roman"/>
                <w:sz w:val="20"/>
                <w:szCs w:val="20"/>
                <w:lang w:eastAsia="en-IN"/>
              </w:rPr>
              <w:t>Mgmt</w:t>
            </w:r>
            <w:proofErr w:type="spellEnd"/>
            <w:r w:rsidRPr="00F25C44">
              <w:rPr>
                <w:rFonts w:ascii="Times New Roman" w:eastAsia="Times New Roman" w:hAnsi="Times New Roman" w:cs="Times New Roman"/>
                <w:sz w:val="20"/>
                <w:szCs w:val="20"/>
                <w:lang w:eastAsia="en-IN"/>
              </w:rPr>
              <w:t xml:space="preserve"> &amp; Fairness</w:t>
            </w:r>
          </w:p>
        </w:tc>
        <w:tc>
          <w:tcPr>
            <w:tcW w:w="849" w:type="pct"/>
            <w:tcBorders>
              <w:top w:val="nil"/>
              <w:left w:val="nil"/>
              <w:bottom w:val="single" w:sz="4" w:space="0" w:color="B0B0B0"/>
              <w:right w:val="single" w:sz="4" w:space="0" w:color="B0B0B0"/>
            </w:tcBorders>
            <w:shd w:val="clear" w:color="FFF2CC" w:fill="FFF2CC"/>
            <w:hideMark/>
          </w:tcPr>
          <w:p w14:paraId="48694F3E"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Privacy due diligence; human rights framing</w:t>
            </w:r>
          </w:p>
        </w:tc>
        <w:tc>
          <w:tcPr>
            <w:tcW w:w="975" w:type="pct"/>
            <w:tcBorders>
              <w:top w:val="nil"/>
              <w:left w:val="nil"/>
              <w:bottom w:val="single" w:sz="4" w:space="0" w:color="B0B0B0"/>
              <w:right w:val="single" w:sz="4" w:space="0" w:color="B0B0B0"/>
            </w:tcBorders>
            <w:shd w:val="clear" w:color="FFF2CC" w:fill="FFF2CC"/>
            <w:hideMark/>
          </w:tcPr>
          <w:p w14:paraId="0B11D4E5"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Legal/conceptual analysis</w:t>
            </w:r>
          </w:p>
        </w:tc>
        <w:tc>
          <w:tcPr>
            <w:tcW w:w="1300" w:type="pct"/>
            <w:tcBorders>
              <w:top w:val="nil"/>
              <w:left w:val="nil"/>
              <w:bottom w:val="single" w:sz="4" w:space="0" w:color="B0B0B0"/>
              <w:right w:val="single" w:sz="4" w:space="0" w:color="B0B0B0"/>
            </w:tcBorders>
            <w:shd w:val="clear" w:color="FFF2CC" w:fill="FFF2CC"/>
            <w:hideMark/>
          </w:tcPr>
          <w:p w14:paraId="462100BA"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Strengthens the ethical-governance argument via human rights</w:t>
            </w:r>
          </w:p>
        </w:tc>
      </w:tr>
      <w:tr w:rsidR="00F702C4" w:rsidRPr="00F25C44" w14:paraId="592473AC"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FFF2CC" w:fill="FFF2CC"/>
            <w:noWrap/>
            <w:hideMark/>
          </w:tcPr>
          <w:p w14:paraId="6E97C1B9"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t>SRC-068</w:t>
            </w:r>
          </w:p>
        </w:tc>
        <w:tc>
          <w:tcPr>
            <w:tcW w:w="826" w:type="pct"/>
            <w:tcBorders>
              <w:top w:val="nil"/>
              <w:left w:val="nil"/>
              <w:bottom w:val="single" w:sz="4" w:space="0" w:color="B0B0B0"/>
              <w:right w:val="single" w:sz="4" w:space="0" w:color="B0B0B0"/>
            </w:tcBorders>
            <w:shd w:val="clear" w:color="FFF2CC" w:fill="FFF2CC"/>
            <w:hideMark/>
          </w:tcPr>
          <w:p w14:paraId="4EEFC985"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proofErr w:type="spellStart"/>
            <w:r w:rsidRPr="00F25C44">
              <w:rPr>
                <w:rFonts w:ascii="Times New Roman" w:eastAsia="Times New Roman" w:hAnsi="Times New Roman" w:cs="Times New Roman"/>
                <w:sz w:val="20"/>
                <w:szCs w:val="20"/>
                <w:lang w:eastAsia="en-IN"/>
              </w:rPr>
              <w:t>Kinowska</w:t>
            </w:r>
            <w:proofErr w:type="spellEnd"/>
            <w:r w:rsidRPr="00F25C44">
              <w:rPr>
                <w:rFonts w:ascii="Times New Roman" w:eastAsia="Times New Roman" w:hAnsi="Times New Roman" w:cs="Times New Roman"/>
                <w:sz w:val="20"/>
                <w:szCs w:val="20"/>
                <w:lang w:eastAsia="en-IN"/>
              </w:rPr>
              <w:t xml:space="preserve"> &amp; Sienkiewicz (2022)</w:t>
            </w:r>
          </w:p>
        </w:tc>
        <w:tc>
          <w:tcPr>
            <w:tcW w:w="645" w:type="pct"/>
            <w:tcBorders>
              <w:top w:val="nil"/>
              <w:left w:val="nil"/>
              <w:bottom w:val="single" w:sz="4" w:space="0" w:color="B0B0B0"/>
              <w:right w:val="single" w:sz="4" w:space="0" w:color="B0B0B0"/>
            </w:tcBorders>
            <w:shd w:val="clear" w:color="FFF2CC" w:fill="FFF2CC"/>
            <w:hideMark/>
          </w:tcPr>
          <w:p w14:paraId="6012E222"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 xml:space="preserve">C4: Algorithmic </w:t>
            </w:r>
            <w:proofErr w:type="spellStart"/>
            <w:r w:rsidRPr="00F25C44">
              <w:rPr>
                <w:rFonts w:ascii="Times New Roman" w:eastAsia="Times New Roman" w:hAnsi="Times New Roman" w:cs="Times New Roman"/>
                <w:sz w:val="20"/>
                <w:szCs w:val="20"/>
                <w:lang w:eastAsia="en-IN"/>
              </w:rPr>
              <w:t>Mgmt</w:t>
            </w:r>
            <w:proofErr w:type="spellEnd"/>
            <w:r w:rsidRPr="00F25C44">
              <w:rPr>
                <w:rFonts w:ascii="Times New Roman" w:eastAsia="Times New Roman" w:hAnsi="Times New Roman" w:cs="Times New Roman"/>
                <w:sz w:val="20"/>
                <w:szCs w:val="20"/>
                <w:lang w:eastAsia="en-IN"/>
              </w:rPr>
              <w:t xml:space="preserve"> &amp; Fairness</w:t>
            </w:r>
          </w:p>
        </w:tc>
        <w:tc>
          <w:tcPr>
            <w:tcW w:w="849" w:type="pct"/>
            <w:tcBorders>
              <w:top w:val="nil"/>
              <w:left w:val="nil"/>
              <w:bottom w:val="single" w:sz="4" w:space="0" w:color="B0B0B0"/>
              <w:right w:val="single" w:sz="4" w:space="0" w:color="B0B0B0"/>
            </w:tcBorders>
            <w:shd w:val="clear" w:color="FFF2CC" w:fill="FFF2CC"/>
            <w:hideMark/>
          </w:tcPr>
          <w:p w14:paraId="4F7A24FE"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Professional autonomy; wellbeing</w:t>
            </w:r>
          </w:p>
        </w:tc>
        <w:tc>
          <w:tcPr>
            <w:tcW w:w="975" w:type="pct"/>
            <w:tcBorders>
              <w:top w:val="nil"/>
              <w:left w:val="nil"/>
              <w:bottom w:val="single" w:sz="4" w:space="0" w:color="B0B0B0"/>
              <w:right w:val="single" w:sz="4" w:space="0" w:color="B0B0B0"/>
            </w:tcBorders>
            <w:shd w:val="clear" w:color="FFF2CC" w:fill="FFF2CC"/>
            <w:hideMark/>
          </w:tcPr>
          <w:p w14:paraId="1BE9FAAB"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Cross-organisational European survey</w:t>
            </w:r>
          </w:p>
        </w:tc>
        <w:tc>
          <w:tcPr>
            <w:tcW w:w="1300" w:type="pct"/>
            <w:tcBorders>
              <w:top w:val="nil"/>
              <w:left w:val="nil"/>
              <w:bottom w:val="single" w:sz="4" w:space="0" w:color="B0B0B0"/>
              <w:right w:val="single" w:sz="4" w:space="0" w:color="B0B0B0"/>
            </w:tcBorders>
            <w:shd w:val="clear" w:color="FFF2CC" w:fill="FFF2CC"/>
            <w:hideMark/>
          </w:tcPr>
          <w:p w14:paraId="7A423627"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Key evidence for workforce acceptance risks</w:t>
            </w:r>
          </w:p>
        </w:tc>
      </w:tr>
      <w:tr w:rsidR="00F702C4" w:rsidRPr="00F25C44" w14:paraId="3DD5A31F"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FFF2CC" w:fill="FFF2CC"/>
            <w:noWrap/>
            <w:hideMark/>
          </w:tcPr>
          <w:p w14:paraId="667670EA"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t>SRC-069</w:t>
            </w:r>
          </w:p>
        </w:tc>
        <w:tc>
          <w:tcPr>
            <w:tcW w:w="826" w:type="pct"/>
            <w:tcBorders>
              <w:top w:val="nil"/>
              <w:left w:val="nil"/>
              <w:bottom w:val="single" w:sz="4" w:space="0" w:color="B0B0B0"/>
              <w:right w:val="single" w:sz="4" w:space="0" w:color="B0B0B0"/>
            </w:tcBorders>
            <w:shd w:val="clear" w:color="FFF2CC" w:fill="FFF2CC"/>
            <w:hideMark/>
          </w:tcPr>
          <w:p w14:paraId="68D69C45"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proofErr w:type="spellStart"/>
            <w:r w:rsidRPr="00F25C44">
              <w:rPr>
                <w:rFonts w:ascii="Times New Roman" w:eastAsia="Times New Roman" w:hAnsi="Times New Roman" w:cs="Times New Roman"/>
                <w:sz w:val="20"/>
                <w:szCs w:val="20"/>
                <w:lang w:eastAsia="en-IN"/>
              </w:rPr>
              <w:t>Jabagi</w:t>
            </w:r>
            <w:proofErr w:type="spellEnd"/>
            <w:r w:rsidRPr="00F25C44">
              <w:rPr>
                <w:rFonts w:ascii="Times New Roman" w:eastAsia="Times New Roman" w:hAnsi="Times New Roman" w:cs="Times New Roman"/>
                <w:sz w:val="20"/>
                <w:szCs w:val="20"/>
                <w:lang w:eastAsia="en-IN"/>
              </w:rPr>
              <w:t xml:space="preserve"> (2025)</w:t>
            </w:r>
          </w:p>
        </w:tc>
        <w:tc>
          <w:tcPr>
            <w:tcW w:w="645" w:type="pct"/>
            <w:tcBorders>
              <w:top w:val="nil"/>
              <w:left w:val="nil"/>
              <w:bottom w:val="single" w:sz="4" w:space="0" w:color="B0B0B0"/>
              <w:right w:val="single" w:sz="4" w:space="0" w:color="B0B0B0"/>
            </w:tcBorders>
            <w:shd w:val="clear" w:color="FFF2CC" w:fill="FFF2CC"/>
            <w:hideMark/>
          </w:tcPr>
          <w:p w14:paraId="0C35E60D"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 xml:space="preserve">C4: Algorithmic </w:t>
            </w:r>
            <w:proofErr w:type="spellStart"/>
            <w:r w:rsidRPr="00F25C44">
              <w:rPr>
                <w:rFonts w:ascii="Times New Roman" w:eastAsia="Times New Roman" w:hAnsi="Times New Roman" w:cs="Times New Roman"/>
                <w:sz w:val="20"/>
                <w:szCs w:val="20"/>
                <w:lang w:eastAsia="en-IN"/>
              </w:rPr>
              <w:t>Mgmt</w:t>
            </w:r>
            <w:proofErr w:type="spellEnd"/>
            <w:r w:rsidRPr="00F25C44">
              <w:rPr>
                <w:rFonts w:ascii="Times New Roman" w:eastAsia="Times New Roman" w:hAnsi="Times New Roman" w:cs="Times New Roman"/>
                <w:sz w:val="20"/>
                <w:szCs w:val="20"/>
                <w:lang w:eastAsia="en-IN"/>
              </w:rPr>
              <w:t xml:space="preserve"> &amp; Fairness</w:t>
            </w:r>
          </w:p>
        </w:tc>
        <w:tc>
          <w:tcPr>
            <w:tcW w:w="849" w:type="pct"/>
            <w:tcBorders>
              <w:top w:val="nil"/>
              <w:left w:val="nil"/>
              <w:bottom w:val="single" w:sz="4" w:space="0" w:color="B0B0B0"/>
              <w:right w:val="single" w:sz="4" w:space="0" w:color="B0B0B0"/>
            </w:tcBorders>
            <w:shd w:val="clear" w:color="FFF2CC" w:fill="FFF2CC"/>
            <w:hideMark/>
          </w:tcPr>
          <w:p w14:paraId="0AC7322E"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Perceived fairness; gig-work algorithmic HR decisions</w:t>
            </w:r>
          </w:p>
        </w:tc>
        <w:tc>
          <w:tcPr>
            <w:tcW w:w="975" w:type="pct"/>
            <w:tcBorders>
              <w:top w:val="nil"/>
              <w:left w:val="nil"/>
              <w:bottom w:val="single" w:sz="4" w:space="0" w:color="B0B0B0"/>
              <w:right w:val="single" w:sz="4" w:space="0" w:color="B0B0B0"/>
            </w:tcBorders>
            <w:shd w:val="clear" w:color="FFF2CC" w:fill="FFF2CC"/>
            <w:hideMark/>
          </w:tcPr>
          <w:p w14:paraId="16DCBDB2"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Mixed-methods gig-economy study</w:t>
            </w:r>
          </w:p>
        </w:tc>
        <w:tc>
          <w:tcPr>
            <w:tcW w:w="1300" w:type="pct"/>
            <w:tcBorders>
              <w:top w:val="nil"/>
              <w:left w:val="nil"/>
              <w:bottom w:val="single" w:sz="4" w:space="0" w:color="B0B0B0"/>
              <w:right w:val="single" w:sz="4" w:space="0" w:color="B0B0B0"/>
            </w:tcBorders>
            <w:shd w:val="clear" w:color="FFF2CC" w:fill="FFF2CC"/>
            <w:hideMark/>
          </w:tcPr>
          <w:p w14:paraId="2D6604DF"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Broadens workforce-acceptance discussion to the gig economy</w:t>
            </w:r>
          </w:p>
        </w:tc>
      </w:tr>
      <w:tr w:rsidR="00F702C4" w:rsidRPr="00F25C44" w14:paraId="365A59FF"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FFF2CC" w:fill="FFF2CC"/>
            <w:noWrap/>
            <w:hideMark/>
          </w:tcPr>
          <w:p w14:paraId="47DFBA5F"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t>SRC-070</w:t>
            </w:r>
          </w:p>
        </w:tc>
        <w:tc>
          <w:tcPr>
            <w:tcW w:w="826" w:type="pct"/>
            <w:tcBorders>
              <w:top w:val="nil"/>
              <w:left w:val="nil"/>
              <w:bottom w:val="single" w:sz="4" w:space="0" w:color="B0B0B0"/>
              <w:right w:val="single" w:sz="4" w:space="0" w:color="B0B0B0"/>
            </w:tcBorders>
            <w:shd w:val="clear" w:color="FFF2CC" w:fill="FFF2CC"/>
            <w:hideMark/>
          </w:tcPr>
          <w:p w14:paraId="6CFDADBE"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Kawaguchi (2021)</w:t>
            </w:r>
          </w:p>
        </w:tc>
        <w:tc>
          <w:tcPr>
            <w:tcW w:w="645" w:type="pct"/>
            <w:tcBorders>
              <w:top w:val="nil"/>
              <w:left w:val="nil"/>
              <w:bottom w:val="single" w:sz="4" w:space="0" w:color="B0B0B0"/>
              <w:right w:val="single" w:sz="4" w:space="0" w:color="B0B0B0"/>
            </w:tcBorders>
            <w:shd w:val="clear" w:color="FFF2CC" w:fill="FFF2CC"/>
            <w:hideMark/>
          </w:tcPr>
          <w:p w14:paraId="5AFF4D0E"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 xml:space="preserve">C4: Algorithmic </w:t>
            </w:r>
            <w:proofErr w:type="spellStart"/>
            <w:r w:rsidRPr="00F25C44">
              <w:rPr>
                <w:rFonts w:ascii="Times New Roman" w:eastAsia="Times New Roman" w:hAnsi="Times New Roman" w:cs="Times New Roman"/>
                <w:sz w:val="20"/>
                <w:szCs w:val="20"/>
                <w:lang w:eastAsia="en-IN"/>
              </w:rPr>
              <w:t>Mgmt</w:t>
            </w:r>
            <w:proofErr w:type="spellEnd"/>
            <w:r w:rsidRPr="00F25C44">
              <w:rPr>
                <w:rFonts w:ascii="Times New Roman" w:eastAsia="Times New Roman" w:hAnsi="Times New Roman" w:cs="Times New Roman"/>
                <w:sz w:val="20"/>
                <w:szCs w:val="20"/>
                <w:lang w:eastAsia="en-IN"/>
              </w:rPr>
              <w:t xml:space="preserve"> &amp; Fairness</w:t>
            </w:r>
          </w:p>
        </w:tc>
        <w:tc>
          <w:tcPr>
            <w:tcW w:w="849" w:type="pct"/>
            <w:tcBorders>
              <w:top w:val="nil"/>
              <w:left w:val="nil"/>
              <w:bottom w:val="single" w:sz="4" w:space="0" w:color="B0B0B0"/>
              <w:right w:val="single" w:sz="4" w:space="0" w:color="B0B0B0"/>
            </w:tcBorders>
            <w:shd w:val="clear" w:color="FFF2CC" w:fill="FFF2CC"/>
            <w:hideMark/>
          </w:tcPr>
          <w:p w14:paraId="0F3BF5D2"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Algorithm compliance; retail worker behaviour</w:t>
            </w:r>
          </w:p>
        </w:tc>
        <w:tc>
          <w:tcPr>
            <w:tcW w:w="975" w:type="pct"/>
            <w:tcBorders>
              <w:top w:val="nil"/>
              <w:left w:val="nil"/>
              <w:bottom w:val="single" w:sz="4" w:space="0" w:color="B0B0B0"/>
              <w:right w:val="single" w:sz="4" w:space="0" w:color="B0B0B0"/>
            </w:tcBorders>
            <w:shd w:val="clear" w:color="FFF2CC" w:fill="FFF2CC"/>
            <w:hideMark/>
          </w:tcPr>
          <w:p w14:paraId="0A5223B4"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Randomised field experiment</w:t>
            </w:r>
          </w:p>
        </w:tc>
        <w:tc>
          <w:tcPr>
            <w:tcW w:w="1300" w:type="pct"/>
            <w:tcBorders>
              <w:top w:val="nil"/>
              <w:left w:val="nil"/>
              <w:bottom w:val="single" w:sz="4" w:space="0" w:color="B0B0B0"/>
              <w:right w:val="single" w:sz="4" w:space="0" w:color="B0B0B0"/>
            </w:tcBorders>
            <w:shd w:val="clear" w:color="FFF2CC" w:fill="FFF2CC"/>
            <w:hideMark/>
          </w:tcPr>
          <w:p w14:paraId="0C305C87"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Causal evidence on conditions for algorithm compliance</w:t>
            </w:r>
          </w:p>
        </w:tc>
      </w:tr>
      <w:tr w:rsidR="00F702C4" w:rsidRPr="00F25C44" w14:paraId="335AEADB"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FFF2CC" w:fill="FFF2CC"/>
            <w:noWrap/>
            <w:hideMark/>
          </w:tcPr>
          <w:p w14:paraId="433B52E5"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t>SRC-071</w:t>
            </w:r>
          </w:p>
        </w:tc>
        <w:tc>
          <w:tcPr>
            <w:tcW w:w="826" w:type="pct"/>
            <w:tcBorders>
              <w:top w:val="nil"/>
              <w:left w:val="nil"/>
              <w:bottom w:val="single" w:sz="4" w:space="0" w:color="B0B0B0"/>
              <w:right w:val="single" w:sz="4" w:space="0" w:color="B0B0B0"/>
            </w:tcBorders>
            <w:shd w:val="clear" w:color="FFF2CC" w:fill="FFF2CC"/>
            <w:hideMark/>
          </w:tcPr>
          <w:p w14:paraId="55E7EB10"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Kim et al. (2024)</w:t>
            </w:r>
          </w:p>
        </w:tc>
        <w:tc>
          <w:tcPr>
            <w:tcW w:w="645" w:type="pct"/>
            <w:tcBorders>
              <w:top w:val="nil"/>
              <w:left w:val="nil"/>
              <w:bottom w:val="single" w:sz="4" w:space="0" w:color="B0B0B0"/>
              <w:right w:val="single" w:sz="4" w:space="0" w:color="B0B0B0"/>
            </w:tcBorders>
            <w:shd w:val="clear" w:color="FFF2CC" w:fill="FFF2CC"/>
            <w:hideMark/>
          </w:tcPr>
          <w:p w14:paraId="3D31B6C7"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 xml:space="preserve">C4: Algorithmic </w:t>
            </w:r>
            <w:proofErr w:type="spellStart"/>
            <w:r w:rsidRPr="00F25C44">
              <w:rPr>
                <w:rFonts w:ascii="Times New Roman" w:eastAsia="Times New Roman" w:hAnsi="Times New Roman" w:cs="Times New Roman"/>
                <w:sz w:val="20"/>
                <w:szCs w:val="20"/>
                <w:lang w:eastAsia="en-IN"/>
              </w:rPr>
              <w:t>Mgmt</w:t>
            </w:r>
            <w:proofErr w:type="spellEnd"/>
            <w:r w:rsidRPr="00F25C44">
              <w:rPr>
                <w:rFonts w:ascii="Times New Roman" w:eastAsia="Times New Roman" w:hAnsi="Times New Roman" w:cs="Times New Roman"/>
                <w:sz w:val="20"/>
                <w:szCs w:val="20"/>
                <w:lang w:eastAsia="en-IN"/>
              </w:rPr>
              <w:t xml:space="preserve"> &amp; Fairness</w:t>
            </w:r>
          </w:p>
        </w:tc>
        <w:tc>
          <w:tcPr>
            <w:tcW w:w="849" w:type="pct"/>
            <w:tcBorders>
              <w:top w:val="nil"/>
              <w:left w:val="nil"/>
              <w:bottom w:val="single" w:sz="4" w:space="0" w:color="B0B0B0"/>
              <w:right w:val="single" w:sz="4" w:space="0" w:color="B0B0B0"/>
            </w:tcBorders>
            <w:shd w:val="clear" w:color="FFF2CC" w:fill="FFF2CC"/>
            <w:hideMark/>
          </w:tcPr>
          <w:p w14:paraId="373DD4B3"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Decision authority allocation; algorithmic returns</w:t>
            </w:r>
          </w:p>
        </w:tc>
        <w:tc>
          <w:tcPr>
            <w:tcW w:w="975" w:type="pct"/>
            <w:tcBorders>
              <w:top w:val="nil"/>
              <w:left w:val="nil"/>
              <w:bottom w:val="single" w:sz="4" w:space="0" w:color="B0B0B0"/>
              <w:right w:val="single" w:sz="4" w:space="0" w:color="B0B0B0"/>
            </w:tcBorders>
            <w:shd w:val="clear" w:color="FFF2CC" w:fill="FFF2CC"/>
            <w:hideMark/>
          </w:tcPr>
          <w:p w14:paraId="5A1599CA"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Empirical field study with performance data</w:t>
            </w:r>
          </w:p>
        </w:tc>
        <w:tc>
          <w:tcPr>
            <w:tcW w:w="1300" w:type="pct"/>
            <w:tcBorders>
              <w:top w:val="nil"/>
              <w:left w:val="nil"/>
              <w:bottom w:val="single" w:sz="4" w:space="0" w:color="B0B0B0"/>
              <w:right w:val="single" w:sz="4" w:space="0" w:color="B0B0B0"/>
            </w:tcBorders>
            <w:shd w:val="clear" w:color="FFF2CC" w:fill="FFF2CC"/>
            <w:hideMark/>
          </w:tcPr>
          <w:p w14:paraId="09B9AE28"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Shows how decision-authority allocation affects performance</w:t>
            </w:r>
          </w:p>
        </w:tc>
      </w:tr>
      <w:tr w:rsidR="00F702C4" w:rsidRPr="00F25C44" w14:paraId="15517EA7"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FFF2CC" w:fill="FFF2CC"/>
            <w:noWrap/>
            <w:hideMark/>
          </w:tcPr>
          <w:p w14:paraId="41F0A17C"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lastRenderedPageBreak/>
              <w:t>SRC-072</w:t>
            </w:r>
          </w:p>
        </w:tc>
        <w:tc>
          <w:tcPr>
            <w:tcW w:w="826" w:type="pct"/>
            <w:tcBorders>
              <w:top w:val="nil"/>
              <w:left w:val="nil"/>
              <w:bottom w:val="single" w:sz="4" w:space="0" w:color="B0B0B0"/>
              <w:right w:val="single" w:sz="4" w:space="0" w:color="B0B0B0"/>
            </w:tcBorders>
            <w:shd w:val="clear" w:color="FFF2CC" w:fill="FFF2CC"/>
            <w:hideMark/>
          </w:tcPr>
          <w:p w14:paraId="476FE84A"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Krakowski et al. (2023)</w:t>
            </w:r>
          </w:p>
        </w:tc>
        <w:tc>
          <w:tcPr>
            <w:tcW w:w="645" w:type="pct"/>
            <w:tcBorders>
              <w:top w:val="nil"/>
              <w:left w:val="nil"/>
              <w:bottom w:val="single" w:sz="4" w:space="0" w:color="B0B0B0"/>
              <w:right w:val="single" w:sz="4" w:space="0" w:color="B0B0B0"/>
            </w:tcBorders>
            <w:shd w:val="clear" w:color="FFF2CC" w:fill="FFF2CC"/>
            <w:hideMark/>
          </w:tcPr>
          <w:p w14:paraId="2B2F3B59"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 xml:space="preserve">C4: Algorithmic </w:t>
            </w:r>
            <w:proofErr w:type="spellStart"/>
            <w:r w:rsidRPr="00F25C44">
              <w:rPr>
                <w:rFonts w:ascii="Times New Roman" w:eastAsia="Times New Roman" w:hAnsi="Times New Roman" w:cs="Times New Roman"/>
                <w:sz w:val="20"/>
                <w:szCs w:val="20"/>
                <w:lang w:eastAsia="en-IN"/>
              </w:rPr>
              <w:t>Mgmt</w:t>
            </w:r>
            <w:proofErr w:type="spellEnd"/>
            <w:r w:rsidRPr="00F25C44">
              <w:rPr>
                <w:rFonts w:ascii="Times New Roman" w:eastAsia="Times New Roman" w:hAnsi="Times New Roman" w:cs="Times New Roman"/>
                <w:sz w:val="20"/>
                <w:szCs w:val="20"/>
                <w:lang w:eastAsia="en-IN"/>
              </w:rPr>
              <w:t xml:space="preserve"> &amp; Fairness</w:t>
            </w:r>
          </w:p>
        </w:tc>
        <w:tc>
          <w:tcPr>
            <w:tcW w:w="849" w:type="pct"/>
            <w:tcBorders>
              <w:top w:val="nil"/>
              <w:left w:val="nil"/>
              <w:bottom w:val="single" w:sz="4" w:space="0" w:color="B0B0B0"/>
              <w:right w:val="single" w:sz="4" w:space="0" w:color="B0B0B0"/>
            </w:tcBorders>
            <w:shd w:val="clear" w:color="FFF2CC" w:fill="FFF2CC"/>
            <w:hideMark/>
          </w:tcPr>
          <w:p w14:paraId="4E047E5A"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Competitive advantage; AI-enabled strategy</w:t>
            </w:r>
          </w:p>
        </w:tc>
        <w:tc>
          <w:tcPr>
            <w:tcW w:w="975" w:type="pct"/>
            <w:tcBorders>
              <w:top w:val="nil"/>
              <w:left w:val="nil"/>
              <w:bottom w:val="single" w:sz="4" w:space="0" w:color="B0B0B0"/>
              <w:right w:val="single" w:sz="4" w:space="0" w:color="B0B0B0"/>
            </w:tcBorders>
            <w:shd w:val="clear" w:color="FFF2CC" w:fill="FFF2CC"/>
            <w:hideMark/>
          </w:tcPr>
          <w:p w14:paraId="1D70254E"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Conceptual strategy analysis with case illustrations</w:t>
            </w:r>
          </w:p>
        </w:tc>
        <w:tc>
          <w:tcPr>
            <w:tcW w:w="1300" w:type="pct"/>
            <w:tcBorders>
              <w:top w:val="nil"/>
              <w:left w:val="nil"/>
              <w:bottom w:val="single" w:sz="4" w:space="0" w:color="B0B0B0"/>
              <w:right w:val="single" w:sz="4" w:space="0" w:color="B0B0B0"/>
            </w:tcBorders>
            <w:shd w:val="clear" w:color="FFF2CC" w:fill="FFF2CC"/>
            <w:hideMark/>
          </w:tcPr>
          <w:p w14:paraId="7253D64F"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Links workforce acceptance to firm-level strategic advantage</w:t>
            </w:r>
          </w:p>
        </w:tc>
      </w:tr>
      <w:tr w:rsidR="00F702C4" w:rsidRPr="00F25C44" w14:paraId="2A9C8E72"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FFF2CC" w:fill="FFF2CC"/>
            <w:noWrap/>
            <w:hideMark/>
          </w:tcPr>
          <w:p w14:paraId="72747A26"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t>SRC-073</w:t>
            </w:r>
          </w:p>
        </w:tc>
        <w:tc>
          <w:tcPr>
            <w:tcW w:w="826" w:type="pct"/>
            <w:tcBorders>
              <w:top w:val="nil"/>
              <w:left w:val="nil"/>
              <w:bottom w:val="single" w:sz="4" w:space="0" w:color="B0B0B0"/>
              <w:right w:val="single" w:sz="4" w:space="0" w:color="B0B0B0"/>
            </w:tcBorders>
            <w:shd w:val="clear" w:color="FFF2CC" w:fill="FFF2CC"/>
            <w:hideMark/>
          </w:tcPr>
          <w:p w14:paraId="797EE775"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Newlands (2021)</w:t>
            </w:r>
          </w:p>
        </w:tc>
        <w:tc>
          <w:tcPr>
            <w:tcW w:w="645" w:type="pct"/>
            <w:tcBorders>
              <w:top w:val="nil"/>
              <w:left w:val="nil"/>
              <w:bottom w:val="single" w:sz="4" w:space="0" w:color="B0B0B0"/>
              <w:right w:val="single" w:sz="4" w:space="0" w:color="B0B0B0"/>
            </w:tcBorders>
            <w:shd w:val="clear" w:color="FFF2CC" w:fill="FFF2CC"/>
            <w:hideMark/>
          </w:tcPr>
          <w:p w14:paraId="148263D3"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 xml:space="preserve">C4: Algorithmic </w:t>
            </w:r>
            <w:proofErr w:type="spellStart"/>
            <w:r w:rsidRPr="00F25C44">
              <w:rPr>
                <w:rFonts w:ascii="Times New Roman" w:eastAsia="Times New Roman" w:hAnsi="Times New Roman" w:cs="Times New Roman"/>
                <w:sz w:val="20"/>
                <w:szCs w:val="20"/>
                <w:lang w:eastAsia="en-IN"/>
              </w:rPr>
              <w:t>Mgmt</w:t>
            </w:r>
            <w:proofErr w:type="spellEnd"/>
            <w:r w:rsidRPr="00F25C44">
              <w:rPr>
                <w:rFonts w:ascii="Times New Roman" w:eastAsia="Times New Roman" w:hAnsi="Times New Roman" w:cs="Times New Roman"/>
                <w:sz w:val="20"/>
                <w:szCs w:val="20"/>
                <w:lang w:eastAsia="en-IN"/>
              </w:rPr>
              <w:t xml:space="preserve"> &amp; Fairness</w:t>
            </w:r>
          </w:p>
        </w:tc>
        <w:tc>
          <w:tcPr>
            <w:tcW w:w="849" w:type="pct"/>
            <w:tcBorders>
              <w:top w:val="nil"/>
              <w:left w:val="nil"/>
              <w:bottom w:val="single" w:sz="4" w:space="0" w:color="B0B0B0"/>
              <w:right w:val="single" w:sz="4" w:space="0" w:color="B0B0B0"/>
            </w:tcBorders>
            <w:shd w:val="clear" w:color="FFF2CC" w:fill="FFF2CC"/>
            <w:hideMark/>
          </w:tcPr>
          <w:p w14:paraId="693C53EA"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Algorithmic surveillance; spatial organisation of gig work</w:t>
            </w:r>
          </w:p>
        </w:tc>
        <w:tc>
          <w:tcPr>
            <w:tcW w:w="975" w:type="pct"/>
            <w:tcBorders>
              <w:top w:val="nil"/>
              <w:left w:val="nil"/>
              <w:bottom w:val="single" w:sz="4" w:space="0" w:color="B0B0B0"/>
              <w:right w:val="single" w:sz="4" w:space="0" w:color="B0B0B0"/>
            </w:tcBorders>
            <w:shd w:val="clear" w:color="FFF2CC" w:fill="FFF2CC"/>
            <w:hideMark/>
          </w:tcPr>
          <w:p w14:paraId="4A6C3609"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Qualitative theoretical case analysis</w:t>
            </w:r>
          </w:p>
        </w:tc>
        <w:tc>
          <w:tcPr>
            <w:tcW w:w="1300" w:type="pct"/>
            <w:tcBorders>
              <w:top w:val="nil"/>
              <w:left w:val="nil"/>
              <w:bottom w:val="single" w:sz="4" w:space="0" w:color="B0B0B0"/>
              <w:right w:val="single" w:sz="4" w:space="0" w:color="B0B0B0"/>
            </w:tcBorders>
            <w:shd w:val="clear" w:color="FFF2CC" w:fill="FFF2CC"/>
            <w:hideMark/>
          </w:tcPr>
          <w:p w14:paraId="3461E50A"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Deepens theoretical grounding of the fairness/control sub-theme</w:t>
            </w:r>
          </w:p>
        </w:tc>
      </w:tr>
      <w:tr w:rsidR="00F702C4" w:rsidRPr="00F25C44" w14:paraId="4F41AD41"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FFF2CC" w:fill="FFF2CC"/>
            <w:noWrap/>
            <w:hideMark/>
          </w:tcPr>
          <w:p w14:paraId="53116EC6"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t>SRC-074</w:t>
            </w:r>
          </w:p>
        </w:tc>
        <w:tc>
          <w:tcPr>
            <w:tcW w:w="826" w:type="pct"/>
            <w:tcBorders>
              <w:top w:val="nil"/>
              <w:left w:val="nil"/>
              <w:bottom w:val="single" w:sz="4" w:space="0" w:color="B0B0B0"/>
              <w:right w:val="single" w:sz="4" w:space="0" w:color="B0B0B0"/>
            </w:tcBorders>
            <w:shd w:val="clear" w:color="FFF2CC" w:fill="FFF2CC"/>
            <w:hideMark/>
          </w:tcPr>
          <w:p w14:paraId="5ED38715" w14:textId="77777777" w:rsidR="00707574" w:rsidRPr="00F25C44" w:rsidRDefault="00FA2787" w:rsidP="00425EB1">
            <w:pPr>
              <w:spacing w:after="0" w:line="360" w:lineRule="auto"/>
              <w:rPr>
                <w:rFonts w:ascii="Times New Roman" w:eastAsia="Times New Roman" w:hAnsi="Times New Roman" w:cs="Times New Roman"/>
                <w:sz w:val="20"/>
                <w:szCs w:val="20"/>
                <w:lang w:eastAsia="en-IN"/>
              </w:rPr>
            </w:pPr>
            <w:r w:rsidRPr="00FA2787">
              <w:rPr>
                <w:rFonts w:ascii="Times New Roman" w:eastAsia="Times New Roman" w:hAnsi="Times New Roman" w:cs="Times New Roman"/>
                <w:sz w:val="20"/>
                <w:szCs w:val="20"/>
                <w:lang w:eastAsia="en-IN"/>
              </w:rPr>
              <w:t>Bai et al. (2022)</w:t>
            </w:r>
          </w:p>
        </w:tc>
        <w:tc>
          <w:tcPr>
            <w:tcW w:w="645" w:type="pct"/>
            <w:tcBorders>
              <w:top w:val="nil"/>
              <w:left w:val="nil"/>
              <w:bottom w:val="single" w:sz="4" w:space="0" w:color="B0B0B0"/>
              <w:right w:val="single" w:sz="4" w:space="0" w:color="B0B0B0"/>
            </w:tcBorders>
            <w:shd w:val="clear" w:color="FFF2CC" w:fill="FFF2CC"/>
            <w:hideMark/>
          </w:tcPr>
          <w:p w14:paraId="73F212B5"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 xml:space="preserve">C4: Algorithmic </w:t>
            </w:r>
            <w:proofErr w:type="spellStart"/>
            <w:r w:rsidRPr="00F25C44">
              <w:rPr>
                <w:rFonts w:ascii="Times New Roman" w:eastAsia="Times New Roman" w:hAnsi="Times New Roman" w:cs="Times New Roman"/>
                <w:sz w:val="20"/>
                <w:szCs w:val="20"/>
                <w:lang w:eastAsia="en-IN"/>
              </w:rPr>
              <w:t>Mgmt</w:t>
            </w:r>
            <w:proofErr w:type="spellEnd"/>
            <w:r w:rsidRPr="00F25C44">
              <w:rPr>
                <w:rFonts w:ascii="Times New Roman" w:eastAsia="Times New Roman" w:hAnsi="Times New Roman" w:cs="Times New Roman"/>
                <w:sz w:val="20"/>
                <w:szCs w:val="20"/>
                <w:lang w:eastAsia="en-IN"/>
              </w:rPr>
              <w:t xml:space="preserve"> &amp; Fairness</w:t>
            </w:r>
          </w:p>
        </w:tc>
        <w:tc>
          <w:tcPr>
            <w:tcW w:w="849" w:type="pct"/>
            <w:tcBorders>
              <w:top w:val="nil"/>
              <w:left w:val="nil"/>
              <w:bottom w:val="single" w:sz="4" w:space="0" w:color="B0B0B0"/>
              <w:right w:val="single" w:sz="4" w:space="0" w:color="B0B0B0"/>
            </w:tcBorders>
            <w:shd w:val="clear" w:color="FFF2CC" w:fill="FFF2CC"/>
            <w:hideMark/>
          </w:tcPr>
          <w:p w14:paraId="28C4A10B"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Fairness perception; algorithmic management</w:t>
            </w:r>
          </w:p>
        </w:tc>
        <w:tc>
          <w:tcPr>
            <w:tcW w:w="975" w:type="pct"/>
            <w:tcBorders>
              <w:top w:val="nil"/>
              <w:left w:val="nil"/>
              <w:bottom w:val="single" w:sz="4" w:space="0" w:color="B0B0B0"/>
              <w:right w:val="single" w:sz="4" w:space="0" w:color="B0B0B0"/>
            </w:tcBorders>
            <w:shd w:val="clear" w:color="FFF2CC" w:fill="FFF2CC"/>
            <w:hideMark/>
          </w:tcPr>
          <w:p w14:paraId="1A62DD11"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Quantitative organisational survey</w:t>
            </w:r>
          </w:p>
        </w:tc>
        <w:tc>
          <w:tcPr>
            <w:tcW w:w="1300" w:type="pct"/>
            <w:tcBorders>
              <w:top w:val="nil"/>
              <w:left w:val="nil"/>
              <w:bottom w:val="single" w:sz="4" w:space="0" w:color="B0B0B0"/>
              <w:right w:val="single" w:sz="4" w:space="0" w:color="B0B0B0"/>
            </w:tcBorders>
            <w:shd w:val="clear" w:color="FFF2CC" w:fill="FFF2CC"/>
            <w:hideMark/>
          </w:tcPr>
          <w:p w14:paraId="5DC7A63F"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Nuances the review's discussion of AI acceptance</w:t>
            </w:r>
          </w:p>
        </w:tc>
      </w:tr>
      <w:tr w:rsidR="00F702C4" w:rsidRPr="00F25C44" w14:paraId="163A2FAC"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FFF2CC" w:fill="FFF2CC"/>
            <w:noWrap/>
            <w:hideMark/>
          </w:tcPr>
          <w:p w14:paraId="25A085CF"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t>SRC-075</w:t>
            </w:r>
          </w:p>
        </w:tc>
        <w:tc>
          <w:tcPr>
            <w:tcW w:w="826" w:type="pct"/>
            <w:tcBorders>
              <w:top w:val="nil"/>
              <w:left w:val="nil"/>
              <w:bottom w:val="single" w:sz="4" w:space="0" w:color="B0B0B0"/>
              <w:right w:val="single" w:sz="4" w:space="0" w:color="B0B0B0"/>
            </w:tcBorders>
            <w:shd w:val="clear" w:color="FFF2CC" w:fill="FFF2CC"/>
            <w:hideMark/>
          </w:tcPr>
          <w:p w14:paraId="1A3A1EF5"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Li et al. (2019)</w:t>
            </w:r>
          </w:p>
        </w:tc>
        <w:tc>
          <w:tcPr>
            <w:tcW w:w="645" w:type="pct"/>
            <w:tcBorders>
              <w:top w:val="nil"/>
              <w:left w:val="nil"/>
              <w:bottom w:val="single" w:sz="4" w:space="0" w:color="B0B0B0"/>
              <w:right w:val="single" w:sz="4" w:space="0" w:color="B0B0B0"/>
            </w:tcBorders>
            <w:shd w:val="clear" w:color="FFF2CC" w:fill="FFF2CC"/>
            <w:hideMark/>
          </w:tcPr>
          <w:p w14:paraId="42C25ECB"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 xml:space="preserve">C4: Algorithmic </w:t>
            </w:r>
            <w:proofErr w:type="spellStart"/>
            <w:r w:rsidRPr="00F25C44">
              <w:rPr>
                <w:rFonts w:ascii="Times New Roman" w:eastAsia="Times New Roman" w:hAnsi="Times New Roman" w:cs="Times New Roman"/>
                <w:sz w:val="20"/>
                <w:szCs w:val="20"/>
                <w:lang w:eastAsia="en-IN"/>
              </w:rPr>
              <w:t>Mgmt</w:t>
            </w:r>
            <w:proofErr w:type="spellEnd"/>
            <w:r w:rsidRPr="00F25C44">
              <w:rPr>
                <w:rFonts w:ascii="Times New Roman" w:eastAsia="Times New Roman" w:hAnsi="Times New Roman" w:cs="Times New Roman"/>
                <w:sz w:val="20"/>
                <w:szCs w:val="20"/>
                <w:lang w:eastAsia="en-IN"/>
              </w:rPr>
              <w:t xml:space="preserve"> &amp; Fairness</w:t>
            </w:r>
          </w:p>
        </w:tc>
        <w:tc>
          <w:tcPr>
            <w:tcW w:w="849" w:type="pct"/>
            <w:tcBorders>
              <w:top w:val="nil"/>
              <w:left w:val="nil"/>
              <w:bottom w:val="single" w:sz="4" w:space="0" w:color="B0B0B0"/>
              <w:right w:val="single" w:sz="4" w:space="0" w:color="B0B0B0"/>
            </w:tcBorders>
            <w:shd w:val="clear" w:color="FFF2CC" w:fill="FFF2CC"/>
            <w:hideMark/>
          </w:tcPr>
          <w:p w14:paraId="35BB57A8"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AI/robotics awareness; turnover intention</w:t>
            </w:r>
          </w:p>
        </w:tc>
        <w:tc>
          <w:tcPr>
            <w:tcW w:w="975" w:type="pct"/>
            <w:tcBorders>
              <w:top w:val="nil"/>
              <w:left w:val="nil"/>
              <w:bottom w:val="single" w:sz="4" w:space="0" w:color="B0B0B0"/>
              <w:right w:val="single" w:sz="4" w:space="0" w:color="B0B0B0"/>
            </w:tcBorders>
            <w:shd w:val="clear" w:color="FFF2CC" w:fill="FFF2CC"/>
            <w:hideMark/>
          </w:tcPr>
          <w:p w14:paraId="6F1E8D90"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Quantitative survey with moderation analysis</w:t>
            </w:r>
          </w:p>
        </w:tc>
        <w:tc>
          <w:tcPr>
            <w:tcW w:w="1300" w:type="pct"/>
            <w:tcBorders>
              <w:top w:val="nil"/>
              <w:left w:val="nil"/>
              <w:bottom w:val="single" w:sz="4" w:space="0" w:color="B0B0B0"/>
              <w:right w:val="single" w:sz="4" w:space="0" w:color="B0B0B0"/>
            </w:tcBorders>
            <w:shd w:val="clear" w:color="FFF2CC" w:fill="FFF2CC"/>
            <w:hideMark/>
          </w:tcPr>
          <w:p w14:paraId="0229BCBC"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Practical implication for workforce retention strategy</w:t>
            </w:r>
          </w:p>
        </w:tc>
      </w:tr>
      <w:tr w:rsidR="00F702C4" w:rsidRPr="00F25C44" w14:paraId="4B093AED"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FFF2CC" w:fill="FFF2CC"/>
            <w:noWrap/>
            <w:hideMark/>
          </w:tcPr>
          <w:p w14:paraId="514395E1"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t>SRC-076</w:t>
            </w:r>
          </w:p>
        </w:tc>
        <w:tc>
          <w:tcPr>
            <w:tcW w:w="826" w:type="pct"/>
            <w:tcBorders>
              <w:top w:val="nil"/>
              <w:left w:val="nil"/>
              <w:bottom w:val="single" w:sz="4" w:space="0" w:color="B0B0B0"/>
              <w:right w:val="single" w:sz="4" w:space="0" w:color="B0B0B0"/>
            </w:tcBorders>
            <w:shd w:val="clear" w:color="FFF2CC" w:fill="FFF2CC"/>
            <w:hideMark/>
          </w:tcPr>
          <w:p w14:paraId="28D9B2A7" w14:textId="77777777" w:rsidR="00707574" w:rsidRPr="00F25C44" w:rsidRDefault="00F702C4" w:rsidP="00425EB1">
            <w:pPr>
              <w:spacing w:after="0" w:line="360" w:lineRule="auto"/>
              <w:rPr>
                <w:rFonts w:ascii="Times New Roman" w:eastAsia="Times New Roman" w:hAnsi="Times New Roman" w:cs="Times New Roman"/>
                <w:sz w:val="20"/>
                <w:szCs w:val="20"/>
                <w:lang w:eastAsia="en-IN"/>
              </w:rPr>
            </w:pPr>
            <w:r w:rsidRPr="00F702C4">
              <w:rPr>
                <w:rFonts w:ascii="Times New Roman" w:eastAsia="Times New Roman" w:hAnsi="Times New Roman" w:cs="Times New Roman"/>
                <w:sz w:val="20"/>
                <w:szCs w:val="20"/>
                <w:lang w:eastAsia="en-IN"/>
              </w:rPr>
              <w:t>Li et al. (2022)</w:t>
            </w:r>
          </w:p>
        </w:tc>
        <w:tc>
          <w:tcPr>
            <w:tcW w:w="645" w:type="pct"/>
            <w:tcBorders>
              <w:top w:val="nil"/>
              <w:left w:val="nil"/>
              <w:bottom w:val="single" w:sz="4" w:space="0" w:color="B0B0B0"/>
              <w:right w:val="single" w:sz="4" w:space="0" w:color="B0B0B0"/>
            </w:tcBorders>
            <w:shd w:val="clear" w:color="FFF2CC" w:fill="FFF2CC"/>
            <w:hideMark/>
          </w:tcPr>
          <w:p w14:paraId="42A7894F"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 xml:space="preserve">C4: Algorithmic </w:t>
            </w:r>
            <w:proofErr w:type="spellStart"/>
            <w:r w:rsidRPr="00F25C44">
              <w:rPr>
                <w:rFonts w:ascii="Times New Roman" w:eastAsia="Times New Roman" w:hAnsi="Times New Roman" w:cs="Times New Roman"/>
                <w:sz w:val="20"/>
                <w:szCs w:val="20"/>
                <w:lang w:eastAsia="en-IN"/>
              </w:rPr>
              <w:t>Mgmt</w:t>
            </w:r>
            <w:proofErr w:type="spellEnd"/>
            <w:r w:rsidRPr="00F25C44">
              <w:rPr>
                <w:rFonts w:ascii="Times New Roman" w:eastAsia="Times New Roman" w:hAnsi="Times New Roman" w:cs="Times New Roman"/>
                <w:sz w:val="20"/>
                <w:szCs w:val="20"/>
                <w:lang w:eastAsia="en-IN"/>
              </w:rPr>
              <w:t xml:space="preserve"> &amp; Fairness</w:t>
            </w:r>
          </w:p>
        </w:tc>
        <w:tc>
          <w:tcPr>
            <w:tcW w:w="849" w:type="pct"/>
            <w:tcBorders>
              <w:top w:val="nil"/>
              <w:left w:val="nil"/>
              <w:bottom w:val="single" w:sz="4" w:space="0" w:color="B0B0B0"/>
              <w:right w:val="single" w:sz="4" w:space="0" w:color="B0B0B0"/>
            </w:tcBorders>
            <w:shd w:val="clear" w:color="FFF2CC" w:fill="FFF2CC"/>
            <w:hideMark/>
          </w:tcPr>
          <w:p w14:paraId="304B70F8"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Cooperation modes; attitudinal outcomes of human-AI teaming</w:t>
            </w:r>
          </w:p>
        </w:tc>
        <w:tc>
          <w:tcPr>
            <w:tcW w:w="975" w:type="pct"/>
            <w:tcBorders>
              <w:top w:val="nil"/>
              <w:left w:val="nil"/>
              <w:bottom w:val="single" w:sz="4" w:space="0" w:color="B0B0B0"/>
              <w:right w:val="single" w:sz="4" w:space="0" w:color="B0B0B0"/>
            </w:tcBorders>
            <w:shd w:val="clear" w:color="FFF2CC" w:fill="FFF2CC"/>
            <w:hideMark/>
          </w:tcPr>
          <w:p w14:paraId="5939A8B1"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Experimental comparative study</w:t>
            </w:r>
          </w:p>
        </w:tc>
        <w:tc>
          <w:tcPr>
            <w:tcW w:w="1300" w:type="pct"/>
            <w:tcBorders>
              <w:top w:val="nil"/>
              <w:left w:val="nil"/>
              <w:bottom w:val="single" w:sz="4" w:space="0" w:color="B0B0B0"/>
              <w:right w:val="single" w:sz="4" w:space="0" w:color="B0B0B0"/>
            </w:tcBorders>
            <w:shd w:val="clear" w:color="FFF2CC" w:fill="FFF2CC"/>
            <w:hideMark/>
          </w:tcPr>
          <w:p w14:paraId="14097CE6"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Categorises human-AI cooperation modes and attitudinal effects</w:t>
            </w:r>
          </w:p>
        </w:tc>
      </w:tr>
      <w:tr w:rsidR="00F702C4" w:rsidRPr="00F25C44" w14:paraId="64DC4910"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FFF2CC" w:fill="FFF2CC"/>
            <w:noWrap/>
            <w:hideMark/>
          </w:tcPr>
          <w:p w14:paraId="3C2678DB"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t>SRC-077</w:t>
            </w:r>
          </w:p>
        </w:tc>
        <w:tc>
          <w:tcPr>
            <w:tcW w:w="826" w:type="pct"/>
            <w:tcBorders>
              <w:top w:val="nil"/>
              <w:left w:val="nil"/>
              <w:bottom w:val="single" w:sz="4" w:space="0" w:color="B0B0B0"/>
              <w:right w:val="single" w:sz="4" w:space="0" w:color="B0B0B0"/>
            </w:tcBorders>
            <w:shd w:val="clear" w:color="FFF2CC" w:fill="FFF2CC"/>
            <w:hideMark/>
          </w:tcPr>
          <w:p w14:paraId="2AF72C79" w14:textId="77777777" w:rsidR="00707574" w:rsidRPr="00F25C44" w:rsidRDefault="00FA2787" w:rsidP="00425EB1">
            <w:pPr>
              <w:spacing w:after="0" w:line="360" w:lineRule="auto"/>
              <w:rPr>
                <w:rFonts w:ascii="Times New Roman" w:eastAsia="Times New Roman" w:hAnsi="Times New Roman" w:cs="Times New Roman"/>
                <w:sz w:val="20"/>
                <w:szCs w:val="20"/>
                <w:lang w:eastAsia="en-IN"/>
              </w:rPr>
            </w:pPr>
            <w:proofErr w:type="spellStart"/>
            <w:r w:rsidRPr="00FA2787">
              <w:rPr>
                <w:rFonts w:ascii="Times New Roman" w:eastAsia="Times New Roman" w:hAnsi="Times New Roman" w:cs="Times New Roman"/>
                <w:sz w:val="20"/>
                <w:szCs w:val="20"/>
                <w:lang w:eastAsia="en-IN"/>
              </w:rPr>
              <w:t>Babaee</w:t>
            </w:r>
            <w:proofErr w:type="spellEnd"/>
            <w:r w:rsidRPr="00FA2787">
              <w:rPr>
                <w:rFonts w:ascii="Times New Roman" w:eastAsia="Times New Roman" w:hAnsi="Times New Roman" w:cs="Times New Roman"/>
                <w:sz w:val="20"/>
                <w:szCs w:val="20"/>
                <w:lang w:eastAsia="en-IN"/>
              </w:rPr>
              <w:t xml:space="preserve"> &amp; Shank (2025)</w:t>
            </w:r>
          </w:p>
        </w:tc>
        <w:tc>
          <w:tcPr>
            <w:tcW w:w="645" w:type="pct"/>
            <w:tcBorders>
              <w:top w:val="nil"/>
              <w:left w:val="nil"/>
              <w:bottom w:val="single" w:sz="4" w:space="0" w:color="B0B0B0"/>
              <w:right w:val="single" w:sz="4" w:space="0" w:color="B0B0B0"/>
            </w:tcBorders>
            <w:shd w:val="clear" w:color="FFF2CC" w:fill="FFF2CC"/>
            <w:hideMark/>
          </w:tcPr>
          <w:p w14:paraId="6771D94C"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 xml:space="preserve">C4: Algorithmic </w:t>
            </w:r>
            <w:proofErr w:type="spellStart"/>
            <w:r w:rsidRPr="00F25C44">
              <w:rPr>
                <w:rFonts w:ascii="Times New Roman" w:eastAsia="Times New Roman" w:hAnsi="Times New Roman" w:cs="Times New Roman"/>
                <w:sz w:val="20"/>
                <w:szCs w:val="20"/>
                <w:lang w:eastAsia="en-IN"/>
              </w:rPr>
              <w:t>Mgmt</w:t>
            </w:r>
            <w:proofErr w:type="spellEnd"/>
            <w:r w:rsidRPr="00F25C44">
              <w:rPr>
                <w:rFonts w:ascii="Times New Roman" w:eastAsia="Times New Roman" w:hAnsi="Times New Roman" w:cs="Times New Roman"/>
                <w:sz w:val="20"/>
                <w:szCs w:val="20"/>
                <w:lang w:eastAsia="en-IN"/>
              </w:rPr>
              <w:t xml:space="preserve"> &amp; Fairness</w:t>
            </w:r>
          </w:p>
        </w:tc>
        <w:tc>
          <w:tcPr>
            <w:tcW w:w="849" w:type="pct"/>
            <w:tcBorders>
              <w:top w:val="nil"/>
              <w:left w:val="nil"/>
              <w:bottom w:val="single" w:sz="4" w:space="0" w:color="B0B0B0"/>
              <w:right w:val="single" w:sz="4" w:space="0" w:color="B0B0B0"/>
            </w:tcBorders>
            <w:shd w:val="clear" w:color="FFF2CC" w:fill="FFF2CC"/>
            <w:hideMark/>
          </w:tcPr>
          <w:p w14:paraId="15AA336B"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Procedural justice; trust</w:t>
            </w:r>
          </w:p>
        </w:tc>
        <w:tc>
          <w:tcPr>
            <w:tcW w:w="975" w:type="pct"/>
            <w:tcBorders>
              <w:top w:val="nil"/>
              <w:left w:val="nil"/>
              <w:bottom w:val="single" w:sz="4" w:space="0" w:color="B0B0B0"/>
              <w:right w:val="single" w:sz="4" w:space="0" w:color="B0B0B0"/>
            </w:tcBorders>
            <w:shd w:val="clear" w:color="FFF2CC" w:fill="FFF2CC"/>
            <w:hideMark/>
          </w:tcPr>
          <w:p w14:paraId="3D835E8C"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Quantitative mediation-model survey</w:t>
            </w:r>
          </w:p>
        </w:tc>
        <w:tc>
          <w:tcPr>
            <w:tcW w:w="1300" w:type="pct"/>
            <w:tcBorders>
              <w:top w:val="nil"/>
              <w:left w:val="nil"/>
              <w:bottom w:val="single" w:sz="4" w:space="0" w:color="B0B0B0"/>
              <w:right w:val="single" w:sz="4" w:space="0" w:color="B0B0B0"/>
            </w:tcBorders>
            <w:shd w:val="clear" w:color="FFF2CC" w:fill="FFF2CC"/>
            <w:hideMark/>
          </w:tcPr>
          <w:p w14:paraId="73CEF00E"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Shows trust and justice mediate AI-hiring attraction</w:t>
            </w:r>
          </w:p>
        </w:tc>
      </w:tr>
      <w:tr w:rsidR="00F702C4" w:rsidRPr="00F25C44" w14:paraId="48FEFEA6"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FFF2CC" w:fill="FFF2CC"/>
            <w:noWrap/>
            <w:hideMark/>
          </w:tcPr>
          <w:p w14:paraId="71EBCDF1"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t>SRC-078</w:t>
            </w:r>
          </w:p>
        </w:tc>
        <w:tc>
          <w:tcPr>
            <w:tcW w:w="826" w:type="pct"/>
            <w:tcBorders>
              <w:top w:val="nil"/>
              <w:left w:val="nil"/>
              <w:bottom w:val="single" w:sz="4" w:space="0" w:color="B0B0B0"/>
              <w:right w:val="single" w:sz="4" w:space="0" w:color="B0B0B0"/>
            </w:tcBorders>
            <w:shd w:val="clear" w:color="FFF2CC" w:fill="FFF2CC"/>
            <w:hideMark/>
          </w:tcPr>
          <w:p w14:paraId="7E487C4D"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Chen et al. (2026)</w:t>
            </w:r>
          </w:p>
        </w:tc>
        <w:tc>
          <w:tcPr>
            <w:tcW w:w="645" w:type="pct"/>
            <w:tcBorders>
              <w:top w:val="nil"/>
              <w:left w:val="nil"/>
              <w:bottom w:val="single" w:sz="4" w:space="0" w:color="B0B0B0"/>
              <w:right w:val="single" w:sz="4" w:space="0" w:color="B0B0B0"/>
            </w:tcBorders>
            <w:shd w:val="clear" w:color="FFF2CC" w:fill="FFF2CC"/>
            <w:hideMark/>
          </w:tcPr>
          <w:p w14:paraId="3DD58996"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 xml:space="preserve">C4: Algorithmic </w:t>
            </w:r>
            <w:proofErr w:type="spellStart"/>
            <w:r w:rsidRPr="00F25C44">
              <w:rPr>
                <w:rFonts w:ascii="Times New Roman" w:eastAsia="Times New Roman" w:hAnsi="Times New Roman" w:cs="Times New Roman"/>
                <w:sz w:val="20"/>
                <w:szCs w:val="20"/>
                <w:lang w:eastAsia="en-IN"/>
              </w:rPr>
              <w:t>Mgmt</w:t>
            </w:r>
            <w:proofErr w:type="spellEnd"/>
            <w:r w:rsidRPr="00F25C44">
              <w:rPr>
                <w:rFonts w:ascii="Times New Roman" w:eastAsia="Times New Roman" w:hAnsi="Times New Roman" w:cs="Times New Roman"/>
                <w:sz w:val="20"/>
                <w:szCs w:val="20"/>
                <w:lang w:eastAsia="en-IN"/>
              </w:rPr>
              <w:t xml:space="preserve"> &amp; Fairness</w:t>
            </w:r>
          </w:p>
        </w:tc>
        <w:tc>
          <w:tcPr>
            <w:tcW w:w="849" w:type="pct"/>
            <w:tcBorders>
              <w:top w:val="nil"/>
              <w:left w:val="nil"/>
              <w:bottom w:val="single" w:sz="4" w:space="0" w:color="B0B0B0"/>
              <w:right w:val="single" w:sz="4" w:space="0" w:color="B0B0B0"/>
            </w:tcBorders>
            <w:shd w:val="clear" w:color="FFF2CC" w:fill="FFF2CC"/>
            <w:hideMark/>
          </w:tcPr>
          <w:p w14:paraId="440C23D2"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Topic-modelled themes in algorithmic management literature</w:t>
            </w:r>
          </w:p>
        </w:tc>
        <w:tc>
          <w:tcPr>
            <w:tcW w:w="975" w:type="pct"/>
            <w:tcBorders>
              <w:top w:val="nil"/>
              <w:left w:val="nil"/>
              <w:bottom w:val="single" w:sz="4" w:space="0" w:color="B0B0B0"/>
              <w:right w:val="single" w:sz="4" w:space="0" w:color="B0B0B0"/>
            </w:tcBorders>
            <w:shd w:val="clear" w:color="FFF2CC" w:fill="FFF2CC"/>
            <w:hideMark/>
          </w:tcPr>
          <w:p w14:paraId="20C71173"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 xml:space="preserve">Systematic review combined with </w:t>
            </w:r>
            <w:proofErr w:type="spellStart"/>
            <w:r w:rsidRPr="00F25C44">
              <w:rPr>
                <w:rFonts w:ascii="Times New Roman" w:eastAsia="Times New Roman" w:hAnsi="Times New Roman" w:cs="Times New Roman"/>
                <w:sz w:val="20"/>
                <w:szCs w:val="20"/>
                <w:lang w:eastAsia="en-IN"/>
              </w:rPr>
              <w:t>BERTopic</w:t>
            </w:r>
            <w:proofErr w:type="spellEnd"/>
            <w:r w:rsidRPr="00F25C44">
              <w:rPr>
                <w:rFonts w:ascii="Times New Roman" w:eastAsia="Times New Roman" w:hAnsi="Times New Roman" w:cs="Times New Roman"/>
                <w:sz w:val="20"/>
                <w:szCs w:val="20"/>
                <w:lang w:eastAsia="en-IN"/>
              </w:rPr>
              <w:t xml:space="preserve"> computational text</w:t>
            </w:r>
          </w:p>
        </w:tc>
        <w:tc>
          <w:tcPr>
            <w:tcW w:w="1300" w:type="pct"/>
            <w:tcBorders>
              <w:top w:val="nil"/>
              <w:left w:val="nil"/>
              <w:bottom w:val="single" w:sz="4" w:space="0" w:color="B0B0B0"/>
              <w:right w:val="single" w:sz="4" w:space="0" w:color="B0B0B0"/>
            </w:tcBorders>
            <w:shd w:val="clear" w:color="FFF2CC" w:fill="FFF2CC"/>
            <w:hideMark/>
          </w:tcPr>
          <w:p w14:paraId="0FF51A4F"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Corroborates this bibliography's cluster structure</w:t>
            </w:r>
          </w:p>
        </w:tc>
      </w:tr>
      <w:tr w:rsidR="00F702C4" w:rsidRPr="00F25C44" w14:paraId="0C76992C"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FFF2CC" w:fill="FFF2CC"/>
            <w:noWrap/>
            <w:hideMark/>
          </w:tcPr>
          <w:p w14:paraId="797BF7C0"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t>SRC-079</w:t>
            </w:r>
          </w:p>
        </w:tc>
        <w:tc>
          <w:tcPr>
            <w:tcW w:w="826" w:type="pct"/>
            <w:tcBorders>
              <w:top w:val="nil"/>
              <w:left w:val="nil"/>
              <w:bottom w:val="single" w:sz="4" w:space="0" w:color="B0B0B0"/>
              <w:right w:val="single" w:sz="4" w:space="0" w:color="B0B0B0"/>
            </w:tcBorders>
            <w:shd w:val="clear" w:color="FFF2CC" w:fill="FFF2CC"/>
            <w:hideMark/>
          </w:tcPr>
          <w:p w14:paraId="23DC6B9A"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proofErr w:type="spellStart"/>
            <w:r w:rsidRPr="00F25C44">
              <w:rPr>
                <w:rFonts w:ascii="Times New Roman" w:eastAsia="Times New Roman" w:hAnsi="Times New Roman" w:cs="Times New Roman"/>
                <w:sz w:val="20"/>
                <w:szCs w:val="20"/>
                <w:lang w:eastAsia="en-IN"/>
              </w:rPr>
              <w:t>Lahlou</w:t>
            </w:r>
            <w:proofErr w:type="spellEnd"/>
            <w:r w:rsidRPr="00F25C44">
              <w:rPr>
                <w:rFonts w:ascii="Times New Roman" w:eastAsia="Times New Roman" w:hAnsi="Times New Roman" w:cs="Times New Roman"/>
                <w:sz w:val="20"/>
                <w:szCs w:val="20"/>
                <w:lang w:eastAsia="en-IN"/>
              </w:rPr>
              <w:t xml:space="preserve"> (2025)</w:t>
            </w:r>
          </w:p>
        </w:tc>
        <w:tc>
          <w:tcPr>
            <w:tcW w:w="645" w:type="pct"/>
            <w:tcBorders>
              <w:top w:val="nil"/>
              <w:left w:val="nil"/>
              <w:bottom w:val="single" w:sz="4" w:space="0" w:color="B0B0B0"/>
              <w:right w:val="single" w:sz="4" w:space="0" w:color="B0B0B0"/>
            </w:tcBorders>
            <w:shd w:val="clear" w:color="FFF2CC" w:fill="FFF2CC"/>
            <w:hideMark/>
          </w:tcPr>
          <w:p w14:paraId="5A18A752"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 xml:space="preserve">C4: Algorithmic </w:t>
            </w:r>
            <w:proofErr w:type="spellStart"/>
            <w:r w:rsidRPr="00F25C44">
              <w:rPr>
                <w:rFonts w:ascii="Times New Roman" w:eastAsia="Times New Roman" w:hAnsi="Times New Roman" w:cs="Times New Roman"/>
                <w:sz w:val="20"/>
                <w:szCs w:val="20"/>
                <w:lang w:eastAsia="en-IN"/>
              </w:rPr>
              <w:t>Mgmt</w:t>
            </w:r>
            <w:proofErr w:type="spellEnd"/>
            <w:r w:rsidRPr="00F25C44">
              <w:rPr>
                <w:rFonts w:ascii="Times New Roman" w:eastAsia="Times New Roman" w:hAnsi="Times New Roman" w:cs="Times New Roman"/>
                <w:sz w:val="20"/>
                <w:szCs w:val="20"/>
                <w:lang w:eastAsia="en-IN"/>
              </w:rPr>
              <w:t xml:space="preserve"> &amp; Fairness</w:t>
            </w:r>
          </w:p>
        </w:tc>
        <w:tc>
          <w:tcPr>
            <w:tcW w:w="849" w:type="pct"/>
            <w:tcBorders>
              <w:top w:val="nil"/>
              <w:left w:val="nil"/>
              <w:bottom w:val="single" w:sz="4" w:space="0" w:color="B0B0B0"/>
              <w:right w:val="single" w:sz="4" w:space="0" w:color="B0B0B0"/>
            </w:tcBorders>
            <w:shd w:val="clear" w:color="FFF2CC" w:fill="FFF2CC"/>
            <w:hideMark/>
          </w:tcPr>
          <w:p w14:paraId="7ED7CD5A"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Distributive justice; organisational commitment</w:t>
            </w:r>
          </w:p>
        </w:tc>
        <w:tc>
          <w:tcPr>
            <w:tcW w:w="975" w:type="pct"/>
            <w:tcBorders>
              <w:top w:val="nil"/>
              <w:left w:val="nil"/>
              <w:bottom w:val="single" w:sz="4" w:space="0" w:color="B0B0B0"/>
              <w:right w:val="single" w:sz="4" w:space="0" w:color="B0B0B0"/>
            </w:tcBorders>
            <w:shd w:val="clear" w:color="FFF2CC" w:fill="FFF2CC"/>
            <w:hideMark/>
          </w:tcPr>
          <w:p w14:paraId="37EDEA5C"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Quantitative survey study</w:t>
            </w:r>
          </w:p>
        </w:tc>
        <w:tc>
          <w:tcPr>
            <w:tcW w:w="1300" w:type="pct"/>
            <w:tcBorders>
              <w:top w:val="nil"/>
              <w:left w:val="nil"/>
              <w:bottom w:val="single" w:sz="4" w:space="0" w:color="B0B0B0"/>
              <w:right w:val="single" w:sz="4" w:space="0" w:color="B0B0B0"/>
            </w:tcBorders>
            <w:shd w:val="clear" w:color="FFF2CC" w:fill="FFF2CC"/>
            <w:hideMark/>
          </w:tcPr>
          <w:p w14:paraId="3D449E38"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Applicable to commitment responses to AI-mediated allocation</w:t>
            </w:r>
          </w:p>
        </w:tc>
      </w:tr>
      <w:tr w:rsidR="00F702C4" w:rsidRPr="00F25C44" w14:paraId="00D5DAB8"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FFF2CC" w:fill="FFF2CC"/>
            <w:noWrap/>
            <w:hideMark/>
          </w:tcPr>
          <w:p w14:paraId="3CDEE3C2"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t>SRC-080</w:t>
            </w:r>
          </w:p>
        </w:tc>
        <w:tc>
          <w:tcPr>
            <w:tcW w:w="826" w:type="pct"/>
            <w:tcBorders>
              <w:top w:val="nil"/>
              <w:left w:val="nil"/>
              <w:bottom w:val="single" w:sz="4" w:space="0" w:color="B0B0B0"/>
              <w:right w:val="single" w:sz="4" w:space="0" w:color="B0B0B0"/>
            </w:tcBorders>
            <w:shd w:val="clear" w:color="FFF2CC" w:fill="FFF2CC"/>
            <w:hideMark/>
          </w:tcPr>
          <w:p w14:paraId="4DD45AD9"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proofErr w:type="spellStart"/>
            <w:r w:rsidRPr="00F25C44">
              <w:rPr>
                <w:rFonts w:ascii="Times New Roman" w:eastAsia="Times New Roman" w:hAnsi="Times New Roman" w:cs="Times New Roman"/>
                <w:sz w:val="20"/>
                <w:szCs w:val="20"/>
                <w:lang w:eastAsia="en-IN"/>
              </w:rPr>
              <w:t>Dubal</w:t>
            </w:r>
            <w:proofErr w:type="spellEnd"/>
            <w:r w:rsidRPr="00F25C44">
              <w:rPr>
                <w:rFonts w:ascii="Times New Roman" w:eastAsia="Times New Roman" w:hAnsi="Times New Roman" w:cs="Times New Roman"/>
                <w:sz w:val="20"/>
                <w:szCs w:val="20"/>
                <w:lang w:eastAsia="en-IN"/>
              </w:rPr>
              <w:t xml:space="preserve"> (2017)</w:t>
            </w:r>
          </w:p>
        </w:tc>
        <w:tc>
          <w:tcPr>
            <w:tcW w:w="645" w:type="pct"/>
            <w:tcBorders>
              <w:top w:val="nil"/>
              <w:left w:val="nil"/>
              <w:bottom w:val="single" w:sz="4" w:space="0" w:color="B0B0B0"/>
              <w:right w:val="single" w:sz="4" w:space="0" w:color="B0B0B0"/>
            </w:tcBorders>
            <w:shd w:val="clear" w:color="FFF2CC" w:fill="FFF2CC"/>
            <w:hideMark/>
          </w:tcPr>
          <w:p w14:paraId="66AE1AB6"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 xml:space="preserve">C4: Algorithmic </w:t>
            </w:r>
            <w:proofErr w:type="spellStart"/>
            <w:r w:rsidRPr="00F25C44">
              <w:rPr>
                <w:rFonts w:ascii="Times New Roman" w:eastAsia="Times New Roman" w:hAnsi="Times New Roman" w:cs="Times New Roman"/>
                <w:sz w:val="20"/>
                <w:szCs w:val="20"/>
                <w:lang w:eastAsia="en-IN"/>
              </w:rPr>
              <w:t>Mgmt</w:t>
            </w:r>
            <w:proofErr w:type="spellEnd"/>
            <w:r w:rsidRPr="00F25C44">
              <w:rPr>
                <w:rFonts w:ascii="Times New Roman" w:eastAsia="Times New Roman" w:hAnsi="Times New Roman" w:cs="Times New Roman"/>
                <w:sz w:val="20"/>
                <w:szCs w:val="20"/>
                <w:lang w:eastAsia="en-IN"/>
              </w:rPr>
              <w:t xml:space="preserve"> &amp; Fairness</w:t>
            </w:r>
          </w:p>
        </w:tc>
        <w:tc>
          <w:tcPr>
            <w:tcW w:w="849" w:type="pct"/>
            <w:tcBorders>
              <w:top w:val="nil"/>
              <w:left w:val="nil"/>
              <w:bottom w:val="single" w:sz="4" w:space="0" w:color="B0B0B0"/>
              <w:right w:val="single" w:sz="4" w:space="0" w:color="B0B0B0"/>
            </w:tcBorders>
            <w:shd w:val="clear" w:color="FFF2CC" w:fill="FFF2CC"/>
            <w:hideMark/>
          </w:tcPr>
          <w:p w14:paraId="404396D4"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Platform labour regulation; algorithmic wage control</w:t>
            </w:r>
          </w:p>
        </w:tc>
        <w:tc>
          <w:tcPr>
            <w:tcW w:w="975" w:type="pct"/>
            <w:tcBorders>
              <w:top w:val="nil"/>
              <w:left w:val="nil"/>
              <w:bottom w:val="single" w:sz="4" w:space="0" w:color="B0B0B0"/>
              <w:right w:val="single" w:sz="4" w:space="0" w:color="B0B0B0"/>
            </w:tcBorders>
            <w:shd w:val="clear" w:color="FFF2CC" w:fill="FFF2CC"/>
            <w:hideMark/>
          </w:tcPr>
          <w:p w14:paraId="7BFE0D44"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Historical/legal case analysis</w:t>
            </w:r>
          </w:p>
        </w:tc>
        <w:tc>
          <w:tcPr>
            <w:tcW w:w="1300" w:type="pct"/>
            <w:tcBorders>
              <w:top w:val="nil"/>
              <w:left w:val="nil"/>
              <w:bottom w:val="single" w:sz="4" w:space="0" w:color="B0B0B0"/>
              <w:right w:val="single" w:sz="4" w:space="0" w:color="B0B0B0"/>
            </w:tcBorders>
            <w:shd w:val="clear" w:color="FFF2CC" w:fill="FFF2CC"/>
            <w:hideMark/>
          </w:tcPr>
          <w:p w14:paraId="5C4FEA21"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Legal-historical grounding for the algorithmic-control literature</w:t>
            </w:r>
          </w:p>
        </w:tc>
      </w:tr>
      <w:tr w:rsidR="00F702C4" w:rsidRPr="00F25C44" w14:paraId="2BF65DC7"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EAD1DC" w:fill="EAD1DC"/>
            <w:noWrap/>
            <w:hideMark/>
          </w:tcPr>
          <w:p w14:paraId="27347972"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lastRenderedPageBreak/>
              <w:t>SRC-081</w:t>
            </w:r>
          </w:p>
        </w:tc>
        <w:tc>
          <w:tcPr>
            <w:tcW w:w="826" w:type="pct"/>
            <w:tcBorders>
              <w:top w:val="nil"/>
              <w:left w:val="nil"/>
              <w:bottom w:val="single" w:sz="4" w:space="0" w:color="B0B0B0"/>
              <w:right w:val="single" w:sz="4" w:space="0" w:color="B0B0B0"/>
            </w:tcBorders>
            <w:shd w:val="clear" w:color="EAD1DC" w:fill="EAD1DC"/>
            <w:hideMark/>
          </w:tcPr>
          <w:p w14:paraId="2323D186"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 xml:space="preserve">Brougham &amp; </w:t>
            </w:r>
            <w:proofErr w:type="spellStart"/>
            <w:r w:rsidRPr="00F25C44">
              <w:rPr>
                <w:rFonts w:ascii="Times New Roman" w:eastAsia="Times New Roman" w:hAnsi="Times New Roman" w:cs="Times New Roman"/>
                <w:sz w:val="20"/>
                <w:szCs w:val="20"/>
                <w:lang w:eastAsia="en-IN"/>
              </w:rPr>
              <w:t>Haar</w:t>
            </w:r>
            <w:proofErr w:type="spellEnd"/>
            <w:r w:rsidRPr="00F25C44">
              <w:rPr>
                <w:rFonts w:ascii="Times New Roman" w:eastAsia="Times New Roman" w:hAnsi="Times New Roman" w:cs="Times New Roman"/>
                <w:sz w:val="20"/>
                <w:szCs w:val="20"/>
                <w:lang w:eastAsia="en-IN"/>
              </w:rPr>
              <w:t xml:space="preserve"> (2018)</w:t>
            </w:r>
          </w:p>
        </w:tc>
        <w:tc>
          <w:tcPr>
            <w:tcW w:w="645" w:type="pct"/>
            <w:tcBorders>
              <w:top w:val="nil"/>
              <w:left w:val="nil"/>
              <w:bottom w:val="single" w:sz="4" w:space="0" w:color="B0B0B0"/>
              <w:right w:val="single" w:sz="4" w:space="0" w:color="B0B0B0"/>
            </w:tcBorders>
            <w:shd w:val="clear" w:color="EAD1DC" w:fill="EAD1DC"/>
            <w:hideMark/>
          </w:tcPr>
          <w:p w14:paraId="3029CF1F"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C5: Workforce Impact</w:t>
            </w:r>
          </w:p>
        </w:tc>
        <w:tc>
          <w:tcPr>
            <w:tcW w:w="849" w:type="pct"/>
            <w:tcBorders>
              <w:top w:val="nil"/>
              <w:left w:val="nil"/>
              <w:bottom w:val="single" w:sz="4" w:space="0" w:color="B0B0B0"/>
              <w:right w:val="single" w:sz="4" w:space="0" w:color="B0B0B0"/>
            </w:tcBorders>
            <w:shd w:val="clear" w:color="EAD1DC" w:fill="EAD1DC"/>
            <w:hideMark/>
          </w:tcPr>
          <w:p w14:paraId="4EFB9464"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STARA awareness; job insecurity</w:t>
            </w:r>
          </w:p>
        </w:tc>
        <w:tc>
          <w:tcPr>
            <w:tcW w:w="975" w:type="pct"/>
            <w:tcBorders>
              <w:top w:val="nil"/>
              <w:left w:val="nil"/>
              <w:bottom w:val="single" w:sz="4" w:space="0" w:color="B0B0B0"/>
              <w:right w:val="single" w:sz="4" w:space="0" w:color="B0B0B0"/>
            </w:tcBorders>
            <w:shd w:val="clear" w:color="EAD1DC" w:fill="EAD1DC"/>
            <w:hideMark/>
          </w:tcPr>
          <w:p w14:paraId="2478A466"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Mixed-methods survey (n=120 employees)</w:t>
            </w:r>
          </w:p>
        </w:tc>
        <w:tc>
          <w:tcPr>
            <w:tcW w:w="1300" w:type="pct"/>
            <w:tcBorders>
              <w:top w:val="nil"/>
              <w:left w:val="nil"/>
              <w:bottom w:val="single" w:sz="4" w:space="0" w:color="B0B0B0"/>
              <w:right w:val="single" w:sz="4" w:space="0" w:color="B0B0B0"/>
            </w:tcBorders>
            <w:shd w:val="clear" w:color="EAD1DC" w:fill="EAD1DC"/>
            <w:hideMark/>
          </w:tcPr>
          <w:p w14:paraId="4347939A"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Dominant instrument measuring technology-driven job insecurity</w:t>
            </w:r>
          </w:p>
        </w:tc>
      </w:tr>
      <w:tr w:rsidR="00F702C4" w:rsidRPr="00F25C44" w14:paraId="2C6EA18F"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EAD1DC" w:fill="EAD1DC"/>
            <w:noWrap/>
            <w:hideMark/>
          </w:tcPr>
          <w:p w14:paraId="2578652D"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t>SRC-082</w:t>
            </w:r>
          </w:p>
        </w:tc>
        <w:tc>
          <w:tcPr>
            <w:tcW w:w="826" w:type="pct"/>
            <w:tcBorders>
              <w:top w:val="nil"/>
              <w:left w:val="nil"/>
              <w:bottom w:val="single" w:sz="4" w:space="0" w:color="B0B0B0"/>
              <w:right w:val="single" w:sz="4" w:space="0" w:color="B0B0B0"/>
            </w:tcBorders>
            <w:shd w:val="clear" w:color="EAD1DC" w:fill="EAD1DC"/>
            <w:hideMark/>
          </w:tcPr>
          <w:p w14:paraId="16CE2693"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proofErr w:type="spellStart"/>
            <w:r w:rsidRPr="00F25C44">
              <w:rPr>
                <w:rFonts w:ascii="Times New Roman" w:eastAsia="Times New Roman" w:hAnsi="Times New Roman" w:cs="Times New Roman"/>
                <w:sz w:val="20"/>
                <w:szCs w:val="20"/>
                <w:lang w:eastAsia="en-IN"/>
              </w:rPr>
              <w:t>Walczok</w:t>
            </w:r>
            <w:proofErr w:type="spellEnd"/>
            <w:r w:rsidRPr="00F25C44">
              <w:rPr>
                <w:rFonts w:ascii="Times New Roman" w:eastAsia="Times New Roman" w:hAnsi="Times New Roman" w:cs="Times New Roman"/>
                <w:sz w:val="20"/>
                <w:szCs w:val="20"/>
                <w:lang w:eastAsia="en-IN"/>
              </w:rPr>
              <w:t xml:space="preserve"> (2025)</w:t>
            </w:r>
          </w:p>
        </w:tc>
        <w:tc>
          <w:tcPr>
            <w:tcW w:w="645" w:type="pct"/>
            <w:tcBorders>
              <w:top w:val="nil"/>
              <w:left w:val="nil"/>
              <w:bottom w:val="single" w:sz="4" w:space="0" w:color="B0B0B0"/>
              <w:right w:val="single" w:sz="4" w:space="0" w:color="B0B0B0"/>
            </w:tcBorders>
            <w:shd w:val="clear" w:color="EAD1DC" w:fill="EAD1DC"/>
            <w:hideMark/>
          </w:tcPr>
          <w:p w14:paraId="7DAA83DB"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C5: Workforce Impact</w:t>
            </w:r>
          </w:p>
        </w:tc>
        <w:tc>
          <w:tcPr>
            <w:tcW w:w="849" w:type="pct"/>
            <w:tcBorders>
              <w:top w:val="nil"/>
              <w:left w:val="nil"/>
              <w:bottom w:val="single" w:sz="4" w:space="0" w:color="B0B0B0"/>
              <w:right w:val="single" w:sz="4" w:space="0" w:color="B0B0B0"/>
            </w:tcBorders>
            <w:shd w:val="clear" w:color="EAD1DC" w:fill="EAD1DC"/>
            <w:hideMark/>
          </w:tcPr>
          <w:p w14:paraId="11915A14"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Job insecurity trajectory; digitalisation-specific measurement</w:t>
            </w:r>
          </w:p>
        </w:tc>
        <w:tc>
          <w:tcPr>
            <w:tcW w:w="975" w:type="pct"/>
            <w:tcBorders>
              <w:top w:val="nil"/>
              <w:left w:val="nil"/>
              <w:bottom w:val="single" w:sz="4" w:space="0" w:color="B0B0B0"/>
              <w:right w:val="single" w:sz="4" w:space="0" w:color="B0B0B0"/>
            </w:tcBorders>
            <w:shd w:val="clear" w:color="EAD1DC" w:fill="EAD1DC"/>
            <w:hideMark/>
          </w:tcPr>
          <w:p w14:paraId="10396BF0"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Three-study longitudinal validation research</w:t>
            </w:r>
          </w:p>
        </w:tc>
        <w:tc>
          <w:tcPr>
            <w:tcW w:w="1300" w:type="pct"/>
            <w:tcBorders>
              <w:top w:val="nil"/>
              <w:left w:val="nil"/>
              <w:bottom w:val="single" w:sz="4" w:space="0" w:color="B0B0B0"/>
              <w:right w:val="single" w:sz="4" w:space="0" w:color="B0B0B0"/>
            </w:tcBorders>
            <w:shd w:val="clear" w:color="EAD1DC" w:fill="EAD1DC"/>
            <w:hideMark/>
          </w:tcPr>
          <w:p w14:paraId="05EE9249"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Strengthens STARA as a longitudinal outcome measure</w:t>
            </w:r>
          </w:p>
        </w:tc>
      </w:tr>
      <w:tr w:rsidR="00F702C4" w:rsidRPr="00F25C44" w14:paraId="510C0317"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EAD1DC" w:fill="EAD1DC"/>
            <w:noWrap/>
            <w:hideMark/>
          </w:tcPr>
          <w:p w14:paraId="2B38B6C7"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t>SRC-083</w:t>
            </w:r>
          </w:p>
        </w:tc>
        <w:tc>
          <w:tcPr>
            <w:tcW w:w="826" w:type="pct"/>
            <w:tcBorders>
              <w:top w:val="nil"/>
              <w:left w:val="nil"/>
              <w:bottom w:val="single" w:sz="4" w:space="0" w:color="B0B0B0"/>
              <w:right w:val="single" w:sz="4" w:space="0" w:color="B0B0B0"/>
            </w:tcBorders>
            <w:shd w:val="clear" w:color="EAD1DC" w:fill="EAD1DC"/>
            <w:hideMark/>
          </w:tcPr>
          <w:p w14:paraId="39C8C33D"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proofErr w:type="spellStart"/>
            <w:r w:rsidRPr="00F25C44">
              <w:rPr>
                <w:rFonts w:ascii="Times New Roman" w:eastAsia="Times New Roman" w:hAnsi="Times New Roman" w:cs="Times New Roman"/>
                <w:sz w:val="20"/>
                <w:szCs w:val="20"/>
                <w:lang w:eastAsia="en-IN"/>
              </w:rPr>
              <w:t>Lingmont</w:t>
            </w:r>
            <w:proofErr w:type="spellEnd"/>
            <w:r w:rsidRPr="00F25C44">
              <w:rPr>
                <w:rFonts w:ascii="Times New Roman" w:eastAsia="Times New Roman" w:hAnsi="Times New Roman" w:cs="Times New Roman"/>
                <w:sz w:val="20"/>
                <w:szCs w:val="20"/>
                <w:lang w:eastAsia="en-IN"/>
              </w:rPr>
              <w:t xml:space="preserve"> &amp; Alexiou (2020)</w:t>
            </w:r>
          </w:p>
        </w:tc>
        <w:tc>
          <w:tcPr>
            <w:tcW w:w="645" w:type="pct"/>
            <w:tcBorders>
              <w:top w:val="nil"/>
              <w:left w:val="nil"/>
              <w:bottom w:val="single" w:sz="4" w:space="0" w:color="B0B0B0"/>
              <w:right w:val="single" w:sz="4" w:space="0" w:color="B0B0B0"/>
            </w:tcBorders>
            <w:shd w:val="clear" w:color="EAD1DC" w:fill="EAD1DC"/>
            <w:hideMark/>
          </w:tcPr>
          <w:p w14:paraId="65F6D7EB"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C5: Workforce Impact</w:t>
            </w:r>
          </w:p>
        </w:tc>
        <w:tc>
          <w:tcPr>
            <w:tcW w:w="849" w:type="pct"/>
            <w:tcBorders>
              <w:top w:val="nil"/>
              <w:left w:val="nil"/>
              <w:bottom w:val="single" w:sz="4" w:space="0" w:color="B0B0B0"/>
              <w:right w:val="single" w:sz="4" w:space="0" w:color="B0B0B0"/>
            </w:tcBorders>
            <w:shd w:val="clear" w:color="EAD1DC" w:fill="EAD1DC"/>
            <w:hideMark/>
          </w:tcPr>
          <w:p w14:paraId="49C64DA1"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Organisational culture (moderator); technology awareness</w:t>
            </w:r>
          </w:p>
        </w:tc>
        <w:tc>
          <w:tcPr>
            <w:tcW w:w="975" w:type="pct"/>
            <w:tcBorders>
              <w:top w:val="nil"/>
              <w:left w:val="nil"/>
              <w:bottom w:val="single" w:sz="4" w:space="0" w:color="B0B0B0"/>
              <w:right w:val="single" w:sz="4" w:space="0" w:color="B0B0B0"/>
            </w:tcBorders>
            <w:shd w:val="clear" w:color="EAD1DC" w:fill="EAD1DC"/>
            <w:hideMark/>
          </w:tcPr>
          <w:p w14:paraId="579CEB9C"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Quantitative moderation-model survey</w:t>
            </w:r>
          </w:p>
        </w:tc>
        <w:tc>
          <w:tcPr>
            <w:tcW w:w="1300" w:type="pct"/>
            <w:tcBorders>
              <w:top w:val="nil"/>
              <w:left w:val="nil"/>
              <w:bottom w:val="single" w:sz="4" w:space="0" w:color="B0B0B0"/>
              <w:right w:val="single" w:sz="4" w:space="0" w:color="B0B0B0"/>
            </w:tcBorders>
            <w:shd w:val="clear" w:color="EAD1DC" w:fill="EAD1DC"/>
            <w:hideMark/>
          </w:tcPr>
          <w:p w14:paraId="3A079C82"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Informs culture-based readiness interventions</w:t>
            </w:r>
          </w:p>
        </w:tc>
      </w:tr>
      <w:tr w:rsidR="00F702C4" w:rsidRPr="00F25C44" w14:paraId="6067BFB9"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EAD1DC" w:fill="EAD1DC"/>
            <w:noWrap/>
            <w:hideMark/>
          </w:tcPr>
          <w:p w14:paraId="54DF575B"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t>SRC-084</w:t>
            </w:r>
          </w:p>
        </w:tc>
        <w:tc>
          <w:tcPr>
            <w:tcW w:w="826" w:type="pct"/>
            <w:tcBorders>
              <w:top w:val="nil"/>
              <w:left w:val="nil"/>
              <w:bottom w:val="single" w:sz="4" w:space="0" w:color="B0B0B0"/>
              <w:right w:val="single" w:sz="4" w:space="0" w:color="B0B0B0"/>
            </w:tcBorders>
            <w:shd w:val="clear" w:color="EAD1DC" w:fill="EAD1DC"/>
            <w:hideMark/>
          </w:tcPr>
          <w:p w14:paraId="17271B46"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IMR Press (2025)</w:t>
            </w:r>
          </w:p>
        </w:tc>
        <w:tc>
          <w:tcPr>
            <w:tcW w:w="645" w:type="pct"/>
            <w:tcBorders>
              <w:top w:val="nil"/>
              <w:left w:val="nil"/>
              <w:bottom w:val="single" w:sz="4" w:space="0" w:color="B0B0B0"/>
              <w:right w:val="single" w:sz="4" w:space="0" w:color="B0B0B0"/>
            </w:tcBorders>
            <w:shd w:val="clear" w:color="EAD1DC" w:fill="EAD1DC"/>
            <w:hideMark/>
          </w:tcPr>
          <w:p w14:paraId="524DFE68"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C5: Workforce Impact</w:t>
            </w:r>
          </w:p>
        </w:tc>
        <w:tc>
          <w:tcPr>
            <w:tcW w:w="849" w:type="pct"/>
            <w:tcBorders>
              <w:top w:val="nil"/>
              <w:left w:val="nil"/>
              <w:bottom w:val="single" w:sz="4" w:space="0" w:color="B0B0B0"/>
              <w:right w:val="single" w:sz="4" w:space="0" w:color="B0B0B0"/>
            </w:tcBorders>
            <w:shd w:val="clear" w:color="EAD1DC" w:fill="EAD1DC"/>
            <w:hideMark/>
          </w:tcPr>
          <w:p w14:paraId="1525BB8B"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STARA awareness; counterproductive work behaviour</w:t>
            </w:r>
          </w:p>
        </w:tc>
        <w:tc>
          <w:tcPr>
            <w:tcW w:w="975" w:type="pct"/>
            <w:tcBorders>
              <w:top w:val="nil"/>
              <w:left w:val="nil"/>
              <w:bottom w:val="single" w:sz="4" w:space="0" w:color="B0B0B0"/>
              <w:right w:val="single" w:sz="4" w:space="0" w:color="B0B0B0"/>
            </w:tcBorders>
            <w:shd w:val="clear" w:color="EAD1DC" w:fill="EAD1DC"/>
            <w:hideMark/>
          </w:tcPr>
          <w:p w14:paraId="63987C37"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Quantitative survey with mediation analysis</w:t>
            </w:r>
          </w:p>
        </w:tc>
        <w:tc>
          <w:tcPr>
            <w:tcW w:w="1300" w:type="pct"/>
            <w:tcBorders>
              <w:top w:val="nil"/>
              <w:left w:val="nil"/>
              <w:bottom w:val="single" w:sz="4" w:space="0" w:color="B0B0B0"/>
              <w:right w:val="single" w:sz="4" w:space="0" w:color="B0B0B0"/>
            </w:tcBorders>
            <w:shd w:val="clear" w:color="EAD1DC" w:fill="EAD1DC"/>
            <w:hideMark/>
          </w:tcPr>
          <w:p w14:paraId="6BE23713"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Broadens the negative-consequence evidence base</w:t>
            </w:r>
          </w:p>
        </w:tc>
      </w:tr>
      <w:tr w:rsidR="00F702C4" w:rsidRPr="00F25C44" w14:paraId="67D5EDD7"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EAD1DC" w:fill="EAD1DC"/>
            <w:noWrap/>
            <w:hideMark/>
          </w:tcPr>
          <w:p w14:paraId="073304BC"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t>SRC-085</w:t>
            </w:r>
          </w:p>
        </w:tc>
        <w:tc>
          <w:tcPr>
            <w:tcW w:w="826" w:type="pct"/>
            <w:tcBorders>
              <w:top w:val="nil"/>
              <w:left w:val="nil"/>
              <w:bottom w:val="single" w:sz="4" w:space="0" w:color="B0B0B0"/>
              <w:right w:val="single" w:sz="4" w:space="0" w:color="B0B0B0"/>
            </w:tcBorders>
            <w:shd w:val="clear" w:color="EAD1DC" w:fill="EAD1DC"/>
            <w:hideMark/>
          </w:tcPr>
          <w:p w14:paraId="4B4962AF" w14:textId="77777777" w:rsidR="00707574" w:rsidRPr="00F25C44" w:rsidRDefault="00F702C4" w:rsidP="00425EB1">
            <w:pPr>
              <w:spacing w:after="0" w:line="360" w:lineRule="auto"/>
              <w:rPr>
                <w:rFonts w:ascii="Times New Roman" w:eastAsia="Times New Roman" w:hAnsi="Times New Roman" w:cs="Times New Roman"/>
                <w:sz w:val="20"/>
                <w:szCs w:val="20"/>
                <w:lang w:eastAsia="en-IN"/>
              </w:rPr>
            </w:pPr>
            <w:r w:rsidRPr="00F702C4">
              <w:rPr>
                <w:rFonts w:ascii="Times New Roman" w:eastAsia="Times New Roman" w:hAnsi="Times New Roman" w:cs="Times New Roman"/>
                <w:sz w:val="20"/>
                <w:szCs w:val="20"/>
                <w:lang w:eastAsia="en-IN"/>
              </w:rPr>
              <w:t>Kang et al. (2023)</w:t>
            </w:r>
          </w:p>
        </w:tc>
        <w:tc>
          <w:tcPr>
            <w:tcW w:w="645" w:type="pct"/>
            <w:tcBorders>
              <w:top w:val="nil"/>
              <w:left w:val="nil"/>
              <w:bottom w:val="single" w:sz="4" w:space="0" w:color="B0B0B0"/>
              <w:right w:val="single" w:sz="4" w:space="0" w:color="B0B0B0"/>
            </w:tcBorders>
            <w:shd w:val="clear" w:color="EAD1DC" w:fill="EAD1DC"/>
            <w:hideMark/>
          </w:tcPr>
          <w:p w14:paraId="595BAADD"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C5: Workforce Impact</w:t>
            </w:r>
          </w:p>
        </w:tc>
        <w:tc>
          <w:tcPr>
            <w:tcW w:w="849" w:type="pct"/>
            <w:tcBorders>
              <w:top w:val="nil"/>
              <w:left w:val="nil"/>
              <w:bottom w:val="single" w:sz="4" w:space="0" w:color="B0B0B0"/>
              <w:right w:val="single" w:sz="4" w:space="0" w:color="B0B0B0"/>
            </w:tcBorders>
            <w:shd w:val="clear" w:color="EAD1DC" w:fill="EAD1DC"/>
            <w:hideMark/>
          </w:tcPr>
          <w:p w14:paraId="2CB6D194"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Frontline employee optimism; service technology adoption</w:t>
            </w:r>
          </w:p>
        </w:tc>
        <w:tc>
          <w:tcPr>
            <w:tcW w:w="975" w:type="pct"/>
            <w:tcBorders>
              <w:top w:val="nil"/>
              <w:left w:val="nil"/>
              <w:bottom w:val="single" w:sz="4" w:space="0" w:color="B0B0B0"/>
              <w:right w:val="single" w:sz="4" w:space="0" w:color="B0B0B0"/>
            </w:tcBorders>
            <w:shd w:val="clear" w:color="EAD1DC" w:fill="EAD1DC"/>
            <w:hideMark/>
          </w:tcPr>
          <w:p w14:paraId="7C92E6D1"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Qualitative frontline employee study</w:t>
            </w:r>
          </w:p>
        </w:tc>
        <w:tc>
          <w:tcPr>
            <w:tcW w:w="1300" w:type="pct"/>
            <w:tcBorders>
              <w:top w:val="nil"/>
              <w:left w:val="nil"/>
              <w:bottom w:val="single" w:sz="4" w:space="0" w:color="B0B0B0"/>
              <w:right w:val="single" w:sz="4" w:space="0" w:color="B0B0B0"/>
            </w:tcBorders>
            <w:shd w:val="clear" w:color="EAD1DC" w:fill="EAD1DC"/>
            <w:hideMark/>
          </w:tcPr>
          <w:p w14:paraId="2AADC7C7"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Counterbalances with optimistic frontline employee responses</w:t>
            </w:r>
          </w:p>
        </w:tc>
      </w:tr>
      <w:tr w:rsidR="00F702C4" w:rsidRPr="00F25C44" w14:paraId="0D2EEE7A"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EAD1DC" w:fill="EAD1DC"/>
            <w:noWrap/>
            <w:hideMark/>
          </w:tcPr>
          <w:p w14:paraId="15123510"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t>SRC-086</w:t>
            </w:r>
          </w:p>
        </w:tc>
        <w:tc>
          <w:tcPr>
            <w:tcW w:w="826" w:type="pct"/>
            <w:tcBorders>
              <w:top w:val="nil"/>
              <w:left w:val="nil"/>
              <w:bottom w:val="single" w:sz="4" w:space="0" w:color="B0B0B0"/>
              <w:right w:val="single" w:sz="4" w:space="0" w:color="B0B0B0"/>
            </w:tcBorders>
            <w:shd w:val="clear" w:color="EAD1DC" w:fill="EAD1DC"/>
            <w:hideMark/>
          </w:tcPr>
          <w:p w14:paraId="768A6620" w14:textId="77777777" w:rsidR="00707574" w:rsidRPr="00F25C44" w:rsidRDefault="00F702C4" w:rsidP="00425EB1">
            <w:pPr>
              <w:spacing w:after="0" w:line="360" w:lineRule="auto"/>
              <w:rPr>
                <w:rFonts w:ascii="Times New Roman" w:eastAsia="Times New Roman" w:hAnsi="Times New Roman" w:cs="Times New Roman"/>
                <w:sz w:val="20"/>
                <w:szCs w:val="20"/>
                <w:lang w:eastAsia="en-IN"/>
              </w:rPr>
            </w:pPr>
            <w:r w:rsidRPr="00F702C4">
              <w:rPr>
                <w:rFonts w:ascii="Times New Roman" w:eastAsia="Times New Roman" w:hAnsi="Times New Roman" w:cs="Times New Roman"/>
                <w:sz w:val="20"/>
                <w:szCs w:val="20"/>
                <w:lang w:eastAsia="en-IN"/>
              </w:rPr>
              <w:t>Ding (2021)</w:t>
            </w:r>
          </w:p>
        </w:tc>
        <w:tc>
          <w:tcPr>
            <w:tcW w:w="645" w:type="pct"/>
            <w:tcBorders>
              <w:top w:val="nil"/>
              <w:left w:val="nil"/>
              <w:bottom w:val="single" w:sz="4" w:space="0" w:color="B0B0B0"/>
              <w:right w:val="single" w:sz="4" w:space="0" w:color="B0B0B0"/>
            </w:tcBorders>
            <w:shd w:val="clear" w:color="EAD1DC" w:fill="EAD1DC"/>
            <w:hideMark/>
          </w:tcPr>
          <w:p w14:paraId="367CC61F"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C5: Workforce Impact</w:t>
            </w:r>
          </w:p>
        </w:tc>
        <w:tc>
          <w:tcPr>
            <w:tcW w:w="849" w:type="pct"/>
            <w:tcBorders>
              <w:top w:val="nil"/>
              <w:left w:val="nil"/>
              <w:bottom w:val="single" w:sz="4" w:space="0" w:color="B0B0B0"/>
              <w:right w:val="single" w:sz="4" w:space="0" w:color="B0B0B0"/>
            </w:tcBorders>
            <w:shd w:val="clear" w:color="EAD1DC" w:fill="EAD1DC"/>
            <w:hideMark/>
          </w:tcPr>
          <w:p w14:paraId="6BC96DB3"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Challenge vs hindrance appraisal; innovative work behaviour</w:t>
            </w:r>
          </w:p>
        </w:tc>
        <w:tc>
          <w:tcPr>
            <w:tcW w:w="975" w:type="pct"/>
            <w:tcBorders>
              <w:top w:val="nil"/>
              <w:left w:val="nil"/>
              <w:bottom w:val="single" w:sz="4" w:space="0" w:color="B0B0B0"/>
              <w:right w:val="single" w:sz="4" w:space="0" w:color="B0B0B0"/>
            </w:tcBorders>
            <w:shd w:val="clear" w:color="EAD1DC" w:fill="EAD1DC"/>
            <w:hideMark/>
          </w:tcPr>
          <w:p w14:paraId="29824F16"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Quantitative appraisal-theory survey studies</w:t>
            </w:r>
          </w:p>
        </w:tc>
        <w:tc>
          <w:tcPr>
            <w:tcW w:w="1300" w:type="pct"/>
            <w:tcBorders>
              <w:top w:val="nil"/>
              <w:left w:val="nil"/>
              <w:bottom w:val="single" w:sz="4" w:space="0" w:color="B0B0B0"/>
              <w:right w:val="single" w:sz="4" w:space="0" w:color="B0B0B0"/>
            </w:tcBorders>
            <w:shd w:val="clear" w:color="EAD1DC" w:fill="EAD1DC"/>
            <w:hideMark/>
          </w:tcPr>
          <w:p w14:paraId="0720B791"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Shows STARA awareness can produce positive outcomes too</w:t>
            </w:r>
          </w:p>
        </w:tc>
      </w:tr>
      <w:tr w:rsidR="00F702C4" w:rsidRPr="00F25C44" w14:paraId="0C982C18"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EAD1DC" w:fill="EAD1DC"/>
            <w:noWrap/>
            <w:hideMark/>
          </w:tcPr>
          <w:p w14:paraId="5C7F65A8"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t>SRC-087</w:t>
            </w:r>
          </w:p>
        </w:tc>
        <w:tc>
          <w:tcPr>
            <w:tcW w:w="826" w:type="pct"/>
            <w:tcBorders>
              <w:top w:val="nil"/>
              <w:left w:val="nil"/>
              <w:bottom w:val="single" w:sz="4" w:space="0" w:color="B0B0B0"/>
              <w:right w:val="single" w:sz="4" w:space="0" w:color="B0B0B0"/>
            </w:tcBorders>
            <w:shd w:val="clear" w:color="EAD1DC" w:fill="EAD1DC"/>
            <w:hideMark/>
          </w:tcPr>
          <w:p w14:paraId="1E6BC5BC"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Yam et al. (2023)</w:t>
            </w:r>
          </w:p>
        </w:tc>
        <w:tc>
          <w:tcPr>
            <w:tcW w:w="645" w:type="pct"/>
            <w:tcBorders>
              <w:top w:val="nil"/>
              <w:left w:val="nil"/>
              <w:bottom w:val="single" w:sz="4" w:space="0" w:color="B0B0B0"/>
              <w:right w:val="single" w:sz="4" w:space="0" w:color="B0B0B0"/>
            </w:tcBorders>
            <w:shd w:val="clear" w:color="EAD1DC" w:fill="EAD1DC"/>
            <w:hideMark/>
          </w:tcPr>
          <w:p w14:paraId="278D7FC3"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C5: Workforce Impact</w:t>
            </w:r>
          </w:p>
        </w:tc>
        <w:tc>
          <w:tcPr>
            <w:tcW w:w="849" w:type="pct"/>
            <w:tcBorders>
              <w:top w:val="nil"/>
              <w:left w:val="nil"/>
              <w:bottom w:val="single" w:sz="4" w:space="0" w:color="B0B0B0"/>
              <w:right w:val="single" w:sz="4" w:space="0" w:color="B0B0B0"/>
            </w:tcBorders>
            <w:shd w:val="clear" w:color="EAD1DC" w:fill="EAD1DC"/>
            <w:hideMark/>
          </w:tcPr>
          <w:p w14:paraId="7A6B13BC"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Robot exposure; job insecurity</w:t>
            </w:r>
          </w:p>
        </w:tc>
        <w:tc>
          <w:tcPr>
            <w:tcW w:w="975" w:type="pct"/>
            <w:tcBorders>
              <w:top w:val="nil"/>
              <w:left w:val="nil"/>
              <w:bottom w:val="single" w:sz="4" w:space="0" w:color="B0B0B0"/>
              <w:right w:val="single" w:sz="4" w:space="0" w:color="B0B0B0"/>
            </w:tcBorders>
            <w:shd w:val="clear" w:color="EAD1DC" w:fill="EAD1DC"/>
            <w:hideMark/>
          </w:tcPr>
          <w:p w14:paraId="78E10077"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Multimethod study combining archival, survey and experimental</w:t>
            </w:r>
          </w:p>
        </w:tc>
        <w:tc>
          <w:tcPr>
            <w:tcW w:w="1300" w:type="pct"/>
            <w:tcBorders>
              <w:top w:val="nil"/>
              <w:left w:val="nil"/>
              <w:bottom w:val="single" w:sz="4" w:space="0" w:color="B0B0B0"/>
              <w:right w:val="single" w:sz="4" w:space="0" w:color="B0B0B0"/>
            </w:tcBorders>
            <w:shd w:val="clear" w:color="EAD1DC" w:fill="EAD1DC"/>
            <w:hideMark/>
          </w:tcPr>
          <w:p w14:paraId="6ADBC818"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Key causal-inference source on job insecurity</w:t>
            </w:r>
          </w:p>
        </w:tc>
      </w:tr>
      <w:tr w:rsidR="00F702C4" w:rsidRPr="00F25C44" w14:paraId="0A180665"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EAD1DC" w:fill="EAD1DC"/>
            <w:noWrap/>
            <w:hideMark/>
          </w:tcPr>
          <w:p w14:paraId="44E0536F"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t>SRC-088</w:t>
            </w:r>
          </w:p>
        </w:tc>
        <w:tc>
          <w:tcPr>
            <w:tcW w:w="826" w:type="pct"/>
            <w:tcBorders>
              <w:top w:val="nil"/>
              <w:left w:val="nil"/>
              <w:bottom w:val="single" w:sz="4" w:space="0" w:color="B0B0B0"/>
              <w:right w:val="single" w:sz="4" w:space="0" w:color="B0B0B0"/>
            </w:tcBorders>
            <w:shd w:val="clear" w:color="EAD1DC" w:fill="EAD1DC"/>
            <w:hideMark/>
          </w:tcPr>
          <w:p w14:paraId="6CEDA46F"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proofErr w:type="spellStart"/>
            <w:r w:rsidRPr="00F25C44">
              <w:rPr>
                <w:rFonts w:ascii="Times New Roman" w:eastAsia="Times New Roman" w:hAnsi="Times New Roman" w:cs="Times New Roman"/>
                <w:sz w:val="20"/>
                <w:szCs w:val="20"/>
                <w:lang w:eastAsia="en-IN"/>
              </w:rPr>
              <w:t>Ajunwa</w:t>
            </w:r>
            <w:proofErr w:type="spellEnd"/>
            <w:r w:rsidRPr="00F25C44">
              <w:rPr>
                <w:rFonts w:ascii="Times New Roman" w:eastAsia="Times New Roman" w:hAnsi="Times New Roman" w:cs="Times New Roman"/>
                <w:sz w:val="20"/>
                <w:szCs w:val="20"/>
                <w:lang w:eastAsia="en-IN"/>
              </w:rPr>
              <w:t xml:space="preserve"> et al. (2017)</w:t>
            </w:r>
          </w:p>
        </w:tc>
        <w:tc>
          <w:tcPr>
            <w:tcW w:w="645" w:type="pct"/>
            <w:tcBorders>
              <w:top w:val="nil"/>
              <w:left w:val="nil"/>
              <w:bottom w:val="single" w:sz="4" w:space="0" w:color="B0B0B0"/>
              <w:right w:val="single" w:sz="4" w:space="0" w:color="B0B0B0"/>
            </w:tcBorders>
            <w:shd w:val="clear" w:color="EAD1DC" w:fill="EAD1DC"/>
            <w:hideMark/>
          </w:tcPr>
          <w:p w14:paraId="73CA31BA"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C5: Workforce Impact</w:t>
            </w:r>
          </w:p>
        </w:tc>
        <w:tc>
          <w:tcPr>
            <w:tcW w:w="849" w:type="pct"/>
            <w:tcBorders>
              <w:top w:val="nil"/>
              <w:left w:val="nil"/>
              <w:bottom w:val="single" w:sz="4" w:space="0" w:color="B0B0B0"/>
              <w:right w:val="single" w:sz="4" w:space="0" w:color="B0B0B0"/>
            </w:tcBorders>
            <w:shd w:val="clear" w:color="EAD1DC" w:fill="EAD1DC"/>
            <w:hideMark/>
          </w:tcPr>
          <w:p w14:paraId="2EE2B311"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Workplace surveillance; legal limits</w:t>
            </w:r>
          </w:p>
        </w:tc>
        <w:tc>
          <w:tcPr>
            <w:tcW w:w="975" w:type="pct"/>
            <w:tcBorders>
              <w:top w:val="nil"/>
              <w:left w:val="nil"/>
              <w:bottom w:val="single" w:sz="4" w:space="0" w:color="B0B0B0"/>
              <w:right w:val="single" w:sz="4" w:space="0" w:color="B0B0B0"/>
            </w:tcBorders>
            <w:shd w:val="clear" w:color="EAD1DC" w:fill="EAD1DC"/>
            <w:hideMark/>
          </w:tcPr>
          <w:p w14:paraId="49FC6ED0"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Legal doctrinal analysis</w:t>
            </w:r>
          </w:p>
        </w:tc>
        <w:tc>
          <w:tcPr>
            <w:tcW w:w="1300" w:type="pct"/>
            <w:tcBorders>
              <w:top w:val="nil"/>
              <w:left w:val="nil"/>
              <w:bottom w:val="single" w:sz="4" w:space="0" w:color="B0B0B0"/>
              <w:right w:val="single" w:sz="4" w:space="0" w:color="B0B0B0"/>
            </w:tcBorders>
            <w:shd w:val="clear" w:color="EAD1DC" w:fill="EAD1DC"/>
            <w:hideMark/>
          </w:tcPr>
          <w:p w14:paraId="74340105"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Grounds governance recommendations in employment law</w:t>
            </w:r>
          </w:p>
        </w:tc>
      </w:tr>
      <w:tr w:rsidR="00F702C4" w:rsidRPr="00F25C44" w14:paraId="5CF5DB31"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EAD1DC" w:fill="EAD1DC"/>
            <w:noWrap/>
            <w:hideMark/>
          </w:tcPr>
          <w:p w14:paraId="56BA019E"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t>SRC-089</w:t>
            </w:r>
          </w:p>
        </w:tc>
        <w:tc>
          <w:tcPr>
            <w:tcW w:w="826" w:type="pct"/>
            <w:tcBorders>
              <w:top w:val="nil"/>
              <w:left w:val="nil"/>
              <w:bottom w:val="single" w:sz="4" w:space="0" w:color="B0B0B0"/>
              <w:right w:val="single" w:sz="4" w:space="0" w:color="B0B0B0"/>
            </w:tcBorders>
            <w:shd w:val="clear" w:color="EAD1DC" w:fill="EAD1DC"/>
            <w:hideMark/>
          </w:tcPr>
          <w:p w14:paraId="38DCFBB1"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Molnar (2025)</w:t>
            </w:r>
          </w:p>
        </w:tc>
        <w:tc>
          <w:tcPr>
            <w:tcW w:w="645" w:type="pct"/>
            <w:tcBorders>
              <w:top w:val="nil"/>
              <w:left w:val="nil"/>
              <w:bottom w:val="single" w:sz="4" w:space="0" w:color="B0B0B0"/>
              <w:right w:val="single" w:sz="4" w:space="0" w:color="B0B0B0"/>
            </w:tcBorders>
            <w:shd w:val="clear" w:color="EAD1DC" w:fill="EAD1DC"/>
            <w:hideMark/>
          </w:tcPr>
          <w:p w14:paraId="10B0815B"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C5: Workforce Impact</w:t>
            </w:r>
          </w:p>
        </w:tc>
        <w:tc>
          <w:tcPr>
            <w:tcW w:w="849" w:type="pct"/>
            <w:tcBorders>
              <w:top w:val="nil"/>
              <w:left w:val="nil"/>
              <w:bottom w:val="single" w:sz="4" w:space="0" w:color="B0B0B0"/>
              <w:right w:val="single" w:sz="4" w:space="0" w:color="B0B0B0"/>
            </w:tcBorders>
            <w:shd w:val="clear" w:color="EAD1DC" w:fill="EAD1DC"/>
            <w:hideMark/>
          </w:tcPr>
          <w:p w14:paraId="5E5F418B"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Surveillance technology capability audit; legal frameworks</w:t>
            </w:r>
          </w:p>
        </w:tc>
        <w:tc>
          <w:tcPr>
            <w:tcW w:w="975" w:type="pct"/>
            <w:tcBorders>
              <w:top w:val="nil"/>
              <w:left w:val="nil"/>
              <w:bottom w:val="single" w:sz="4" w:space="0" w:color="B0B0B0"/>
              <w:right w:val="single" w:sz="4" w:space="0" w:color="B0B0B0"/>
            </w:tcBorders>
            <w:shd w:val="clear" w:color="EAD1DC" w:fill="EAD1DC"/>
            <w:hideMark/>
          </w:tcPr>
          <w:p w14:paraId="07626843"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Commissioned policy research report</w:t>
            </w:r>
          </w:p>
        </w:tc>
        <w:tc>
          <w:tcPr>
            <w:tcW w:w="1300" w:type="pct"/>
            <w:tcBorders>
              <w:top w:val="nil"/>
              <w:left w:val="nil"/>
              <w:bottom w:val="single" w:sz="4" w:space="0" w:color="B0B0B0"/>
              <w:right w:val="single" w:sz="4" w:space="0" w:color="B0B0B0"/>
            </w:tcBorders>
            <w:shd w:val="clear" w:color="EAD1DC" w:fill="EAD1DC"/>
            <w:hideMark/>
          </w:tcPr>
          <w:p w14:paraId="654681FE"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Supports currency of the governance discussion</w:t>
            </w:r>
          </w:p>
        </w:tc>
      </w:tr>
      <w:tr w:rsidR="00F702C4" w:rsidRPr="00F25C44" w14:paraId="1A74942F"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EAD1DC" w:fill="EAD1DC"/>
            <w:noWrap/>
            <w:hideMark/>
          </w:tcPr>
          <w:p w14:paraId="5EE6D28C"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lastRenderedPageBreak/>
              <w:t>SRC-090</w:t>
            </w:r>
          </w:p>
        </w:tc>
        <w:tc>
          <w:tcPr>
            <w:tcW w:w="826" w:type="pct"/>
            <w:tcBorders>
              <w:top w:val="nil"/>
              <w:left w:val="nil"/>
              <w:bottom w:val="single" w:sz="4" w:space="0" w:color="B0B0B0"/>
              <w:right w:val="single" w:sz="4" w:space="0" w:color="B0B0B0"/>
            </w:tcBorders>
            <w:shd w:val="clear" w:color="EAD1DC" w:fill="EAD1DC"/>
            <w:hideMark/>
          </w:tcPr>
          <w:p w14:paraId="58282657"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Carter (2025)</w:t>
            </w:r>
          </w:p>
        </w:tc>
        <w:tc>
          <w:tcPr>
            <w:tcW w:w="645" w:type="pct"/>
            <w:tcBorders>
              <w:top w:val="nil"/>
              <w:left w:val="nil"/>
              <w:bottom w:val="single" w:sz="4" w:space="0" w:color="B0B0B0"/>
              <w:right w:val="single" w:sz="4" w:space="0" w:color="B0B0B0"/>
            </w:tcBorders>
            <w:shd w:val="clear" w:color="EAD1DC" w:fill="EAD1DC"/>
            <w:hideMark/>
          </w:tcPr>
          <w:p w14:paraId="1753BD83"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C5: Workforce Impact</w:t>
            </w:r>
          </w:p>
        </w:tc>
        <w:tc>
          <w:tcPr>
            <w:tcW w:w="849" w:type="pct"/>
            <w:tcBorders>
              <w:top w:val="nil"/>
              <w:left w:val="nil"/>
              <w:bottom w:val="single" w:sz="4" w:space="0" w:color="B0B0B0"/>
              <w:right w:val="single" w:sz="4" w:space="0" w:color="B0B0B0"/>
            </w:tcBorders>
            <w:shd w:val="clear" w:color="EAD1DC" w:fill="EAD1DC"/>
            <w:hideMark/>
          </w:tcPr>
          <w:p w14:paraId="0299FF45"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Informational self-determination; AI-driven worker profiling</w:t>
            </w:r>
          </w:p>
        </w:tc>
        <w:tc>
          <w:tcPr>
            <w:tcW w:w="975" w:type="pct"/>
            <w:tcBorders>
              <w:top w:val="nil"/>
              <w:left w:val="nil"/>
              <w:bottom w:val="single" w:sz="4" w:space="0" w:color="B0B0B0"/>
              <w:right w:val="single" w:sz="4" w:space="0" w:color="B0B0B0"/>
            </w:tcBorders>
            <w:shd w:val="clear" w:color="EAD1DC" w:fill="EAD1DC"/>
            <w:hideMark/>
          </w:tcPr>
          <w:p w14:paraId="68E2A1C7"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Legal-theoretical analysis</w:t>
            </w:r>
          </w:p>
        </w:tc>
        <w:tc>
          <w:tcPr>
            <w:tcW w:w="1300" w:type="pct"/>
            <w:tcBorders>
              <w:top w:val="nil"/>
              <w:left w:val="nil"/>
              <w:bottom w:val="single" w:sz="4" w:space="0" w:color="B0B0B0"/>
              <w:right w:val="single" w:sz="4" w:space="0" w:color="B0B0B0"/>
            </w:tcBorders>
            <w:shd w:val="clear" w:color="EAD1DC" w:fill="EAD1DC"/>
            <w:hideMark/>
          </w:tcPr>
          <w:p w14:paraId="59653379"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Contributes to the review's governance recommendations</w:t>
            </w:r>
          </w:p>
        </w:tc>
      </w:tr>
      <w:tr w:rsidR="00F702C4" w:rsidRPr="00F25C44" w14:paraId="1216520B"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EAD1DC" w:fill="EAD1DC"/>
            <w:noWrap/>
            <w:hideMark/>
          </w:tcPr>
          <w:p w14:paraId="05657FC8"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t>SRC-091</w:t>
            </w:r>
          </w:p>
        </w:tc>
        <w:tc>
          <w:tcPr>
            <w:tcW w:w="826" w:type="pct"/>
            <w:tcBorders>
              <w:top w:val="nil"/>
              <w:left w:val="nil"/>
              <w:bottom w:val="single" w:sz="4" w:space="0" w:color="B0B0B0"/>
              <w:right w:val="single" w:sz="4" w:space="0" w:color="B0B0B0"/>
            </w:tcBorders>
            <w:shd w:val="clear" w:color="EAD1DC" w:fill="EAD1DC"/>
            <w:hideMark/>
          </w:tcPr>
          <w:p w14:paraId="21E3D1AF"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proofErr w:type="spellStart"/>
            <w:r w:rsidRPr="00F25C44">
              <w:rPr>
                <w:rFonts w:ascii="Times New Roman" w:eastAsia="Times New Roman" w:hAnsi="Times New Roman" w:cs="Times New Roman"/>
                <w:sz w:val="20"/>
                <w:szCs w:val="20"/>
                <w:lang w:eastAsia="en-IN"/>
              </w:rPr>
              <w:t>Cramarenco</w:t>
            </w:r>
            <w:proofErr w:type="spellEnd"/>
            <w:r w:rsidRPr="00F25C44">
              <w:rPr>
                <w:rFonts w:ascii="Times New Roman" w:eastAsia="Times New Roman" w:hAnsi="Times New Roman" w:cs="Times New Roman"/>
                <w:sz w:val="20"/>
                <w:szCs w:val="20"/>
                <w:lang w:eastAsia="en-IN"/>
              </w:rPr>
              <w:t xml:space="preserve"> et al. (2023)</w:t>
            </w:r>
          </w:p>
        </w:tc>
        <w:tc>
          <w:tcPr>
            <w:tcW w:w="645" w:type="pct"/>
            <w:tcBorders>
              <w:top w:val="nil"/>
              <w:left w:val="nil"/>
              <w:bottom w:val="single" w:sz="4" w:space="0" w:color="B0B0B0"/>
              <w:right w:val="single" w:sz="4" w:space="0" w:color="B0B0B0"/>
            </w:tcBorders>
            <w:shd w:val="clear" w:color="EAD1DC" w:fill="EAD1DC"/>
            <w:hideMark/>
          </w:tcPr>
          <w:p w14:paraId="3BEFD8A0"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C5: Workforce Impact</w:t>
            </w:r>
          </w:p>
        </w:tc>
        <w:tc>
          <w:tcPr>
            <w:tcW w:w="849" w:type="pct"/>
            <w:tcBorders>
              <w:top w:val="nil"/>
              <w:left w:val="nil"/>
              <w:bottom w:val="single" w:sz="4" w:space="0" w:color="B0B0B0"/>
              <w:right w:val="single" w:sz="4" w:space="0" w:color="B0B0B0"/>
            </w:tcBorders>
            <w:shd w:val="clear" w:color="EAD1DC" w:fill="EAD1DC"/>
            <w:hideMark/>
          </w:tcPr>
          <w:p w14:paraId="7B5658D9"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Employee skills; wellbeing</w:t>
            </w:r>
          </w:p>
        </w:tc>
        <w:tc>
          <w:tcPr>
            <w:tcW w:w="975" w:type="pct"/>
            <w:tcBorders>
              <w:top w:val="nil"/>
              <w:left w:val="nil"/>
              <w:bottom w:val="single" w:sz="4" w:space="0" w:color="B0B0B0"/>
              <w:right w:val="single" w:sz="4" w:space="0" w:color="B0B0B0"/>
            </w:tcBorders>
            <w:shd w:val="clear" w:color="EAD1DC" w:fill="EAD1DC"/>
            <w:hideMark/>
          </w:tcPr>
          <w:p w14:paraId="3A9B7E29"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Systematic literature review</w:t>
            </w:r>
          </w:p>
        </w:tc>
        <w:tc>
          <w:tcPr>
            <w:tcW w:w="1300" w:type="pct"/>
            <w:tcBorders>
              <w:top w:val="nil"/>
              <w:left w:val="nil"/>
              <w:bottom w:val="single" w:sz="4" w:space="0" w:color="B0B0B0"/>
              <w:right w:val="single" w:sz="4" w:space="0" w:color="B0B0B0"/>
            </w:tcBorders>
            <w:shd w:val="clear" w:color="EAD1DC" w:fill="EAD1DC"/>
            <w:hideMark/>
          </w:tcPr>
          <w:p w14:paraId="7A43B226"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Core evidentiary source for Chapter 4</w:t>
            </w:r>
          </w:p>
        </w:tc>
      </w:tr>
      <w:tr w:rsidR="00F702C4" w:rsidRPr="00F25C44" w14:paraId="16BD000D"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EAD1DC" w:fill="EAD1DC"/>
            <w:noWrap/>
            <w:hideMark/>
          </w:tcPr>
          <w:p w14:paraId="7D563BBF"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t>SRC-092</w:t>
            </w:r>
          </w:p>
        </w:tc>
        <w:tc>
          <w:tcPr>
            <w:tcW w:w="826" w:type="pct"/>
            <w:tcBorders>
              <w:top w:val="nil"/>
              <w:left w:val="nil"/>
              <w:bottom w:val="single" w:sz="4" w:space="0" w:color="B0B0B0"/>
              <w:right w:val="single" w:sz="4" w:space="0" w:color="B0B0B0"/>
            </w:tcBorders>
            <w:shd w:val="clear" w:color="EAD1DC" w:fill="EAD1DC"/>
            <w:hideMark/>
          </w:tcPr>
          <w:p w14:paraId="703F00BA" w14:textId="77777777" w:rsidR="00707574" w:rsidRPr="00F25C44" w:rsidRDefault="00B076C3" w:rsidP="00425EB1">
            <w:pPr>
              <w:spacing w:after="0" w:line="360" w:lineRule="auto"/>
              <w:rPr>
                <w:rFonts w:ascii="Times New Roman" w:eastAsia="Times New Roman" w:hAnsi="Times New Roman" w:cs="Times New Roman"/>
                <w:sz w:val="20"/>
                <w:szCs w:val="20"/>
                <w:lang w:eastAsia="en-IN"/>
              </w:rPr>
            </w:pPr>
            <w:proofErr w:type="spellStart"/>
            <w:r w:rsidRPr="00F25C44">
              <w:rPr>
                <w:rFonts w:ascii="Times New Roman" w:eastAsia="Times New Roman" w:hAnsi="Times New Roman" w:cs="Times New Roman"/>
                <w:sz w:val="20"/>
                <w:szCs w:val="20"/>
                <w:lang w:eastAsia="en-IN"/>
              </w:rPr>
              <w:t>Jingting</w:t>
            </w:r>
            <w:proofErr w:type="spellEnd"/>
            <w:r w:rsidRPr="00F25C44">
              <w:rPr>
                <w:rFonts w:ascii="Times New Roman" w:eastAsia="Times New Roman" w:hAnsi="Times New Roman" w:cs="Times New Roman"/>
                <w:sz w:val="20"/>
                <w:szCs w:val="20"/>
                <w:lang w:eastAsia="en-IN"/>
              </w:rPr>
              <w:t xml:space="preserve"> et al. (2025)</w:t>
            </w:r>
          </w:p>
        </w:tc>
        <w:tc>
          <w:tcPr>
            <w:tcW w:w="645" w:type="pct"/>
            <w:tcBorders>
              <w:top w:val="nil"/>
              <w:left w:val="nil"/>
              <w:bottom w:val="single" w:sz="4" w:space="0" w:color="B0B0B0"/>
              <w:right w:val="single" w:sz="4" w:space="0" w:color="B0B0B0"/>
            </w:tcBorders>
            <w:shd w:val="clear" w:color="EAD1DC" w:fill="EAD1DC"/>
            <w:hideMark/>
          </w:tcPr>
          <w:p w14:paraId="3C0BC09A"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C5: Workforce Impact</w:t>
            </w:r>
          </w:p>
        </w:tc>
        <w:tc>
          <w:tcPr>
            <w:tcW w:w="849" w:type="pct"/>
            <w:tcBorders>
              <w:top w:val="nil"/>
              <w:left w:val="nil"/>
              <w:bottom w:val="single" w:sz="4" w:space="0" w:color="B0B0B0"/>
              <w:right w:val="single" w:sz="4" w:space="0" w:color="B0B0B0"/>
            </w:tcBorders>
            <w:shd w:val="clear" w:color="EAD1DC" w:fill="EAD1DC"/>
            <w:hideMark/>
          </w:tcPr>
          <w:p w14:paraId="29E8B67A"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Bibliometric mapping of reskilling/upskilling literature</w:t>
            </w:r>
          </w:p>
        </w:tc>
        <w:tc>
          <w:tcPr>
            <w:tcW w:w="975" w:type="pct"/>
            <w:tcBorders>
              <w:top w:val="nil"/>
              <w:left w:val="nil"/>
              <w:bottom w:val="single" w:sz="4" w:space="0" w:color="B0B0B0"/>
              <w:right w:val="single" w:sz="4" w:space="0" w:color="B0B0B0"/>
            </w:tcBorders>
            <w:shd w:val="clear" w:color="EAD1DC" w:fill="EAD1DC"/>
            <w:hideMark/>
          </w:tcPr>
          <w:p w14:paraId="5FAD3AB0"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Bibliometric co-word and citation analysis (</w:t>
            </w:r>
            <w:proofErr w:type="spellStart"/>
            <w:r w:rsidRPr="00F25C44">
              <w:rPr>
                <w:rFonts w:ascii="Times New Roman" w:eastAsia="Times New Roman" w:hAnsi="Times New Roman" w:cs="Times New Roman"/>
                <w:sz w:val="20"/>
                <w:szCs w:val="20"/>
                <w:lang w:eastAsia="en-IN"/>
              </w:rPr>
              <w:t>VOSviewer</w:t>
            </w:r>
            <w:proofErr w:type="spellEnd"/>
            <w:r w:rsidRPr="00F25C44">
              <w:rPr>
                <w:rFonts w:ascii="Times New Roman" w:eastAsia="Times New Roman" w:hAnsi="Times New Roman" w:cs="Times New Roman"/>
                <w:sz w:val="20"/>
                <w:szCs w:val="20"/>
                <w:lang w:eastAsia="en-IN"/>
              </w:rPr>
              <w:t>)</w:t>
            </w:r>
          </w:p>
        </w:tc>
        <w:tc>
          <w:tcPr>
            <w:tcW w:w="1300" w:type="pct"/>
            <w:tcBorders>
              <w:top w:val="nil"/>
              <w:left w:val="nil"/>
              <w:bottom w:val="single" w:sz="4" w:space="0" w:color="B0B0B0"/>
              <w:right w:val="single" w:sz="4" w:space="0" w:color="B0B0B0"/>
            </w:tcBorders>
            <w:shd w:val="clear" w:color="EAD1DC" w:fill="EAD1DC"/>
            <w:hideMark/>
          </w:tcPr>
          <w:p w14:paraId="13B16003"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Supports evidence-based training-investment recommendations</w:t>
            </w:r>
          </w:p>
        </w:tc>
      </w:tr>
      <w:tr w:rsidR="00F702C4" w:rsidRPr="00F25C44" w14:paraId="1C32B0EF"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EAD1DC" w:fill="EAD1DC"/>
            <w:noWrap/>
            <w:hideMark/>
          </w:tcPr>
          <w:p w14:paraId="6BB7A599"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t>SRC-093</w:t>
            </w:r>
          </w:p>
        </w:tc>
        <w:tc>
          <w:tcPr>
            <w:tcW w:w="826" w:type="pct"/>
            <w:tcBorders>
              <w:top w:val="nil"/>
              <w:left w:val="nil"/>
              <w:bottom w:val="single" w:sz="4" w:space="0" w:color="B0B0B0"/>
              <w:right w:val="single" w:sz="4" w:space="0" w:color="B0B0B0"/>
            </w:tcBorders>
            <w:shd w:val="clear" w:color="EAD1DC" w:fill="EAD1DC"/>
            <w:hideMark/>
          </w:tcPr>
          <w:p w14:paraId="7F58C53B" w14:textId="77777777" w:rsidR="00707574" w:rsidRPr="00F25C44" w:rsidRDefault="00B076C3"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Morandini et al. (2023)</w:t>
            </w:r>
          </w:p>
        </w:tc>
        <w:tc>
          <w:tcPr>
            <w:tcW w:w="645" w:type="pct"/>
            <w:tcBorders>
              <w:top w:val="nil"/>
              <w:left w:val="nil"/>
              <w:bottom w:val="single" w:sz="4" w:space="0" w:color="B0B0B0"/>
              <w:right w:val="single" w:sz="4" w:space="0" w:color="B0B0B0"/>
            </w:tcBorders>
            <w:shd w:val="clear" w:color="EAD1DC" w:fill="EAD1DC"/>
            <w:hideMark/>
          </w:tcPr>
          <w:p w14:paraId="0B9362F2"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C5: Workforce Impact</w:t>
            </w:r>
          </w:p>
        </w:tc>
        <w:tc>
          <w:tcPr>
            <w:tcW w:w="849" w:type="pct"/>
            <w:tcBorders>
              <w:top w:val="nil"/>
              <w:left w:val="nil"/>
              <w:bottom w:val="single" w:sz="4" w:space="0" w:color="B0B0B0"/>
              <w:right w:val="single" w:sz="4" w:space="0" w:color="B0B0B0"/>
            </w:tcBorders>
            <w:shd w:val="clear" w:color="EAD1DC" w:fill="EAD1DC"/>
            <w:hideMark/>
          </w:tcPr>
          <w:p w14:paraId="304790CB"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Skill transformation; training cost</w:t>
            </w:r>
          </w:p>
        </w:tc>
        <w:tc>
          <w:tcPr>
            <w:tcW w:w="975" w:type="pct"/>
            <w:tcBorders>
              <w:top w:val="nil"/>
              <w:left w:val="nil"/>
              <w:bottom w:val="single" w:sz="4" w:space="0" w:color="B0B0B0"/>
              <w:right w:val="single" w:sz="4" w:space="0" w:color="B0B0B0"/>
            </w:tcBorders>
            <w:shd w:val="clear" w:color="EAD1DC" w:fill="EAD1DC"/>
            <w:hideMark/>
          </w:tcPr>
          <w:p w14:paraId="448A7C09"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Systematic literature review</w:t>
            </w:r>
          </w:p>
        </w:tc>
        <w:tc>
          <w:tcPr>
            <w:tcW w:w="1300" w:type="pct"/>
            <w:tcBorders>
              <w:top w:val="nil"/>
              <w:left w:val="nil"/>
              <w:bottom w:val="single" w:sz="4" w:space="0" w:color="B0B0B0"/>
              <w:right w:val="single" w:sz="4" w:space="0" w:color="B0B0B0"/>
            </w:tcBorders>
            <w:shd w:val="clear" w:color="EAD1DC" w:fill="EAD1DC"/>
            <w:hideMark/>
          </w:tcPr>
          <w:p w14:paraId="0FC53944"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Identifies challenges in delivering reskilling programmes</w:t>
            </w:r>
          </w:p>
        </w:tc>
      </w:tr>
      <w:tr w:rsidR="00F702C4" w:rsidRPr="00F25C44" w14:paraId="2EC510CE"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EAD1DC" w:fill="EAD1DC"/>
            <w:noWrap/>
            <w:hideMark/>
          </w:tcPr>
          <w:p w14:paraId="5FBA8263"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t>SRC-094</w:t>
            </w:r>
          </w:p>
        </w:tc>
        <w:tc>
          <w:tcPr>
            <w:tcW w:w="826" w:type="pct"/>
            <w:tcBorders>
              <w:top w:val="nil"/>
              <w:left w:val="nil"/>
              <w:bottom w:val="single" w:sz="4" w:space="0" w:color="B0B0B0"/>
              <w:right w:val="single" w:sz="4" w:space="0" w:color="B0B0B0"/>
            </w:tcBorders>
            <w:shd w:val="clear" w:color="EAD1DC" w:fill="EAD1DC"/>
            <w:hideMark/>
          </w:tcPr>
          <w:p w14:paraId="1128E756" w14:textId="77777777" w:rsidR="00707574" w:rsidRPr="00F25C44" w:rsidRDefault="00FA2787" w:rsidP="00425EB1">
            <w:pPr>
              <w:spacing w:after="0" w:line="360" w:lineRule="auto"/>
              <w:rPr>
                <w:rFonts w:ascii="Times New Roman" w:eastAsia="Times New Roman" w:hAnsi="Times New Roman" w:cs="Times New Roman"/>
                <w:sz w:val="20"/>
                <w:szCs w:val="20"/>
                <w:lang w:eastAsia="en-IN"/>
              </w:rPr>
            </w:pPr>
            <w:r w:rsidRPr="00FA2787">
              <w:rPr>
                <w:rFonts w:ascii="Times New Roman" w:eastAsia="Times New Roman" w:hAnsi="Times New Roman" w:cs="Times New Roman"/>
                <w:sz w:val="20"/>
                <w:szCs w:val="20"/>
                <w:lang w:eastAsia="en-IN"/>
              </w:rPr>
              <w:t>George (2024)</w:t>
            </w:r>
          </w:p>
        </w:tc>
        <w:tc>
          <w:tcPr>
            <w:tcW w:w="645" w:type="pct"/>
            <w:tcBorders>
              <w:top w:val="nil"/>
              <w:left w:val="nil"/>
              <w:bottom w:val="single" w:sz="4" w:space="0" w:color="B0B0B0"/>
              <w:right w:val="single" w:sz="4" w:space="0" w:color="B0B0B0"/>
            </w:tcBorders>
            <w:shd w:val="clear" w:color="EAD1DC" w:fill="EAD1DC"/>
            <w:hideMark/>
          </w:tcPr>
          <w:p w14:paraId="693F79C6"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C5: Workforce Impact</w:t>
            </w:r>
          </w:p>
        </w:tc>
        <w:tc>
          <w:tcPr>
            <w:tcW w:w="849" w:type="pct"/>
            <w:tcBorders>
              <w:top w:val="nil"/>
              <w:left w:val="nil"/>
              <w:bottom w:val="single" w:sz="4" w:space="0" w:color="B0B0B0"/>
              <w:right w:val="single" w:sz="4" w:space="0" w:color="B0B0B0"/>
            </w:tcBorders>
            <w:shd w:val="clear" w:color="EAD1DC" w:fill="EAD1DC"/>
            <w:hideMark/>
          </w:tcPr>
          <w:p w14:paraId="432F8F39"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Labour market polarisation; regional disparity</w:t>
            </w:r>
          </w:p>
        </w:tc>
        <w:tc>
          <w:tcPr>
            <w:tcW w:w="975" w:type="pct"/>
            <w:tcBorders>
              <w:top w:val="nil"/>
              <w:left w:val="nil"/>
              <w:bottom w:val="single" w:sz="4" w:space="0" w:color="B0B0B0"/>
              <w:right w:val="single" w:sz="4" w:space="0" w:color="B0B0B0"/>
            </w:tcBorders>
            <w:shd w:val="clear" w:color="EAD1DC" w:fill="EAD1DC"/>
            <w:hideMark/>
          </w:tcPr>
          <w:p w14:paraId="129665EF"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Systematic review of 432 studies (154 core)</w:t>
            </w:r>
          </w:p>
        </w:tc>
        <w:tc>
          <w:tcPr>
            <w:tcW w:w="1300" w:type="pct"/>
            <w:tcBorders>
              <w:top w:val="nil"/>
              <w:left w:val="nil"/>
              <w:bottom w:val="single" w:sz="4" w:space="0" w:color="B0B0B0"/>
              <w:right w:val="single" w:sz="4" w:space="0" w:color="B0B0B0"/>
            </w:tcBorders>
            <w:shd w:val="clear" w:color="EAD1DC" w:fill="EAD1DC"/>
            <w:hideMark/>
          </w:tcPr>
          <w:p w14:paraId="2ED14EB4"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Large-scale evidence on sectoral risk and reskilling needs</w:t>
            </w:r>
          </w:p>
        </w:tc>
      </w:tr>
      <w:tr w:rsidR="00F702C4" w:rsidRPr="00F25C44" w14:paraId="025F8F51"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EAD1DC" w:fill="EAD1DC"/>
            <w:noWrap/>
            <w:hideMark/>
          </w:tcPr>
          <w:p w14:paraId="59227844"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t>SRC-095</w:t>
            </w:r>
          </w:p>
        </w:tc>
        <w:tc>
          <w:tcPr>
            <w:tcW w:w="826" w:type="pct"/>
            <w:tcBorders>
              <w:top w:val="nil"/>
              <w:left w:val="nil"/>
              <w:bottom w:val="single" w:sz="4" w:space="0" w:color="B0B0B0"/>
              <w:right w:val="single" w:sz="4" w:space="0" w:color="B0B0B0"/>
            </w:tcBorders>
            <w:shd w:val="clear" w:color="EAD1DC" w:fill="EAD1DC"/>
            <w:hideMark/>
          </w:tcPr>
          <w:p w14:paraId="1A6CA2D8" w14:textId="77777777" w:rsidR="00707574" w:rsidRPr="00F25C44" w:rsidRDefault="00F702C4" w:rsidP="00425EB1">
            <w:pPr>
              <w:spacing w:after="0" w:line="360" w:lineRule="auto"/>
              <w:rPr>
                <w:rFonts w:ascii="Times New Roman" w:eastAsia="Times New Roman" w:hAnsi="Times New Roman" w:cs="Times New Roman"/>
                <w:sz w:val="20"/>
                <w:szCs w:val="20"/>
                <w:lang w:eastAsia="en-IN"/>
              </w:rPr>
            </w:pPr>
            <w:proofErr w:type="spellStart"/>
            <w:r w:rsidRPr="00F702C4">
              <w:rPr>
                <w:rFonts w:ascii="Times New Roman" w:eastAsia="Times New Roman" w:hAnsi="Times New Roman" w:cs="Times New Roman"/>
                <w:sz w:val="20"/>
                <w:szCs w:val="20"/>
                <w:lang w:eastAsia="en-IN"/>
              </w:rPr>
              <w:t>Soulami</w:t>
            </w:r>
            <w:proofErr w:type="spellEnd"/>
            <w:r w:rsidRPr="00F702C4">
              <w:rPr>
                <w:rFonts w:ascii="Times New Roman" w:eastAsia="Times New Roman" w:hAnsi="Times New Roman" w:cs="Times New Roman"/>
                <w:sz w:val="20"/>
                <w:szCs w:val="20"/>
                <w:lang w:eastAsia="en-IN"/>
              </w:rPr>
              <w:t xml:space="preserve"> et al. (2024)</w:t>
            </w:r>
          </w:p>
        </w:tc>
        <w:tc>
          <w:tcPr>
            <w:tcW w:w="645" w:type="pct"/>
            <w:tcBorders>
              <w:top w:val="nil"/>
              <w:left w:val="nil"/>
              <w:bottom w:val="single" w:sz="4" w:space="0" w:color="B0B0B0"/>
              <w:right w:val="single" w:sz="4" w:space="0" w:color="B0B0B0"/>
            </w:tcBorders>
            <w:shd w:val="clear" w:color="EAD1DC" w:fill="EAD1DC"/>
            <w:hideMark/>
          </w:tcPr>
          <w:p w14:paraId="54AFFFA6"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C5: Workforce Impact</w:t>
            </w:r>
          </w:p>
        </w:tc>
        <w:tc>
          <w:tcPr>
            <w:tcW w:w="849" w:type="pct"/>
            <w:tcBorders>
              <w:top w:val="nil"/>
              <w:left w:val="nil"/>
              <w:bottom w:val="single" w:sz="4" w:space="0" w:color="B0B0B0"/>
              <w:right w:val="single" w:sz="4" w:space="0" w:color="B0B0B0"/>
            </w:tcBorders>
            <w:shd w:val="clear" w:color="EAD1DC" w:fill="EAD1DC"/>
            <w:hideMark/>
          </w:tcPr>
          <w:p w14:paraId="7EEF7292"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Employee training; trust building</w:t>
            </w:r>
          </w:p>
        </w:tc>
        <w:tc>
          <w:tcPr>
            <w:tcW w:w="975" w:type="pct"/>
            <w:tcBorders>
              <w:top w:val="nil"/>
              <w:left w:val="nil"/>
              <w:bottom w:val="single" w:sz="4" w:space="0" w:color="B0B0B0"/>
              <w:right w:val="single" w:sz="4" w:space="0" w:color="B0B0B0"/>
            </w:tcBorders>
            <w:shd w:val="clear" w:color="EAD1DC" w:fill="EAD1DC"/>
            <w:hideMark/>
          </w:tcPr>
          <w:p w14:paraId="430B4120"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Conceptual/practice-oriented recommendation study</w:t>
            </w:r>
          </w:p>
        </w:tc>
        <w:tc>
          <w:tcPr>
            <w:tcW w:w="1300" w:type="pct"/>
            <w:tcBorders>
              <w:top w:val="nil"/>
              <w:left w:val="nil"/>
              <w:bottom w:val="single" w:sz="4" w:space="0" w:color="B0B0B0"/>
              <w:right w:val="single" w:sz="4" w:space="0" w:color="B0B0B0"/>
            </w:tcBorders>
            <w:shd w:val="clear" w:color="EAD1DC" w:fill="EAD1DC"/>
            <w:hideMark/>
          </w:tcPr>
          <w:p w14:paraId="21CE4CA8"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Recommends training to build trust and reduce fear</w:t>
            </w:r>
          </w:p>
        </w:tc>
      </w:tr>
      <w:tr w:rsidR="00F702C4" w:rsidRPr="00F25C44" w14:paraId="0FBB9DD1"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EAD1DC" w:fill="EAD1DC"/>
            <w:noWrap/>
            <w:hideMark/>
          </w:tcPr>
          <w:p w14:paraId="2709D871"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t>SRC-096</w:t>
            </w:r>
          </w:p>
        </w:tc>
        <w:tc>
          <w:tcPr>
            <w:tcW w:w="826" w:type="pct"/>
            <w:tcBorders>
              <w:top w:val="nil"/>
              <w:left w:val="nil"/>
              <w:bottom w:val="single" w:sz="4" w:space="0" w:color="B0B0B0"/>
              <w:right w:val="single" w:sz="4" w:space="0" w:color="B0B0B0"/>
            </w:tcBorders>
            <w:shd w:val="clear" w:color="EAD1DC" w:fill="EAD1DC"/>
            <w:hideMark/>
          </w:tcPr>
          <w:p w14:paraId="3FC11B81"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Brynjolfsson et al. (2023)</w:t>
            </w:r>
          </w:p>
        </w:tc>
        <w:tc>
          <w:tcPr>
            <w:tcW w:w="645" w:type="pct"/>
            <w:tcBorders>
              <w:top w:val="nil"/>
              <w:left w:val="nil"/>
              <w:bottom w:val="single" w:sz="4" w:space="0" w:color="B0B0B0"/>
              <w:right w:val="single" w:sz="4" w:space="0" w:color="B0B0B0"/>
            </w:tcBorders>
            <w:shd w:val="clear" w:color="EAD1DC" w:fill="EAD1DC"/>
            <w:hideMark/>
          </w:tcPr>
          <w:p w14:paraId="6E48F409"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C5: Workforce Impact</w:t>
            </w:r>
          </w:p>
        </w:tc>
        <w:tc>
          <w:tcPr>
            <w:tcW w:w="849" w:type="pct"/>
            <w:tcBorders>
              <w:top w:val="nil"/>
              <w:left w:val="nil"/>
              <w:bottom w:val="single" w:sz="4" w:space="0" w:color="B0B0B0"/>
              <w:right w:val="single" w:sz="4" w:space="0" w:color="B0B0B0"/>
            </w:tcBorders>
            <w:shd w:val="clear" w:color="EAD1DC" w:fill="EAD1DC"/>
            <w:hideMark/>
          </w:tcPr>
          <w:p w14:paraId="7FC6E4BE"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Generative AI deployment; customer-service productivity</w:t>
            </w:r>
          </w:p>
        </w:tc>
        <w:tc>
          <w:tcPr>
            <w:tcW w:w="975" w:type="pct"/>
            <w:tcBorders>
              <w:top w:val="nil"/>
              <w:left w:val="nil"/>
              <w:bottom w:val="single" w:sz="4" w:space="0" w:color="B0B0B0"/>
              <w:right w:val="single" w:sz="4" w:space="0" w:color="B0B0B0"/>
            </w:tcBorders>
            <w:shd w:val="clear" w:color="EAD1DC" w:fill="EAD1DC"/>
            <w:hideMark/>
          </w:tcPr>
          <w:p w14:paraId="0C424763"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Staggered-deployment field experiment (n=5,000 agents)</w:t>
            </w:r>
          </w:p>
        </w:tc>
        <w:tc>
          <w:tcPr>
            <w:tcW w:w="1300" w:type="pct"/>
            <w:tcBorders>
              <w:top w:val="nil"/>
              <w:left w:val="nil"/>
              <w:bottom w:val="single" w:sz="4" w:space="0" w:color="B0B0B0"/>
              <w:right w:val="single" w:sz="4" w:space="0" w:color="B0B0B0"/>
            </w:tcBorders>
            <w:shd w:val="clear" w:color="EAD1DC" w:fill="EAD1DC"/>
            <w:hideMark/>
          </w:tcPr>
          <w:p w14:paraId="65B945E7"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Strong causal evidence on productivity and worker experience</w:t>
            </w:r>
          </w:p>
        </w:tc>
      </w:tr>
      <w:tr w:rsidR="00F702C4" w:rsidRPr="00F25C44" w14:paraId="192C0F26"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EAD1DC" w:fill="EAD1DC"/>
            <w:noWrap/>
            <w:hideMark/>
          </w:tcPr>
          <w:p w14:paraId="2BA207CF"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t>SRC-097</w:t>
            </w:r>
          </w:p>
        </w:tc>
        <w:tc>
          <w:tcPr>
            <w:tcW w:w="826" w:type="pct"/>
            <w:tcBorders>
              <w:top w:val="nil"/>
              <w:left w:val="nil"/>
              <w:bottom w:val="single" w:sz="4" w:space="0" w:color="B0B0B0"/>
              <w:right w:val="single" w:sz="4" w:space="0" w:color="B0B0B0"/>
            </w:tcBorders>
            <w:shd w:val="clear" w:color="EAD1DC" w:fill="EAD1DC"/>
            <w:hideMark/>
          </w:tcPr>
          <w:p w14:paraId="02126279"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proofErr w:type="spellStart"/>
            <w:r w:rsidRPr="00F25C44">
              <w:rPr>
                <w:rFonts w:ascii="Times New Roman" w:eastAsia="Times New Roman" w:hAnsi="Times New Roman" w:cs="Times New Roman"/>
                <w:sz w:val="20"/>
                <w:szCs w:val="20"/>
                <w:lang w:eastAsia="en-IN"/>
              </w:rPr>
              <w:t>Humlum</w:t>
            </w:r>
            <w:proofErr w:type="spellEnd"/>
            <w:r w:rsidRPr="00F25C44">
              <w:rPr>
                <w:rFonts w:ascii="Times New Roman" w:eastAsia="Times New Roman" w:hAnsi="Times New Roman" w:cs="Times New Roman"/>
                <w:sz w:val="20"/>
                <w:szCs w:val="20"/>
                <w:lang w:eastAsia="en-IN"/>
              </w:rPr>
              <w:t xml:space="preserve"> &amp; Vestergaard (2025)</w:t>
            </w:r>
          </w:p>
        </w:tc>
        <w:tc>
          <w:tcPr>
            <w:tcW w:w="645" w:type="pct"/>
            <w:tcBorders>
              <w:top w:val="nil"/>
              <w:left w:val="nil"/>
              <w:bottom w:val="single" w:sz="4" w:space="0" w:color="B0B0B0"/>
              <w:right w:val="single" w:sz="4" w:space="0" w:color="B0B0B0"/>
            </w:tcBorders>
            <w:shd w:val="clear" w:color="EAD1DC" w:fill="EAD1DC"/>
            <w:hideMark/>
          </w:tcPr>
          <w:p w14:paraId="1658805F"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C5: Workforce Impact</w:t>
            </w:r>
          </w:p>
        </w:tc>
        <w:tc>
          <w:tcPr>
            <w:tcW w:w="849" w:type="pct"/>
            <w:tcBorders>
              <w:top w:val="nil"/>
              <w:left w:val="nil"/>
              <w:bottom w:val="single" w:sz="4" w:space="0" w:color="B0B0B0"/>
              <w:right w:val="single" w:sz="4" w:space="0" w:color="B0B0B0"/>
            </w:tcBorders>
            <w:shd w:val="clear" w:color="EAD1DC" w:fill="EAD1DC"/>
            <w:hideMark/>
          </w:tcPr>
          <w:p w14:paraId="5C4169C5"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Generative AI adoption inequality; demographic differences</w:t>
            </w:r>
          </w:p>
        </w:tc>
        <w:tc>
          <w:tcPr>
            <w:tcW w:w="975" w:type="pct"/>
            <w:tcBorders>
              <w:top w:val="nil"/>
              <w:left w:val="nil"/>
              <w:bottom w:val="single" w:sz="4" w:space="0" w:color="B0B0B0"/>
              <w:right w:val="single" w:sz="4" w:space="0" w:color="B0B0B0"/>
            </w:tcBorders>
            <w:shd w:val="clear" w:color="EAD1DC" w:fill="EAD1DC"/>
            <w:hideMark/>
          </w:tcPr>
          <w:p w14:paraId="54839051"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Large-scale representative survey linked to register data</w:t>
            </w:r>
          </w:p>
        </w:tc>
        <w:tc>
          <w:tcPr>
            <w:tcW w:w="1300" w:type="pct"/>
            <w:tcBorders>
              <w:top w:val="nil"/>
              <w:left w:val="nil"/>
              <w:bottom w:val="single" w:sz="4" w:space="0" w:color="B0B0B0"/>
              <w:right w:val="single" w:sz="4" w:space="0" w:color="B0B0B0"/>
            </w:tcBorders>
            <w:shd w:val="clear" w:color="EAD1DC" w:fill="EAD1DC"/>
            <w:hideMark/>
          </w:tcPr>
          <w:p w14:paraId="564466E4"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Informs equity considerations in organisational AI rollout</w:t>
            </w:r>
          </w:p>
        </w:tc>
      </w:tr>
      <w:tr w:rsidR="00F702C4" w:rsidRPr="00F25C44" w14:paraId="74EFBB0B"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EAD1DC" w:fill="EAD1DC"/>
            <w:noWrap/>
            <w:hideMark/>
          </w:tcPr>
          <w:p w14:paraId="4A4DE1DF"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t>SRC-098</w:t>
            </w:r>
          </w:p>
        </w:tc>
        <w:tc>
          <w:tcPr>
            <w:tcW w:w="826" w:type="pct"/>
            <w:tcBorders>
              <w:top w:val="nil"/>
              <w:left w:val="nil"/>
              <w:bottom w:val="single" w:sz="4" w:space="0" w:color="B0B0B0"/>
              <w:right w:val="single" w:sz="4" w:space="0" w:color="B0B0B0"/>
            </w:tcBorders>
            <w:shd w:val="clear" w:color="EAD1DC" w:fill="EAD1DC"/>
            <w:hideMark/>
          </w:tcPr>
          <w:p w14:paraId="28DF0347"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proofErr w:type="spellStart"/>
            <w:r w:rsidRPr="00F25C44">
              <w:rPr>
                <w:rFonts w:ascii="Times New Roman" w:eastAsia="Times New Roman" w:hAnsi="Times New Roman" w:cs="Times New Roman"/>
                <w:sz w:val="20"/>
                <w:szCs w:val="20"/>
                <w:lang w:eastAsia="en-IN"/>
              </w:rPr>
              <w:t>Dell'Acqua</w:t>
            </w:r>
            <w:proofErr w:type="spellEnd"/>
            <w:r w:rsidRPr="00F25C44">
              <w:rPr>
                <w:rFonts w:ascii="Times New Roman" w:eastAsia="Times New Roman" w:hAnsi="Times New Roman" w:cs="Times New Roman"/>
                <w:sz w:val="20"/>
                <w:szCs w:val="20"/>
                <w:lang w:eastAsia="en-IN"/>
              </w:rPr>
              <w:t xml:space="preserve"> (2023)</w:t>
            </w:r>
          </w:p>
        </w:tc>
        <w:tc>
          <w:tcPr>
            <w:tcW w:w="645" w:type="pct"/>
            <w:tcBorders>
              <w:top w:val="nil"/>
              <w:left w:val="nil"/>
              <w:bottom w:val="single" w:sz="4" w:space="0" w:color="B0B0B0"/>
              <w:right w:val="single" w:sz="4" w:space="0" w:color="B0B0B0"/>
            </w:tcBorders>
            <w:shd w:val="clear" w:color="EAD1DC" w:fill="EAD1DC"/>
            <w:hideMark/>
          </w:tcPr>
          <w:p w14:paraId="0E8D776A"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C5: Workforce Impact</w:t>
            </w:r>
          </w:p>
        </w:tc>
        <w:tc>
          <w:tcPr>
            <w:tcW w:w="849" w:type="pct"/>
            <w:tcBorders>
              <w:top w:val="nil"/>
              <w:left w:val="nil"/>
              <w:bottom w:val="single" w:sz="4" w:space="0" w:color="B0B0B0"/>
              <w:right w:val="single" w:sz="4" w:space="0" w:color="B0B0B0"/>
            </w:tcBorders>
            <w:shd w:val="clear" w:color="EAD1DC" w:fill="EAD1DC"/>
            <w:hideMark/>
          </w:tcPr>
          <w:p w14:paraId="642ACEF5"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Knowledge-worker productivity; task complexity</w:t>
            </w:r>
          </w:p>
        </w:tc>
        <w:tc>
          <w:tcPr>
            <w:tcW w:w="975" w:type="pct"/>
            <w:tcBorders>
              <w:top w:val="nil"/>
              <w:left w:val="nil"/>
              <w:bottom w:val="single" w:sz="4" w:space="0" w:color="B0B0B0"/>
              <w:right w:val="single" w:sz="4" w:space="0" w:color="B0B0B0"/>
            </w:tcBorders>
            <w:shd w:val="clear" w:color="EAD1DC" w:fill="EAD1DC"/>
            <w:hideMark/>
          </w:tcPr>
          <w:p w14:paraId="595288B6"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Randomised field experiment (management consultants)</w:t>
            </w:r>
          </w:p>
        </w:tc>
        <w:tc>
          <w:tcPr>
            <w:tcW w:w="1300" w:type="pct"/>
            <w:tcBorders>
              <w:top w:val="nil"/>
              <w:left w:val="nil"/>
              <w:bottom w:val="single" w:sz="4" w:space="0" w:color="B0B0B0"/>
              <w:right w:val="single" w:sz="4" w:space="0" w:color="B0B0B0"/>
            </w:tcBorders>
            <w:shd w:val="clear" w:color="EAD1DC" w:fill="EAD1DC"/>
            <w:hideMark/>
          </w:tcPr>
          <w:p w14:paraId="4E5383AF"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Key evidence for adoption strategy by task type</w:t>
            </w:r>
          </w:p>
        </w:tc>
      </w:tr>
      <w:tr w:rsidR="00F702C4" w:rsidRPr="00F25C44" w14:paraId="34607370"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EAD1DC" w:fill="EAD1DC"/>
            <w:noWrap/>
            <w:hideMark/>
          </w:tcPr>
          <w:p w14:paraId="2BE79979"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t>SRC-099</w:t>
            </w:r>
          </w:p>
        </w:tc>
        <w:tc>
          <w:tcPr>
            <w:tcW w:w="826" w:type="pct"/>
            <w:tcBorders>
              <w:top w:val="nil"/>
              <w:left w:val="nil"/>
              <w:bottom w:val="single" w:sz="4" w:space="0" w:color="B0B0B0"/>
              <w:right w:val="single" w:sz="4" w:space="0" w:color="B0B0B0"/>
            </w:tcBorders>
            <w:shd w:val="clear" w:color="EAD1DC" w:fill="EAD1DC"/>
            <w:hideMark/>
          </w:tcPr>
          <w:p w14:paraId="6EF76FD3"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Noy &amp; Zhang (2023)</w:t>
            </w:r>
          </w:p>
        </w:tc>
        <w:tc>
          <w:tcPr>
            <w:tcW w:w="645" w:type="pct"/>
            <w:tcBorders>
              <w:top w:val="nil"/>
              <w:left w:val="nil"/>
              <w:bottom w:val="single" w:sz="4" w:space="0" w:color="B0B0B0"/>
              <w:right w:val="single" w:sz="4" w:space="0" w:color="B0B0B0"/>
            </w:tcBorders>
            <w:shd w:val="clear" w:color="EAD1DC" w:fill="EAD1DC"/>
            <w:hideMark/>
          </w:tcPr>
          <w:p w14:paraId="2589ECB0"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C5: Workforce Impact</w:t>
            </w:r>
          </w:p>
        </w:tc>
        <w:tc>
          <w:tcPr>
            <w:tcW w:w="849" w:type="pct"/>
            <w:tcBorders>
              <w:top w:val="nil"/>
              <w:left w:val="nil"/>
              <w:bottom w:val="single" w:sz="4" w:space="0" w:color="B0B0B0"/>
              <w:right w:val="single" w:sz="4" w:space="0" w:color="B0B0B0"/>
            </w:tcBorders>
            <w:shd w:val="clear" w:color="EAD1DC" w:fill="EAD1DC"/>
            <w:hideMark/>
          </w:tcPr>
          <w:p w14:paraId="3749D94E"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Productivity; quality</w:t>
            </w:r>
          </w:p>
        </w:tc>
        <w:tc>
          <w:tcPr>
            <w:tcW w:w="975" w:type="pct"/>
            <w:tcBorders>
              <w:top w:val="nil"/>
              <w:left w:val="nil"/>
              <w:bottom w:val="single" w:sz="4" w:space="0" w:color="B0B0B0"/>
              <w:right w:val="single" w:sz="4" w:space="0" w:color="B0B0B0"/>
            </w:tcBorders>
            <w:shd w:val="clear" w:color="EAD1DC" w:fill="EAD1DC"/>
            <w:hideMark/>
          </w:tcPr>
          <w:p w14:paraId="2722561C"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 xml:space="preserve">Randomised controlled experiment among professional </w:t>
            </w:r>
            <w:r w:rsidRPr="00F25C44">
              <w:rPr>
                <w:rFonts w:ascii="Times New Roman" w:eastAsia="Times New Roman" w:hAnsi="Times New Roman" w:cs="Times New Roman"/>
                <w:sz w:val="20"/>
                <w:szCs w:val="20"/>
                <w:lang w:eastAsia="en-IN"/>
              </w:rPr>
              <w:lastRenderedPageBreak/>
              <w:t>writers</w:t>
            </w:r>
          </w:p>
        </w:tc>
        <w:tc>
          <w:tcPr>
            <w:tcW w:w="1300" w:type="pct"/>
            <w:tcBorders>
              <w:top w:val="nil"/>
              <w:left w:val="nil"/>
              <w:bottom w:val="single" w:sz="4" w:space="0" w:color="B0B0B0"/>
              <w:right w:val="single" w:sz="4" w:space="0" w:color="B0B0B0"/>
            </w:tcBorders>
            <w:shd w:val="clear" w:color="EAD1DC" w:fill="EAD1DC"/>
            <w:hideMark/>
          </w:tcPr>
          <w:p w14:paraId="6B4E42AA"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lastRenderedPageBreak/>
              <w:t>RCT evidence that AI narrows performance gaps between workers</w:t>
            </w:r>
          </w:p>
        </w:tc>
      </w:tr>
      <w:tr w:rsidR="00F702C4" w:rsidRPr="00F25C44" w14:paraId="4DC2DF10" w14:textId="77777777" w:rsidTr="00425EB1">
        <w:trPr>
          <w:trHeight w:val="1200"/>
        </w:trPr>
        <w:tc>
          <w:tcPr>
            <w:tcW w:w="405" w:type="pct"/>
            <w:tcBorders>
              <w:top w:val="nil"/>
              <w:left w:val="single" w:sz="4" w:space="0" w:color="B0B0B0"/>
              <w:bottom w:val="single" w:sz="4" w:space="0" w:color="B0B0B0"/>
              <w:right w:val="single" w:sz="4" w:space="0" w:color="B0B0B0"/>
            </w:tcBorders>
            <w:shd w:val="clear" w:color="EAD1DC" w:fill="EAD1DC"/>
            <w:noWrap/>
            <w:hideMark/>
          </w:tcPr>
          <w:p w14:paraId="733956F1" w14:textId="77777777" w:rsidR="00707574" w:rsidRPr="00F25C44" w:rsidRDefault="00707574" w:rsidP="00425EB1">
            <w:pPr>
              <w:spacing w:after="0" w:line="360" w:lineRule="auto"/>
              <w:jc w:val="center"/>
              <w:rPr>
                <w:rFonts w:ascii="Times New Roman" w:eastAsia="Times New Roman" w:hAnsi="Times New Roman" w:cs="Times New Roman"/>
                <w:b/>
                <w:bCs/>
                <w:sz w:val="20"/>
                <w:szCs w:val="20"/>
                <w:lang w:eastAsia="en-IN"/>
              </w:rPr>
            </w:pPr>
            <w:r w:rsidRPr="00F25C44">
              <w:rPr>
                <w:rFonts w:ascii="Times New Roman" w:eastAsia="Times New Roman" w:hAnsi="Times New Roman" w:cs="Times New Roman"/>
                <w:b/>
                <w:bCs/>
                <w:sz w:val="20"/>
                <w:szCs w:val="20"/>
                <w:lang w:eastAsia="en-IN"/>
              </w:rPr>
              <w:t>SRC-100</w:t>
            </w:r>
          </w:p>
        </w:tc>
        <w:tc>
          <w:tcPr>
            <w:tcW w:w="826" w:type="pct"/>
            <w:tcBorders>
              <w:top w:val="nil"/>
              <w:left w:val="nil"/>
              <w:bottom w:val="single" w:sz="4" w:space="0" w:color="B0B0B0"/>
              <w:right w:val="single" w:sz="4" w:space="0" w:color="B0B0B0"/>
            </w:tcBorders>
            <w:shd w:val="clear" w:color="EAD1DC" w:fill="EAD1DC"/>
            <w:hideMark/>
          </w:tcPr>
          <w:p w14:paraId="79C951C9" w14:textId="77777777" w:rsidR="00707574" w:rsidRPr="00F25C44" w:rsidRDefault="00F702C4" w:rsidP="00425EB1">
            <w:pPr>
              <w:spacing w:after="0" w:line="360" w:lineRule="auto"/>
              <w:rPr>
                <w:rFonts w:ascii="Times New Roman" w:eastAsia="Times New Roman" w:hAnsi="Times New Roman" w:cs="Times New Roman"/>
                <w:sz w:val="20"/>
                <w:szCs w:val="20"/>
                <w:lang w:eastAsia="en-IN"/>
              </w:rPr>
            </w:pPr>
            <w:proofErr w:type="spellStart"/>
            <w:r w:rsidRPr="00F702C4">
              <w:rPr>
                <w:rFonts w:ascii="Times New Roman" w:eastAsia="Times New Roman" w:hAnsi="Times New Roman" w:cs="Times New Roman"/>
                <w:sz w:val="20"/>
                <w:szCs w:val="20"/>
                <w:lang w:eastAsia="en-IN"/>
              </w:rPr>
              <w:t>Uhunoma</w:t>
            </w:r>
            <w:proofErr w:type="spellEnd"/>
            <w:r w:rsidRPr="00F702C4">
              <w:rPr>
                <w:rFonts w:ascii="Times New Roman" w:eastAsia="Times New Roman" w:hAnsi="Times New Roman" w:cs="Times New Roman"/>
                <w:sz w:val="20"/>
                <w:szCs w:val="20"/>
                <w:lang w:eastAsia="en-IN"/>
              </w:rPr>
              <w:t xml:space="preserve"> (2025)</w:t>
            </w:r>
          </w:p>
        </w:tc>
        <w:tc>
          <w:tcPr>
            <w:tcW w:w="645" w:type="pct"/>
            <w:tcBorders>
              <w:top w:val="nil"/>
              <w:left w:val="nil"/>
              <w:bottom w:val="single" w:sz="4" w:space="0" w:color="B0B0B0"/>
              <w:right w:val="single" w:sz="4" w:space="0" w:color="B0B0B0"/>
            </w:tcBorders>
            <w:shd w:val="clear" w:color="EAD1DC" w:fill="EAD1DC"/>
            <w:hideMark/>
          </w:tcPr>
          <w:p w14:paraId="3B537E23"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C5: Workforce Impact</w:t>
            </w:r>
          </w:p>
        </w:tc>
        <w:tc>
          <w:tcPr>
            <w:tcW w:w="849" w:type="pct"/>
            <w:tcBorders>
              <w:top w:val="nil"/>
              <w:left w:val="nil"/>
              <w:bottom w:val="single" w:sz="4" w:space="0" w:color="B0B0B0"/>
              <w:right w:val="single" w:sz="4" w:space="0" w:color="B0B0B0"/>
            </w:tcBorders>
            <w:shd w:val="clear" w:color="EAD1DC" w:fill="EAD1DC"/>
            <w:hideMark/>
          </w:tcPr>
          <w:p w14:paraId="0D1AD0C5"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Contradictory employee experiences; verification effort</w:t>
            </w:r>
          </w:p>
        </w:tc>
        <w:tc>
          <w:tcPr>
            <w:tcW w:w="975" w:type="pct"/>
            <w:tcBorders>
              <w:top w:val="nil"/>
              <w:left w:val="nil"/>
              <w:bottom w:val="single" w:sz="4" w:space="0" w:color="B0B0B0"/>
              <w:right w:val="single" w:sz="4" w:space="0" w:color="B0B0B0"/>
            </w:tcBorders>
            <w:shd w:val="clear" w:color="EAD1DC" w:fill="EAD1DC"/>
            <w:hideMark/>
          </w:tcPr>
          <w:p w14:paraId="58C7D70D"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Qualitative interview study (48 advertising professionals)</w:t>
            </w:r>
          </w:p>
        </w:tc>
        <w:tc>
          <w:tcPr>
            <w:tcW w:w="1300" w:type="pct"/>
            <w:tcBorders>
              <w:top w:val="nil"/>
              <w:left w:val="nil"/>
              <w:bottom w:val="single" w:sz="4" w:space="0" w:color="B0B0B0"/>
              <w:right w:val="single" w:sz="4" w:space="0" w:color="B0B0B0"/>
            </w:tcBorders>
            <w:shd w:val="clear" w:color="EAD1DC" w:fill="EAD1DC"/>
            <w:hideMark/>
          </w:tcPr>
          <w:p w14:paraId="0592047D" w14:textId="77777777" w:rsidR="00707574" w:rsidRPr="00F25C44" w:rsidRDefault="00707574" w:rsidP="00425EB1">
            <w:pPr>
              <w:spacing w:after="0" w:line="360" w:lineRule="auto"/>
              <w:rPr>
                <w:rFonts w:ascii="Times New Roman" w:eastAsia="Times New Roman" w:hAnsi="Times New Roman" w:cs="Times New Roman"/>
                <w:sz w:val="20"/>
                <w:szCs w:val="20"/>
                <w:lang w:eastAsia="en-IN"/>
              </w:rPr>
            </w:pPr>
            <w:r w:rsidRPr="00F25C44">
              <w:rPr>
                <w:rFonts w:ascii="Times New Roman" w:eastAsia="Times New Roman" w:hAnsi="Times New Roman" w:cs="Times New Roman"/>
                <w:sz w:val="20"/>
                <w:szCs w:val="20"/>
                <w:lang w:eastAsia="en-IN"/>
              </w:rPr>
              <w:t>Qualitative nuance on lived employee experience of AI</w:t>
            </w:r>
          </w:p>
        </w:tc>
      </w:tr>
    </w:tbl>
    <w:p w14:paraId="47F456BB" w14:textId="77777777" w:rsidR="009C76B7" w:rsidRPr="00425EB1" w:rsidRDefault="009C76B7" w:rsidP="00425EB1">
      <w:pPr>
        <w:spacing w:line="360" w:lineRule="auto"/>
        <w:rPr>
          <w:rFonts w:ascii="Times New Roman" w:hAnsi="Times New Roman" w:cs="Times New Roman"/>
          <w:sz w:val="24"/>
          <w:szCs w:val="24"/>
        </w:rPr>
      </w:pPr>
    </w:p>
    <w:p w14:paraId="03B02FAF" w14:textId="77777777" w:rsidR="009C76B7" w:rsidRPr="00425EB1" w:rsidRDefault="009C76B7" w:rsidP="00425EB1">
      <w:pPr>
        <w:spacing w:line="360" w:lineRule="auto"/>
        <w:rPr>
          <w:rFonts w:ascii="Times New Roman" w:hAnsi="Times New Roman" w:cs="Times New Roman"/>
        </w:rPr>
      </w:pPr>
      <w:r w:rsidRPr="00425EB1">
        <w:rPr>
          <w:rFonts w:ascii="Times New Roman" w:hAnsi="Times New Roman" w:cs="Times New Roman"/>
          <w:sz w:val="24"/>
          <w:szCs w:val="24"/>
        </w:rPr>
        <w:br w:type="page"/>
      </w:r>
    </w:p>
    <w:p w14:paraId="192207B2" w14:textId="77777777" w:rsidR="00BF34F4" w:rsidRPr="009035B7" w:rsidRDefault="00BF34F4" w:rsidP="00BF34F4">
      <w:pPr>
        <w:pStyle w:val="Heading1"/>
        <w:rPr>
          <w:b w:val="0"/>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1" w:name="_Toc235996235"/>
      <w:r w:rsidRPr="009035B7">
        <w:rPr>
          <w:b w:val="0"/>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PART 3: PRELIMINARY LITERATURE REVIEW</w:t>
      </w:r>
      <w:bookmarkEnd w:id="1"/>
    </w:p>
    <w:p w14:paraId="498DF734" w14:textId="27D81858" w:rsidR="002816B9" w:rsidRPr="009035B7" w:rsidRDefault="002816B9" w:rsidP="009035B7">
      <w:pPr>
        <w:pStyle w:val="Heading2"/>
        <w:numPr>
          <w:ilvl w:val="1"/>
          <w:numId w:val="10"/>
        </w:numPr>
        <w:rPr>
          <w:i w:val="0"/>
          <w:iCs/>
        </w:rPr>
      </w:pPr>
      <w:bookmarkStart w:id="2" w:name="_Toc235996236"/>
      <w:r w:rsidRPr="009035B7">
        <w:rPr>
          <w:i w:val="0"/>
          <w:iCs/>
        </w:rPr>
        <w:t>Introduction</w:t>
      </w:r>
      <w:bookmarkEnd w:id="2"/>
    </w:p>
    <w:p w14:paraId="665160ED" w14:textId="77777777" w:rsidR="003A447F" w:rsidRPr="003A447F" w:rsidRDefault="003A447F" w:rsidP="003A447F">
      <w:pPr>
        <w:spacing w:line="360" w:lineRule="auto"/>
        <w:jc w:val="both"/>
        <w:rPr>
          <w:rFonts w:ascii="Times New Roman" w:hAnsi="Times New Roman" w:cs="Times New Roman"/>
          <w:sz w:val="24"/>
        </w:rPr>
      </w:pPr>
      <w:r w:rsidRPr="003A447F">
        <w:rPr>
          <w:rFonts w:ascii="Times New Roman" w:hAnsi="Times New Roman" w:cs="Times New Roman"/>
          <w:sz w:val="24"/>
        </w:rPr>
        <w:t>Artificial Intelligence (AI) is impacting organisations, making their decisions more informed, automating repetitive tasks and making them more efficient all the time. AI has become ubiquitous in various organisational processes and workflows, such as hiring, performance management, customer service, and strategic decision-making, especially with the recent proliferation of AI technologies, including generative AI and machine learning systems (Brynjolfsson, Li and Raymond, 2023; Noy and Zhang, 2023). Implementing AI, however, is not a technical-only challenge, but demands that organisations assess and prepare to embed sustainability and organisational success readiness (OR), governance, and support systems that enable sustainable implementation of AI (</w:t>
      </w:r>
      <w:proofErr w:type="spellStart"/>
      <w:r w:rsidRPr="003A447F">
        <w:rPr>
          <w:rFonts w:ascii="Times New Roman" w:hAnsi="Times New Roman" w:cs="Times New Roman"/>
          <w:sz w:val="24"/>
        </w:rPr>
        <w:t>Übellacker</w:t>
      </w:r>
      <w:proofErr w:type="spellEnd"/>
      <w:r w:rsidRPr="003A447F">
        <w:rPr>
          <w:rFonts w:ascii="Times New Roman" w:hAnsi="Times New Roman" w:cs="Times New Roman"/>
          <w:sz w:val="24"/>
        </w:rPr>
        <w:t xml:space="preserve">, 2025; </w:t>
      </w:r>
      <w:proofErr w:type="spellStart"/>
      <w:r w:rsidRPr="003A447F">
        <w:rPr>
          <w:rFonts w:ascii="Times New Roman" w:hAnsi="Times New Roman" w:cs="Times New Roman"/>
          <w:sz w:val="24"/>
        </w:rPr>
        <w:t>Tursunbayeva</w:t>
      </w:r>
      <w:proofErr w:type="spellEnd"/>
      <w:r w:rsidRPr="003A447F">
        <w:rPr>
          <w:rFonts w:ascii="Times New Roman" w:hAnsi="Times New Roman" w:cs="Times New Roman"/>
          <w:sz w:val="24"/>
        </w:rPr>
        <w:t xml:space="preserve"> and Chalutz-Ben Gal, 2024). As a result, organisations are increasingly aware that investing in technology is not enough for successful implementation of AI models, and that the human and organisational aspects of implementation are critical.</w:t>
      </w:r>
    </w:p>
    <w:p w14:paraId="5B005889" w14:textId="77777777" w:rsidR="003A447F" w:rsidRPr="003A447F" w:rsidRDefault="003A447F" w:rsidP="003A447F">
      <w:pPr>
        <w:spacing w:line="360" w:lineRule="auto"/>
        <w:jc w:val="both"/>
        <w:rPr>
          <w:rFonts w:ascii="Times New Roman" w:hAnsi="Times New Roman" w:cs="Times New Roman"/>
          <w:sz w:val="24"/>
        </w:rPr>
      </w:pPr>
      <w:r w:rsidRPr="003A447F">
        <w:rPr>
          <w:rFonts w:ascii="Times New Roman" w:hAnsi="Times New Roman" w:cs="Times New Roman"/>
          <w:sz w:val="24"/>
        </w:rPr>
        <w:t xml:space="preserve">Trust among employees is one of the key areas that are related to the implementation of AI among these aspects. </w:t>
      </w:r>
      <w:proofErr w:type="spellStart"/>
      <w:r w:rsidRPr="003A447F">
        <w:rPr>
          <w:rFonts w:ascii="Times New Roman" w:hAnsi="Times New Roman" w:cs="Times New Roman"/>
          <w:sz w:val="24"/>
        </w:rPr>
        <w:t>Glikson</w:t>
      </w:r>
      <w:proofErr w:type="spellEnd"/>
      <w:r w:rsidRPr="003A447F">
        <w:rPr>
          <w:rFonts w:ascii="Times New Roman" w:hAnsi="Times New Roman" w:cs="Times New Roman"/>
          <w:sz w:val="24"/>
        </w:rPr>
        <w:t xml:space="preserve"> and Woolley (2020) and Choung, David and Ross (2023) found that employees are more likely to accept and successfully adopt AI systems when they feel the system is transparent, reliable, fair and accountable. On the other hand, low trust in AI and uncertainties about AI-driven decision-making are often shown to cause resistance to organisational AI initiatives (</w:t>
      </w:r>
      <w:proofErr w:type="spellStart"/>
      <w:r w:rsidRPr="003A447F">
        <w:rPr>
          <w:rFonts w:ascii="Times New Roman" w:hAnsi="Times New Roman" w:cs="Times New Roman"/>
          <w:sz w:val="24"/>
        </w:rPr>
        <w:t>Dietvorst</w:t>
      </w:r>
      <w:proofErr w:type="spellEnd"/>
      <w:r w:rsidRPr="003A447F">
        <w:rPr>
          <w:rFonts w:ascii="Times New Roman" w:hAnsi="Times New Roman" w:cs="Times New Roman"/>
          <w:sz w:val="24"/>
        </w:rPr>
        <w:t xml:space="preserve">, Simmons and Massey, 2015; </w:t>
      </w:r>
      <w:proofErr w:type="spellStart"/>
      <w:r w:rsidRPr="003A447F">
        <w:rPr>
          <w:rFonts w:ascii="Times New Roman" w:hAnsi="Times New Roman" w:cs="Times New Roman"/>
          <w:sz w:val="24"/>
        </w:rPr>
        <w:t>Bedué</w:t>
      </w:r>
      <w:proofErr w:type="spellEnd"/>
      <w:r w:rsidRPr="003A447F">
        <w:rPr>
          <w:rFonts w:ascii="Times New Roman" w:hAnsi="Times New Roman" w:cs="Times New Roman"/>
          <w:sz w:val="24"/>
        </w:rPr>
        <w:t xml:space="preserve"> and </w:t>
      </w:r>
      <w:proofErr w:type="spellStart"/>
      <w:r w:rsidRPr="003A447F">
        <w:rPr>
          <w:rFonts w:ascii="Times New Roman" w:hAnsi="Times New Roman" w:cs="Times New Roman"/>
          <w:sz w:val="24"/>
        </w:rPr>
        <w:t>Fritzsche</w:t>
      </w:r>
      <w:proofErr w:type="spellEnd"/>
      <w:r w:rsidRPr="003A447F">
        <w:rPr>
          <w:rFonts w:ascii="Times New Roman" w:hAnsi="Times New Roman" w:cs="Times New Roman"/>
          <w:sz w:val="24"/>
        </w:rPr>
        <w:t xml:space="preserve">, 2022). At the same time, there has been a trend towards the adoption of ethical governance principles for AI use, prompting organisations to implement governance structures that prioritise transparency, </w:t>
      </w:r>
      <w:proofErr w:type="spellStart"/>
      <w:r w:rsidRPr="003A447F">
        <w:rPr>
          <w:rFonts w:ascii="Times New Roman" w:hAnsi="Times New Roman" w:cs="Times New Roman"/>
          <w:sz w:val="24"/>
        </w:rPr>
        <w:t>explainability</w:t>
      </w:r>
      <w:proofErr w:type="spellEnd"/>
      <w:r w:rsidRPr="003A447F">
        <w:rPr>
          <w:rFonts w:ascii="Times New Roman" w:hAnsi="Times New Roman" w:cs="Times New Roman"/>
          <w:sz w:val="24"/>
        </w:rPr>
        <w:t xml:space="preserve">, accountability, and responsible AI deployment (Camilleri, 2024; </w:t>
      </w:r>
      <w:proofErr w:type="spellStart"/>
      <w:r w:rsidRPr="003A447F">
        <w:rPr>
          <w:rFonts w:ascii="Times New Roman" w:hAnsi="Times New Roman" w:cs="Times New Roman"/>
          <w:sz w:val="24"/>
        </w:rPr>
        <w:t>Mittelstadt</w:t>
      </w:r>
      <w:proofErr w:type="spellEnd"/>
      <w:r w:rsidRPr="003A447F">
        <w:rPr>
          <w:rFonts w:ascii="Times New Roman" w:hAnsi="Times New Roman" w:cs="Times New Roman"/>
          <w:sz w:val="24"/>
        </w:rPr>
        <w:t xml:space="preserve">, 2019). Nevertheless, ongoing research sporadically explores different aspects of employee trust, organisational preparedness, and ethical AI stewardship, with a lack of insight into their combined effects on organisational AI adoption (Zhang et al., 2025; </w:t>
      </w:r>
      <w:proofErr w:type="spellStart"/>
      <w:r w:rsidRPr="003A447F">
        <w:rPr>
          <w:rFonts w:ascii="Times New Roman" w:hAnsi="Times New Roman" w:cs="Times New Roman"/>
          <w:sz w:val="24"/>
        </w:rPr>
        <w:t>Übellacker</w:t>
      </w:r>
      <w:proofErr w:type="spellEnd"/>
      <w:r w:rsidRPr="003A447F">
        <w:rPr>
          <w:rFonts w:ascii="Times New Roman" w:hAnsi="Times New Roman" w:cs="Times New Roman"/>
          <w:sz w:val="24"/>
        </w:rPr>
        <w:t>, 2025).</w:t>
      </w:r>
    </w:p>
    <w:p w14:paraId="375163F3" w14:textId="74AFCCF0" w:rsidR="003A447F" w:rsidRPr="003A447F" w:rsidRDefault="00F521F9" w:rsidP="003A447F">
      <w:pPr>
        <w:spacing w:line="360" w:lineRule="auto"/>
        <w:jc w:val="both"/>
        <w:rPr>
          <w:rFonts w:ascii="Times New Roman" w:hAnsi="Times New Roman" w:cs="Times New Roman"/>
          <w:sz w:val="24"/>
        </w:rPr>
      </w:pPr>
      <w:r>
        <w:rPr>
          <w:rFonts w:ascii="Times New Roman" w:hAnsi="Times New Roman" w:cs="Times New Roman"/>
          <w:sz w:val="24"/>
        </w:rPr>
        <w:t xml:space="preserve">This chapter </w:t>
      </w:r>
      <w:r w:rsidR="003A447F" w:rsidRPr="003A447F">
        <w:rPr>
          <w:rFonts w:ascii="Times New Roman" w:hAnsi="Times New Roman" w:cs="Times New Roman"/>
          <w:sz w:val="24"/>
        </w:rPr>
        <w:t>synthesis</w:t>
      </w:r>
      <w:r>
        <w:rPr>
          <w:rFonts w:ascii="Times New Roman" w:hAnsi="Times New Roman" w:cs="Times New Roman"/>
          <w:sz w:val="24"/>
        </w:rPr>
        <w:t>es</w:t>
      </w:r>
      <w:r w:rsidR="003A447F" w:rsidRPr="003A447F">
        <w:rPr>
          <w:rFonts w:ascii="Times New Roman" w:hAnsi="Times New Roman" w:cs="Times New Roman"/>
          <w:sz w:val="24"/>
        </w:rPr>
        <w:t xml:space="preserve"> and critically analyses the current status of knowledge on a set of topics corresponding to employee trust, organisational readiness, and ethical AI governance in connection with the adoption of AI. Instead of just a recap of previous studies, the review critically analyses the theoretical approaches, empirical research, and methods that have been used to pinpoint inconsistencies in the literature that still need to be addressed. The chapter </w:t>
      </w:r>
      <w:r w:rsidR="003A447F" w:rsidRPr="003A447F">
        <w:rPr>
          <w:rFonts w:ascii="Times New Roman" w:hAnsi="Times New Roman" w:cs="Times New Roman"/>
          <w:sz w:val="24"/>
        </w:rPr>
        <w:lastRenderedPageBreak/>
        <w:t>ends by summarizing this superposition to identify the main research gaps and the research questions, which will serve as a basis to support empirical research for the next step.</w:t>
      </w:r>
    </w:p>
    <w:p w14:paraId="2D352945" w14:textId="3DC65F8B" w:rsidR="003A447F" w:rsidRPr="003A447F" w:rsidRDefault="009035B7" w:rsidP="003A447F">
      <w:pPr>
        <w:pStyle w:val="Heading3"/>
      </w:pPr>
      <w:bookmarkStart w:id="3" w:name="_Toc235996238"/>
      <w:r>
        <w:rPr>
          <w:rStyle w:val="Strong"/>
          <w:b/>
          <w:bCs w:val="0"/>
        </w:rPr>
        <w:t>3</w:t>
      </w:r>
      <w:r w:rsidR="003A447F" w:rsidRPr="003A447F">
        <w:rPr>
          <w:rStyle w:val="Strong"/>
          <w:b/>
          <w:bCs w:val="0"/>
        </w:rPr>
        <w:t>.</w:t>
      </w:r>
      <w:r>
        <w:rPr>
          <w:rStyle w:val="Strong"/>
          <w:b/>
          <w:bCs w:val="0"/>
        </w:rPr>
        <w:t>2</w:t>
      </w:r>
      <w:r w:rsidR="003A447F" w:rsidRPr="003A447F">
        <w:rPr>
          <w:rStyle w:val="Strong"/>
          <w:b/>
          <w:bCs w:val="0"/>
        </w:rPr>
        <w:t xml:space="preserve"> Employee Trust in Artificial Intelligence</w:t>
      </w:r>
      <w:bookmarkEnd w:id="3"/>
    </w:p>
    <w:p w14:paraId="6B7D17A0" w14:textId="49633E67" w:rsidR="003A447F" w:rsidRDefault="003A447F" w:rsidP="003A447F">
      <w:pPr>
        <w:pStyle w:val="NormalWeb"/>
        <w:spacing w:line="360" w:lineRule="auto"/>
        <w:jc w:val="both"/>
      </w:pPr>
      <w:r>
        <w:t xml:space="preserve">One of the most significant drivers for the successful implementation of artificial intelligence (AI) in the context of an organisation is said to be trust. Technological enablement has helped the AI system to carry out more and more complicated tasks, but </w:t>
      </w:r>
      <w:proofErr w:type="gramStart"/>
      <w:r>
        <w:t xml:space="preserve">the </w:t>
      </w:r>
      <w:r w:rsidR="005972FE">
        <w:t xml:space="preserve"> value</w:t>
      </w:r>
      <w:proofErr w:type="gramEnd"/>
      <w:r w:rsidR="005972FE">
        <w:t xml:space="preserve">  and the </w:t>
      </w:r>
      <w:r w:rsidR="004D1EE0">
        <w:t>effectiveness</w:t>
      </w:r>
      <w:r w:rsidR="005972FE">
        <w:t xml:space="preserve"> of </w:t>
      </w:r>
      <w:r w:rsidR="004D1EE0">
        <w:t xml:space="preserve"> </w:t>
      </w:r>
      <w:r>
        <w:t xml:space="preserve">AI system is </w:t>
      </w:r>
      <w:r w:rsidR="005972FE">
        <w:t xml:space="preserve"> rely on </w:t>
      </w:r>
      <w:r>
        <w:t xml:space="preserve">the willingness of the employees </w:t>
      </w:r>
      <w:r w:rsidR="005972FE">
        <w:t xml:space="preserve">and how they </w:t>
      </w:r>
      <w:r>
        <w:t>interact with it</w:t>
      </w:r>
      <w:r w:rsidR="004D1EE0">
        <w:t xml:space="preserve"> (Choung, David and Ross, 2023)</w:t>
      </w:r>
      <w:r>
        <w:t>. Trust is thus seen as a multiple component attribute that includes both perceptions of competence, reliability, fairness, transparency, and predictions, all of which shape employees' receptivity to the AI-supported decision-making process</w:t>
      </w:r>
      <w:r w:rsidR="00202C97">
        <w:t xml:space="preserve"> (</w:t>
      </w:r>
      <w:proofErr w:type="spellStart"/>
      <w:r w:rsidR="00202C97">
        <w:t>Glikson</w:t>
      </w:r>
      <w:proofErr w:type="spellEnd"/>
      <w:r w:rsidR="00202C97">
        <w:t xml:space="preserve"> and Woolley, 2020; </w:t>
      </w:r>
      <w:proofErr w:type="spellStart"/>
      <w:r w:rsidR="00202C97">
        <w:t>Bankins</w:t>
      </w:r>
      <w:proofErr w:type="spellEnd"/>
      <w:r w:rsidR="00202C97">
        <w:t xml:space="preserve"> et al., 2022)</w:t>
      </w:r>
      <w:r>
        <w:t>. Employee trust is crucial in deciding if AI tools are seen as assets or concerns, especially as they get used across business functions like worker hiring, functionality comparisons, and strategic planning. The more employees trust the AI tools, the more they’re likely to value them as assets within their organizations — not concerns or disruptions.</w:t>
      </w:r>
    </w:p>
    <w:p w14:paraId="390053FB" w14:textId="77777777" w:rsidR="003A447F" w:rsidRDefault="003A447F" w:rsidP="003A447F">
      <w:pPr>
        <w:pStyle w:val="NormalWeb"/>
        <w:spacing w:line="360" w:lineRule="auto"/>
        <w:jc w:val="both"/>
      </w:pPr>
      <w:r>
        <w:t xml:space="preserve">This modern literature shows that employees' trust goes beyond just technology's performance to include the broader organizational and social context. </w:t>
      </w:r>
      <w:proofErr w:type="spellStart"/>
      <w:r>
        <w:t>Glikson</w:t>
      </w:r>
      <w:proofErr w:type="spellEnd"/>
      <w:r>
        <w:t xml:space="preserve"> and Woolley (2020) believe that there are cognitive and affective components of trust in AI. While cognitive trust involves belief in the accuracy, competence, and reliability of AI systems, affective trust is related to emotional perceptions, like confidence, comfort, and security that come with interactions with intelligent technologies. While their review offers an important conceptual underpinning and brings together findings from a number of empirical studies, many of the reviewed studies rely on laboratory experiments or cross-sectional designs that only reflect the state of trust at a single time. As a result, it lacks depth in the understanding of developing, varying, and breaking down a sense of trust among employees as AI systems are implemented and overseen over time in organizational environments.</w:t>
      </w:r>
    </w:p>
    <w:p w14:paraId="5CA28B97" w14:textId="77777777" w:rsidR="003A447F" w:rsidRDefault="003A447F" w:rsidP="003A447F">
      <w:pPr>
        <w:pStyle w:val="NormalWeb"/>
        <w:spacing w:line="360" w:lineRule="auto"/>
        <w:jc w:val="both"/>
      </w:pPr>
      <w:r>
        <w:t xml:space="preserve">Afterwards, empirical research has tried to implement studies of how employee trust is generated during the implementation of AI. Even if the AI algorithms are not easily comprehended by employees, Xu (2024) discovered that leadership backing is a big factor increasing the initial trust employees have in AI systems. Based on these findings, organisational leadership can work to decrease uncertainty by emphasizing the legitimacy of </w:t>
      </w:r>
      <w:r>
        <w:lastRenderedPageBreak/>
        <w:t>using the AI and helping staff members view the use of AI technologies as credible and beneficial. The study is, however, based on a single cross-sectional survey, and if the positive influence of leadership support transfers to post-adoption outcomes is not reassessed after employees' first experiences with the AI system, there are some methodological limitations. Trust is not a fixed entity, but reinforces over time in repeated interactions and organisational experiences. But it still means a longitudinal study is needed to see if the trust ever wanes when employees face algorithmic mistakes or unanticipated AI choices.</w:t>
      </w:r>
    </w:p>
    <w:p w14:paraId="62D1FDAA" w14:textId="39390472" w:rsidR="003A447F" w:rsidRDefault="003A447F" w:rsidP="003A447F">
      <w:pPr>
        <w:pStyle w:val="NormalWeb"/>
        <w:spacing w:line="360" w:lineRule="auto"/>
        <w:jc w:val="both"/>
      </w:pPr>
      <w:r>
        <w:t xml:space="preserve">The uneven nature of employee trust continues to be brought into sharp relief by a scientific study that </w:t>
      </w:r>
      <w:proofErr w:type="spellStart"/>
      <w:r>
        <w:t>Dietvorst</w:t>
      </w:r>
      <w:proofErr w:type="spellEnd"/>
      <w:r>
        <w:t xml:space="preserve">, Simmons, and Massey (2015) conducted in the lab, which they dubbed "algorithmic </w:t>
      </w:r>
      <w:proofErr w:type="spellStart"/>
      <w:proofErr w:type="gramStart"/>
      <w:r>
        <w:t>aversion</w:t>
      </w:r>
      <w:r w:rsidR="004D1EE0">
        <w:t>.</w:t>
      </w:r>
      <w:r>
        <w:t>Their</w:t>
      </w:r>
      <w:proofErr w:type="spellEnd"/>
      <w:proofErr w:type="gramEnd"/>
      <w:r>
        <w:t xml:space="preserve"> results show that even a single error too many undermines people's trust in algorithms, meaning that while the algorithms' performance is often better than that of people, that doesn't necessarily translate to their trustworthiness. This is important for organisational AI implementation, as exposed failures of AI support in decision-making could lead to individual employees not embracing it because they are not able to make an objective evaluation of the system. While the design does have good internal validity, the controlled laboratory setting does limit the extent to which the design captures the complexity of organisational cultures, organisational communication, managerial support and governance that shape organisational trust. Algorithm aversion should therefore not be viewed as a complete picture of employee attitudes, but rather as one of the levels of organisational trust.</w:t>
      </w:r>
    </w:p>
    <w:p w14:paraId="2CFD4C7C" w14:textId="371E2016" w:rsidR="003A447F" w:rsidRDefault="003A447F" w:rsidP="003A447F">
      <w:pPr>
        <w:pStyle w:val="NormalWeb"/>
        <w:spacing w:line="360" w:lineRule="auto"/>
        <w:jc w:val="both"/>
      </w:pPr>
      <w:r>
        <w:t>Trust studies have been extended more recently by the research on trust's impact on other organizational outcomes. Other researchers, such as Kong et al. (2023), have found that trust in AI has positive effects on improving human-AI collaboration and career sustainability effectiveness. The research highlights that high employee trust and acceptance of AI will directly lead to greater collaborative engagement with intelligent systems. The research establishes that, if employees trust and accept intelligent systems, they will be more likely to engage with them collaboratively, resulting in improved individual performance, as well as career adaptability</w:t>
      </w:r>
      <w:r w:rsidR="00202C97">
        <w:t xml:space="preserve"> (</w:t>
      </w:r>
      <w:proofErr w:type="spellStart"/>
      <w:r w:rsidR="00202C97">
        <w:t>Babaee</w:t>
      </w:r>
      <w:proofErr w:type="spellEnd"/>
      <w:r w:rsidR="00202C97">
        <w:t xml:space="preserve"> and Shank, 2025)</w:t>
      </w:r>
      <w:r>
        <w:t xml:space="preserve">. </w:t>
      </w:r>
    </w:p>
    <w:p w14:paraId="0C6BEFD7" w14:textId="1CB89475" w:rsidR="003A447F" w:rsidRDefault="009035B7" w:rsidP="003A447F">
      <w:pPr>
        <w:pStyle w:val="Heading3"/>
      </w:pPr>
      <w:bookmarkStart w:id="4" w:name="_Toc235996239"/>
      <w:r>
        <w:rPr>
          <w:rStyle w:val="Strong"/>
          <w:b/>
          <w:bCs w:val="0"/>
        </w:rPr>
        <w:t>3</w:t>
      </w:r>
      <w:r w:rsidR="003A447F">
        <w:rPr>
          <w:rStyle w:val="Strong"/>
          <w:b/>
          <w:bCs w:val="0"/>
        </w:rPr>
        <w:t>.</w:t>
      </w:r>
      <w:r>
        <w:rPr>
          <w:rStyle w:val="Strong"/>
          <w:b/>
          <w:bCs w:val="0"/>
        </w:rPr>
        <w:t>3</w:t>
      </w:r>
      <w:r w:rsidR="003A447F">
        <w:rPr>
          <w:rStyle w:val="Strong"/>
          <w:b/>
          <w:bCs w:val="0"/>
        </w:rPr>
        <w:t xml:space="preserve"> Organisational Readiness and AI Adoption</w:t>
      </w:r>
      <w:bookmarkEnd w:id="4"/>
    </w:p>
    <w:p w14:paraId="23DCC6D3" w14:textId="77777777" w:rsidR="003A447F" w:rsidRDefault="003A447F" w:rsidP="003A447F">
      <w:pPr>
        <w:pStyle w:val="NormalWeb"/>
        <w:spacing w:line="360" w:lineRule="auto"/>
        <w:jc w:val="both"/>
      </w:pPr>
      <w:r>
        <w:t xml:space="preserve">The term organisational readiness has arisen as an important one to discuss why some organisations are successful in adopting and implementing a form of AI and others are </w:t>
      </w:r>
      <w:r>
        <w:lastRenderedPageBreak/>
        <w:t>resisting it, taking too long or failing. While technological competence is still considered a critical pre-condition, leadership commitment, organisational culture, employee competence, governance structures and organisational overall capability of change management are increasingly recognised as part of the organisational readiness for technology adoption (</w:t>
      </w:r>
      <w:proofErr w:type="spellStart"/>
      <w:r>
        <w:t>Übellacker</w:t>
      </w:r>
      <w:proofErr w:type="spellEnd"/>
      <w:r>
        <w:t xml:space="preserve">, 2025; </w:t>
      </w:r>
      <w:proofErr w:type="spellStart"/>
      <w:r>
        <w:t>Tursunbayeva</w:t>
      </w:r>
      <w:proofErr w:type="spellEnd"/>
      <w:r>
        <w:t xml:space="preserve"> and Chalutz-Ben Gal, 2024). Thus, the involvement of AI is not just a technological process, but an organizational change that involves aligning technology, managerial decision making and human resources.</w:t>
      </w:r>
      <w:r>
        <w:cr/>
        <w:t xml:space="preserve">Most research on the adoption of AI has closely built upon the existing technology acceptance theories, such as the former Technology Acceptance Model (TAM) and the later Unified Theory of Acceptance and Use of Technology (UTAUT). Davis (1989) first suggested that the attitude of users towards new technology is dependent mainly on the Perceived Usefulness and Perceived Ease of Use. This foundation is used to help build UTAUT with other factors included, namely performance expectancy, effort expectancy, social influence, and facilitating conditions, are added to UTAUT, to form UTAUT as an increased in 2003 by Venkatesh et al. These frameworks have served as rich theoretical explanations for managing employees' attitudes towards new technologies and have continuously been supported by many current research reports on the use of AI in </w:t>
      </w:r>
      <w:proofErr w:type="spellStart"/>
      <w:proofErr w:type="gramStart"/>
      <w:r>
        <w:t>practices.These</w:t>
      </w:r>
      <w:proofErr w:type="spellEnd"/>
      <w:proofErr w:type="gramEnd"/>
      <w:r>
        <w:t xml:space="preserve"> have given a good theoretical background for understanding the purchase of new technologies and the willingness of the employees to adopt them and will continue to support much of the current literature on the use of AI in practices. But AI systems are autonomous, adaptive, and data-driven, bringing challenges for the traditional information technologies, as it raises the question of taking these models for granted in explaining AI adoption behaviours.</w:t>
      </w:r>
    </w:p>
    <w:p w14:paraId="67C45D93" w14:textId="77777777" w:rsidR="003A447F" w:rsidRDefault="003A447F" w:rsidP="003A447F">
      <w:pPr>
        <w:pStyle w:val="NormalWeb"/>
        <w:spacing w:line="360" w:lineRule="auto"/>
        <w:jc w:val="both"/>
      </w:pPr>
      <w:r>
        <w:t xml:space="preserve">Research in recent times has thus gone the extra mile in attempting to modify the classic technology acceptance models to include variables that more appropriately capture the complexity of AI's implementation. Since the beginning, Zhang et al. (2025) repackaged the UTAUT framework by combining affective factors with anxiety and self-efficacy factors to understand employees' intention of using AI in multi-national organisational contexts. They also conclude that employees' emotions play a crucial role in their adoption of AI technologies, a result that suggests that factors typically associated with the study of technology acceptance are not enough. The study leverages a relatively large international sample, but given that it is cross-sectional, it might be constrained in its ability to understand how employees' perceptions of AI change at various points of implementation. However, the </w:t>
      </w:r>
      <w:r>
        <w:lastRenderedPageBreak/>
        <w:t>issues presented here involve limitations in explaining the dynamics of organisational readiness, and although an explanatory power has been enhanced in the extended UTAUT model, it was noted that this may not be applicable to the current research case.</w:t>
      </w:r>
    </w:p>
    <w:p w14:paraId="7346B0D5" w14:textId="77777777" w:rsidR="003A447F" w:rsidRDefault="003A447F" w:rsidP="003A447F">
      <w:pPr>
        <w:pStyle w:val="NormalWeb"/>
        <w:spacing w:line="360" w:lineRule="auto"/>
        <w:jc w:val="both"/>
      </w:pPr>
      <w:r>
        <w:t>Likewise, a study by Chang et al., (2024) explores the link between AI-induced Technostress and employee intention to use AI systems. They worked out their moderated mediation analysis to show that indirect effects of technostress on AI adoption can occur via technical self-efficacy as well, alongside the direct effects discussed. The results of this research highlight the multifaceted nature of organisational readiness, as indicated by employees' perceived difficulties with implementing AI and the perceived benefits of doing so. Yet because the survey results are self-reported and obtained at a point in time, the researchers cannot verify the effects if they are consistent over time as employees become more familiar with the use of AI technologies. Since frequently implementing organisational AI will be a long-term process with ongoing training and change in the organisation a longitudinal study would better leverage to provide valid evidence of the long-term factors enabling readiness.</w:t>
      </w:r>
    </w:p>
    <w:p w14:paraId="79FAD2D0" w14:textId="77777777" w:rsidR="003A447F" w:rsidRDefault="003A447F" w:rsidP="003A447F">
      <w:pPr>
        <w:pStyle w:val="NormalWeb"/>
        <w:spacing w:line="360" w:lineRule="auto"/>
        <w:jc w:val="both"/>
      </w:pPr>
      <w:r>
        <w:t xml:space="preserve">Additional studies have focused specifically on organisational contexts in which AI adoption is taking place. Kim, Pe versus S. et al. (2024) used the UTAUT model to study the adoption of generative AI in Korean companies, revealing that institutional theory concepts such as effort expectancy, social influence, and facilitating conditions had positive impacts on employees' behavioural intentions. Similarly, Jain, Garg and </w:t>
      </w:r>
      <w:proofErr w:type="spellStart"/>
      <w:r>
        <w:t>Khera</w:t>
      </w:r>
      <w:proofErr w:type="spellEnd"/>
      <w:r>
        <w:t xml:space="preserve"> (2022) initially found that the context of an organisation can impact employees' adoption of AI related technology, extending the UTAUT to the Indian social development organisations they explored. Although these studies provide useful empirical data on organizational readiness from various contexts and locations, the approach to considering a company a "ready" organizational unit is still based almost exclusively on the individual employee's perception of readiness or organizational readiness. Organisational readiness is therefore often viewed as an employee-job satisfaction score rather than a representation of organization capacity, as represented in governance, strategic planning, resource allocation or leadership commitment.</w:t>
      </w:r>
    </w:p>
    <w:p w14:paraId="26766415" w14:textId="33C4F83A" w:rsidR="003A447F" w:rsidRDefault="009035B7" w:rsidP="003A447F">
      <w:pPr>
        <w:pStyle w:val="Heading3"/>
      </w:pPr>
      <w:bookmarkStart w:id="5" w:name="_Toc235996240"/>
      <w:r>
        <w:rPr>
          <w:rStyle w:val="Strong"/>
          <w:b/>
          <w:bCs w:val="0"/>
        </w:rPr>
        <w:t>3.4</w:t>
      </w:r>
      <w:r w:rsidR="003A447F">
        <w:rPr>
          <w:rStyle w:val="Strong"/>
          <w:b/>
          <w:bCs w:val="0"/>
        </w:rPr>
        <w:t xml:space="preserve"> Ethical AI Governance and Accountability</w:t>
      </w:r>
      <w:bookmarkEnd w:id="5"/>
    </w:p>
    <w:p w14:paraId="26EA5079" w14:textId="77777777" w:rsidR="003A447F" w:rsidRDefault="003A447F" w:rsidP="003A447F">
      <w:pPr>
        <w:pStyle w:val="NormalWeb"/>
        <w:spacing w:line="360" w:lineRule="auto"/>
        <w:jc w:val="both"/>
      </w:pPr>
      <w:r>
        <w:t xml:space="preserve">The necessity of ethical AI governance has become a cornerstone in the effective integration of AI into organisations, especially as they increasingly use AI systems for decisions that have an impact on employees, customers and the performance of the organisation. The </w:t>
      </w:r>
      <w:r>
        <w:lastRenderedPageBreak/>
        <w:t xml:space="preserve">development of AI has also brought many possibilities to enhance operational effectiveness and decision-making capabilities; however, it has also raised concerns about transparency, accountability, equity, </w:t>
      </w:r>
      <w:proofErr w:type="spellStart"/>
      <w:r>
        <w:t>explainability</w:t>
      </w:r>
      <w:proofErr w:type="spellEnd"/>
      <w:r>
        <w:t xml:space="preserve">, and regulatory compliance. Accordingly, companies are increasingly being called on to develop governance bodies to help hold AI systems accountable and to ensure the trust and confidence of workers and the public (Camilleri, 2024; </w:t>
      </w:r>
      <w:proofErr w:type="spellStart"/>
      <w:r>
        <w:t>Mittelstadt</w:t>
      </w:r>
      <w:proofErr w:type="spellEnd"/>
      <w:r>
        <w:t>, 2019). Ethical governance is now seen not just as a regulatory obligation but as an organisational strength that aids in achieving successful sustainable implementation of AI and long-term corporate performance.</w:t>
      </w:r>
    </w:p>
    <w:p w14:paraId="061DF971" w14:textId="77777777" w:rsidR="003A447F" w:rsidRDefault="003A447F" w:rsidP="003A447F">
      <w:pPr>
        <w:pStyle w:val="NormalWeb"/>
        <w:spacing w:line="360" w:lineRule="auto"/>
        <w:jc w:val="both"/>
      </w:pPr>
      <w:r>
        <w:t xml:space="preserve">While each of them has been mentioned in the literature, a consensus has emerged that transparency, accountability, fairness, and </w:t>
      </w:r>
      <w:proofErr w:type="spellStart"/>
      <w:r>
        <w:t>explainability</w:t>
      </w:r>
      <w:proofErr w:type="spellEnd"/>
      <w:r>
        <w:t xml:space="preserve"> are the principles that comprise the ethical governance of AI. Incorporating broader corporate governance and corporate social responsibility frameworks for the governance of AI is crucial to help organisations strike a balance between innovation and ethical responsibilities to all stakeholders, including employees, wrote Camilleri (2024). This view goes further than legal obligations and focuses on good AI companies' behaviour all along the AI lifecycle. Likewise, new systematic reviews of moral AI demonstrate that over the last few years, governance structures have more and more been promoting basic principles focusing on the avoidance of algorithmic prejudice, increased transparency in decisions, and the improvement of organizational accountability (PMC, 2025). In total, these studies offer valuable ethical guidelines and a strong foundation for shaping the responsible use of AI. They are grouped together, however, primarily to provide a description of governance principles rather than to consider the degree to which such principles are observed or felt by the people in an organisation.</w:t>
      </w:r>
    </w:p>
    <w:p w14:paraId="46F72277" w14:textId="77777777" w:rsidR="003A447F" w:rsidRDefault="003A447F" w:rsidP="003A447F">
      <w:pPr>
        <w:pStyle w:val="NormalWeb"/>
        <w:spacing w:line="360" w:lineRule="auto"/>
        <w:jc w:val="both"/>
      </w:pPr>
      <w:proofErr w:type="spellStart"/>
      <w:r>
        <w:t>Mittelstadt</w:t>
      </w:r>
      <w:proofErr w:type="spellEnd"/>
      <w:r>
        <w:t xml:space="preserve"> (2019) makes a significant contribution to this debate, with the conclusion of a paper that held that ‘ethical principles cannot ensure good outcomes from AI’. From this view, organizations often set up ambitious ethical guidelines that don't have the structures, the monitoring, or accountability measures needed to make the principles a reality when doing daily work. The contrast between what's good and what's brought to life in an organization is especially relevant in workplace settings, where workers judge AI applications based on the organizational guidelines and handed experiences with AI-enabled decision-making. The code of ethics, therefore, should be considered more than simply a set of policy statements, but is really a process of governance, which must be monitored, evaluated, and adapted on an ongoing basis.</w:t>
      </w:r>
    </w:p>
    <w:p w14:paraId="11F214D6" w14:textId="77777777" w:rsidR="003A447F" w:rsidRDefault="003A447F" w:rsidP="003A447F">
      <w:pPr>
        <w:pStyle w:val="NormalWeb"/>
        <w:spacing w:line="360" w:lineRule="auto"/>
        <w:jc w:val="both"/>
      </w:pPr>
      <w:r>
        <w:lastRenderedPageBreak/>
        <w:t xml:space="preserve">The more recent studies have tried to close this gap in the field of empirical studies to governance principles and organisational outcomes. Within the context of organizations adopting AI technologies, a study recently published in the Journal of Entrepreneurship and Public Policy (Emerald, 2025) has shown that the quality of decision-making in such organizations can be greatly impacted by various aspects of governance, such as transparency, accountability, and organizational autonomy. The study empirically supports the proposition that effective governance has a positive influence on organisational performance, using the approach of structural equation modelling. </w:t>
      </w:r>
    </w:p>
    <w:p w14:paraId="0F1614E9" w14:textId="77777777" w:rsidR="003A447F" w:rsidRDefault="003A447F" w:rsidP="003A447F">
      <w:pPr>
        <w:pStyle w:val="NormalWeb"/>
        <w:spacing w:line="360" w:lineRule="auto"/>
        <w:jc w:val="both"/>
      </w:pPr>
      <w:r>
        <w:t>While it is both an important practical relationship and one that could be studied phenomenologically, it has received surprisingly little empirical research. The concept of “transparency” and its related concept “</w:t>
      </w:r>
      <w:proofErr w:type="spellStart"/>
      <w:r>
        <w:t>explainability</w:t>
      </w:r>
      <w:proofErr w:type="spellEnd"/>
      <w:r>
        <w:t>” are regularly listed as factors that foster trust in studies on adoption (</w:t>
      </w:r>
      <w:proofErr w:type="spellStart"/>
      <w:r>
        <w:t>Bedué</w:t>
      </w:r>
      <w:proofErr w:type="spellEnd"/>
      <w:r>
        <w:t xml:space="preserve"> and </w:t>
      </w:r>
      <w:proofErr w:type="spellStart"/>
      <w:r>
        <w:t>Fritzsche</w:t>
      </w:r>
      <w:proofErr w:type="spellEnd"/>
      <w:r>
        <w:t xml:space="preserve">, 2022) but it is usual to examine them only as contextual factors, as organisational variables. Likewise, in a review that remains conceptual, </w:t>
      </w:r>
      <w:proofErr w:type="spellStart"/>
      <w:r>
        <w:t>Tursunbayeva</w:t>
      </w:r>
      <w:proofErr w:type="spellEnd"/>
      <w:r>
        <w:t xml:space="preserve"> and Chalutz-Ben Gal (2024) suggest that while successful governance, which is shown to boost organisational readiness for AI, offers several advantages for positive AI development, such as transparency and the promotion of ethical and responsible application, they do not provide empirical examination of how the governance practices relate to the perceptions of employees in various phases of the implementation process. Thus, the causal relationship between ethical governance and employee trust and organisational readiness remains under-explored.</w:t>
      </w:r>
    </w:p>
    <w:p w14:paraId="5D2CE6D7" w14:textId="77777777" w:rsidR="003A447F" w:rsidRDefault="003A447F" w:rsidP="003A447F">
      <w:pPr>
        <w:pStyle w:val="NormalWeb"/>
        <w:spacing w:line="360" w:lineRule="auto"/>
        <w:jc w:val="both"/>
      </w:pPr>
      <w:r>
        <w:t xml:space="preserve">In an age of increasing regulation, the need for governance has been further highlighted. In a broader policy environment, </w:t>
      </w:r>
      <w:proofErr w:type="spellStart"/>
      <w:r>
        <w:t>Mirishli</w:t>
      </w:r>
      <w:proofErr w:type="spellEnd"/>
      <w:r>
        <w:t xml:space="preserve"> (2025) explores how law affects ethical considerations in the use of AI in corporate governance and how organisations face a growing need for internal governance practices to conform to what are increasingly changing legal requirements at a national and international level. Likewise, policy-relevant research in Applied A</w:t>
      </w:r>
      <w:r w:rsidR="00F2081E">
        <w:t xml:space="preserve">rtificial </w:t>
      </w:r>
      <w:proofErr w:type="spellStart"/>
      <w:r w:rsidR="00F2081E">
        <w:t>Intelligencem</w:t>
      </w:r>
      <w:proofErr w:type="spellEnd"/>
      <w:r w:rsidR="00F2081E">
        <w:t>, Taylor and Francis</w:t>
      </w:r>
      <w:r>
        <w:t xml:space="preserve">, </w:t>
      </w:r>
      <w:r w:rsidR="00F2081E">
        <w:t>(</w:t>
      </w:r>
      <w:r>
        <w:t>2025</w:t>
      </w:r>
      <w:r w:rsidR="00F2081E">
        <w:t>)</w:t>
      </w:r>
      <w:r>
        <w:t xml:space="preserve"> argues for building such guarantees into well-designed processes for the development of AI to reinforce responsible innovation. The studies illustrate the significantly increased levels of regulatory interest that have arisen in recent years in governance issues around AI. </w:t>
      </w:r>
    </w:p>
    <w:p w14:paraId="1EA0A8CA" w14:textId="2E53AE0F" w:rsidR="003A447F" w:rsidRPr="009035B7" w:rsidRDefault="003A447F" w:rsidP="003A447F">
      <w:pPr>
        <w:pStyle w:val="Heading2"/>
        <w:rPr>
          <w:i w:val="0"/>
          <w:iCs/>
        </w:rPr>
      </w:pPr>
      <w:bookmarkStart w:id="6" w:name="_Toc235996241"/>
      <w:r>
        <w:t>3</w:t>
      </w:r>
      <w:r w:rsidR="009035B7">
        <w:t>.5</w:t>
      </w:r>
      <w:r>
        <w:t xml:space="preserve"> </w:t>
      </w:r>
      <w:r w:rsidRPr="009035B7">
        <w:rPr>
          <w:i w:val="0"/>
          <w:iCs/>
        </w:rPr>
        <w:t>Critical Synthesis: Identifying the Gaps</w:t>
      </w:r>
      <w:bookmarkEnd w:id="6"/>
    </w:p>
    <w:p w14:paraId="14780954" w14:textId="5F415A70" w:rsidR="00BF34F4" w:rsidRPr="00624648" w:rsidRDefault="00BF34F4" w:rsidP="00624648">
      <w:pPr>
        <w:spacing w:line="360" w:lineRule="auto"/>
        <w:rPr>
          <w:rFonts w:ascii="Times New Roman" w:hAnsi="Times New Roman" w:cs="Times New Roman"/>
          <w:sz w:val="24"/>
          <w:szCs w:val="24"/>
        </w:rPr>
      </w:pPr>
      <w:r w:rsidRPr="00624648">
        <w:rPr>
          <w:rFonts w:ascii="Times New Roman" w:hAnsi="Times New Roman" w:cs="Times New Roman"/>
          <w:sz w:val="24"/>
          <w:szCs w:val="24"/>
        </w:rPr>
        <w:lastRenderedPageBreak/>
        <w:t xml:space="preserve">Although there is a large body of evidence, methodological limitations are present in the literature as well. First, a common survey design is cross-sectional, which restricts evidence for the causal effect of trust on, and restricted evidence for trust leading to, adoption (e.g., Zhang </w:t>
      </w:r>
      <w:r w:rsidRPr="00624648">
        <w:rPr>
          <w:rFonts w:ascii="Times New Roman" w:hAnsi="Times New Roman" w:cs="Times New Roman"/>
          <w:i/>
          <w:sz w:val="24"/>
          <w:szCs w:val="24"/>
        </w:rPr>
        <w:t>et al</w:t>
      </w:r>
      <w:r w:rsidRPr="00624648">
        <w:rPr>
          <w:rFonts w:ascii="Times New Roman" w:hAnsi="Times New Roman" w:cs="Times New Roman"/>
          <w:sz w:val="24"/>
          <w:szCs w:val="24"/>
        </w:rPr>
        <w:t xml:space="preserve">., 2025; Qin </w:t>
      </w:r>
      <w:r w:rsidRPr="00624648">
        <w:rPr>
          <w:rFonts w:ascii="Times New Roman" w:hAnsi="Times New Roman" w:cs="Times New Roman"/>
          <w:i/>
          <w:sz w:val="24"/>
          <w:szCs w:val="24"/>
        </w:rPr>
        <w:t>et al</w:t>
      </w:r>
      <w:r w:rsidRPr="00624648">
        <w:rPr>
          <w:rFonts w:ascii="Times New Roman" w:hAnsi="Times New Roman" w:cs="Times New Roman"/>
          <w:sz w:val="24"/>
          <w:szCs w:val="24"/>
        </w:rPr>
        <w:t xml:space="preserve">., 2023). Second, most studies related to TAM/UTAUT control factors do not include the trust and ethical governance factors, resulting in an incomplete model for explaining adoption outcomes, as done in Song, </w:t>
      </w:r>
      <w:proofErr w:type="spellStart"/>
      <w:r w:rsidRPr="00624648">
        <w:rPr>
          <w:rFonts w:ascii="Times New Roman" w:hAnsi="Times New Roman" w:cs="Times New Roman"/>
          <w:sz w:val="24"/>
          <w:szCs w:val="24"/>
        </w:rPr>
        <w:t>Qiu</w:t>
      </w:r>
      <w:proofErr w:type="spellEnd"/>
      <w:r w:rsidRPr="00624648">
        <w:rPr>
          <w:rFonts w:ascii="Times New Roman" w:hAnsi="Times New Roman" w:cs="Times New Roman"/>
          <w:sz w:val="24"/>
          <w:szCs w:val="24"/>
        </w:rPr>
        <w:t xml:space="preserve"> and Liu (2025). </w:t>
      </w:r>
      <w:r w:rsidR="00624648" w:rsidRPr="00624648">
        <w:rPr>
          <w:rFonts w:ascii="Times New Roman" w:hAnsi="Times New Roman" w:cs="Times New Roman"/>
          <w:sz w:val="24"/>
          <w:szCs w:val="24"/>
        </w:rPr>
        <w:t>Thirdly, some reviews are based on the synthesis of research (bibliometric or narrative) instead of data from primary studies, which does not validate their conclusions as they only describe research processes and portray a trend of the research but do not test the causal mechanisms (</w:t>
      </w:r>
      <w:proofErr w:type="spellStart"/>
      <w:r w:rsidR="00624648" w:rsidRPr="00624648">
        <w:rPr>
          <w:rFonts w:ascii="Times New Roman" w:hAnsi="Times New Roman" w:cs="Times New Roman"/>
          <w:sz w:val="24"/>
          <w:szCs w:val="24"/>
        </w:rPr>
        <w:t>Soulami</w:t>
      </w:r>
      <w:proofErr w:type="spellEnd"/>
      <w:r w:rsidR="00624648" w:rsidRPr="00624648">
        <w:rPr>
          <w:rFonts w:ascii="Times New Roman" w:hAnsi="Times New Roman" w:cs="Times New Roman"/>
          <w:sz w:val="24"/>
          <w:szCs w:val="24"/>
        </w:rPr>
        <w:t xml:space="preserve">, </w:t>
      </w:r>
      <w:proofErr w:type="spellStart"/>
      <w:r w:rsidR="00624648" w:rsidRPr="00624648">
        <w:rPr>
          <w:rFonts w:ascii="Times New Roman" w:hAnsi="Times New Roman" w:cs="Times New Roman"/>
          <w:sz w:val="24"/>
          <w:szCs w:val="24"/>
        </w:rPr>
        <w:t>Benchekroun</w:t>
      </w:r>
      <w:proofErr w:type="spellEnd"/>
      <w:r w:rsidR="00624648" w:rsidRPr="00624648">
        <w:rPr>
          <w:rFonts w:ascii="Times New Roman" w:hAnsi="Times New Roman" w:cs="Times New Roman"/>
          <w:sz w:val="24"/>
          <w:szCs w:val="24"/>
        </w:rPr>
        <w:t xml:space="preserve"> and </w:t>
      </w:r>
      <w:proofErr w:type="spellStart"/>
      <w:r w:rsidR="00624648" w:rsidRPr="00624648">
        <w:rPr>
          <w:rFonts w:ascii="Times New Roman" w:hAnsi="Times New Roman" w:cs="Times New Roman"/>
          <w:sz w:val="24"/>
          <w:szCs w:val="24"/>
        </w:rPr>
        <w:t>Galiulina</w:t>
      </w:r>
      <w:proofErr w:type="spellEnd"/>
      <w:r w:rsidR="00624648" w:rsidRPr="00624648">
        <w:rPr>
          <w:rFonts w:ascii="Times New Roman" w:hAnsi="Times New Roman" w:cs="Times New Roman"/>
          <w:sz w:val="24"/>
          <w:szCs w:val="24"/>
        </w:rPr>
        <w:t xml:space="preserve">, 2024; </w:t>
      </w:r>
      <w:proofErr w:type="spellStart"/>
      <w:r w:rsidR="00624648" w:rsidRPr="00624648">
        <w:rPr>
          <w:rFonts w:ascii="Times New Roman" w:hAnsi="Times New Roman" w:cs="Times New Roman"/>
          <w:sz w:val="24"/>
          <w:szCs w:val="24"/>
        </w:rPr>
        <w:t>Cramarenco</w:t>
      </w:r>
      <w:proofErr w:type="spellEnd"/>
      <w:r w:rsidR="00624648" w:rsidRPr="00624648">
        <w:rPr>
          <w:rFonts w:ascii="Times New Roman" w:hAnsi="Times New Roman" w:cs="Times New Roman"/>
          <w:sz w:val="24"/>
          <w:szCs w:val="24"/>
        </w:rPr>
        <w:t xml:space="preserve">, </w:t>
      </w:r>
      <w:proofErr w:type="spellStart"/>
      <w:r w:rsidR="00624648" w:rsidRPr="00624648">
        <w:rPr>
          <w:rFonts w:ascii="Times New Roman" w:hAnsi="Times New Roman" w:cs="Times New Roman"/>
          <w:sz w:val="24"/>
          <w:szCs w:val="24"/>
        </w:rPr>
        <w:t>Burcă-Voicu</w:t>
      </w:r>
      <w:proofErr w:type="spellEnd"/>
      <w:r w:rsidR="00624648" w:rsidRPr="00624648">
        <w:rPr>
          <w:rFonts w:ascii="Times New Roman" w:hAnsi="Times New Roman" w:cs="Times New Roman"/>
          <w:sz w:val="24"/>
          <w:szCs w:val="24"/>
        </w:rPr>
        <w:t xml:space="preserve"> and </w:t>
      </w:r>
      <w:proofErr w:type="spellStart"/>
      <w:r w:rsidR="00624648" w:rsidRPr="00624648">
        <w:rPr>
          <w:rFonts w:ascii="Times New Roman" w:hAnsi="Times New Roman" w:cs="Times New Roman"/>
          <w:sz w:val="24"/>
          <w:szCs w:val="24"/>
        </w:rPr>
        <w:t>Dabija</w:t>
      </w:r>
      <w:proofErr w:type="spellEnd"/>
      <w:r w:rsidR="00624648" w:rsidRPr="00624648">
        <w:rPr>
          <w:rFonts w:ascii="Times New Roman" w:hAnsi="Times New Roman" w:cs="Times New Roman"/>
          <w:sz w:val="24"/>
          <w:szCs w:val="24"/>
        </w:rPr>
        <w:t>, 2023; Yam et al., 2023) .</w:t>
      </w:r>
      <w:r w:rsidRPr="00624648">
        <w:rPr>
          <w:rFonts w:ascii="Times New Roman" w:hAnsi="Times New Roman" w:cs="Times New Roman"/>
          <w:sz w:val="24"/>
          <w:szCs w:val="24"/>
        </w:rPr>
        <w:t xml:space="preserve">Fourth, there is a sector bias; STARA studies have a very strong focus in the context of hospitality and gig-economy enterprises (Brougham and </w:t>
      </w:r>
      <w:proofErr w:type="spellStart"/>
      <w:r w:rsidRPr="00624648">
        <w:rPr>
          <w:rFonts w:ascii="Times New Roman" w:hAnsi="Times New Roman" w:cs="Times New Roman"/>
          <w:sz w:val="24"/>
          <w:szCs w:val="24"/>
        </w:rPr>
        <w:t>Haar</w:t>
      </w:r>
      <w:proofErr w:type="spellEnd"/>
      <w:r w:rsidRPr="00624648">
        <w:rPr>
          <w:rFonts w:ascii="Times New Roman" w:hAnsi="Times New Roman" w:cs="Times New Roman"/>
          <w:sz w:val="24"/>
          <w:szCs w:val="24"/>
        </w:rPr>
        <w:t>, 2018; Bujold, Parent-</w:t>
      </w:r>
      <w:proofErr w:type="spellStart"/>
      <w:r w:rsidRPr="00624648">
        <w:rPr>
          <w:rFonts w:ascii="Times New Roman" w:hAnsi="Times New Roman" w:cs="Times New Roman"/>
          <w:sz w:val="24"/>
          <w:szCs w:val="24"/>
        </w:rPr>
        <w:t>Rocheleau</w:t>
      </w:r>
      <w:proofErr w:type="spellEnd"/>
      <w:r w:rsidRPr="00624648">
        <w:rPr>
          <w:rFonts w:ascii="Times New Roman" w:hAnsi="Times New Roman" w:cs="Times New Roman"/>
          <w:sz w:val="24"/>
          <w:szCs w:val="24"/>
        </w:rPr>
        <w:t xml:space="preserve"> and Gaudet, 2022), making them less generalisable to knowledge-intensive or professional-service organisations.</w:t>
      </w:r>
      <w:r w:rsidR="00F521F9">
        <w:rPr>
          <w:rFonts w:ascii="Times New Roman" w:hAnsi="Times New Roman" w:cs="Times New Roman"/>
          <w:sz w:val="24"/>
          <w:szCs w:val="24"/>
        </w:rPr>
        <w:t xml:space="preserve"> </w:t>
      </w:r>
      <w:proofErr w:type="gramStart"/>
      <w:r w:rsidR="00F521F9">
        <w:rPr>
          <w:rFonts w:ascii="Times New Roman" w:hAnsi="Times New Roman" w:cs="Times New Roman"/>
          <w:sz w:val="24"/>
          <w:szCs w:val="24"/>
        </w:rPr>
        <w:t xml:space="preserve">Finally </w:t>
      </w:r>
      <w:r w:rsidRPr="00624648">
        <w:rPr>
          <w:rFonts w:ascii="Times New Roman" w:hAnsi="Times New Roman" w:cs="Times New Roman"/>
          <w:sz w:val="24"/>
          <w:szCs w:val="24"/>
        </w:rPr>
        <w:t>,</w:t>
      </w:r>
      <w:proofErr w:type="gramEnd"/>
      <w:r w:rsidRPr="00624648">
        <w:rPr>
          <w:rFonts w:ascii="Times New Roman" w:hAnsi="Times New Roman" w:cs="Times New Roman"/>
          <w:sz w:val="24"/>
          <w:szCs w:val="24"/>
        </w:rPr>
        <w:t xml:space="preserve"> most of the trust instruments (e.g. Lee and See, 2004; Hoff and Bashir, 2015) had been designed to suit human-automation interaction as a whole instead of organisational AI as a particular type. This created construct-validity issues due to applying an instrument directly as designed to organizational settings. These weaknesses collectively place the findings in the current literature in a state where, although they are each of likely quality, they are not yet amenable to making strong conclusions about the causal path from readiness to workforce acceptance via governance and trust.</w:t>
      </w:r>
    </w:p>
    <w:p w14:paraId="5C0A9AFA" w14:textId="77777777" w:rsidR="00BF34F4" w:rsidRPr="00BF34F4" w:rsidRDefault="00BF34F4" w:rsidP="00BF34F4">
      <w:pPr>
        <w:spacing w:line="360" w:lineRule="auto"/>
        <w:jc w:val="both"/>
        <w:rPr>
          <w:rFonts w:ascii="Times New Roman" w:hAnsi="Times New Roman" w:cs="Times New Roman"/>
          <w:color w:val="000000" w:themeColor="text1"/>
          <w:sz w:val="24"/>
        </w:rPr>
      </w:pPr>
      <w:r w:rsidRPr="00BF34F4">
        <w:rPr>
          <w:rFonts w:ascii="Times New Roman" w:hAnsi="Times New Roman" w:cs="Times New Roman"/>
          <w:color w:val="000000" w:themeColor="text1"/>
          <w:sz w:val="24"/>
        </w:rPr>
        <w:t>The solutions to this review reveal three intersecting gaps. The first is a theoretical gap; the adoption models and trust models have progressed largely in parallel, with few studies combining the two concepts in one model to explain the adoption of organisational AI. Second, there exists a governance gap: In the absence of empirical connections to the outcomes of employees' trust, ethical AI principles (</w:t>
      </w:r>
      <w:proofErr w:type="spellStart"/>
      <w:r w:rsidRPr="00BF34F4">
        <w:rPr>
          <w:rFonts w:ascii="Times New Roman" w:hAnsi="Times New Roman" w:cs="Times New Roman"/>
          <w:color w:val="000000" w:themeColor="text1"/>
          <w:sz w:val="24"/>
        </w:rPr>
        <w:t>Floridi</w:t>
      </w:r>
      <w:proofErr w:type="spellEnd"/>
      <w:r w:rsidRPr="00BF34F4">
        <w:rPr>
          <w:rFonts w:ascii="Times New Roman" w:hAnsi="Times New Roman" w:cs="Times New Roman"/>
          <w:color w:val="000000" w:themeColor="text1"/>
          <w:sz w:val="24"/>
        </w:rPr>
        <w:t xml:space="preserve"> and Cowls, 2019) are rarely correlated with trust outcomes (</w:t>
      </w:r>
      <w:proofErr w:type="spellStart"/>
      <w:r w:rsidRPr="00BF34F4">
        <w:rPr>
          <w:rFonts w:ascii="Times New Roman" w:hAnsi="Times New Roman" w:cs="Times New Roman"/>
          <w:color w:val="000000" w:themeColor="text1"/>
          <w:sz w:val="24"/>
        </w:rPr>
        <w:t>Mittelstadt</w:t>
      </w:r>
      <w:proofErr w:type="spellEnd"/>
      <w:r w:rsidRPr="00BF34F4">
        <w:rPr>
          <w:rFonts w:ascii="Times New Roman" w:hAnsi="Times New Roman" w:cs="Times New Roman"/>
          <w:color w:val="000000" w:themeColor="text1"/>
          <w:sz w:val="24"/>
        </w:rPr>
        <w:t xml:space="preserve"> 2019). Third, a situational gap: there is a focus in workforce acceptance studies on certain sectors, e.g., retail, the hospitality sector and gig platforms, whilst career organisational readiness studies in professional and knowledge-work settings are more limited.</w:t>
      </w:r>
    </w:p>
    <w:p w14:paraId="1DE86341" w14:textId="77777777" w:rsidR="00BF34F4" w:rsidRPr="00BF34F4" w:rsidRDefault="00BF34F4" w:rsidP="00BF34F4">
      <w:pPr>
        <w:spacing w:line="360" w:lineRule="auto"/>
        <w:jc w:val="both"/>
        <w:rPr>
          <w:rFonts w:ascii="Times New Roman" w:hAnsi="Times New Roman" w:cs="Times New Roman"/>
          <w:color w:val="000000" w:themeColor="text1"/>
          <w:sz w:val="24"/>
        </w:rPr>
      </w:pPr>
      <w:r w:rsidRPr="00BF34F4">
        <w:rPr>
          <w:rFonts w:ascii="Times New Roman" w:hAnsi="Times New Roman" w:cs="Times New Roman"/>
          <w:color w:val="000000" w:themeColor="text1"/>
          <w:sz w:val="24"/>
        </w:rPr>
        <w:t xml:space="preserve">Combined, the literature indicates that employee trust is not an ‘add-on' to the value of AI adoption, but rather a major mediating influence between readiness, ethical management, and the acceptance of AI within the workforce. Technology acceptance models are used to describe intention to use AI but do not offer much insight into the process by which trust </w:t>
      </w:r>
      <w:r w:rsidRPr="00BF34F4">
        <w:rPr>
          <w:rFonts w:ascii="Times New Roman" w:hAnsi="Times New Roman" w:cs="Times New Roman"/>
          <w:color w:val="000000" w:themeColor="text1"/>
          <w:sz w:val="24"/>
        </w:rPr>
        <w:lastRenderedPageBreak/>
        <w:t xml:space="preserve">develops or does not develop; trust theory offers insight into the psychological process, but rarely comes with a toolset that is incorporated into the readiness assessment process; algorithmic management research aspects the downstream impacts on the workforce but not always the upstream process of governance readiness and failure. The split result suggests that a bottom-up, integrative model is needed that sees readiness, governance and trust as successive and mutually related, and not separate constructs, enabling an explanation not only of how employees arrive at a point of trust, tolerance or rejection of AI. Another recommendation is that organisational readiness should be reframed as a 'trust-building process' instead of a checklist of activities before new adoption, because the concept of 'trust' evolves into a living process, expressed through governance signals, leadership </w:t>
      </w:r>
      <w:proofErr w:type="spellStart"/>
      <w:r w:rsidRPr="00BF34F4">
        <w:rPr>
          <w:rFonts w:ascii="Times New Roman" w:hAnsi="Times New Roman" w:cs="Times New Roman"/>
          <w:color w:val="000000" w:themeColor="text1"/>
          <w:sz w:val="24"/>
        </w:rPr>
        <w:t>behavior</w:t>
      </w:r>
      <w:proofErr w:type="spellEnd"/>
      <w:r w:rsidRPr="00BF34F4">
        <w:rPr>
          <w:rFonts w:ascii="Times New Roman" w:hAnsi="Times New Roman" w:cs="Times New Roman"/>
          <w:color w:val="000000" w:themeColor="text1"/>
          <w:sz w:val="24"/>
        </w:rPr>
        <w:t>, and the system's experiences of being used.</w:t>
      </w:r>
    </w:p>
    <w:p w14:paraId="773486CE" w14:textId="77777777" w:rsidR="00BF34F4" w:rsidRDefault="00BF34F4" w:rsidP="00BF34F4">
      <w:pPr>
        <w:spacing w:line="360" w:lineRule="auto"/>
        <w:jc w:val="both"/>
        <w:rPr>
          <w:rFonts w:ascii="Times New Roman" w:hAnsi="Times New Roman" w:cs="Times New Roman"/>
          <w:color w:val="000000" w:themeColor="text1"/>
          <w:sz w:val="24"/>
        </w:rPr>
      </w:pPr>
      <w:r w:rsidRPr="00BF34F4">
        <w:rPr>
          <w:rFonts w:ascii="Times New Roman" w:hAnsi="Times New Roman" w:cs="Times New Roman"/>
          <w:color w:val="000000" w:themeColor="text1"/>
          <w:sz w:val="24"/>
        </w:rPr>
        <w:t xml:space="preserve">The existing empirical studies only pay partial attention to some of the determinants of the workers' acceptance of AI, such as organisational readiness, ethically robust governance mechanisms and trust in the organisation, rather than to all three determinants together. Empirical studies of workforce acceptance of AI have only focused on selected aspects of organisational readiness, ethically sound governance structures, and the influence of trust within the organisation as separate factors. Past research rarely tests multiple constructs simultaneously, and the interaction of various constructs, as well as their explanatory power, are little explored. This is the middle void identified in this study. </w:t>
      </w:r>
    </w:p>
    <w:p w14:paraId="35249701" w14:textId="5B6B8F20" w:rsidR="00BF34F4" w:rsidRPr="00BF34F4" w:rsidRDefault="009035B7" w:rsidP="00BF34F4">
      <w:pPr>
        <w:pStyle w:val="Heading2"/>
      </w:pPr>
      <w:bookmarkStart w:id="7" w:name="_Toc235996242"/>
      <w:r>
        <w:t>3.6</w:t>
      </w:r>
      <w:r w:rsidR="00C66DC3">
        <w:t xml:space="preserve"> </w:t>
      </w:r>
      <w:r w:rsidR="00BF34F4" w:rsidRPr="009035B7">
        <w:rPr>
          <w:i w:val="0"/>
          <w:iCs/>
        </w:rPr>
        <w:t>Research Questions</w:t>
      </w:r>
      <w:bookmarkEnd w:id="7"/>
    </w:p>
    <w:p w14:paraId="57C1D91A" w14:textId="77777777" w:rsidR="00BF34F4" w:rsidRPr="00BF34F4" w:rsidRDefault="00BF34F4" w:rsidP="00BF34F4">
      <w:pPr>
        <w:spacing w:line="360" w:lineRule="auto"/>
        <w:rPr>
          <w:rFonts w:ascii="Times New Roman" w:hAnsi="Times New Roman" w:cs="Times New Roman"/>
          <w:sz w:val="24"/>
          <w:szCs w:val="24"/>
        </w:rPr>
      </w:pPr>
      <w:r w:rsidRPr="00BF34F4">
        <w:rPr>
          <w:rFonts w:ascii="Times New Roman" w:hAnsi="Times New Roman" w:cs="Times New Roman"/>
          <w:b/>
          <w:bCs/>
          <w:sz w:val="24"/>
          <w:szCs w:val="24"/>
        </w:rPr>
        <w:t xml:space="preserve">RQ1: </w:t>
      </w:r>
      <w:r w:rsidRPr="00BF34F4">
        <w:rPr>
          <w:rFonts w:ascii="Times New Roman" w:hAnsi="Times New Roman" w:cs="Times New Roman"/>
          <w:sz w:val="24"/>
          <w:szCs w:val="24"/>
        </w:rPr>
        <w:t>To what extent does organisational readiness, including leadership support, resource allocation and cultural alignment, influence employee trust in AI systems within organisations?</w:t>
      </w:r>
    </w:p>
    <w:p w14:paraId="42B2AF2F" w14:textId="77777777" w:rsidR="00BF34F4" w:rsidRPr="00BF34F4" w:rsidRDefault="00BF34F4" w:rsidP="00BF34F4">
      <w:pPr>
        <w:spacing w:line="360" w:lineRule="auto"/>
        <w:rPr>
          <w:rFonts w:ascii="Times New Roman" w:hAnsi="Times New Roman" w:cs="Times New Roman"/>
          <w:sz w:val="24"/>
          <w:szCs w:val="24"/>
        </w:rPr>
      </w:pPr>
      <w:r w:rsidRPr="00BF34F4">
        <w:rPr>
          <w:rFonts w:ascii="Times New Roman" w:hAnsi="Times New Roman" w:cs="Times New Roman"/>
          <w:b/>
          <w:bCs/>
          <w:sz w:val="24"/>
          <w:szCs w:val="24"/>
        </w:rPr>
        <w:t xml:space="preserve">RQ2: </w:t>
      </w:r>
      <w:r w:rsidRPr="00BF34F4">
        <w:rPr>
          <w:rFonts w:ascii="Times New Roman" w:hAnsi="Times New Roman" w:cs="Times New Roman"/>
          <w:sz w:val="24"/>
          <w:szCs w:val="24"/>
        </w:rPr>
        <w:t>How do ethical AI governance mechanisms, such as transparency, accountability and fairness, shape employees' trust in and acceptance of AI-supported decision-making?</w:t>
      </w:r>
    </w:p>
    <w:p w14:paraId="5BF777C3" w14:textId="77777777" w:rsidR="00BF34F4" w:rsidRPr="00BF34F4" w:rsidRDefault="00BF34F4" w:rsidP="00BF34F4">
      <w:pPr>
        <w:spacing w:line="360" w:lineRule="auto"/>
        <w:rPr>
          <w:rFonts w:ascii="Times New Roman" w:hAnsi="Times New Roman" w:cs="Times New Roman"/>
          <w:sz w:val="24"/>
          <w:szCs w:val="24"/>
        </w:rPr>
      </w:pPr>
      <w:r w:rsidRPr="00BF34F4">
        <w:rPr>
          <w:rFonts w:ascii="Times New Roman" w:hAnsi="Times New Roman" w:cs="Times New Roman"/>
          <w:b/>
          <w:bCs/>
          <w:sz w:val="24"/>
          <w:szCs w:val="24"/>
        </w:rPr>
        <w:t xml:space="preserve">RQ3: </w:t>
      </w:r>
      <w:r w:rsidRPr="00BF34F4">
        <w:rPr>
          <w:rFonts w:ascii="Times New Roman" w:hAnsi="Times New Roman" w:cs="Times New Roman"/>
          <w:sz w:val="24"/>
          <w:szCs w:val="24"/>
        </w:rPr>
        <w:t>What role does employee trust play in mediating the relationship between organisational AI readiness and workforce acceptance of AI adoption?</w:t>
      </w:r>
    </w:p>
    <w:p w14:paraId="3FBA5DF0" w14:textId="644DEA84" w:rsidR="00BF34F4" w:rsidRDefault="00BF34F4" w:rsidP="00BF34F4">
      <w:pPr>
        <w:spacing w:line="360" w:lineRule="auto"/>
        <w:rPr>
          <w:rFonts w:ascii="Times New Roman" w:hAnsi="Times New Roman" w:cs="Times New Roman"/>
          <w:sz w:val="24"/>
          <w:szCs w:val="24"/>
        </w:rPr>
      </w:pPr>
      <w:r w:rsidRPr="00BF34F4">
        <w:rPr>
          <w:rFonts w:ascii="Times New Roman" w:hAnsi="Times New Roman" w:cs="Times New Roman"/>
          <w:b/>
          <w:bCs/>
          <w:sz w:val="24"/>
          <w:szCs w:val="24"/>
        </w:rPr>
        <w:t xml:space="preserve">RQ4: </w:t>
      </w:r>
      <w:r w:rsidRPr="00BF34F4">
        <w:rPr>
          <w:rFonts w:ascii="Times New Roman" w:hAnsi="Times New Roman" w:cs="Times New Roman"/>
          <w:sz w:val="24"/>
          <w:szCs w:val="24"/>
        </w:rPr>
        <w:t>How do these dynamics differ across organisational contexts, for example between knowledge-intensive and operational or frontline settings?</w:t>
      </w:r>
    </w:p>
    <w:p w14:paraId="1C2AB5A1" w14:textId="743C0EA9" w:rsidR="009C1BFD" w:rsidRPr="009035B7" w:rsidRDefault="009035B7" w:rsidP="00BF34F4">
      <w:pPr>
        <w:spacing w:line="360" w:lineRule="auto"/>
        <w:rPr>
          <w:rFonts w:ascii="Times New Roman" w:hAnsi="Times New Roman" w:cs="Times New Roman"/>
          <w:bCs/>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bCs/>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4. </w:t>
      </w:r>
      <w:r w:rsidR="009C1BFD" w:rsidRPr="009035B7">
        <w:rPr>
          <w:rFonts w:ascii="Times New Roman" w:hAnsi="Times New Roman" w:cs="Times New Roman"/>
          <w:bCs/>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Reference List </w:t>
      </w:r>
      <w:proofErr w:type="gramStart"/>
      <w:r w:rsidR="009C1BFD" w:rsidRPr="009035B7">
        <w:rPr>
          <w:rFonts w:ascii="Times New Roman" w:hAnsi="Times New Roman" w:cs="Times New Roman"/>
          <w:bCs/>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For</w:t>
      </w:r>
      <w:proofErr w:type="gramEnd"/>
      <w:r w:rsidR="009C1BFD" w:rsidRPr="009035B7">
        <w:rPr>
          <w:rFonts w:ascii="Times New Roman" w:hAnsi="Times New Roman" w:cs="Times New Roman"/>
          <w:bCs/>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Preliminary Literature Review:</w:t>
      </w:r>
    </w:p>
    <w:p w14:paraId="4B05BDE1" w14:textId="624F1A33" w:rsidR="00AD124C" w:rsidRPr="00AD124C" w:rsidRDefault="00AD124C" w:rsidP="00AD124C">
      <w:pPr>
        <w:pStyle w:val="ListParagraph"/>
        <w:numPr>
          <w:ilvl w:val="0"/>
          <w:numId w:val="7"/>
        </w:numPr>
        <w:spacing w:before="100" w:beforeAutospacing="1" w:after="100" w:afterAutospacing="1" w:line="360" w:lineRule="auto"/>
        <w:rPr>
          <w:rFonts w:ascii="Times New Roman" w:eastAsia="Times New Roman" w:hAnsi="Times New Roman" w:cs="Times New Roman"/>
          <w:sz w:val="24"/>
          <w:szCs w:val="24"/>
          <w:lang w:val="en-GB" w:eastAsia="en-GB"/>
        </w:rPr>
      </w:pPr>
      <w:proofErr w:type="spellStart"/>
      <w:r w:rsidRPr="00AD124C">
        <w:rPr>
          <w:rFonts w:ascii="Times New Roman" w:eastAsia="Times New Roman" w:hAnsi="Times New Roman" w:cs="Times New Roman"/>
          <w:sz w:val="24"/>
          <w:szCs w:val="24"/>
          <w:lang w:val="en-GB" w:eastAsia="en-GB"/>
        </w:rPr>
        <w:lastRenderedPageBreak/>
        <w:t>Bedué</w:t>
      </w:r>
      <w:proofErr w:type="spellEnd"/>
      <w:r w:rsidRPr="00AD124C">
        <w:rPr>
          <w:rFonts w:ascii="Times New Roman" w:eastAsia="Times New Roman" w:hAnsi="Times New Roman" w:cs="Times New Roman"/>
          <w:sz w:val="24"/>
          <w:szCs w:val="24"/>
          <w:lang w:val="en-GB" w:eastAsia="en-GB"/>
        </w:rPr>
        <w:t xml:space="preserve">, P. and </w:t>
      </w:r>
      <w:proofErr w:type="spellStart"/>
      <w:r w:rsidRPr="00AD124C">
        <w:rPr>
          <w:rFonts w:ascii="Times New Roman" w:eastAsia="Times New Roman" w:hAnsi="Times New Roman" w:cs="Times New Roman"/>
          <w:sz w:val="24"/>
          <w:szCs w:val="24"/>
          <w:lang w:val="en-GB" w:eastAsia="en-GB"/>
        </w:rPr>
        <w:t>Fritzsche</w:t>
      </w:r>
      <w:proofErr w:type="spellEnd"/>
      <w:r w:rsidRPr="00AD124C">
        <w:rPr>
          <w:rFonts w:ascii="Times New Roman" w:eastAsia="Times New Roman" w:hAnsi="Times New Roman" w:cs="Times New Roman"/>
          <w:sz w:val="24"/>
          <w:szCs w:val="24"/>
          <w:lang w:val="en-GB" w:eastAsia="en-GB"/>
        </w:rPr>
        <w:t>, A. (2022) 'Can we trust AI? An empirical investigation of trust requirements and guide to successful AI adoption', Journal of Enterprise Information Management, 35(2), pp.530-549.</w:t>
      </w:r>
    </w:p>
    <w:p w14:paraId="3652388E" w14:textId="5B98530F" w:rsidR="00AD124C" w:rsidRPr="00AD124C" w:rsidRDefault="00AD124C" w:rsidP="00AD124C">
      <w:pPr>
        <w:pStyle w:val="ListParagraph"/>
        <w:numPr>
          <w:ilvl w:val="0"/>
          <w:numId w:val="7"/>
        </w:numPr>
        <w:spacing w:before="100" w:beforeAutospacing="1" w:after="100" w:afterAutospacing="1" w:line="360" w:lineRule="auto"/>
        <w:rPr>
          <w:rFonts w:ascii="Times New Roman" w:eastAsia="Times New Roman" w:hAnsi="Times New Roman" w:cs="Times New Roman"/>
          <w:sz w:val="24"/>
          <w:szCs w:val="24"/>
          <w:lang w:val="en-GB" w:eastAsia="en-GB"/>
        </w:rPr>
      </w:pPr>
      <w:r w:rsidRPr="00AD124C">
        <w:rPr>
          <w:rFonts w:ascii="Times New Roman" w:eastAsia="Times New Roman" w:hAnsi="Times New Roman" w:cs="Times New Roman"/>
          <w:sz w:val="24"/>
          <w:szCs w:val="24"/>
          <w:lang w:val="en-GB" w:eastAsia="en-GB"/>
        </w:rPr>
        <w:t xml:space="preserve">Brynjolfsson, E., Li, D. and Raymond, L. (2023) 'Generative AI at work', National Bureau of Economic Research Working Paper No. 31161. </w:t>
      </w:r>
      <w:proofErr w:type="gramStart"/>
      <w:r w:rsidRPr="00AD124C">
        <w:rPr>
          <w:rFonts w:ascii="Times New Roman" w:eastAsia="Times New Roman" w:hAnsi="Times New Roman" w:cs="Times New Roman"/>
          <w:sz w:val="24"/>
          <w:szCs w:val="24"/>
          <w:lang w:val="en-GB" w:eastAsia="en-GB"/>
        </w:rPr>
        <w:t>Also</w:t>
      </w:r>
      <w:proofErr w:type="gramEnd"/>
      <w:r w:rsidRPr="00AD124C">
        <w:rPr>
          <w:rFonts w:ascii="Times New Roman" w:eastAsia="Times New Roman" w:hAnsi="Times New Roman" w:cs="Times New Roman"/>
          <w:sz w:val="24"/>
          <w:szCs w:val="24"/>
          <w:lang w:val="en-GB" w:eastAsia="en-GB"/>
        </w:rPr>
        <w:t xml:space="preserve"> arXiv:2304.11771.</w:t>
      </w:r>
    </w:p>
    <w:p w14:paraId="0B5074EF" w14:textId="70046EE6" w:rsidR="00AD124C" w:rsidRPr="00AD124C" w:rsidRDefault="00AD124C" w:rsidP="00AD124C">
      <w:pPr>
        <w:pStyle w:val="ListParagraph"/>
        <w:numPr>
          <w:ilvl w:val="0"/>
          <w:numId w:val="7"/>
        </w:numPr>
        <w:spacing w:before="100" w:beforeAutospacing="1" w:after="100" w:afterAutospacing="1" w:line="360" w:lineRule="auto"/>
        <w:rPr>
          <w:rFonts w:ascii="Times New Roman" w:eastAsia="Times New Roman" w:hAnsi="Times New Roman" w:cs="Times New Roman"/>
          <w:sz w:val="24"/>
          <w:szCs w:val="24"/>
          <w:lang w:val="en-GB" w:eastAsia="en-GB"/>
        </w:rPr>
      </w:pPr>
      <w:r w:rsidRPr="00AD124C">
        <w:rPr>
          <w:rFonts w:ascii="Times New Roman" w:eastAsia="Times New Roman" w:hAnsi="Times New Roman" w:cs="Times New Roman"/>
          <w:sz w:val="24"/>
          <w:szCs w:val="24"/>
          <w:lang w:val="en-GB" w:eastAsia="en-GB"/>
        </w:rPr>
        <w:t>Camilleri, M.A. (2024) 'Artificial intelligence governance: ethical considerations and implications for social responsibility', Expert Systems, 41(7), e13406.</w:t>
      </w:r>
    </w:p>
    <w:p w14:paraId="28A2A408" w14:textId="5DFC3F8D" w:rsidR="00AD124C" w:rsidRPr="00AD124C" w:rsidRDefault="00AD124C" w:rsidP="00AD124C">
      <w:pPr>
        <w:pStyle w:val="ListParagraph"/>
        <w:numPr>
          <w:ilvl w:val="0"/>
          <w:numId w:val="7"/>
        </w:numPr>
        <w:spacing w:before="100" w:beforeAutospacing="1" w:after="100" w:afterAutospacing="1" w:line="360" w:lineRule="auto"/>
        <w:rPr>
          <w:rFonts w:ascii="Times New Roman" w:eastAsia="Times New Roman" w:hAnsi="Times New Roman" w:cs="Times New Roman"/>
          <w:sz w:val="24"/>
          <w:szCs w:val="24"/>
          <w:lang w:val="en-GB" w:eastAsia="en-GB"/>
        </w:rPr>
      </w:pPr>
      <w:r w:rsidRPr="00AD124C">
        <w:rPr>
          <w:rFonts w:ascii="Times New Roman" w:eastAsia="Times New Roman" w:hAnsi="Times New Roman" w:cs="Times New Roman"/>
          <w:sz w:val="24"/>
          <w:szCs w:val="24"/>
          <w:lang w:val="en-GB" w:eastAsia="en-GB"/>
        </w:rPr>
        <w:t xml:space="preserve">Chang, P.C., Zhang, W., Cai, Q. and Guo, H. (2024) 'Does AI-driven technostress promote or hinder employees’ artificial intelligence adoption intention? A moderated mediation model of affective reactions and technical self-efficacy', Psychology Research and </w:t>
      </w:r>
      <w:proofErr w:type="spellStart"/>
      <w:r w:rsidRPr="00AD124C">
        <w:rPr>
          <w:rFonts w:ascii="Times New Roman" w:eastAsia="Times New Roman" w:hAnsi="Times New Roman" w:cs="Times New Roman"/>
          <w:sz w:val="24"/>
          <w:szCs w:val="24"/>
          <w:lang w:val="en-GB" w:eastAsia="en-GB"/>
        </w:rPr>
        <w:t>Behavior</w:t>
      </w:r>
      <w:proofErr w:type="spellEnd"/>
      <w:r w:rsidRPr="00AD124C">
        <w:rPr>
          <w:rFonts w:ascii="Times New Roman" w:eastAsia="Times New Roman" w:hAnsi="Times New Roman" w:cs="Times New Roman"/>
          <w:sz w:val="24"/>
          <w:szCs w:val="24"/>
          <w:lang w:val="en-GB" w:eastAsia="en-GB"/>
        </w:rPr>
        <w:t xml:space="preserve"> Management, pp.413-427. </w:t>
      </w:r>
    </w:p>
    <w:p w14:paraId="027B8B05" w14:textId="3478DE1B" w:rsidR="00AD124C" w:rsidRPr="00AD124C" w:rsidRDefault="00AD124C" w:rsidP="00AD124C">
      <w:pPr>
        <w:pStyle w:val="ListParagraph"/>
        <w:numPr>
          <w:ilvl w:val="0"/>
          <w:numId w:val="7"/>
        </w:numPr>
        <w:spacing w:before="100" w:beforeAutospacing="1" w:after="100" w:afterAutospacing="1" w:line="360" w:lineRule="auto"/>
        <w:rPr>
          <w:rFonts w:ascii="Times New Roman" w:eastAsia="Times New Roman" w:hAnsi="Times New Roman" w:cs="Times New Roman"/>
          <w:sz w:val="24"/>
          <w:szCs w:val="24"/>
          <w:lang w:val="en-GB" w:eastAsia="en-GB"/>
        </w:rPr>
      </w:pPr>
      <w:r w:rsidRPr="00AD124C">
        <w:rPr>
          <w:rFonts w:ascii="Times New Roman" w:eastAsia="Times New Roman" w:hAnsi="Times New Roman" w:cs="Times New Roman"/>
          <w:sz w:val="24"/>
          <w:szCs w:val="24"/>
          <w:lang w:val="en-GB" w:eastAsia="en-GB"/>
        </w:rPr>
        <w:t>Choung, H., David, P. and Ross, A. (2023) 'Trust in AI and its role in the acceptance of AI technologies', International Journal of Human-Computer Interaction, 39(9), pp.1727-1739.</w:t>
      </w:r>
    </w:p>
    <w:p w14:paraId="5890F690" w14:textId="437C5E14" w:rsidR="00AD124C" w:rsidRPr="00AD124C" w:rsidRDefault="00AD124C" w:rsidP="00AD124C">
      <w:pPr>
        <w:pStyle w:val="ListParagraph"/>
        <w:numPr>
          <w:ilvl w:val="0"/>
          <w:numId w:val="7"/>
        </w:numPr>
        <w:spacing w:before="100" w:beforeAutospacing="1" w:after="100" w:afterAutospacing="1" w:line="360" w:lineRule="auto"/>
        <w:rPr>
          <w:rFonts w:ascii="Times New Roman" w:eastAsia="Times New Roman" w:hAnsi="Times New Roman" w:cs="Times New Roman"/>
          <w:sz w:val="24"/>
          <w:szCs w:val="24"/>
          <w:lang w:val="en-GB" w:eastAsia="en-GB"/>
        </w:rPr>
      </w:pPr>
      <w:proofErr w:type="spellStart"/>
      <w:r w:rsidRPr="00AD124C">
        <w:rPr>
          <w:rFonts w:ascii="Times New Roman" w:eastAsia="Times New Roman" w:hAnsi="Times New Roman" w:cs="Times New Roman"/>
          <w:sz w:val="24"/>
          <w:szCs w:val="24"/>
          <w:lang w:val="en-GB" w:eastAsia="en-GB"/>
        </w:rPr>
        <w:t>Dietvorst</w:t>
      </w:r>
      <w:proofErr w:type="spellEnd"/>
      <w:r w:rsidRPr="00AD124C">
        <w:rPr>
          <w:rFonts w:ascii="Times New Roman" w:eastAsia="Times New Roman" w:hAnsi="Times New Roman" w:cs="Times New Roman"/>
          <w:sz w:val="24"/>
          <w:szCs w:val="24"/>
          <w:lang w:val="en-GB" w:eastAsia="en-GB"/>
        </w:rPr>
        <w:t>, B.J., Simmons, J.P. and Massey, C. (2015) 'Algorithm aversion: people erroneously avoid algorithms after seeing them err', Journal of Experimental Psychology: General, 144(1), pp.114-126.</w:t>
      </w:r>
    </w:p>
    <w:p w14:paraId="4C4FD18C" w14:textId="0DCFEF8B" w:rsidR="00AD124C" w:rsidRPr="00AD124C" w:rsidRDefault="00AD124C" w:rsidP="00AD124C">
      <w:pPr>
        <w:pStyle w:val="ListParagraph"/>
        <w:numPr>
          <w:ilvl w:val="0"/>
          <w:numId w:val="7"/>
        </w:numPr>
        <w:spacing w:before="100" w:beforeAutospacing="1" w:after="100" w:afterAutospacing="1" w:line="360" w:lineRule="auto"/>
        <w:rPr>
          <w:rFonts w:ascii="Times New Roman" w:eastAsia="Times New Roman" w:hAnsi="Times New Roman" w:cs="Times New Roman"/>
          <w:sz w:val="24"/>
          <w:szCs w:val="24"/>
          <w:lang w:val="en-GB" w:eastAsia="en-GB"/>
        </w:rPr>
      </w:pPr>
      <w:proofErr w:type="spellStart"/>
      <w:r w:rsidRPr="00AD124C">
        <w:rPr>
          <w:rFonts w:ascii="Times New Roman" w:eastAsia="Times New Roman" w:hAnsi="Times New Roman" w:cs="Times New Roman"/>
          <w:sz w:val="24"/>
          <w:szCs w:val="24"/>
          <w:lang w:val="en-GB" w:eastAsia="en-GB"/>
        </w:rPr>
        <w:t>Glikson</w:t>
      </w:r>
      <w:proofErr w:type="spellEnd"/>
      <w:r w:rsidRPr="00AD124C">
        <w:rPr>
          <w:rFonts w:ascii="Times New Roman" w:eastAsia="Times New Roman" w:hAnsi="Times New Roman" w:cs="Times New Roman"/>
          <w:sz w:val="24"/>
          <w:szCs w:val="24"/>
          <w:lang w:val="en-GB" w:eastAsia="en-GB"/>
        </w:rPr>
        <w:t>, E. and Woolley, A.W. (2020) 'Human trust in artificial intelligence: review of empirical research', Academy of Management Annals, 14(2), pp.627-660.</w:t>
      </w:r>
    </w:p>
    <w:p w14:paraId="2D26D388" w14:textId="33169325" w:rsidR="00AD124C" w:rsidRPr="00AD124C" w:rsidRDefault="00AD124C" w:rsidP="00AD124C">
      <w:pPr>
        <w:pStyle w:val="ListParagraph"/>
        <w:numPr>
          <w:ilvl w:val="0"/>
          <w:numId w:val="7"/>
        </w:numPr>
        <w:spacing w:before="100" w:beforeAutospacing="1" w:after="100" w:afterAutospacing="1" w:line="360" w:lineRule="auto"/>
        <w:rPr>
          <w:rFonts w:ascii="Times New Roman" w:eastAsia="Times New Roman" w:hAnsi="Times New Roman" w:cs="Times New Roman"/>
          <w:sz w:val="24"/>
          <w:szCs w:val="24"/>
          <w:lang w:val="en-GB" w:eastAsia="en-GB"/>
        </w:rPr>
      </w:pPr>
      <w:r w:rsidRPr="00AD124C">
        <w:rPr>
          <w:rFonts w:ascii="Times New Roman" w:eastAsia="Times New Roman" w:hAnsi="Times New Roman" w:cs="Times New Roman"/>
          <w:sz w:val="24"/>
          <w:szCs w:val="24"/>
          <w:lang w:val="en-GB" w:eastAsia="en-GB"/>
        </w:rPr>
        <w:t xml:space="preserve">Jain, R., Garg, N. and </w:t>
      </w:r>
      <w:proofErr w:type="spellStart"/>
      <w:r w:rsidRPr="00AD124C">
        <w:rPr>
          <w:rFonts w:ascii="Times New Roman" w:eastAsia="Times New Roman" w:hAnsi="Times New Roman" w:cs="Times New Roman"/>
          <w:sz w:val="24"/>
          <w:szCs w:val="24"/>
          <w:lang w:val="en-GB" w:eastAsia="en-GB"/>
        </w:rPr>
        <w:t>Khera</w:t>
      </w:r>
      <w:proofErr w:type="spellEnd"/>
      <w:r w:rsidRPr="00AD124C">
        <w:rPr>
          <w:rFonts w:ascii="Times New Roman" w:eastAsia="Times New Roman" w:hAnsi="Times New Roman" w:cs="Times New Roman"/>
          <w:sz w:val="24"/>
          <w:szCs w:val="24"/>
          <w:lang w:val="en-GB" w:eastAsia="en-GB"/>
        </w:rPr>
        <w:t>, S.N. (2022) 'Adoption of AI-enabled tools in social development organizations in India: An extension of UTAUT model', Frontiers in Psychology, 13, p.893691.</w:t>
      </w:r>
    </w:p>
    <w:p w14:paraId="458DE2EB" w14:textId="058B0AEB" w:rsidR="00AD124C" w:rsidRPr="00AD124C" w:rsidRDefault="00AD124C" w:rsidP="00AD124C">
      <w:pPr>
        <w:pStyle w:val="ListParagraph"/>
        <w:numPr>
          <w:ilvl w:val="0"/>
          <w:numId w:val="7"/>
        </w:numPr>
        <w:spacing w:before="100" w:beforeAutospacing="1" w:after="100" w:afterAutospacing="1" w:line="360" w:lineRule="auto"/>
        <w:rPr>
          <w:rFonts w:ascii="Times New Roman" w:eastAsia="Times New Roman" w:hAnsi="Times New Roman" w:cs="Times New Roman"/>
          <w:sz w:val="24"/>
          <w:szCs w:val="24"/>
          <w:lang w:val="en-GB" w:eastAsia="en-GB"/>
        </w:rPr>
      </w:pPr>
      <w:r w:rsidRPr="00AD124C">
        <w:rPr>
          <w:rFonts w:ascii="Times New Roman" w:eastAsia="Times New Roman" w:hAnsi="Times New Roman" w:cs="Times New Roman"/>
          <w:sz w:val="24"/>
          <w:szCs w:val="24"/>
          <w:lang w:val="en-GB" w:eastAsia="en-GB"/>
        </w:rPr>
        <w:t xml:space="preserve">Kim, S. et al. (2024) 'Determinants of generative AI system adoption and usage </w:t>
      </w:r>
      <w:proofErr w:type="spellStart"/>
      <w:r w:rsidRPr="00AD124C">
        <w:rPr>
          <w:rFonts w:ascii="Times New Roman" w:eastAsia="Times New Roman" w:hAnsi="Times New Roman" w:cs="Times New Roman"/>
          <w:sz w:val="24"/>
          <w:szCs w:val="24"/>
          <w:lang w:val="en-GB" w:eastAsia="en-GB"/>
        </w:rPr>
        <w:t>behavior</w:t>
      </w:r>
      <w:proofErr w:type="spellEnd"/>
      <w:r w:rsidRPr="00AD124C">
        <w:rPr>
          <w:rFonts w:ascii="Times New Roman" w:eastAsia="Times New Roman" w:hAnsi="Times New Roman" w:cs="Times New Roman"/>
          <w:sz w:val="24"/>
          <w:szCs w:val="24"/>
          <w:lang w:val="en-GB" w:eastAsia="en-GB"/>
        </w:rPr>
        <w:t xml:space="preserve"> in Korean companies: applying the UTAUT model', PMC, 11591487.</w:t>
      </w:r>
    </w:p>
    <w:p w14:paraId="6F473B64" w14:textId="7F4CBC5E" w:rsidR="00AD124C" w:rsidRPr="00AD124C" w:rsidRDefault="00AD124C" w:rsidP="00AD124C">
      <w:pPr>
        <w:pStyle w:val="ListParagraph"/>
        <w:numPr>
          <w:ilvl w:val="0"/>
          <w:numId w:val="7"/>
        </w:numPr>
        <w:spacing w:before="100" w:beforeAutospacing="1" w:after="100" w:afterAutospacing="1" w:line="360" w:lineRule="auto"/>
        <w:rPr>
          <w:rFonts w:ascii="Times New Roman" w:eastAsia="Times New Roman" w:hAnsi="Times New Roman" w:cs="Times New Roman"/>
          <w:sz w:val="24"/>
          <w:szCs w:val="24"/>
          <w:lang w:val="en-GB" w:eastAsia="en-GB"/>
        </w:rPr>
      </w:pPr>
      <w:r w:rsidRPr="00AD124C">
        <w:rPr>
          <w:rFonts w:ascii="Times New Roman" w:eastAsia="Times New Roman" w:hAnsi="Times New Roman" w:cs="Times New Roman"/>
          <w:sz w:val="24"/>
          <w:szCs w:val="24"/>
          <w:lang w:val="en-GB" w:eastAsia="en-GB"/>
        </w:rPr>
        <w:t xml:space="preserve">Kong, H., Yin, Z., Baruch, Y. and Yuan, Y. (2023) 'The impact of trust in AI on career sustainability: the role of employee-AI collaboration and protean career orientation', Journal of Vocational </w:t>
      </w:r>
      <w:proofErr w:type="spellStart"/>
      <w:r w:rsidRPr="00AD124C">
        <w:rPr>
          <w:rFonts w:ascii="Times New Roman" w:eastAsia="Times New Roman" w:hAnsi="Times New Roman" w:cs="Times New Roman"/>
          <w:sz w:val="24"/>
          <w:szCs w:val="24"/>
          <w:lang w:val="en-GB" w:eastAsia="en-GB"/>
        </w:rPr>
        <w:t>Behavior</w:t>
      </w:r>
      <w:proofErr w:type="spellEnd"/>
      <w:r w:rsidRPr="00AD124C">
        <w:rPr>
          <w:rFonts w:ascii="Times New Roman" w:eastAsia="Times New Roman" w:hAnsi="Times New Roman" w:cs="Times New Roman"/>
          <w:sz w:val="24"/>
          <w:szCs w:val="24"/>
          <w:lang w:val="en-GB" w:eastAsia="en-GB"/>
        </w:rPr>
        <w:t>, 146, 103928.</w:t>
      </w:r>
    </w:p>
    <w:p w14:paraId="1ABE6C5B" w14:textId="6724BAB4" w:rsidR="00AD124C" w:rsidRPr="00AD124C" w:rsidRDefault="00AD124C" w:rsidP="00AD124C">
      <w:pPr>
        <w:pStyle w:val="ListParagraph"/>
        <w:numPr>
          <w:ilvl w:val="0"/>
          <w:numId w:val="7"/>
        </w:numPr>
        <w:spacing w:before="100" w:beforeAutospacing="1" w:after="100" w:afterAutospacing="1" w:line="360" w:lineRule="auto"/>
        <w:rPr>
          <w:rFonts w:ascii="Times New Roman" w:eastAsia="Times New Roman" w:hAnsi="Times New Roman" w:cs="Times New Roman"/>
          <w:sz w:val="24"/>
          <w:szCs w:val="24"/>
          <w:lang w:val="en-GB" w:eastAsia="en-GB"/>
        </w:rPr>
      </w:pPr>
      <w:proofErr w:type="spellStart"/>
      <w:r w:rsidRPr="00AD124C">
        <w:rPr>
          <w:rFonts w:ascii="Times New Roman" w:eastAsia="Times New Roman" w:hAnsi="Times New Roman" w:cs="Times New Roman"/>
          <w:sz w:val="24"/>
          <w:szCs w:val="24"/>
          <w:lang w:val="en-GB" w:eastAsia="en-GB"/>
        </w:rPr>
        <w:t>Mittelstadt</w:t>
      </w:r>
      <w:proofErr w:type="spellEnd"/>
      <w:r w:rsidRPr="00AD124C">
        <w:rPr>
          <w:rFonts w:ascii="Times New Roman" w:eastAsia="Times New Roman" w:hAnsi="Times New Roman" w:cs="Times New Roman"/>
          <w:sz w:val="24"/>
          <w:szCs w:val="24"/>
          <w:lang w:val="en-GB" w:eastAsia="en-GB"/>
        </w:rPr>
        <w:t>, B. (2019) 'Principles alone cannot guarantee ethical AI', Nature Machine Intelligence, 1, pp.501-507.</w:t>
      </w:r>
    </w:p>
    <w:p w14:paraId="164FB0CF" w14:textId="7A4EEBFC" w:rsidR="00AD124C" w:rsidRPr="00AD124C" w:rsidRDefault="00AD124C" w:rsidP="00AD124C">
      <w:pPr>
        <w:pStyle w:val="ListParagraph"/>
        <w:numPr>
          <w:ilvl w:val="0"/>
          <w:numId w:val="7"/>
        </w:numPr>
        <w:spacing w:before="100" w:beforeAutospacing="1" w:after="100" w:afterAutospacing="1" w:line="360" w:lineRule="auto"/>
        <w:rPr>
          <w:rFonts w:ascii="Times New Roman" w:eastAsia="Times New Roman" w:hAnsi="Times New Roman" w:cs="Times New Roman"/>
          <w:sz w:val="24"/>
          <w:szCs w:val="24"/>
          <w:lang w:val="en-GB" w:eastAsia="en-GB"/>
        </w:rPr>
      </w:pPr>
      <w:r w:rsidRPr="00AD124C">
        <w:rPr>
          <w:rFonts w:ascii="Times New Roman" w:eastAsia="Times New Roman" w:hAnsi="Times New Roman" w:cs="Times New Roman"/>
          <w:sz w:val="24"/>
          <w:szCs w:val="24"/>
          <w:lang w:val="en-GB" w:eastAsia="en-GB"/>
        </w:rPr>
        <w:t>Noy, S. and Zhang, W. (2023) 'Experimental evidence on the productivity effects of generative artificial intelligence', Science, 381(6654), pp.187-192.</w:t>
      </w:r>
    </w:p>
    <w:p w14:paraId="0A3EAF33" w14:textId="579AE11E" w:rsidR="00AD124C" w:rsidRPr="00AD124C" w:rsidRDefault="005972FE" w:rsidP="00AD124C">
      <w:pPr>
        <w:pStyle w:val="ListParagraph"/>
        <w:numPr>
          <w:ilvl w:val="0"/>
          <w:numId w:val="7"/>
        </w:numPr>
        <w:spacing w:before="100" w:beforeAutospacing="1" w:after="100" w:afterAutospacing="1" w:line="360" w:lineRule="auto"/>
        <w:rPr>
          <w:rFonts w:ascii="Times New Roman" w:eastAsia="Times New Roman" w:hAnsi="Times New Roman" w:cs="Times New Roman"/>
          <w:sz w:val="24"/>
          <w:szCs w:val="24"/>
          <w:lang w:val="en-GB" w:eastAsia="en-GB"/>
        </w:rPr>
      </w:pPr>
      <w:proofErr w:type="spellStart"/>
      <w:r>
        <w:rPr>
          <w:rFonts w:ascii="Times New Roman" w:eastAsia="Times New Roman" w:hAnsi="Times New Roman" w:cs="Times New Roman"/>
          <w:sz w:val="24"/>
          <w:szCs w:val="24"/>
          <w:lang w:val="en-GB" w:eastAsia="en-GB"/>
        </w:rPr>
        <w:t>s</w:t>
      </w:r>
      <w:r w:rsidR="00AD124C" w:rsidRPr="00AD124C">
        <w:rPr>
          <w:rFonts w:ascii="Times New Roman" w:eastAsia="Times New Roman" w:hAnsi="Times New Roman" w:cs="Times New Roman"/>
          <w:sz w:val="24"/>
          <w:szCs w:val="24"/>
          <w:lang w:val="en-GB" w:eastAsia="en-GB"/>
        </w:rPr>
        <w:t>shape</w:t>
      </w:r>
      <w:proofErr w:type="spellEnd"/>
      <w:r w:rsidR="00AD124C" w:rsidRPr="00AD124C">
        <w:rPr>
          <w:rFonts w:ascii="Times New Roman" w:eastAsia="Times New Roman" w:hAnsi="Times New Roman" w:cs="Times New Roman"/>
          <w:sz w:val="24"/>
          <w:szCs w:val="24"/>
          <w:lang w:val="en-GB" w:eastAsia="en-GB"/>
        </w:rPr>
        <w:t xml:space="preserve"> organizational readiness for AI adoption', </w:t>
      </w:r>
      <w:proofErr w:type="spellStart"/>
      <w:r w:rsidR="00AD124C" w:rsidRPr="00AD124C">
        <w:rPr>
          <w:rFonts w:ascii="Times New Roman" w:eastAsia="Times New Roman" w:hAnsi="Times New Roman" w:cs="Times New Roman"/>
          <w:sz w:val="24"/>
          <w:szCs w:val="24"/>
          <w:lang w:val="en-GB" w:eastAsia="en-GB"/>
        </w:rPr>
        <w:t>arXiv</w:t>
      </w:r>
      <w:proofErr w:type="spellEnd"/>
      <w:r w:rsidR="00AD124C" w:rsidRPr="00AD124C">
        <w:rPr>
          <w:rFonts w:ascii="Times New Roman" w:eastAsia="Times New Roman" w:hAnsi="Times New Roman" w:cs="Times New Roman"/>
          <w:sz w:val="24"/>
          <w:szCs w:val="24"/>
          <w:lang w:val="en-GB" w:eastAsia="en-GB"/>
        </w:rPr>
        <w:t xml:space="preserve"> preprint arXiv:2502.15870.</w:t>
      </w:r>
    </w:p>
    <w:p w14:paraId="21D3DB45" w14:textId="102B967D" w:rsidR="00AD124C" w:rsidRPr="00AD124C" w:rsidRDefault="00AD124C" w:rsidP="00AD124C">
      <w:pPr>
        <w:pStyle w:val="ListParagraph"/>
        <w:numPr>
          <w:ilvl w:val="0"/>
          <w:numId w:val="7"/>
        </w:numPr>
        <w:spacing w:before="100" w:beforeAutospacing="1" w:after="100" w:afterAutospacing="1" w:line="360" w:lineRule="auto"/>
        <w:rPr>
          <w:rFonts w:ascii="Times New Roman" w:eastAsia="Times New Roman" w:hAnsi="Times New Roman" w:cs="Times New Roman"/>
          <w:sz w:val="24"/>
          <w:szCs w:val="24"/>
          <w:lang w:val="en-GB" w:eastAsia="en-GB"/>
        </w:rPr>
      </w:pPr>
      <w:r w:rsidRPr="00AD124C">
        <w:rPr>
          <w:rFonts w:ascii="Times New Roman" w:eastAsia="Times New Roman" w:hAnsi="Times New Roman" w:cs="Times New Roman"/>
          <w:sz w:val="24"/>
          <w:szCs w:val="24"/>
          <w:lang w:val="en-GB" w:eastAsia="en-GB"/>
        </w:rPr>
        <w:t xml:space="preserve">Xu, R. (2024) 'How do employees form initial </w:t>
      </w:r>
      <w:proofErr w:type="spellStart"/>
      <w:r w:rsidRPr="00AD124C">
        <w:rPr>
          <w:rFonts w:ascii="Times New Roman" w:eastAsia="Times New Roman" w:hAnsi="Times New Roman" w:cs="Times New Roman"/>
          <w:sz w:val="24"/>
          <w:szCs w:val="24"/>
          <w:lang w:val="en-GB" w:eastAsia="en-GB"/>
        </w:rPr>
        <w:t>tru</w:t>
      </w:r>
      <w:proofErr w:type="spellEnd"/>
      <w:r w:rsidR="00202C97">
        <w:rPr>
          <w:rFonts w:ascii="Times New Roman" w:eastAsia="Times New Roman" w:hAnsi="Times New Roman" w:cs="Times New Roman"/>
          <w:sz w:val="24"/>
          <w:szCs w:val="24"/>
          <w:lang w:val="en-GB" w:eastAsia="en-GB"/>
        </w:rPr>
        <w:t xml:space="preserve"> </w:t>
      </w:r>
      <w:proofErr w:type="spellStart"/>
      <w:r w:rsidRPr="00AD124C">
        <w:rPr>
          <w:rFonts w:ascii="Times New Roman" w:eastAsia="Times New Roman" w:hAnsi="Times New Roman" w:cs="Times New Roman"/>
          <w:sz w:val="24"/>
          <w:szCs w:val="24"/>
          <w:lang w:val="en-GB" w:eastAsia="en-GB"/>
        </w:rPr>
        <w:t>st</w:t>
      </w:r>
      <w:proofErr w:type="spellEnd"/>
      <w:r w:rsidRPr="00AD124C">
        <w:rPr>
          <w:rFonts w:ascii="Times New Roman" w:eastAsia="Times New Roman" w:hAnsi="Times New Roman" w:cs="Times New Roman"/>
          <w:sz w:val="24"/>
          <w:szCs w:val="24"/>
          <w:lang w:val="en-GB" w:eastAsia="en-GB"/>
        </w:rPr>
        <w:t xml:space="preserve"> in artificial intelligence: hard to explain but leaders help', Asia Pacific Journal of Human Resources.</w:t>
      </w:r>
    </w:p>
    <w:p w14:paraId="35C47C9C" w14:textId="7F5DCC08" w:rsidR="00202C97" w:rsidRPr="00202C97" w:rsidRDefault="00202C97" w:rsidP="005972FE">
      <w:pPr>
        <w:pStyle w:val="ListParagraph"/>
        <w:numPr>
          <w:ilvl w:val="0"/>
          <w:numId w:val="7"/>
        </w:numPr>
        <w:spacing w:line="360" w:lineRule="auto"/>
        <w:rPr>
          <w:rFonts w:ascii="Times New Roman" w:hAnsi="Times New Roman" w:cs="Times New Roman"/>
          <w:sz w:val="24"/>
          <w:szCs w:val="24"/>
        </w:rPr>
      </w:pPr>
      <w:proofErr w:type="spellStart"/>
      <w:r w:rsidRPr="00202C97">
        <w:rPr>
          <w:rFonts w:ascii="Times New Roman" w:hAnsi="Times New Roman" w:cs="Times New Roman"/>
          <w:sz w:val="24"/>
          <w:szCs w:val="24"/>
        </w:rPr>
        <w:lastRenderedPageBreak/>
        <w:t>Babaee</w:t>
      </w:r>
      <w:proofErr w:type="spellEnd"/>
      <w:r w:rsidRPr="00202C97">
        <w:rPr>
          <w:rFonts w:ascii="Times New Roman" w:hAnsi="Times New Roman" w:cs="Times New Roman"/>
          <w:sz w:val="24"/>
          <w:szCs w:val="24"/>
        </w:rPr>
        <w:t xml:space="preserve">, A. and Shank, D.B. (2025) 'Trust and procedural justice mediate the effects of AI hiring on organizational attraction and intent to apply', </w:t>
      </w:r>
      <w:r w:rsidRPr="00624648">
        <w:rPr>
          <w:rFonts w:ascii="Times New Roman" w:hAnsi="Times New Roman" w:cs="Times New Roman"/>
          <w:sz w:val="24"/>
          <w:szCs w:val="24"/>
        </w:rPr>
        <w:t>Discover Artificial Intelligence,</w:t>
      </w:r>
      <w:r w:rsidRPr="00202C97">
        <w:rPr>
          <w:rFonts w:ascii="Times New Roman" w:hAnsi="Times New Roman" w:cs="Times New Roman"/>
          <w:sz w:val="24"/>
          <w:szCs w:val="24"/>
        </w:rPr>
        <w:t xml:space="preserve"> 5(1), p.375</w:t>
      </w:r>
      <w:r>
        <w:t>.</w:t>
      </w:r>
    </w:p>
    <w:p w14:paraId="4C694E36" w14:textId="07053FE5" w:rsidR="00202C97" w:rsidRDefault="00202C97" w:rsidP="005972FE">
      <w:pPr>
        <w:pStyle w:val="ListParagraph"/>
        <w:numPr>
          <w:ilvl w:val="0"/>
          <w:numId w:val="7"/>
        </w:numPr>
        <w:spacing w:line="360" w:lineRule="auto"/>
        <w:rPr>
          <w:rFonts w:ascii="Times New Roman" w:hAnsi="Times New Roman" w:cs="Times New Roman"/>
          <w:sz w:val="24"/>
          <w:szCs w:val="24"/>
        </w:rPr>
      </w:pPr>
      <w:proofErr w:type="spellStart"/>
      <w:r w:rsidRPr="00202C97">
        <w:rPr>
          <w:rFonts w:ascii="Times New Roman" w:hAnsi="Times New Roman" w:cs="Times New Roman"/>
          <w:sz w:val="24"/>
          <w:szCs w:val="24"/>
        </w:rPr>
        <w:t>Bankins</w:t>
      </w:r>
      <w:proofErr w:type="spellEnd"/>
      <w:r w:rsidRPr="00202C97">
        <w:rPr>
          <w:rFonts w:ascii="Times New Roman" w:hAnsi="Times New Roman" w:cs="Times New Roman"/>
          <w:sz w:val="24"/>
          <w:szCs w:val="24"/>
        </w:rPr>
        <w:t xml:space="preserve">, S., Formosa, P., </w:t>
      </w:r>
      <w:proofErr w:type="spellStart"/>
      <w:r w:rsidRPr="00202C97">
        <w:rPr>
          <w:rFonts w:ascii="Times New Roman" w:hAnsi="Times New Roman" w:cs="Times New Roman"/>
          <w:sz w:val="24"/>
          <w:szCs w:val="24"/>
        </w:rPr>
        <w:t>Griep</w:t>
      </w:r>
      <w:proofErr w:type="spellEnd"/>
      <w:r w:rsidRPr="00202C97">
        <w:rPr>
          <w:rFonts w:ascii="Times New Roman" w:hAnsi="Times New Roman" w:cs="Times New Roman"/>
          <w:sz w:val="24"/>
          <w:szCs w:val="24"/>
        </w:rPr>
        <w:t>, Y. and Richards, D. (2022) 'AI decision making with dignity? Contrasting workers' justice perceptions of human and AI decision making in a human resource management context'</w:t>
      </w:r>
      <w:r w:rsidRPr="00624648">
        <w:rPr>
          <w:rFonts w:ascii="Times New Roman" w:hAnsi="Times New Roman" w:cs="Times New Roman"/>
          <w:sz w:val="24"/>
          <w:szCs w:val="24"/>
        </w:rPr>
        <w:t>, Information Systems Frontiers</w:t>
      </w:r>
      <w:r w:rsidRPr="00202C97">
        <w:rPr>
          <w:rFonts w:ascii="Times New Roman" w:hAnsi="Times New Roman" w:cs="Times New Roman"/>
          <w:sz w:val="24"/>
          <w:szCs w:val="24"/>
        </w:rPr>
        <w:t>, 24(3), pp.857-875.</w:t>
      </w:r>
    </w:p>
    <w:p w14:paraId="6F70E378" w14:textId="21D60F72" w:rsidR="00624648" w:rsidRPr="00624648" w:rsidRDefault="00624648" w:rsidP="005972FE">
      <w:pPr>
        <w:pStyle w:val="ListParagraph"/>
        <w:numPr>
          <w:ilvl w:val="0"/>
          <w:numId w:val="7"/>
        </w:numPr>
        <w:spacing w:line="360" w:lineRule="auto"/>
        <w:rPr>
          <w:rFonts w:ascii="Times New Roman" w:hAnsi="Times New Roman" w:cs="Times New Roman"/>
          <w:sz w:val="24"/>
          <w:szCs w:val="24"/>
        </w:rPr>
      </w:pPr>
      <w:r w:rsidRPr="00624648">
        <w:rPr>
          <w:rFonts w:ascii="Times New Roman" w:hAnsi="Times New Roman" w:cs="Times New Roman"/>
          <w:sz w:val="24"/>
          <w:szCs w:val="24"/>
        </w:rPr>
        <w:t xml:space="preserve">Yam, K.C., Tang, P.M., Jackson, J.C., </w:t>
      </w:r>
      <w:proofErr w:type="spellStart"/>
      <w:r w:rsidRPr="00624648">
        <w:rPr>
          <w:rFonts w:ascii="Times New Roman" w:hAnsi="Times New Roman" w:cs="Times New Roman"/>
          <w:sz w:val="24"/>
          <w:szCs w:val="24"/>
        </w:rPr>
        <w:t>Su</w:t>
      </w:r>
      <w:proofErr w:type="spellEnd"/>
      <w:r w:rsidRPr="00624648">
        <w:rPr>
          <w:rFonts w:ascii="Times New Roman" w:hAnsi="Times New Roman" w:cs="Times New Roman"/>
          <w:sz w:val="24"/>
          <w:szCs w:val="24"/>
        </w:rPr>
        <w:t xml:space="preserve">, R. and Gray, K. (2023) 'The rise of robots increases job insecurity and maladaptive workplace </w:t>
      </w:r>
      <w:proofErr w:type="spellStart"/>
      <w:r w:rsidRPr="00624648">
        <w:rPr>
          <w:rFonts w:ascii="Times New Roman" w:hAnsi="Times New Roman" w:cs="Times New Roman"/>
          <w:sz w:val="24"/>
          <w:szCs w:val="24"/>
        </w:rPr>
        <w:t>behaviors</w:t>
      </w:r>
      <w:proofErr w:type="spellEnd"/>
      <w:r w:rsidRPr="00624648">
        <w:rPr>
          <w:rFonts w:ascii="Times New Roman" w:hAnsi="Times New Roman" w:cs="Times New Roman"/>
          <w:sz w:val="24"/>
          <w:szCs w:val="24"/>
        </w:rPr>
        <w:t>: multimethod evidence', Journal of Applied Psychology, 108(5), pp.850-870</w:t>
      </w:r>
    </w:p>
    <w:p w14:paraId="40840AFC" w14:textId="77777777" w:rsidR="009C1BFD" w:rsidRPr="009C1BFD" w:rsidRDefault="009C1BFD" w:rsidP="009C1BFD">
      <w:pPr>
        <w:spacing w:line="360" w:lineRule="auto"/>
        <w:rPr>
          <w:rFonts w:ascii="Times New Roman" w:hAnsi="Times New Roman" w:cs="Times New Roman"/>
          <w:sz w:val="24"/>
          <w:szCs w:val="24"/>
        </w:rPr>
      </w:pPr>
    </w:p>
    <w:p w14:paraId="6BB2A1D1" w14:textId="2F90E27F" w:rsidR="00BF34F4" w:rsidRPr="009C1BFD" w:rsidRDefault="00BF34F4" w:rsidP="009C1BFD">
      <w:pPr>
        <w:spacing w:line="360" w:lineRule="auto"/>
        <w:ind w:firstLine="60"/>
        <w:jc w:val="both"/>
        <w:rPr>
          <w:rFonts w:ascii="Times New Roman" w:eastAsia="Times New Roman" w:hAnsi="Times New Roman" w:cs="Times New Roman"/>
          <w:b/>
          <w:bCs/>
          <w:color w:val="000000" w:themeColor="text1"/>
          <w:sz w:val="28"/>
          <w:szCs w:val="28"/>
          <w:lang w:eastAsia="en-IN"/>
        </w:rPr>
      </w:pPr>
    </w:p>
    <w:p w14:paraId="3EF6C2C4" w14:textId="499FBC4A" w:rsidR="009C76B7" w:rsidRPr="009035B7" w:rsidRDefault="009035B7" w:rsidP="009035B7">
      <w:pPr>
        <w:pStyle w:val="Heading1"/>
        <w:ind w:left="360"/>
        <w:rPr>
          <w:b w:val="0"/>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8" w:name="_Toc235996243"/>
      <w:r>
        <w:rPr>
          <w:b w:val="0"/>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5.</w:t>
      </w:r>
      <w:r w:rsidR="009C76B7" w:rsidRPr="009035B7">
        <w:rPr>
          <w:b w:val="0"/>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Reference List</w:t>
      </w:r>
      <w:bookmarkEnd w:id="8"/>
      <w:r w:rsidR="009C1BFD" w:rsidRPr="009035B7">
        <w:rPr>
          <w:b w:val="0"/>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gramStart"/>
      <w:r w:rsidR="009C1BFD" w:rsidRPr="009035B7">
        <w:rPr>
          <w:b w:val="0"/>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For</w:t>
      </w:r>
      <w:proofErr w:type="gramEnd"/>
      <w:r w:rsidR="009C1BFD" w:rsidRPr="009035B7">
        <w:rPr>
          <w:b w:val="0"/>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Annotated Bibliography</w:t>
      </w:r>
    </w:p>
    <w:p w14:paraId="1B9AAC27" w14:textId="7861BD2D"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r w:rsidRPr="00253432">
        <w:rPr>
          <w:rFonts w:ascii="Times New Roman" w:hAnsi="Times New Roman" w:cs="Times New Roman"/>
          <w:color w:val="000000" w:themeColor="text1"/>
          <w:sz w:val="24"/>
          <w:szCs w:val="24"/>
        </w:rPr>
        <w:t>AI Now Institute (202</w:t>
      </w:r>
      <w:r w:rsidR="009C1BFD" w:rsidRPr="00253432">
        <w:rPr>
          <w:rFonts w:ascii="Times New Roman" w:hAnsi="Times New Roman" w:cs="Times New Roman"/>
          <w:color w:val="000000" w:themeColor="text1"/>
          <w:sz w:val="24"/>
          <w:szCs w:val="24"/>
        </w:rPr>
        <w:t>3</w:t>
      </w:r>
      <w:r w:rsidRPr="00253432">
        <w:rPr>
          <w:rFonts w:ascii="Times New Roman" w:hAnsi="Times New Roman" w:cs="Times New Roman"/>
          <w:color w:val="000000" w:themeColor="text1"/>
          <w:sz w:val="24"/>
          <w:szCs w:val="24"/>
        </w:rPr>
        <w:t xml:space="preserve">) 'Algorithmic management: restraining workplace surveillance'. New York: AI Now Institute. Retrieved from: </w:t>
      </w:r>
      <w:hyperlink r:id="rId7" w:history="1">
        <w:r w:rsidRPr="00253432">
          <w:rPr>
            <w:rStyle w:val="Hyperlink"/>
            <w:rFonts w:ascii="Times New Roman" w:hAnsi="Times New Roman" w:cs="Times New Roman"/>
            <w:sz w:val="24"/>
            <w:szCs w:val="24"/>
          </w:rPr>
          <w:t>https://ainowinstitute.org/publications/algorithmic-management</w:t>
        </w:r>
      </w:hyperlink>
    </w:p>
    <w:p w14:paraId="17CB0A92"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proofErr w:type="spellStart"/>
      <w:r w:rsidRPr="00253432">
        <w:rPr>
          <w:rFonts w:ascii="Times New Roman" w:hAnsi="Times New Roman" w:cs="Times New Roman"/>
          <w:color w:val="000000" w:themeColor="text1"/>
          <w:sz w:val="24"/>
          <w:szCs w:val="24"/>
        </w:rPr>
        <w:t>Ajunwa</w:t>
      </w:r>
      <w:proofErr w:type="spellEnd"/>
      <w:r w:rsidRPr="00253432">
        <w:rPr>
          <w:rFonts w:ascii="Times New Roman" w:hAnsi="Times New Roman" w:cs="Times New Roman"/>
          <w:color w:val="000000" w:themeColor="text1"/>
          <w:sz w:val="24"/>
          <w:szCs w:val="24"/>
        </w:rPr>
        <w:t>, I., Crawford, K. and Schultz, J. (2017) 'Limitless worker surveillance', California Law Review, 105(3), pp.735-776.</w:t>
      </w:r>
    </w:p>
    <w:p w14:paraId="63613191"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proofErr w:type="spellStart"/>
      <w:r w:rsidRPr="00253432">
        <w:rPr>
          <w:rFonts w:ascii="Times New Roman" w:hAnsi="Times New Roman" w:cs="Times New Roman"/>
          <w:color w:val="000000" w:themeColor="text1"/>
          <w:sz w:val="24"/>
          <w:szCs w:val="24"/>
          <w:shd w:val="clear" w:color="auto" w:fill="FFFFFF"/>
        </w:rPr>
        <w:t>Babaee</w:t>
      </w:r>
      <w:proofErr w:type="spellEnd"/>
      <w:r w:rsidRPr="00253432">
        <w:rPr>
          <w:rFonts w:ascii="Times New Roman" w:hAnsi="Times New Roman" w:cs="Times New Roman"/>
          <w:color w:val="000000" w:themeColor="text1"/>
          <w:sz w:val="24"/>
          <w:szCs w:val="24"/>
          <w:shd w:val="clear" w:color="auto" w:fill="FFFFFF"/>
        </w:rPr>
        <w:t>, A. and Shank, D.B., 2025. Trust and procedural justice mediate the effects of AI hiring on organizational attraction and intent to apply. </w:t>
      </w:r>
      <w:r w:rsidRPr="00253432">
        <w:rPr>
          <w:rFonts w:ascii="Times New Roman" w:hAnsi="Times New Roman" w:cs="Times New Roman"/>
          <w:i/>
          <w:iCs/>
          <w:color w:val="000000" w:themeColor="text1"/>
          <w:sz w:val="24"/>
          <w:szCs w:val="24"/>
          <w:shd w:val="clear" w:color="auto" w:fill="FFFFFF"/>
        </w:rPr>
        <w:t>Discover Artificial Intelligence</w:t>
      </w:r>
      <w:r w:rsidRPr="00253432">
        <w:rPr>
          <w:rFonts w:ascii="Times New Roman" w:hAnsi="Times New Roman" w:cs="Times New Roman"/>
          <w:color w:val="000000" w:themeColor="text1"/>
          <w:sz w:val="24"/>
          <w:szCs w:val="24"/>
          <w:shd w:val="clear" w:color="auto" w:fill="FFFFFF"/>
        </w:rPr>
        <w:t>, </w:t>
      </w:r>
      <w:r w:rsidRPr="00253432">
        <w:rPr>
          <w:rFonts w:ascii="Times New Roman" w:hAnsi="Times New Roman" w:cs="Times New Roman"/>
          <w:i/>
          <w:iCs/>
          <w:color w:val="000000" w:themeColor="text1"/>
          <w:sz w:val="24"/>
          <w:szCs w:val="24"/>
          <w:shd w:val="clear" w:color="auto" w:fill="FFFFFF"/>
        </w:rPr>
        <w:t>5</w:t>
      </w:r>
      <w:r w:rsidRPr="00253432">
        <w:rPr>
          <w:rFonts w:ascii="Times New Roman" w:hAnsi="Times New Roman" w:cs="Times New Roman"/>
          <w:color w:val="000000" w:themeColor="text1"/>
          <w:sz w:val="24"/>
          <w:szCs w:val="24"/>
          <w:shd w:val="clear" w:color="auto" w:fill="FFFFFF"/>
        </w:rPr>
        <w:t>(1), p.375.</w:t>
      </w:r>
    </w:p>
    <w:p w14:paraId="22B7802A"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r w:rsidRPr="00253432">
        <w:rPr>
          <w:rFonts w:ascii="Times New Roman" w:hAnsi="Times New Roman" w:cs="Times New Roman"/>
          <w:color w:val="000000" w:themeColor="text1"/>
          <w:sz w:val="24"/>
          <w:szCs w:val="24"/>
          <w:shd w:val="clear" w:color="auto" w:fill="FFFFFF"/>
        </w:rPr>
        <w:t>Bai, B., Dai, H., Zhang, D.J., Zhang, F. and Hu, H., 2022. The impacts of algorithmic work assignment on fairness perceptions and productivity: Evidence from field experiments. </w:t>
      </w:r>
      <w:r w:rsidRPr="00253432">
        <w:rPr>
          <w:rFonts w:ascii="Times New Roman" w:hAnsi="Times New Roman" w:cs="Times New Roman"/>
          <w:i/>
          <w:iCs/>
          <w:color w:val="000000" w:themeColor="text1"/>
          <w:sz w:val="24"/>
          <w:szCs w:val="24"/>
          <w:shd w:val="clear" w:color="auto" w:fill="FFFFFF"/>
        </w:rPr>
        <w:t>Manufacturing &amp; Service Operations Management</w:t>
      </w:r>
      <w:r w:rsidRPr="00253432">
        <w:rPr>
          <w:rFonts w:ascii="Times New Roman" w:hAnsi="Times New Roman" w:cs="Times New Roman"/>
          <w:color w:val="000000" w:themeColor="text1"/>
          <w:sz w:val="24"/>
          <w:szCs w:val="24"/>
          <w:shd w:val="clear" w:color="auto" w:fill="FFFFFF"/>
        </w:rPr>
        <w:t>, </w:t>
      </w:r>
      <w:r w:rsidRPr="00253432">
        <w:rPr>
          <w:rFonts w:ascii="Times New Roman" w:hAnsi="Times New Roman" w:cs="Times New Roman"/>
          <w:i/>
          <w:iCs/>
          <w:color w:val="000000" w:themeColor="text1"/>
          <w:sz w:val="24"/>
          <w:szCs w:val="24"/>
          <w:shd w:val="clear" w:color="auto" w:fill="FFFFFF"/>
        </w:rPr>
        <w:t>24</w:t>
      </w:r>
      <w:r w:rsidRPr="00253432">
        <w:rPr>
          <w:rFonts w:ascii="Times New Roman" w:hAnsi="Times New Roman" w:cs="Times New Roman"/>
          <w:color w:val="000000" w:themeColor="text1"/>
          <w:sz w:val="24"/>
          <w:szCs w:val="24"/>
          <w:shd w:val="clear" w:color="auto" w:fill="FFFFFF"/>
        </w:rPr>
        <w:t>(6), pp.3060-3078.</w:t>
      </w:r>
    </w:p>
    <w:p w14:paraId="74BC81BA"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proofErr w:type="spellStart"/>
      <w:r w:rsidRPr="00253432">
        <w:rPr>
          <w:rFonts w:ascii="Times New Roman" w:hAnsi="Times New Roman" w:cs="Times New Roman"/>
          <w:color w:val="000000" w:themeColor="text1"/>
          <w:sz w:val="24"/>
          <w:szCs w:val="24"/>
        </w:rPr>
        <w:t>Bankins</w:t>
      </w:r>
      <w:proofErr w:type="spellEnd"/>
      <w:r w:rsidRPr="00253432">
        <w:rPr>
          <w:rFonts w:ascii="Times New Roman" w:hAnsi="Times New Roman" w:cs="Times New Roman"/>
          <w:color w:val="000000" w:themeColor="text1"/>
          <w:sz w:val="24"/>
          <w:szCs w:val="24"/>
        </w:rPr>
        <w:t xml:space="preserve">, S., Formosa, P., </w:t>
      </w:r>
      <w:proofErr w:type="spellStart"/>
      <w:r w:rsidRPr="00253432">
        <w:rPr>
          <w:rFonts w:ascii="Times New Roman" w:hAnsi="Times New Roman" w:cs="Times New Roman"/>
          <w:color w:val="000000" w:themeColor="text1"/>
          <w:sz w:val="24"/>
          <w:szCs w:val="24"/>
        </w:rPr>
        <w:t>Griep</w:t>
      </w:r>
      <w:proofErr w:type="spellEnd"/>
      <w:r w:rsidRPr="00253432">
        <w:rPr>
          <w:rFonts w:ascii="Times New Roman" w:hAnsi="Times New Roman" w:cs="Times New Roman"/>
          <w:color w:val="000000" w:themeColor="text1"/>
          <w:sz w:val="24"/>
          <w:szCs w:val="24"/>
        </w:rPr>
        <w:t>, Y. and Richards, D. (2022) 'AI decision making with dignity? Contrasting workers' justice perceptions of human and AI decision making in a human resource management context', Information Systems Frontiers, 24(3), pp.857-875.</w:t>
      </w:r>
    </w:p>
    <w:p w14:paraId="7EC9BECB"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proofErr w:type="spellStart"/>
      <w:r w:rsidRPr="00253432">
        <w:rPr>
          <w:rFonts w:ascii="Times New Roman" w:hAnsi="Times New Roman" w:cs="Times New Roman"/>
          <w:color w:val="000000" w:themeColor="text1"/>
          <w:sz w:val="24"/>
          <w:szCs w:val="24"/>
        </w:rPr>
        <w:t>Bedué</w:t>
      </w:r>
      <w:proofErr w:type="spellEnd"/>
      <w:r w:rsidRPr="00253432">
        <w:rPr>
          <w:rFonts w:ascii="Times New Roman" w:hAnsi="Times New Roman" w:cs="Times New Roman"/>
          <w:color w:val="000000" w:themeColor="text1"/>
          <w:sz w:val="24"/>
          <w:szCs w:val="24"/>
        </w:rPr>
        <w:t xml:space="preserve">, P. and </w:t>
      </w:r>
      <w:proofErr w:type="spellStart"/>
      <w:r w:rsidRPr="00253432">
        <w:rPr>
          <w:rFonts w:ascii="Times New Roman" w:hAnsi="Times New Roman" w:cs="Times New Roman"/>
          <w:color w:val="000000" w:themeColor="text1"/>
          <w:sz w:val="24"/>
          <w:szCs w:val="24"/>
        </w:rPr>
        <w:t>Fritzsche</w:t>
      </w:r>
      <w:proofErr w:type="spellEnd"/>
      <w:r w:rsidRPr="00253432">
        <w:rPr>
          <w:rFonts w:ascii="Times New Roman" w:hAnsi="Times New Roman" w:cs="Times New Roman"/>
          <w:color w:val="000000" w:themeColor="text1"/>
          <w:sz w:val="24"/>
          <w:szCs w:val="24"/>
        </w:rPr>
        <w:t>, A. (2022) 'Can we trust AI? An empirical investigation of trust requirements and guide to successful AI adoption', Journal of Enterprise Information Management, 35(2), pp.530-549.</w:t>
      </w:r>
    </w:p>
    <w:p w14:paraId="1CA96643"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r w:rsidRPr="00253432">
        <w:rPr>
          <w:rFonts w:ascii="Times New Roman" w:hAnsi="Times New Roman" w:cs="Times New Roman"/>
          <w:color w:val="000000" w:themeColor="text1"/>
          <w:sz w:val="24"/>
          <w:szCs w:val="24"/>
        </w:rPr>
        <w:lastRenderedPageBreak/>
        <w:t xml:space="preserve">Brougham, D. and </w:t>
      </w:r>
      <w:proofErr w:type="spellStart"/>
      <w:r w:rsidRPr="00253432">
        <w:rPr>
          <w:rFonts w:ascii="Times New Roman" w:hAnsi="Times New Roman" w:cs="Times New Roman"/>
          <w:color w:val="000000" w:themeColor="text1"/>
          <w:sz w:val="24"/>
          <w:szCs w:val="24"/>
        </w:rPr>
        <w:t>Haar</w:t>
      </w:r>
      <w:proofErr w:type="spellEnd"/>
      <w:r w:rsidRPr="00253432">
        <w:rPr>
          <w:rFonts w:ascii="Times New Roman" w:hAnsi="Times New Roman" w:cs="Times New Roman"/>
          <w:color w:val="000000" w:themeColor="text1"/>
          <w:sz w:val="24"/>
          <w:szCs w:val="24"/>
        </w:rPr>
        <w:t>, J. (2018) 'Smart technology, artificial intelligence, robotics, and algorithms (STARA): employees' perceptions of our future workplace', Journal of Management &amp; Organization, 24(2), pp.239-257.</w:t>
      </w:r>
    </w:p>
    <w:p w14:paraId="29C4DD33"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r w:rsidRPr="00253432">
        <w:rPr>
          <w:rFonts w:ascii="Times New Roman" w:hAnsi="Times New Roman" w:cs="Times New Roman"/>
          <w:color w:val="000000" w:themeColor="text1"/>
          <w:sz w:val="24"/>
          <w:szCs w:val="24"/>
        </w:rPr>
        <w:t xml:space="preserve">Brynjolfsson, E., Li, D. and Raymond, L. (2023) 'Generative AI at work', National Bureau of Economic Research Working Paper No. 31161. </w:t>
      </w:r>
      <w:proofErr w:type="gramStart"/>
      <w:r w:rsidRPr="00253432">
        <w:rPr>
          <w:rFonts w:ascii="Times New Roman" w:hAnsi="Times New Roman" w:cs="Times New Roman"/>
          <w:color w:val="000000" w:themeColor="text1"/>
          <w:sz w:val="24"/>
          <w:szCs w:val="24"/>
        </w:rPr>
        <w:t>Also</w:t>
      </w:r>
      <w:proofErr w:type="gramEnd"/>
      <w:r w:rsidRPr="00253432">
        <w:rPr>
          <w:rFonts w:ascii="Times New Roman" w:hAnsi="Times New Roman" w:cs="Times New Roman"/>
          <w:color w:val="000000" w:themeColor="text1"/>
          <w:sz w:val="24"/>
          <w:szCs w:val="24"/>
        </w:rPr>
        <w:t xml:space="preserve"> arXiv:2304.11771.</w:t>
      </w:r>
    </w:p>
    <w:p w14:paraId="0066C499"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r w:rsidRPr="00253432">
        <w:rPr>
          <w:rFonts w:ascii="Times New Roman" w:hAnsi="Times New Roman" w:cs="Times New Roman"/>
          <w:color w:val="000000" w:themeColor="text1"/>
          <w:sz w:val="24"/>
          <w:szCs w:val="24"/>
        </w:rPr>
        <w:t>Bujold, A., Parent-</w:t>
      </w:r>
      <w:proofErr w:type="spellStart"/>
      <w:r w:rsidRPr="00253432">
        <w:rPr>
          <w:rFonts w:ascii="Times New Roman" w:hAnsi="Times New Roman" w:cs="Times New Roman"/>
          <w:color w:val="000000" w:themeColor="text1"/>
          <w:sz w:val="24"/>
          <w:szCs w:val="24"/>
        </w:rPr>
        <w:t>Rocheleau</w:t>
      </w:r>
      <w:proofErr w:type="spellEnd"/>
      <w:r w:rsidRPr="00253432">
        <w:rPr>
          <w:rFonts w:ascii="Times New Roman" w:hAnsi="Times New Roman" w:cs="Times New Roman"/>
          <w:color w:val="000000" w:themeColor="text1"/>
          <w:sz w:val="24"/>
          <w:szCs w:val="24"/>
        </w:rPr>
        <w:t xml:space="preserve">, X. and Gaudet, M.C. (2022) 'Opacity behind the wheel: the relationship between transparency of algorithmic management, justice perception, and intention to quit among truck drivers', Computers in Human </w:t>
      </w:r>
      <w:proofErr w:type="spellStart"/>
      <w:r w:rsidRPr="00253432">
        <w:rPr>
          <w:rFonts w:ascii="Times New Roman" w:hAnsi="Times New Roman" w:cs="Times New Roman"/>
          <w:color w:val="000000" w:themeColor="text1"/>
          <w:sz w:val="24"/>
          <w:szCs w:val="24"/>
        </w:rPr>
        <w:t>Behavior</w:t>
      </w:r>
      <w:proofErr w:type="spellEnd"/>
      <w:r w:rsidRPr="00253432">
        <w:rPr>
          <w:rFonts w:ascii="Times New Roman" w:hAnsi="Times New Roman" w:cs="Times New Roman"/>
          <w:color w:val="000000" w:themeColor="text1"/>
          <w:sz w:val="24"/>
          <w:szCs w:val="24"/>
        </w:rPr>
        <w:t xml:space="preserve"> Reports, 8, 100245.</w:t>
      </w:r>
    </w:p>
    <w:p w14:paraId="0190D79C"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r w:rsidRPr="00253432">
        <w:rPr>
          <w:rFonts w:ascii="Times New Roman" w:hAnsi="Times New Roman" w:cs="Times New Roman"/>
          <w:color w:val="000000" w:themeColor="text1"/>
          <w:sz w:val="24"/>
          <w:szCs w:val="24"/>
        </w:rPr>
        <w:t>Camilleri, M.A. (2024) 'Artificial intelligence governance: ethical considerations and implications for social responsibility', Expert Systems, 41(7), e13406.</w:t>
      </w:r>
    </w:p>
    <w:p w14:paraId="2CAC2DBA"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r w:rsidRPr="00253432">
        <w:rPr>
          <w:rFonts w:ascii="Times New Roman" w:hAnsi="Times New Roman" w:cs="Times New Roman"/>
          <w:color w:val="000000" w:themeColor="text1"/>
          <w:sz w:val="24"/>
          <w:szCs w:val="24"/>
        </w:rPr>
        <w:t>Carter, C. (2025) 'AI surveillance: reclaiming privacy through informational control', [journal article, SAGE], 2025.</w:t>
      </w:r>
    </w:p>
    <w:p w14:paraId="6463074E"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r w:rsidRPr="00253432">
        <w:rPr>
          <w:rFonts w:ascii="Times New Roman" w:hAnsi="Times New Roman" w:cs="Times New Roman"/>
          <w:color w:val="000000" w:themeColor="text1"/>
          <w:sz w:val="24"/>
          <w:szCs w:val="24"/>
          <w:shd w:val="clear" w:color="auto" w:fill="FFFFFF"/>
        </w:rPr>
        <w:t>Chang, P.C., Zhang, W., Cai, Q. and Guo, H., 2024. Does AI-driven technostress promote or hinder employees’ artificial intelligence adoption intention? A moderated mediation model of affective reactions and technical self-efficacy. </w:t>
      </w:r>
      <w:r w:rsidRPr="00253432">
        <w:rPr>
          <w:rFonts w:ascii="Times New Roman" w:hAnsi="Times New Roman" w:cs="Times New Roman"/>
          <w:i/>
          <w:iCs/>
          <w:color w:val="000000" w:themeColor="text1"/>
          <w:sz w:val="24"/>
          <w:szCs w:val="24"/>
          <w:shd w:val="clear" w:color="auto" w:fill="FFFFFF"/>
        </w:rPr>
        <w:t xml:space="preserve">Psychology Research and </w:t>
      </w:r>
      <w:proofErr w:type="spellStart"/>
      <w:r w:rsidRPr="00253432">
        <w:rPr>
          <w:rFonts w:ascii="Times New Roman" w:hAnsi="Times New Roman" w:cs="Times New Roman"/>
          <w:i/>
          <w:iCs/>
          <w:color w:val="000000" w:themeColor="text1"/>
          <w:sz w:val="24"/>
          <w:szCs w:val="24"/>
          <w:shd w:val="clear" w:color="auto" w:fill="FFFFFF"/>
        </w:rPr>
        <w:t>Behavior</w:t>
      </w:r>
      <w:proofErr w:type="spellEnd"/>
      <w:r w:rsidRPr="00253432">
        <w:rPr>
          <w:rFonts w:ascii="Times New Roman" w:hAnsi="Times New Roman" w:cs="Times New Roman"/>
          <w:i/>
          <w:iCs/>
          <w:color w:val="000000" w:themeColor="text1"/>
          <w:sz w:val="24"/>
          <w:szCs w:val="24"/>
          <w:shd w:val="clear" w:color="auto" w:fill="FFFFFF"/>
        </w:rPr>
        <w:t xml:space="preserve"> Management</w:t>
      </w:r>
      <w:r w:rsidRPr="00253432">
        <w:rPr>
          <w:rFonts w:ascii="Times New Roman" w:hAnsi="Times New Roman" w:cs="Times New Roman"/>
          <w:color w:val="000000" w:themeColor="text1"/>
          <w:sz w:val="24"/>
          <w:szCs w:val="24"/>
          <w:shd w:val="clear" w:color="auto" w:fill="FFFFFF"/>
        </w:rPr>
        <w:t>, pp.413-427.</w:t>
      </w:r>
    </w:p>
    <w:p w14:paraId="461C2C7A"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r w:rsidRPr="00253432">
        <w:rPr>
          <w:rFonts w:ascii="Times New Roman" w:hAnsi="Times New Roman" w:cs="Times New Roman"/>
          <w:color w:val="000000" w:themeColor="text1"/>
          <w:sz w:val="24"/>
          <w:szCs w:val="24"/>
        </w:rPr>
        <w:t xml:space="preserve">Chen, W., Li, A., Pan, C., Yu, T., Ali, A. and Sun, Y. (2026) 'Algorithmic management in the workplace: a systematic review and topic </w:t>
      </w:r>
      <w:proofErr w:type="spellStart"/>
      <w:r w:rsidRPr="00253432">
        <w:rPr>
          <w:rFonts w:ascii="Times New Roman" w:hAnsi="Times New Roman" w:cs="Times New Roman"/>
          <w:color w:val="000000" w:themeColor="text1"/>
          <w:sz w:val="24"/>
          <w:szCs w:val="24"/>
        </w:rPr>
        <w:t>modeling</w:t>
      </w:r>
      <w:proofErr w:type="spellEnd"/>
      <w:r w:rsidRPr="00253432">
        <w:rPr>
          <w:rFonts w:ascii="Times New Roman" w:hAnsi="Times New Roman" w:cs="Times New Roman"/>
          <w:color w:val="000000" w:themeColor="text1"/>
          <w:sz w:val="24"/>
          <w:szCs w:val="24"/>
        </w:rPr>
        <w:t xml:space="preserve"> integration using </w:t>
      </w:r>
      <w:proofErr w:type="spellStart"/>
      <w:r w:rsidRPr="00253432">
        <w:rPr>
          <w:rFonts w:ascii="Times New Roman" w:hAnsi="Times New Roman" w:cs="Times New Roman"/>
          <w:color w:val="000000" w:themeColor="text1"/>
          <w:sz w:val="24"/>
          <w:szCs w:val="24"/>
        </w:rPr>
        <w:t>BERTopic</w:t>
      </w:r>
      <w:proofErr w:type="spellEnd"/>
      <w:r w:rsidRPr="00253432">
        <w:rPr>
          <w:rFonts w:ascii="Times New Roman" w:hAnsi="Times New Roman" w:cs="Times New Roman"/>
          <w:color w:val="000000" w:themeColor="text1"/>
          <w:sz w:val="24"/>
          <w:szCs w:val="24"/>
        </w:rPr>
        <w:t>', International Journal of Information Management.</w:t>
      </w:r>
    </w:p>
    <w:p w14:paraId="41E328CD"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r w:rsidRPr="00253432">
        <w:rPr>
          <w:rFonts w:ascii="Times New Roman" w:hAnsi="Times New Roman" w:cs="Times New Roman"/>
          <w:color w:val="000000" w:themeColor="text1"/>
          <w:sz w:val="24"/>
          <w:szCs w:val="24"/>
        </w:rPr>
        <w:t>Chen, Z. (2023) 'Collaboration among recruiters and artificial intelligence: removing human prejudices in employment', Cognition, Technology &amp; Work, 25(1), pp.135-149.</w:t>
      </w:r>
    </w:p>
    <w:p w14:paraId="42A10A34"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r w:rsidRPr="00253432">
        <w:rPr>
          <w:rFonts w:ascii="Times New Roman" w:hAnsi="Times New Roman" w:cs="Times New Roman"/>
          <w:color w:val="000000" w:themeColor="text1"/>
          <w:sz w:val="24"/>
          <w:szCs w:val="24"/>
        </w:rPr>
        <w:t>Choung, H., David, P. and Ross, A. (2023) 'Trust in AI and its role in the acceptance of AI technologies', International Journal of Human-Computer Interaction, 39(9), pp.1727-1739.</w:t>
      </w:r>
    </w:p>
    <w:p w14:paraId="37113C8A"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proofErr w:type="spellStart"/>
      <w:r w:rsidRPr="00253432">
        <w:rPr>
          <w:rFonts w:ascii="Times New Roman" w:hAnsi="Times New Roman" w:cs="Times New Roman"/>
          <w:color w:val="000000" w:themeColor="text1"/>
          <w:sz w:val="24"/>
          <w:szCs w:val="24"/>
        </w:rPr>
        <w:t>Cramarenco</w:t>
      </w:r>
      <w:proofErr w:type="spellEnd"/>
      <w:r w:rsidRPr="00253432">
        <w:rPr>
          <w:rFonts w:ascii="Times New Roman" w:hAnsi="Times New Roman" w:cs="Times New Roman"/>
          <w:color w:val="000000" w:themeColor="text1"/>
          <w:sz w:val="24"/>
          <w:szCs w:val="24"/>
        </w:rPr>
        <w:t xml:space="preserve">, R.E., </w:t>
      </w:r>
      <w:proofErr w:type="spellStart"/>
      <w:r w:rsidRPr="00253432">
        <w:rPr>
          <w:rFonts w:ascii="Times New Roman" w:hAnsi="Times New Roman" w:cs="Times New Roman"/>
          <w:color w:val="000000" w:themeColor="text1"/>
          <w:sz w:val="24"/>
          <w:szCs w:val="24"/>
        </w:rPr>
        <w:t>Burcă-Voicu</w:t>
      </w:r>
      <w:proofErr w:type="spellEnd"/>
      <w:r w:rsidRPr="00253432">
        <w:rPr>
          <w:rFonts w:ascii="Times New Roman" w:hAnsi="Times New Roman" w:cs="Times New Roman"/>
          <w:color w:val="000000" w:themeColor="text1"/>
          <w:sz w:val="24"/>
          <w:szCs w:val="24"/>
        </w:rPr>
        <w:t xml:space="preserve">, M.I. and </w:t>
      </w:r>
      <w:proofErr w:type="spellStart"/>
      <w:r w:rsidRPr="00253432">
        <w:rPr>
          <w:rFonts w:ascii="Times New Roman" w:hAnsi="Times New Roman" w:cs="Times New Roman"/>
          <w:color w:val="000000" w:themeColor="text1"/>
          <w:sz w:val="24"/>
          <w:szCs w:val="24"/>
        </w:rPr>
        <w:t>Dabija</w:t>
      </w:r>
      <w:proofErr w:type="spellEnd"/>
      <w:r w:rsidRPr="00253432">
        <w:rPr>
          <w:rFonts w:ascii="Times New Roman" w:hAnsi="Times New Roman" w:cs="Times New Roman"/>
          <w:color w:val="000000" w:themeColor="text1"/>
          <w:sz w:val="24"/>
          <w:szCs w:val="24"/>
        </w:rPr>
        <w:t xml:space="preserve">, D.C. (2023) 'The impact of artificial intelligence (AI) on employees' skills and well-being in global </w:t>
      </w:r>
      <w:proofErr w:type="spellStart"/>
      <w:r w:rsidRPr="00253432">
        <w:rPr>
          <w:rFonts w:ascii="Times New Roman" w:hAnsi="Times New Roman" w:cs="Times New Roman"/>
          <w:color w:val="000000" w:themeColor="text1"/>
          <w:sz w:val="24"/>
          <w:szCs w:val="24"/>
        </w:rPr>
        <w:t>labor</w:t>
      </w:r>
      <w:proofErr w:type="spellEnd"/>
      <w:r w:rsidRPr="00253432">
        <w:rPr>
          <w:rFonts w:ascii="Times New Roman" w:hAnsi="Times New Roman" w:cs="Times New Roman"/>
          <w:color w:val="000000" w:themeColor="text1"/>
          <w:sz w:val="24"/>
          <w:szCs w:val="24"/>
        </w:rPr>
        <w:t xml:space="preserve"> markets: a systematic review', </w:t>
      </w:r>
      <w:proofErr w:type="spellStart"/>
      <w:r w:rsidRPr="00253432">
        <w:rPr>
          <w:rFonts w:ascii="Times New Roman" w:hAnsi="Times New Roman" w:cs="Times New Roman"/>
          <w:color w:val="000000" w:themeColor="text1"/>
          <w:sz w:val="24"/>
          <w:szCs w:val="24"/>
        </w:rPr>
        <w:t>Oeconomia</w:t>
      </w:r>
      <w:proofErr w:type="spellEnd"/>
      <w:r w:rsidRPr="00253432">
        <w:rPr>
          <w:rFonts w:ascii="Times New Roman" w:hAnsi="Times New Roman" w:cs="Times New Roman"/>
          <w:color w:val="000000" w:themeColor="text1"/>
          <w:sz w:val="24"/>
          <w:szCs w:val="24"/>
        </w:rPr>
        <w:t xml:space="preserve"> </w:t>
      </w:r>
      <w:proofErr w:type="spellStart"/>
      <w:r w:rsidRPr="00253432">
        <w:rPr>
          <w:rFonts w:ascii="Times New Roman" w:hAnsi="Times New Roman" w:cs="Times New Roman"/>
          <w:color w:val="000000" w:themeColor="text1"/>
          <w:sz w:val="24"/>
          <w:szCs w:val="24"/>
        </w:rPr>
        <w:t>Copernicana</w:t>
      </w:r>
      <w:proofErr w:type="spellEnd"/>
      <w:r w:rsidRPr="00253432">
        <w:rPr>
          <w:rFonts w:ascii="Times New Roman" w:hAnsi="Times New Roman" w:cs="Times New Roman"/>
          <w:color w:val="000000" w:themeColor="text1"/>
          <w:sz w:val="24"/>
          <w:szCs w:val="24"/>
        </w:rPr>
        <w:t>, 14(3), pp.731-767.</w:t>
      </w:r>
    </w:p>
    <w:p w14:paraId="2B4C5732"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r w:rsidRPr="00253432">
        <w:rPr>
          <w:rFonts w:ascii="Times New Roman" w:hAnsi="Times New Roman" w:cs="Times New Roman"/>
          <w:color w:val="000000" w:themeColor="text1"/>
          <w:sz w:val="24"/>
          <w:szCs w:val="24"/>
        </w:rPr>
        <w:t>Davis, F.D. (1989) 'Perceived usefulness, perceived ease of use, and user acceptance of information technology', MIS Quarterly, 13(3), pp.319-340.</w:t>
      </w:r>
    </w:p>
    <w:p w14:paraId="2AB9E392"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proofErr w:type="spellStart"/>
      <w:r w:rsidRPr="00253432">
        <w:rPr>
          <w:rFonts w:ascii="Times New Roman" w:hAnsi="Times New Roman" w:cs="Times New Roman"/>
          <w:color w:val="000000" w:themeColor="text1"/>
          <w:sz w:val="24"/>
          <w:szCs w:val="24"/>
        </w:rPr>
        <w:t>Dell'Acqua</w:t>
      </w:r>
      <w:proofErr w:type="spellEnd"/>
      <w:r w:rsidRPr="00253432">
        <w:rPr>
          <w:rFonts w:ascii="Times New Roman" w:hAnsi="Times New Roman" w:cs="Times New Roman"/>
          <w:color w:val="000000" w:themeColor="text1"/>
          <w:sz w:val="24"/>
          <w:szCs w:val="24"/>
        </w:rPr>
        <w:t xml:space="preserve">, F. </w:t>
      </w:r>
      <w:r w:rsidR="00BF34F4" w:rsidRPr="00253432">
        <w:rPr>
          <w:rFonts w:ascii="Times New Roman" w:hAnsi="Times New Roman" w:cs="Times New Roman"/>
          <w:i/>
          <w:color w:val="000000" w:themeColor="text1"/>
          <w:sz w:val="24"/>
          <w:szCs w:val="24"/>
        </w:rPr>
        <w:t>et al</w:t>
      </w:r>
      <w:r w:rsidRPr="00253432">
        <w:rPr>
          <w:rFonts w:ascii="Times New Roman" w:hAnsi="Times New Roman" w:cs="Times New Roman"/>
          <w:color w:val="000000" w:themeColor="text1"/>
          <w:sz w:val="24"/>
          <w:szCs w:val="24"/>
        </w:rPr>
        <w:t>. (2023) 'Navigating the jagged technological frontier: field experimental evidence of the effects of AI on knowledge worker productivity and quality', Harvard Business School Working Paper 24-013.</w:t>
      </w:r>
    </w:p>
    <w:p w14:paraId="385C19AD"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proofErr w:type="spellStart"/>
      <w:r w:rsidRPr="00253432">
        <w:rPr>
          <w:rFonts w:ascii="Times New Roman" w:hAnsi="Times New Roman" w:cs="Times New Roman"/>
          <w:color w:val="000000" w:themeColor="text1"/>
          <w:sz w:val="24"/>
          <w:szCs w:val="24"/>
        </w:rPr>
        <w:lastRenderedPageBreak/>
        <w:t>Dietvorst</w:t>
      </w:r>
      <w:proofErr w:type="spellEnd"/>
      <w:r w:rsidRPr="00253432">
        <w:rPr>
          <w:rFonts w:ascii="Times New Roman" w:hAnsi="Times New Roman" w:cs="Times New Roman"/>
          <w:color w:val="000000" w:themeColor="text1"/>
          <w:sz w:val="24"/>
          <w:szCs w:val="24"/>
        </w:rPr>
        <w:t>, B.J., Simmons, J.P. and Massey, C. (2015) 'Algorithm aversion: people erroneously avoid algorithms after seeing them err', Journal of Experimental Psychology: General, 144(1), pp.114-126.</w:t>
      </w:r>
    </w:p>
    <w:p w14:paraId="4051E02F"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r w:rsidRPr="00253432">
        <w:rPr>
          <w:rFonts w:ascii="Times New Roman" w:hAnsi="Times New Roman" w:cs="Times New Roman"/>
          <w:color w:val="000000" w:themeColor="text1"/>
          <w:sz w:val="24"/>
          <w:szCs w:val="24"/>
          <w:shd w:val="clear" w:color="auto" w:fill="FFFFFF"/>
        </w:rPr>
        <w:t>Ding, L., 2021. Employees’ challenge-hindrance appraisals toward STARA awareness and competitive productivity: a micro-level case. </w:t>
      </w:r>
      <w:r w:rsidRPr="00253432">
        <w:rPr>
          <w:rFonts w:ascii="Times New Roman" w:hAnsi="Times New Roman" w:cs="Times New Roman"/>
          <w:i/>
          <w:iCs/>
          <w:color w:val="000000" w:themeColor="text1"/>
          <w:sz w:val="24"/>
          <w:szCs w:val="24"/>
          <w:shd w:val="clear" w:color="auto" w:fill="FFFFFF"/>
        </w:rPr>
        <w:t>International Journal of Contemporary Hospitality Management</w:t>
      </w:r>
      <w:r w:rsidRPr="00253432">
        <w:rPr>
          <w:rFonts w:ascii="Times New Roman" w:hAnsi="Times New Roman" w:cs="Times New Roman"/>
          <w:color w:val="000000" w:themeColor="text1"/>
          <w:sz w:val="24"/>
          <w:szCs w:val="24"/>
          <w:shd w:val="clear" w:color="auto" w:fill="FFFFFF"/>
        </w:rPr>
        <w:t>, </w:t>
      </w:r>
      <w:r w:rsidRPr="00253432">
        <w:rPr>
          <w:rFonts w:ascii="Times New Roman" w:hAnsi="Times New Roman" w:cs="Times New Roman"/>
          <w:i/>
          <w:iCs/>
          <w:color w:val="000000" w:themeColor="text1"/>
          <w:sz w:val="24"/>
          <w:szCs w:val="24"/>
          <w:shd w:val="clear" w:color="auto" w:fill="FFFFFF"/>
        </w:rPr>
        <w:t>33</w:t>
      </w:r>
      <w:r w:rsidRPr="00253432">
        <w:rPr>
          <w:rFonts w:ascii="Times New Roman" w:hAnsi="Times New Roman" w:cs="Times New Roman"/>
          <w:color w:val="000000" w:themeColor="text1"/>
          <w:sz w:val="24"/>
          <w:szCs w:val="24"/>
          <w:shd w:val="clear" w:color="auto" w:fill="FFFFFF"/>
        </w:rPr>
        <w:t>(9), pp.2950-2969.</w:t>
      </w:r>
    </w:p>
    <w:p w14:paraId="201238DA"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proofErr w:type="spellStart"/>
      <w:r w:rsidRPr="00253432">
        <w:rPr>
          <w:rFonts w:ascii="Times New Roman" w:hAnsi="Times New Roman" w:cs="Times New Roman"/>
          <w:color w:val="000000" w:themeColor="text1"/>
          <w:sz w:val="24"/>
          <w:szCs w:val="24"/>
        </w:rPr>
        <w:t>Dubal</w:t>
      </w:r>
      <w:proofErr w:type="spellEnd"/>
      <w:r w:rsidRPr="00253432">
        <w:rPr>
          <w:rFonts w:ascii="Times New Roman" w:hAnsi="Times New Roman" w:cs="Times New Roman"/>
          <w:color w:val="000000" w:themeColor="text1"/>
          <w:sz w:val="24"/>
          <w:szCs w:val="24"/>
        </w:rPr>
        <w:t xml:space="preserve">, V. (2017) 'The drive to precarity: a political history of work, regulation, &amp; </w:t>
      </w:r>
      <w:proofErr w:type="spellStart"/>
      <w:r w:rsidRPr="00253432">
        <w:rPr>
          <w:rFonts w:ascii="Times New Roman" w:hAnsi="Times New Roman" w:cs="Times New Roman"/>
          <w:color w:val="000000" w:themeColor="text1"/>
          <w:sz w:val="24"/>
          <w:szCs w:val="24"/>
        </w:rPr>
        <w:t>labor</w:t>
      </w:r>
      <w:proofErr w:type="spellEnd"/>
      <w:r w:rsidRPr="00253432">
        <w:rPr>
          <w:rFonts w:ascii="Times New Roman" w:hAnsi="Times New Roman" w:cs="Times New Roman"/>
          <w:color w:val="000000" w:themeColor="text1"/>
          <w:sz w:val="24"/>
          <w:szCs w:val="24"/>
        </w:rPr>
        <w:t xml:space="preserve"> advocacy in San Francisco's taxi &amp; Uber economies', Berkeley Journal of Employment and </w:t>
      </w:r>
      <w:proofErr w:type="spellStart"/>
      <w:r w:rsidRPr="00253432">
        <w:rPr>
          <w:rFonts w:ascii="Times New Roman" w:hAnsi="Times New Roman" w:cs="Times New Roman"/>
          <w:color w:val="000000" w:themeColor="text1"/>
          <w:sz w:val="24"/>
          <w:szCs w:val="24"/>
        </w:rPr>
        <w:t>Labor</w:t>
      </w:r>
      <w:proofErr w:type="spellEnd"/>
      <w:r w:rsidRPr="00253432">
        <w:rPr>
          <w:rFonts w:ascii="Times New Roman" w:hAnsi="Times New Roman" w:cs="Times New Roman"/>
          <w:color w:val="000000" w:themeColor="text1"/>
          <w:sz w:val="24"/>
          <w:szCs w:val="24"/>
        </w:rPr>
        <w:t xml:space="preserve"> Law, 38(1), pp.73-135.</w:t>
      </w:r>
    </w:p>
    <w:p w14:paraId="761BCB80"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r w:rsidRPr="00253432">
        <w:rPr>
          <w:rFonts w:ascii="Times New Roman" w:hAnsi="Times New Roman" w:cs="Times New Roman"/>
          <w:color w:val="000000" w:themeColor="text1"/>
          <w:sz w:val="24"/>
          <w:szCs w:val="24"/>
        </w:rPr>
        <w:t xml:space="preserve">Ebert, I., </w:t>
      </w:r>
      <w:proofErr w:type="spellStart"/>
      <w:r w:rsidRPr="00253432">
        <w:rPr>
          <w:rFonts w:ascii="Times New Roman" w:hAnsi="Times New Roman" w:cs="Times New Roman"/>
          <w:color w:val="000000" w:themeColor="text1"/>
          <w:sz w:val="24"/>
          <w:szCs w:val="24"/>
        </w:rPr>
        <w:t>Wildhaber</w:t>
      </w:r>
      <w:proofErr w:type="spellEnd"/>
      <w:r w:rsidRPr="00253432">
        <w:rPr>
          <w:rFonts w:ascii="Times New Roman" w:hAnsi="Times New Roman" w:cs="Times New Roman"/>
          <w:color w:val="000000" w:themeColor="text1"/>
          <w:sz w:val="24"/>
          <w:szCs w:val="24"/>
        </w:rPr>
        <w:t>, I. and Adams-</w:t>
      </w:r>
      <w:proofErr w:type="spellStart"/>
      <w:r w:rsidRPr="00253432">
        <w:rPr>
          <w:rFonts w:ascii="Times New Roman" w:hAnsi="Times New Roman" w:cs="Times New Roman"/>
          <w:color w:val="000000" w:themeColor="text1"/>
          <w:sz w:val="24"/>
          <w:szCs w:val="24"/>
        </w:rPr>
        <w:t>Prassl</w:t>
      </w:r>
      <w:proofErr w:type="spellEnd"/>
      <w:r w:rsidRPr="00253432">
        <w:rPr>
          <w:rFonts w:ascii="Times New Roman" w:hAnsi="Times New Roman" w:cs="Times New Roman"/>
          <w:color w:val="000000" w:themeColor="text1"/>
          <w:sz w:val="24"/>
          <w:szCs w:val="24"/>
        </w:rPr>
        <w:t>, J. (2021) 'Big data in the workplace: privacy due diligence as a human rights-based approach to employee privacy protection', Big Data &amp; Society, 8(1).</w:t>
      </w:r>
    </w:p>
    <w:p w14:paraId="235AD235"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r w:rsidRPr="00253432">
        <w:rPr>
          <w:rFonts w:ascii="Times New Roman" w:hAnsi="Times New Roman" w:cs="Times New Roman"/>
          <w:color w:val="000000" w:themeColor="text1"/>
          <w:sz w:val="24"/>
          <w:szCs w:val="24"/>
        </w:rPr>
        <w:t>Emerald (2025) 'Artificial intelligence (AI) governance in organizational decision-making: balancing autonomy, accountability and transparency', Journal of Entrepreneurship and Public Policy.</w:t>
      </w:r>
    </w:p>
    <w:p w14:paraId="6E3EF386"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proofErr w:type="spellStart"/>
      <w:r w:rsidRPr="00253432">
        <w:rPr>
          <w:rFonts w:ascii="Times New Roman" w:hAnsi="Times New Roman" w:cs="Times New Roman"/>
          <w:color w:val="000000" w:themeColor="text1"/>
          <w:sz w:val="24"/>
          <w:szCs w:val="24"/>
        </w:rPr>
        <w:t>Fabris</w:t>
      </w:r>
      <w:proofErr w:type="spellEnd"/>
      <w:r w:rsidRPr="00253432">
        <w:rPr>
          <w:rFonts w:ascii="Times New Roman" w:hAnsi="Times New Roman" w:cs="Times New Roman"/>
          <w:color w:val="000000" w:themeColor="text1"/>
          <w:sz w:val="24"/>
          <w:szCs w:val="24"/>
        </w:rPr>
        <w:t xml:space="preserve">, A., </w:t>
      </w:r>
      <w:proofErr w:type="spellStart"/>
      <w:r w:rsidRPr="00253432">
        <w:rPr>
          <w:rFonts w:ascii="Times New Roman" w:hAnsi="Times New Roman" w:cs="Times New Roman"/>
          <w:color w:val="000000" w:themeColor="text1"/>
          <w:sz w:val="24"/>
          <w:szCs w:val="24"/>
        </w:rPr>
        <w:t>Baranowska</w:t>
      </w:r>
      <w:proofErr w:type="spellEnd"/>
      <w:r w:rsidRPr="00253432">
        <w:rPr>
          <w:rFonts w:ascii="Times New Roman" w:hAnsi="Times New Roman" w:cs="Times New Roman"/>
          <w:color w:val="000000" w:themeColor="text1"/>
          <w:sz w:val="24"/>
          <w:szCs w:val="24"/>
        </w:rPr>
        <w:t xml:space="preserve">, N., Dennis, M.J., </w:t>
      </w:r>
      <w:proofErr w:type="spellStart"/>
      <w:r w:rsidRPr="00253432">
        <w:rPr>
          <w:rFonts w:ascii="Times New Roman" w:hAnsi="Times New Roman" w:cs="Times New Roman"/>
          <w:color w:val="000000" w:themeColor="text1"/>
          <w:sz w:val="24"/>
          <w:szCs w:val="24"/>
        </w:rPr>
        <w:t>Graus</w:t>
      </w:r>
      <w:proofErr w:type="spellEnd"/>
      <w:r w:rsidRPr="00253432">
        <w:rPr>
          <w:rFonts w:ascii="Times New Roman" w:hAnsi="Times New Roman" w:cs="Times New Roman"/>
          <w:color w:val="000000" w:themeColor="text1"/>
          <w:sz w:val="24"/>
          <w:szCs w:val="24"/>
        </w:rPr>
        <w:t xml:space="preserve">, D., Hacker, P., Saldivar, J., </w:t>
      </w:r>
      <w:proofErr w:type="spellStart"/>
      <w:r w:rsidRPr="00253432">
        <w:rPr>
          <w:rFonts w:ascii="Times New Roman" w:hAnsi="Times New Roman" w:cs="Times New Roman"/>
          <w:color w:val="000000" w:themeColor="text1"/>
          <w:sz w:val="24"/>
          <w:szCs w:val="24"/>
        </w:rPr>
        <w:t>Zuiderveen</w:t>
      </w:r>
      <w:proofErr w:type="spellEnd"/>
      <w:r w:rsidRPr="00253432">
        <w:rPr>
          <w:rFonts w:ascii="Times New Roman" w:hAnsi="Times New Roman" w:cs="Times New Roman"/>
          <w:color w:val="000000" w:themeColor="text1"/>
          <w:sz w:val="24"/>
          <w:szCs w:val="24"/>
        </w:rPr>
        <w:t xml:space="preserve"> </w:t>
      </w:r>
      <w:proofErr w:type="spellStart"/>
      <w:r w:rsidRPr="00253432">
        <w:rPr>
          <w:rFonts w:ascii="Times New Roman" w:hAnsi="Times New Roman" w:cs="Times New Roman"/>
          <w:color w:val="000000" w:themeColor="text1"/>
          <w:sz w:val="24"/>
          <w:szCs w:val="24"/>
        </w:rPr>
        <w:t>Borgesius</w:t>
      </w:r>
      <w:proofErr w:type="spellEnd"/>
      <w:r w:rsidRPr="00253432">
        <w:rPr>
          <w:rFonts w:ascii="Times New Roman" w:hAnsi="Times New Roman" w:cs="Times New Roman"/>
          <w:color w:val="000000" w:themeColor="text1"/>
          <w:sz w:val="24"/>
          <w:szCs w:val="24"/>
        </w:rPr>
        <w:t xml:space="preserve">, F. and </w:t>
      </w:r>
      <w:proofErr w:type="spellStart"/>
      <w:r w:rsidRPr="00253432">
        <w:rPr>
          <w:rFonts w:ascii="Times New Roman" w:hAnsi="Times New Roman" w:cs="Times New Roman"/>
          <w:color w:val="000000" w:themeColor="text1"/>
          <w:sz w:val="24"/>
          <w:szCs w:val="24"/>
        </w:rPr>
        <w:t>Biega</w:t>
      </w:r>
      <w:proofErr w:type="spellEnd"/>
      <w:r w:rsidRPr="00253432">
        <w:rPr>
          <w:rFonts w:ascii="Times New Roman" w:hAnsi="Times New Roman" w:cs="Times New Roman"/>
          <w:color w:val="000000" w:themeColor="text1"/>
          <w:sz w:val="24"/>
          <w:szCs w:val="24"/>
        </w:rPr>
        <w:t>, A.J. (2025) 'Fairness and bias in algorithmic hiring: a multidisciplinary survey', ACM Transactions on Intelligent Systems and Technology, 16(1), pp.1-54.</w:t>
      </w:r>
    </w:p>
    <w:p w14:paraId="00114555"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proofErr w:type="spellStart"/>
      <w:r w:rsidRPr="00253432">
        <w:rPr>
          <w:rFonts w:ascii="Times New Roman" w:hAnsi="Times New Roman" w:cs="Times New Roman"/>
          <w:color w:val="000000" w:themeColor="text1"/>
          <w:sz w:val="24"/>
          <w:szCs w:val="24"/>
        </w:rPr>
        <w:t>Floridi</w:t>
      </w:r>
      <w:proofErr w:type="spellEnd"/>
      <w:r w:rsidRPr="00253432">
        <w:rPr>
          <w:rFonts w:ascii="Times New Roman" w:hAnsi="Times New Roman" w:cs="Times New Roman"/>
          <w:color w:val="000000" w:themeColor="text1"/>
          <w:sz w:val="24"/>
          <w:szCs w:val="24"/>
        </w:rPr>
        <w:t>, L. and Cowls, J. (2019) 'A unified framework of five principles for AI in society', Harvard Data Science Review, 1(1).</w:t>
      </w:r>
    </w:p>
    <w:p w14:paraId="319D85DA"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32"/>
          <w:szCs w:val="24"/>
        </w:rPr>
      </w:pPr>
      <w:r w:rsidRPr="00253432">
        <w:rPr>
          <w:rFonts w:ascii="Times New Roman" w:hAnsi="Times New Roman" w:cs="Times New Roman"/>
          <w:color w:val="000000" w:themeColor="text1"/>
          <w:sz w:val="24"/>
          <w:szCs w:val="20"/>
          <w:shd w:val="clear" w:color="auto" w:fill="FFFFFF"/>
        </w:rPr>
        <w:t>Frimpong, V., 2026. The Governance Inversion Hypothesis: Why More AI Regulation May Produce Less Organisational Control. </w:t>
      </w:r>
      <w:proofErr w:type="spellStart"/>
      <w:r w:rsidRPr="00253432">
        <w:rPr>
          <w:rFonts w:ascii="Times New Roman" w:hAnsi="Times New Roman" w:cs="Times New Roman"/>
          <w:i/>
          <w:iCs/>
          <w:color w:val="000000" w:themeColor="text1"/>
          <w:sz w:val="24"/>
          <w:szCs w:val="20"/>
          <w:shd w:val="clear" w:color="auto" w:fill="FFFFFF"/>
        </w:rPr>
        <w:t>arXiv</w:t>
      </w:r>
      <w:proofErr w:type="spellEnd"/>
      <w:r w:rsidRPr="00253432">
        <w:rPr>
          <w:rFonts w:ascii="Times New Roman" w:hAnsi="Times New Roman" w:cs="Times New Roman"/>
          <w:i/>
          <w:iCs/>
          <w:color w:val="000000" w:themeColor="text1"/>
          <w:sz w:val="24"/>
          <w:szCs w:val="20"/>
          <w:shd w:val="clear" w:color="auto" w:fill="FFFFFF"/>
        </w:rPr>
        <w:t xml:space="preserve"> preprint arXiv:2606.26117</w:t>
      </w:r>
      <w:r w:rsidRPr="00253432">
        <w:rPr>
          <w:rFonts w:ascii="Times New Roman" w:hAnsi="Times New Roman" w:cs="Times New Roman"/>
          <w:color w:val="000000" w:themeColor="text1"/>
          <w:sz w:val="24"/>
          <w:szCs w:val="20"/>
          <w:shd w:val="clear" w:color="auto" w:fill="FFFFFF"/>
        </w:rPr>
        <w:t>.</w:t>
      </w:r>
    </w:p>
    <w:p w14:paraId="0324C9FA"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r w:rsidRPr="00253432">
        <w:rPr>
          <w:rFonts w:ascii="Times New Roman" w:hAnsi="Times New Roman" w:cs="Times New Roman"/>
          <w:color w:val="000000" w:themeColor="text1"/>
          <w:sz w:val="24"/>
          <w:szCs w:val="24"/>
        </w:rPr>
        <w:t>Frontiers in Artificial Intelligence (2024) 'Exploring how AI adoption in the workplace affects employees: a bibliometric and systematic review', Frontiers in Artificial Intelligence, 11, 1473872.</w:t>
      </w:r>
    </w:p>
    <w:p w14:paraId="35652B67"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r w:rsidRPr="00253432">
        <w:rPr>
          <w:rFonts w:ascii="Times New Roman" w:hAnsi="Times New Roman" w:cs="Times New Roman"/>
          <w:color w:val="000000" w:themeColor="text1"/>
          <w:sz w:val="24"/>
          <w:szCs w:val="24"/>
        </w:rPr>
        <w:t>Frontiers in Human Dynamics (2024) 'Transparency and accountability in AI systems: safeguarding wellbeing in the age of algorithmic decision-making', Frontiers in Human Dynamics, 6, 1421273.</w:t>
      </w:r>
    </w:p>
    <w:p w14:paraId="053ECF03"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r w:rsidRPr="00253432">
        <w:rPr>
          <w:rFonts w:ascii="Times New Roman" w:hAnsi="Times New Roman" w:cs="Times New Roman"/>
          <w:color w:val="000000" w:themeColor="text1"/>
          <w:sz w:val="24"/>
          <w:szCs w:val="24"/>
        </w:rPr>
        <w:t>Frontiers in Organizational Psychology (2025) 'Trust and AI weight: human-AI collaboration in organizational management decision-making', Frontiers in Organizational Psychology, 3, 1419403.</w:t>
      </w:r>
    </w:p>
    <w:p w14:paraId="5598603C"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r w:rsidRPr="00253432">
        <w:rPr>
          <w:rFonts w:ascii="Times New Roman" w:hAnsi="Times New Roman" w:cs="Times New Roman"/>
          <w:color w:val="000000" w:themeColor="text1"/>
          <w:sz w:val="24"/>
          <w:szCs w:val="24"/>
          <w:shd w:val="clear" w:color="auto" w:fill="FFFFFF"/>
        </w:rPr>
        <w:lastRenderedPageBreak/>
        <w:t>George, A.S., 2024. Artificial intelligence and the future of work: job shifting not job loss. </w:t>
      </w:r>
      <w:r w:rsidRPr="00253432">
        <w:rPr>
          <w:rFonts w:ascii="Times New Roman" w:hAnsi="Times New Roman" w:cs="Times New Roman"/>
          <w:i/>
          <w:iCs/>
          <w:color w:val="000000" w:themeColor="text1"/>
          <w:sz w:val="24"/>
          <w:szCs w:val="24"/>
          <w:shd w:val="clear" w:color="auto" w:fill="FFFFFF"/>
        </w:rPr>
        <w:t>Partners Universal Innovative Research Publication</w:t>
      </w:r>
      <w:r w:rsidRPr="00253432">
        <w:rPr>
          <w:rFonts w:ascii="Times New Roman" w:hAnsi="Times New Roman" w:cs="Times New Roman"/>
          <w:color w:val="000000" w:themeColor="text1"/>
          <w:sz w:val="24"/>
          <w:szCs w:val="24"/>
          <w:shd w:val="clear" w:color="auto" w:fill="FFFFFF"/>
        </w:rPr>
        <w:t>, </w:t>
      </w:r>
      <w:r w:rsidRPr="00253432">
        <w:rPr>
          <w:rFonts w:ascii="Times New Roman" w:hAnsi="Times New Roman" w:cs="Times New Roman"/>
          <w:i/>
          <w:iCs/>
          <w:color w:val="000000" w:themeColor="text1"/>
          <w:sz w:val="24"/>
          <w:szCs w:val="24"/>
          <w:shd w:val="clear" w:color="auto" w:fill="FFFFFF"/>
        </w:rPr>
        <w:t>2</w:t>
      </w:r>
      <w:r w:rsidRPr="00253432">
        <w:rPr>
          <w:rFonts w:ascii="Times New Roman" w:hAnsi="Times New Roman" w:cs="Times New Roman"/>
          <w:color w:val="000000" w:themeColor="text1"/>
          <w:sz w:val="24"/>
          <w:szCs w:val="24"/>
          <w:shd w:val="clear" w:color="auto" w:fill="FFFFFF"/>
        </w:rPr>
        <w:t>(2), pp.17-37.</w:t>
      </w:r>
    </w:p>
    <w:p w14:paraId="51B0B5D6"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proofErr w:type="spellStart"/>
      <w:r w:rsidRPr="00253432">
        <w:rPr>
          <w:rFonts w:ascii="Times New Roman" w:hAnsi="Times New Roman" w:cs="Times New Roman"/>
          <w:color w:val="000000" w:themeColor="text1"/>
          <w:sz w:val="24"/>
          <w:szCs w:val="24"/>
        </w:rPr>
        <w:t>Gillath</w:t>
      </w:r>
      <w:proofErr w:type="spellEnd"/>
      <w:r w:rsidRPr="00253432">
        <w:rPr>
          <w:rFonts w:ascii="Times New Roman" w:hAnsi="Times New Roman" w:cs="Times New Roman"/>
          <w:color w:val="000000" w:themeColor="text1"/>
          <w:sz w:val="24"/>
          <w:szCs w:val="24"/>
        </w:rPr>
        <w:t xml:space="preserve">, O., Ai, T., </w:t>
      </w:r>
      <w:proofErr w:type="spellStart"/>
      <w:r w:rsidRPr="00253432">
        <w:rPr>
          <w:rFonts w:ascii="Times New Roman" w:hAnsi="Times New Roman" w:cs="Times New Roman"/>
          <w:color w:val="000000" w:themeColor="text1"/>
          <w:sz w:val="24"/>
          <w:szCs w:val="24"/>
        </w:rPr>
        <w:t>Branicky</w:t>
      </w:r>
      <w:proofErr w:type="spellEnd"/>
      <w:r w:rsidRPr="00253432">
        <w:rPr>
          <w:rFonts w:ascii="Times New Roman" w:hAnsi="Times New Roman" w:cs="Times New Roman"/>
          <w:color w:val="000000" w:themeColor="text1"/>
          <w:sz w:val="24"/>
          <w:szCs w:val="24"/>
        </w:rPr>
        <w:t xml:space="preserve">, M.S., </w:t>
      </w:r>
      <w:proofErr w:type="spellStart"/>
      <w:r w:rsidRPr="00253432">
        <w:rPr>
          <w:rFonts w:ascii="Times New Roman" w:hAnsi="Times New Roman" w:cs="Times New Roman"/>
          <w:color w:val="000000" w:themeColor="text1"/>
          <w:sz w:val="24"/>
          <w:szCs w:val="24"/>
        </w:rPr>
        <w:t>Keshmiri</w:t>
      </w:r>
      <w:proofErr w:type="spellEnd"/>
      <w:r w:rsidRPr="00253432">
        <w:rPr>
          <w:rFonts w:ascii="Times New Roman" w:hAnsi="Times New Roman" w:cs="Times New Roman"/>
          <w:color w:val="000000" w:themeColor="text1"/>
          <w:sz w:val="24"/>
          <w:szCs w:val="24"/>
        </w:rPr>
        <w:t xml:space="preserve">, S., Davison, R.B. and Spaulding, R. (2021) 'Attachment and trust in artificial intelligence', Computers in Human </w:t>
      </w:r>
      <w:proofErr w:type="spellStart"/>
      <w:r w:rsidRPr="00253432">
        <w:rPr>
          <w:rFonts w:ascii="Times New Roman" w:hAnsi="Times New Roman" w:cs="Times New Roman"/>
          <w:color w:val="000000" w:themeColor="text1"/>
          <w:sz w:val="24"/>
          <w:szCs w:val="24"/>
        </w:rPr>
        <w:t>Behavior</w:t>
      </w:r>
      <w:proofErr w:type="spellEnd"/>
      <w:r w:rsidRPr="00253432">
        <w:rPr>
          <w:rFonts w:ascii="Times New Roman" w:hAnsi="Times New Roman" w:cs="Times New Roman"/>
          <w:color w:val="000000" w:themeColor="text1"/>
          <w:sz w:val="24"/>
          <w:szCs w:val="24"/>
        </w:rPr>
        <w:t>, 115, 106607.</w:t>
      </w:r>
    </w:p>
    <w:p w14:paraId="033CBCFF"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proofErr w:type="spellStart"/>
      <w:r w:rsidRPr="00253432">
        <w:rPr>
          <w:rFonts w:ascii="Times New Roman" w:hAnsi="Times New Roman" w:cs="Times New Roman"/>
          <w:color w:val="000000" w:themeColor="text1"/>
          <w:sz w:val="24"/>
          <w:szCs w:val="24"/>
        </w:rPr>
        <w:t>Glikson</w:t>
      </w:r>
      <w:proofErr w:type="spellEnd"/>
      <w:r w:rsidRPr="00253432">
        <w:rPr>
          <w:rFonts w:ascii="Times New Roman" w:hAnsi="Times New Roman" w:cs="Times New Roman"/>
          <w:color w:val="000000" w:themeColor="text1"/>
          <w:sz w:val="24"/>
          <w:szCs w:val="24"/>
        </w:rPr>
        <w:t>, E. and Woolley, A.W. (2020) 'Human trust in artificial intelligence: review of empirical research', Academy of Management Annals, 14(2), pp.627-660.</w:t>
      </w:r>
    </w:p>
    <w:p w14:paraId="4C2B257A"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proofErr w:type="spellStart"/>
      <w:r w:rsidRPr="00253432">
        <w:rPr>
          <w:rFonts w:ascii="Times New Roman" w:hAnsi="Times New Roman" w:cs="Times New Roman"/>
          <w:color w:val="000000" w:themeColor="text1"/>
          <w:sz w:val="24"/>
          <w:szCs w:val="24"/>
          <w:shd w:val="clear" w:color="auto" w:fill="FFFFFF"/>
        </w:rPr>
        <w:t>Glikson</w:t>
      </w:r>
      <w:proofErr w:type="spellEnd"/>
      <w:r w:rsidRPr="00253432">
        <w:rPr>
          <w:rFonts w:ascii="Times New Roman" w:hAnsi="Times New Roman" w:cs="Times New Roman"/>
          <w:color w:val="000000" w:themeColor="text1"/>
          <w:sz w:val="24"/>
          <w:szCs w:val="24"/>
          <w:shd w:val="clear" w:color="auto" w:fill="FFFFFF"/>
        </w:rPr>
        <w:t>, E. and Woolley, A.W., 2020. Human trust in artificial intelligence: Review of empirical research. </w:t>
      </w:r>
      <w:r w:rsidRPr="00253432">
        <w:rPr>
          <w:rFonts w:ascii="Times New Roman" w:hAnsi="Times New Roman" w:cs="Times New Roman"/>
          <w:i/>
          <w:iCs/>
          <w:color w:val="000000" w:themeColor="text1"/>
          <w:sz w:val="24"/>
          <w:szCs w:val="24"/>
          <w:shd w:val="clear" w:color="auto" w:fill="FFFFFF"/>
        </w:rPr>
        <w:t>Academy of management annals</w:t>
      </w:r>
      <w:r w:rsidRPr="00253432">
        <w:rPr>
          <w:rFonts w:ascii="Times New Roman" w:hAnsi="Times New Roman" w:cs="Times New Roman"/>
          <w:color w:val="000000" w:themeColor="text1"/>
          <w:sz w:val="24"/>
          <w:szCs w:val="24"/>
          <w:shd w:val="clear" w:color="auto" w:fill="FFFFFF"/>
        </w:rPr>
        <w:t>, </w:t>
      </w:r>
      <w:r w:rsidRPr="00253432">
        <w:rPr>
          <w:rFonts w:ascii="Times New Roman" w:hAnsi="Times New Roman" w:cs="Times New Roman"/>
          <w:i/>
          <w:iCs/>
          <w:color w:val="000000" w:themeColor="text1"/>
          <w:sz w:val="24"/>
          <w:szCs w:val="24"/>
          <w:shd w:val="clear" w:color="auto" w:fill="FFFFFF"/>
        </w:rPr>
        <w:t>14</w:t>
      </w:r>
      <w:r w:rsidRPr="00253432">
        <w:rPr>
          <w:rFonts w:ascii="Times New Roman" w:hAnsi="Times New Roman" w:cs="Times New Roman"/>
          <w:color w:val="000000" w:themeColor="text1"/>
          <w:sz w:val="24"/>
          <w:szCs w:val="24"/>
          <w:shd w:val="clear" w:color="auto" w:fill="FFFFFF"/>
        </w:rPr>
        <w:t>(2), pp.627-660.</w:t>
      </w:r>
    </w:p>
    <w:p w14:paraId="2E49A4EC"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proofErr w:type="spellStart"/>
      <w:r w:rsidRPr="00253432">
        <w:rPr>
          <w:rFonts w:ascii="Times New Roman" w:hAnsi="Times New Roman" w:cs="Times New Roman"/>
          <w:color w:val="000000" w:themeColor="text1"/>
          <w:sz w:val="24"/>
          <w:szCs w:val="24"/>
        </w:rPr>
        <w:t>Hengstler</w:t>
      </w:r>
      <w:proofErr w:type="spellEnd"/>
      <w:r w:rsidRPr="00253432">
        <w:rPr>
          <w:rFonts w:ascii="Times New Roman" w:hAnsi="Times New Roman" w:cs="Times New Roman"/>
          <w:color w:val="000000" w:themeColor="text1"/>
          <w:sz w:val="24"/>
          <w:szCs w:val="24"/>
        </w:rPr>
        <w:t xml:space="preserve">, M., </w:t>
      </w:r>
      <w:proofErr w:type="spellStart"/>
      <w:r w:rsidRPr="00253432">
        <w:rPr>
          <w:rFonts w:ascii="Times New Roman" w:hAnsi="Times New Roman" w:cs="Times New Roman"/>
          <w:color w:val="000000" w:themeColor="text1"/>
          <w:sz w:val="24"/>
          <w:szCs w:val="24"/>
        </w:rPr>
        <w:t>Enkel</w:t>
      </w:r>
      <w:proofErr w:type="spellEnd"/>
      <w:r w:rsidRPr="00253432">
        <w:rPr>
          <w:rFonts w:ascii="Times New Roman" w:hAnsi="Times New Roman" w:cs="Times New Roman"/>
          <w:color w:val="000000" w:themeColor="text1"/>
          <w:sz w:val="24"/>
          <w:szCs w:val="24"/>
        </w:rPr>
        <w:t xml:space="preserve">, E. and </w:t>
      </w:r>
      <w:proofErr w:type="spellStart"/>
      <w:r w:rsidRPr="00253432">
        <w:rPr>
          <w:rFonts w:ascii="Times New Roman" w:hAnsi="Times New Roman" w:cs="Times New Roman"/>
          <w:color w:val="000000" w:themeColor="text1"/>
          <w:sz w:val="24"/>
          <w:szCs w:val="24"/>
        </w:rPr>
        <w:t>Duelli</w:t>
      </w:r>
      <w:proofErr w:type="spellEnd"/>
      <w:r w:rsidRPr="00253432">
        <w:rPr>
          <w:rFonts w:ascii="Times New Roman" w:hAnsi="Times New Roman" w:cs="Times New Roman"/>
          <w:color w:val="000000" w:themeColor="text1"/>
          <w:sz w:val="24"/>
          <w:szCs w:val="24"/>
        </w:rPr>
        <w:t>, S. (2016) 'Applied artificial intelligence and trust—the case of autonomous vehicles and medical assistance devices', Technological Forecasting and Social Change, 105, pp.105-120.</w:t>
      </w:r>
    </w:p>
    <w:p w14:paraId="5A48B5EB"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proofErr w:type="spellStart"/>
      <w:r w:rsidRPr="00253432">
        <w:rPr>
          <w:rFonts w:ascii="Times New Roman" w:hAnsi="Times New Roman" w:cs="Times New Roman"/>
          <w:color w:val="000000" w:themeColor="text1"/>
          <w:sz w:val="24"/>
          <w:szCs w:val="24"/>
        </w:rPr>
        <w:t>Höddinghaus</w:t>
      </w:r>
      <w:proofErr w:type="spellEnd"/>
      <w:r w:rsidRPr="00253432">
        <w:rPr>
          <w:rFonts w:ascii="Times New Roman" w:hAnsi="Times New Roman" w:cs="Times New Roman"/>
          <w:color w:val="000000" w:themeColor="text1"/>
          <w:sz w:val="24"/>
          <w:szCs w:val="24"/>
        </w:rPr>
        <w:t xml:space="preserve">, M., </w:t>
      </w:r>
      <w:proofErr w:type="spellStart"/>
      <w:r w:rsidRPr="00253432">
        <w:rPr>
          <w:rFonts w:ascii="Times New Roman" w:hAnsi="Times New Roman" w:cs="Times New Roman"/>
          <w:color w:val="000000" w:themeColor="text1"/>
          <w:sz w:val="24"/>
          <w:szCs w:val="24"/>
        </w:rPr>
        <w:t>Sondern</w:t>
      </w:r>
      <w:proofErr w:type="spellEnd"/>
      <w:r w:rsidRPr="00253432">
        <w:rPr>
          <w:rFonts w:ascii="Times New Roman" w:hAnsi="Times New Roman" w:cs="Times New Roman"/>
          <w:color w:val="000000" w:themeColor="text1"/>
          <w:sz w:val="24"/>
          <w:szCs w:val="24"/>
        </w:rPr>
        <w:t>, D. and Hertel, G. (2021) 'The automation of leadership functions: would people trust decision algorithms?', International Journal of Selection and Assessment, 27(3), pp.217-234.</w:t>
      </w:r>
    </w:p>
    <w:p w14:paraId="3277DD73"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r w:rsidRPr="00253432">
        <w:rPr>
          <w:rFonts w:ascii="Times New Roman" w:hAnsi="Times New Roman" w:cs="Times New Roman"/>
          <w:color w:val="000000" w:themeColor="text1"/>
          <w:sz w:val="24"/>
          <w:szCs w:val="24"/>
        </w:rPr>
        <w:t>Hoff, K.A. and Bashir, M. (2015) 'Trust in automation: integrating empirical evidence on factors that influence trust', Human Factors, 57(3), pp.407-434.</w:t>
      </w:r>
    </w:p>
    <w:p w14:paraId="3B775FE4"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proofErr w:type="spellStart"/>
      <w:r w:rsidRPr="00253432">
        <w:rPr>
          <w:rFonts w:ascii="Times New Roman" w:hAnsi="Times New Roman" w:cs="Times New Roman"/>
          <w:color w:val="000000" w:themeColor="text1"/>
          <w:sz w:val="24"/>
          <w:szCs w:val="24"/>
        </w:rPr>
        <w:t>Humlum</w:t>
      </w:r>
      <w:proofErr w:type="spellEnd"/>
      <w:r w:rsidRPr="00253432">
        <w:rPr>
          <w:rFonts w:ascii="Times New Roman" w:hAnsi="Times New Roman" w:cs="Times New Roman"/>
          <w:color w:val="000000" w:themeColor="text1"/>
          <w:sz w:val="24"/>
          <w:szCs w:val="24"/>
        </w:rPr>
        <w:t xml:space="preserve">, A. and Vestergaard, E. (2025) 'The unequal adoption of </w:t>
      </w:r>
      <w:proofErr w:type="spellStart"/>
      <w:r w:rsidRPr="00253432">
        <w:rPr>
          <w:rFonts w:ascii="Times New Roman" w:hAnsi="Times New Roman" w:cs="Times New Roman"/>
          <w:color w:val="000000" w:themeColor="text1"/>
          <w:sz w:val="24"/>
          <w:szCs w:val="24"/>
        </w:rPr>
        <w:t>ChatGPT</w:t>
      </w:r>
      <w:proofErr w:type="spellEnd"/>
      <w:r w:rsidRPr="00253432">
        <w:rPr>
          <w:rFonts w:ascii="Times New Roman" w:hAnsi="Times New Roman" w:cs="Times New Roman"/>
          <w:color w:val="000000" w:themeColor="text1"/>
          <w:sz w:val="24"/>
          <w:szCs w:val="24"/>
        </w:rPr>
        <w:t xml:space="preserve"> exacerbates existing inequalities among workers', Proceedings of the National Academy of Sciences, 122(1), e2414972121.</w:t>
      </w:r>
    </w:p>
    <w:p w14:paraId="6DA682DF"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r w:rsidRPr="00253432">
        <w:rPr>
          <w:rFonts w:ascii="Times New Roman" w:hAnsi="Times New Roman" w:cs="Times New Roman"/>
          <w:color w:val="000000" w:themeColor="text1"/>
          <w:sz w:val="24"/>
          <w:szCs w:val="24"/>
          <w:shd w:val="clear" w:color="auto" w:fill="FFFFFF"/>
        </w:rPr>
        <w:t xml:space="preserve">Ibrahim, F., </w:t>
      </w:r>
      <w:proofErr w:type="spellStart"/>
      <w:r w:rsidRPr="00253432">
        <w:rPr>
          <w:rFonts w:ascii="Times New Roman" w:hAnsi="Times New Roman" w:cs="Times New Roman"/>
          <w:color w:val="000000" w:themeColor="text1"/>
          <w:sz w:val="24"/>
          <w:szCs w:val="24"/>
          <w:shd w:val="clear" w:color="auto" w:fill="FFFFFF"/>
        </w:rPr>
        <w:t>Münscher</w:t>
      </w:r>
      <w:proofErr w:type="spellEnd"/>
      <w:r w:rsidRPr="00253432">
        <w:rPr>
          <w:rFonts w:ascii="Times New Roman" w:hAnsi="Times New Roman" w:cs="Times New Roman"/>
          <w:color w:val="000000" w:themeColor="text1"/>
          <w:sz w:val="24"/>
          <w:szCs w:val="24"/>
          <w:shd w:val="clear" w:color="auto" w:fill="FFFFFF"/>
        </w:rPr>
        <w:t xml:space="preserve">, J.C., </w:t>
      </w:r>
      <w:proofErr w:type="spellStart"/>
      <w:r w:rsidRPr="00253432">
        <w:rPr>
          <w:rFonts w:ascii="Times New Roman" w:hAnsi="Times New Roman" w:cs="Times New Roman"/>
          <w:color w:val="000000" w:themeColor="text1"/>
          <w:sz w:val="24"/>
          <w:szCs w:val="24"/>
          <w:shd w:val="clear" w:color="auto" w:fill="FFFFFF"/>
        </w:rPr>
        <w:t>Daseking</w:t>
      </w:r>
      <w:proofErr w:type="spellEnd"/>
      <w:r w:rsidRPr="00253432">
        <w:rPr>
          <w:rFonts w:ascii="Times New Roman" w:hAnsi="Times New Roman" w:cs="Times New Roman"/>
          <w:color w:val="000000" w:themeColor="text1"/>
          <w:sz w:val="24"/>
          <w:szCs w:val="24"/>
          <w:shd w:val="clear" w:color="auto" w:fill="FFFFFF"/>
        </w:rPr>
        <w:t>, M. and Telle, N.T., 2025. The technology acceptance model and adopter type analysis in the context of artificial intelligence. </w:t>
      </w:r>
      <w:r w:rsidRPr="00253432">
        <w:rPr>
          <w:rFonts w:ascii="Times New Roman" w:hAnsi="Times New Roman" w:cs="Times New Roman"/>
          <w:i/>
          <w:iCs/>
          <w:color w:val="000000" w:themeColor="text1"/>
          <w:sz w:val="24"/>
          <w:szCs w:val="24"/>
          <w:shd w:val="clear" w:color="auto" w:fill="FFFFFF"/>
        </w:rPr>
        <w:t>Frontiers in Artificial Intelligence</w:t>
      </w:r>
      <w:r w:rsidRPr="00253432">
        <w:rPr>
          <w:rFonts w:ascii="Times New Roman" w:hAnsi="Times New Roman" w:cs="Times New Roman"/>
          <w:color w:val="000000" w:themeColor="text1"/>
          <w:sz w:val="24"/>
          <w:szCs w:val="24"/>
          <w:shd w:val="clear" w:color="auto" w:fill="FFFFFF"/>
        </w:rPr>
        <w:t>, </w:t>
      </w:r>
      <w:r w:rsidRPr="00253432">
        <w:rPr>
          <w:rFonts w:ascii="Times New Roman" w:hAnsi="Times New Roman" w:cs="Times New Roman"/>
          <w:i/>
          <w:iCs/>
          <w:color w:val="000000" w:themeColor="text1"/>
          <w:sz w:val="24"/>
          <w:szCs w:val="24"/>
          <w:shd w:val="clear" w:color="auto" w:fill="FFFFFF"/>
        </w:rPr>
        <w:t>7</w:t>
      </w:r>
      <w:r w:rsidRPr="00253432">
        <w:rPr>
          <w:rFonts w:ascii="Times New Roman" w:hAnsi="Times New Roman" w:cs="Times New Roman"/>
          <w:color w:val="000000" w:themeColor="text1"/>
          <w:sz w:val="24"/>
          <w:szCs w:val="24"/>
          <w:shd w:val="clear" w:color="auto" w:fill="FFFFFF"/>
        </w:rPr>
        <w:t>, p.1496518.</w:t>
      </w:r>
    </w:p>
    <w:p w14:paraId="27F78512"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r w:rsidRPr="00253432">
        <w:rPr>
          <w:rFonts w:ascii="Times New Roman" w:hAnsi="Times New Roman" w:cs="Times New Roman"/>
          <w:color w:val="000000" w:themeColor="text1"/>
          <w:sz w:val="24"/>
          <w:szCs w:val="24"/>
          <w:shd w:val="clear" w:color="auto" w:fill="FFFFFF"/>
        </w:rPr>
        <w:t xml:space="preserve">Ibrahim, F., </w:t>
      </w:r>
      <w:proofErr w:type="spellStart"/>
      <w:r w:rsidRPr="00253432">
        <w:rPr>
          <w:rFonts w:ascii="Times New Roman" w:hAnsi="Times New Roman" w:cs="Times New Roman"/>
          <w:color w:val="000000" w:themeColor="text1"/>
          <w:sz w:val="24"/>
          <w:szCs w:val="24"/>
          <w:shd w:val="clear" w:color="auto" w:fill="FFFFFF"/>
        </w:rPr>
        <w:t>Münscher</w:t>
      </w:r>
      <w:proofErr w:type="spellEnd"/>
      <w:r w:rsidRPr="00253432">
        <w:rPr>
          <w:rFonts w:ascii="Times New Roman" w:hAnsi="Times New Roman" w:cs="Times New Roman"/>
          <w:color w:val="000000" w:themeColor="text1"/>
          <w:sz w:val="24"/>
          <w:szCs w:val="24"/>
          <w:shd w:val="clear" w:color="auto" w:fill="FFFFFF"/>
        </w:rPr>
        <w:t xml:space="preserve">, J.C., </w:t>
      </w:r>
      <w:proofErr w:type="spellStart"/>
      <w:r w:rsidRPr="00253432">
        <w:rPr>
          <w:rFonts w:ascii="Times New Roman" w:hAnsi="Times New Roman" w:cs="Times New Roman"/>
          <w:color w:val="000000" w:themeColor="text1"/>
          <w:sz w:val="24"/>
          <w:szCs w:val="24"/>
          <w:shd w:val="clear" w:color="auto" w:fill="FFFFFF"/>
        </w:rPr>
        <w:t>Daseking</w:t>
      </w:r>
      <w:proofErr w:type="spellEnd"/>
      <w:r w:rsidRPr="00253432">
        <w:rPr>
          <w:rFonts w:ascii="Times New Roman" w:hAnsi="Times New Roman" w:cs="Times New Roman"/>
          <w:color w:val="000000" w:themeColor="text1"/>
          <w:sz w:val="24"/>
          <w:szCs w:val="24"/>
          <w:shd w:val="clear" w:color="auto" w:fill="FFFFFF"/>
        </w:rPr>
        <w:t>, M. and Telle, N.T., 2025. The technology acceptance model and adopter type analysis in the context of artificial intelligence. </w:t>
      </w:r>
      <w:r w:rsidRPr="00253432">
        <w:rPr>
          <w:rFonts w:ascii="Times New Roman" w:hAnsi="Times New Roman" w:cs="Times New Roman"/>
          <w:i/>
          <w:iCs/>
          <w:color w:val="000000" w:themeColor="text1"/>
          <w:sz w:val="24"/>
          <w:szCs w:val="24"/>
          <w:shd w:val="clear" w:color="auto" w:fill="FFFFFF"/>
        </w:rPr>
        <w:t>Frontiers in Artificial Intelligence</w:t>
      </w:r>
      <w:r w:rsidRPr="00253432">
        <w:rPr>
          <w:rFonts w:ascii="Times New Roman" w:hAnsi="Times New Roman" w:cs="Times New Roman"/>
          <w:color w:val="000000" w:themeColor="text1"/>
          <w:sz w:val="24"/>
          <w:szCs w:val="24"/>
          <w:shd w:val="clear" w:color="auto" w:fill="FFFFFF"/>
        </w:rPr>
        <w:t>, </w:t>
      </w:r>
      <w:r w:rsidRPr="00253432">
        <w:rPr>
          <w:rFonts w:ascii="Times New Roman" w:hAnsi="Times New Roman" w:cs="Times New Roman"/>
          <w:i/>
          <w:iCs/>
          <w:color w:val="000000" w:themeColor="text1"/>
          <w:sz w:val="24"/>
          <w:szCs w:val="24"/>
          <w:shd w:val="clear" w:color="auto" w:fill="FFFFFF"/>
        </w:rPr>
        <w:t>7</w:t>
      </w:r>
      <w:r w:rsidRPr="00253432">
        <w:rPr>
          <w:rFonts w:ascii="Times New Roman" w:hAnsi="Times New Roman" w:cs="Times New Roman"/>
          <w:color w:val="000000" w:themeColor="text1"/>
          <w:sz w:val="24"/>
          <w:szCs w:val="24"/>
          <w:shd w:val="clear" w:color="auto" w:fill="FFFFFF"/>
        </w:rPr>
        <w:t>, p.1496518.</w:t>
      </w:r>
    </w:p>
    <w:p w14:paraId="5DB8D848"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r w:rsidRPr="00253432">
        <w:rPr>
          <w:rFonts w:ascii="Times New Roman" w:hAnsi="Times New Roman" w:cs="Times New Roman"/>
          <w:color w:val="000000" w:themeColor="text1"/>
          <w:sz w:val="24"/>
          <w:szCs w:val="24"/>
        </w:rPr>
        <w:t>IMR Press (2025) 'Fear of AI taking over: a licence to slack off? The impact of STARA awareness on employees' time banditry behaviour', Journal of East European Management Studies, 30(2).</w:t>
      </w:r>
    </w:p>
    <w:p w14:paraId="174E2CB5"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proofErr w:type="spellStart"/>
      <w:r w:rsidRPr="00253432">
        <w:rPr>
          <w:rFonts w:ascii="Times New Roman" w:hAnsi="Times New Roman" w:cs="Times New Roman"/>
          <w:color w:val="000000" w:themeColor="text1"/>
          <w:sz w:val="24"/>
          <w:szCs w:val="24"/>
        </w:rPr>
        <w:t>Jabagi</w:t>
      </w:r>
      <w:proofErr w:type="spellEnd"/>
      <w:r w:rsidRPr="00253432">
        <w:rPr>
          <w:rFonts w:ascii="Times New Roman" w:hAnsi="Times New Roman" w:cs="Times New Roman"/>
          <w:color w:val="000000" w:themeColor="text1"/>
          <w:sz w:val="24"/>
          <w:szCs w:val="24"/>
        </w:rPr>
        <w:t xml:space="preserve">, N. </w:t>
      </w:r>
      <w:r w:rsidR="00BF34F4" w:rsidRPr="00253432">
        <w:rPr>
          <w:rFonts w:ascii="Times New Roman" w:hAnsi="Times New Roman" w:cs="Times New Roman"/>
          <w:i/>
          <w:color w:val="000000" w:themeColor="text1"/>
          <w:sz w:val="24"/>
          <w:szCs w:val="24"/>
        </w:rPr>
        <w:t>et al</w:t>
      </w:r>
      <w:r w:rsidRPr="00253432">
        <w:rPr>
          <w:rFonts w:ascii="Times New Roman" w:hAnsi="Times New Roman" w:cs="Times New Roman"/>
          <w:color w:val="000000" w:themeColor="text1"/>
          <w:sz w:val="24"/>
          <w:szCs w:val="24"/>
        </w:rPr>
        <w:t>. (2025) 'Do algorithms play fair? Analysing the perceived fairness of HR-decisions made by algorithms and their impacts on gig-workers', The International Journal of Human Resource Management, 36(2), pp.235-274.</w:t>
      </w:r>
    </w:p>
    <w:p w14:paraId="2D15DA78"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r w:rsidRPr="00253432">
        <w:rPr>
          <w:rFonts w:ascii="Times New Roman" w:hAnsi="Times New Roman" w:cs="Times New Roman"/>
          <w:color w:val="000000" w:themeColor="text1"/>
          <w:sz w:val="24"/>
          <w:szCs w:val="24"/>
          <w:shd w:val="clear" w:color="auto" w:fill="FFFFFF"/>
        </w:rPr>
        <w:lastRenderedPageBreak/>
        <w:t xml:space="preserve">Jain, R., Garg, N. and </w:t>
      </w:r>
      <w:proofErr w:type="spellStart"/>
      <w:r w:rsidRPr="00253432">
        <w:rPr>
          <w:rFonts w:ascii="Times New Roman" w:hAnsi="Times New Roman" w:cs="Times New Roman"/>
          <w:color w:val="000000" w:themeColor="text1"/>
          <w:sz w:val="24"/>
          <w:szCs w:val="24"/>
          <w:shd w:val="clear" w:color="auto" w:fill="FFFFFF"/>
        </w:rPr>
        <w:t>Khera</w:t>
      </w:r>
      <w:proofErr w:type="spellEnd"/>
      <w:r w:rsidRPr="00253432">
        <w:rPr>
          <w:rFonts w:ascii="Times New Roman" w:hAnsi="Times New Roman" w:cs="Times New Roman"/>
          <w:color w:val="000000" w:themeColor="text1"/>
          <w:sz w:val="24"/>
          <w:szCs w:val="24"/>
          <w:shd w:val="clear" w:color="auto" w:fill="FFFFFF"/>
        </w:rPr>
        <w:t>, S.N., 2022. Adoption of AI-enabled tools in social development organizations in India: An extension of UTAUT model. </w:t>
      </w:r>
      <w:r w:rsidRPr="00253432">
        <w:rPr>
          <w:rFonts w:ascii="Times New Roman" w:hAnsi="Times New Roman" w:cs="Times New Roman"/>
          <w:i/>
          <w:iCs/>
          <w:color w:val="000000" w:themeColor="text1"/>
          <w:sz w:val="24"/>
          <w:szCs w:val="24"/>
          <w:shd w:val="clear" w:color="auto" w:fill="FFFFFF"/>
        </w:rPr>
        <w:t>Frontiers in Psychology</w:t>
      </w:r>
      <w:r w:rsidRPr="00253432">
        <w:rPr>
          <w:rFonts w:ascii="Times New Roman" w:hAnsi="Times New Roman" w:cs="Times New Roman"/>
          <w:color w:val="000000" w:themeColor="text1"/>
          <w:sz w:val="24"/>
          <w:szCs w:val="24"/>
          <w:shd w:val="clear" w:color="auto" w:fill="FFFFFF"/>
        </w:rPr>
        <w:t>, </w:t>
      </w:r>
      <w:r w:rsidRPr="00253432">
        <w:rPr>
          <w:rFonts w:ascii="Times New Roman" w:hAnsi="Times New Roman" w:cs="Times New Roman"/>
          <w:i/>
          <w:iCs/>
          <w:color w:val="000000" w:themeColor="text1"/>
          <w:sz w:val="24"/>
          <w:szCs w:val="24"/>
          <w:shd w:val="clear" w:color="auto" w:fill="FFFFFF"/>
        </w:rPr>
        <w:t>13</w:t>
      </w:r>
      <w:r w:rsidRPr="00253432">
        <w:rPr>
          <w:rFonts w:ascii="Times New Roman" w:hAnsi="Times New Roman" w:cs="Times New Roman"/>
          <w:color w:val="000000" w:themeColor="text1"/>
          <w:sz w:val="24"/>
          <w:szCs w:val="24"/>
          <w:shd w:val="clear" w:color="auto" w:fill="FFFFFF"/>
        </w:rPr>
        <w:t>, p.893691.</w:t>
      </w:r>
    </w:p>
    <w:p w14:paraId="3A6B08B5"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r w:rsidRPr="00253432">
        <w:rPr>
          <w:rFonts w:ascii="Times New Roman" w:hAnsi="Times New Roman" w:cs="Times New Roman"/>
          <w:color w:val="000000" w:themeColor="text1"/>
          <w:sz w:val="24"/>
          <w:szCs w:val="24"/>
        </w:rPr>
        <w:t xml:space="preserve">Jian, J.-Y., </w:t>
      </w:r>
      <w:proofErr w:type="spellStart"/>
      <w:r w:rsidRPr="00253432">
        <w:rPr>
          <w:rFonts w:ascii="Times New Roman" w:hAnsi="Times New Roman" w:cs="Times New Roman"/>
          <w:color w:val="000000" w:themeColor="text1"/>
          <w:sz w:val="24"/>
          <w:szCs w:val="24"/>
        </w:rPr>
        <w:t>Bisantz</w:t>
      </w:r>
      <w:proofErr w:type="spellEnd"/>
      <w:r w:rsidRPr="00253432">
        <w:rPr>
          <w:rFonts w:ascii="Times New Roman" w:hAnsi="Times New Roman" w:cs="Times New Roman"/>
          <w:color w:val="000000" w:themeColor="text1"/>
          <w:sz w:val="24"/>
          <w:szCs w:val="24"/>
        </w:rPr>
        <w:t>, A.M. and Drury, C.G. (2000) 'Foundations for an empirically determined scale of trust in automated systems', International Journal of Cognitive Ergonomics, 4(1), pp.53-71.</w:t>
      </w:r>
    </w:p>
    <w:p w14:paraId="3739DCCC"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proofErr w:type="spellStart"/>
      <w:r w:rsidRPr="00253432">
        <w:rPr>
          <w:rFonts w:ascii="Times New Roman" w:hAnsi="Times New Roman" w:cs="Times New Roman"/>
          <w:color w:val="000000" w:themeColor="text1"/>
          <w:sz w:val="24"/>
          <w:szCs w:val="24"/>
          <w:shd w:val="clear" w:color="auto" w:fill="FFFFFF"/>
        </w:rPr>
        <w:t>Jingting</w:t>
      </w:r>
      <w:proofErr w:type="spellEnd"/>
      <w:r w:rsidRPr="00253432">
        <w:rPr>
          <w:rFonts w:ascii="Times New Roman" w:hAnsi="Times New Roman" w:cs="Times New Roman"/>
          <w:color w:val="000000" w:themeColor="text1"/>
          <w:sz w:val="24"/>
          <w:szCs w:val="24"/>
          <w:shd w:val="clear" w:color="auto" w:fill="FFFFFF"/>
        </w:rPr>
        <w:t xml:space="preserve">, L., </w:t>
      </w:r>
      <w:proofErr w:type="spellStart"/>
      <w:r w:rsidRPr="00253432">
        <w:rPr>
          <w:rFonts w:ascii="Times New Roman" w:hAnsi="Times New Roman" w:cs="Times New Roman"/>
          <w:color w:val="000000" w:themeColor="text1"/>
          <w:sz w:val="24"/>
          <w:szCs w:val="24"/>
          <w:shd w:val="clear" w:color="auto" w:fill="FFFFFF"/>
        </w:rPr>
        <w:t>Johar</w:t>
      </w:r>
      <w:proofErr w:type="spellEnd"/>
      <w:r w:rsidRPr="00253432">
        <w:rPr>
          <w:rFonts w:ascii="Times New Roman" w:hAnsi="Times New Roman" w:cs="Times New Roman"/>
          <w:color w:val="000000" w:themeColor="text1"/>
          <w:sz w:val="24"/>
          <w:szCs w:val="24"/>
          <w:shd w:val="clear" w:color="auto" w:fill="FFFFFF"/>
        </w:rPr>
        <w:t xml:space="preserve">, E.R., </w:t>
      </w:r>
      <w:proofErr w:type="spellStart"/>
      <w:r w:rsidRPr="00253432">
        <w:rPr>
          <w:rFonts w:ascii="Times New Roman" w:hAnsi="Times New Roman" w:cs="Times New Roman"/>
          <w:color w:val="000000" w:themeColor="text1"/>
          <w:sz w:val="24"/>
          <w:szCs w:val="24"/>
          <w:shd w:val="clear" w:color="auto" w:fill="FFFFFF"/>
        </w:rPr>
        <w:t>Junjia</w:t>
      </w:r>
      <w:proofErr w:type="spellEnd"/>
      <w:r w:rsidRPr="00253432">
        <w:rPr>
          <w:rFonts w:ascii="Times New Roman" w:hAnsi="Times New Roman" w:cs="Times New Roman"/>
          <w:color w:val="000000" w:themeColor="text1"/>
          <w:sz w:val="24"/>
          <w:szCs w:val="24"/>
          <w:shd w:val="clear" w:color="auto" w:fill="FFFFFF"/>
        </w:rPr>
        <w:t>, Y. and Zheng, J., 2025. Reskilling and Upskilling in the AI Era. </w:t>
      </w:r>
      <w:r w:rsidRPr="00253432">
        <w:rPr>
          <w:rFonts w:ascii="Times New Roman" w:hAnsi="Times New Roman" w:cs="Times New Roman"/>
          <w:i/>
          <w:iCs/>
          <w:color w:val="000000" w:themeColor="text1"/>
          <w:sz w:val="24"/>
          <w:szCs w:val="24"/>
          <w:shd w:val="clear" w:color="auto" w:fill="FFFFFF"/>
        </w:rPr>
        <w:t>Advances in Artificial Intelligence and Machine Learning</w:t>
      </w:r>
      <w:r w:rsidRPr="00253432">
        <w:rPr>
          <w:rFonts w:ascii="Times New Roman" w:hAnsi="Times New Roman" w:cs="Times New Roman"/>
          <w:color w:val="000000" w:themeColor="text1"/>
          <w:sz w:val="24"/>
          <w:szCs w:val="24"/>
          <w:shd w:val="clear" w:color="auto" w:fill="FFFFFF"/>
        </w:rPr>
        <w:t>, </w:t>
      </w:r>
      <w:r w:rsidRPr="00253432">
        <w:rPr>
          <w:rFonts w:ascii="Times New Roman" w:hAnsi="Times New Roman" w:cs="Times New Roman"/>
          <w:i/>
          <w:iCs/>
          <w:color w:val="000000" w:themeColor="text1"/>
          <w:sz w:val="24"/>
          <w:szCs w:val="24"/>
          <w:shd w:val="clear" w:color="auto" w:fill="FFFFFF"/>
        </w:rPr>
        <w:t>5</w:t>
      </w:r>
      <w:r w:rsidRPr="00253432">
        <w:rPr>
          <w:rFonts w:ascii="Times New Roman" w:hAnsi="Times New Roman" w:cs="Times New Roman"/>
          <w:color w:val="000000" w:themeColor="text1"/>
          <w:sz w:val="24"/>
          <w:szCs w:val="24"/>
          <w:shd w:val="clear" w:color="auto" w:fill="FFFFFF"/>
        </w:rPr>
        <w:t>(3), p.233.</w:t>
      </w:r>
    </w:p>
    <w:p w14:paraId="41D85E2B"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r w:rsidRPr="00253432">
        <w:rPr>
          <w:rFonts w:ascii="Times New Roman" w:hAnsi="Times New Roman" w:cs="Times New Roman"/>
          <w:color w:val="000000" w:themeColor="text1"/>
          <w:sz w:val="24"/>
          <w:szCs w:val="24"/>
          <w:shd w:val="clear" w:color="auto" w:fill="FFFFFF"/>
        </w:rPr>
        <w:t xml:space="preserve">Kang, D.Y., </w:t>
      </w:r>
      <w:proofErr w:type="spellStart"/>
      <w:r w:rsidRPr="00253432">
        <w:rPr>
          <w:rFonts w:ascii="Times New Roman" w:hAnsi="Times New Roman" w:cs="Times New Roman"/>
          <w:color w:val="000000" w:themeColor="text1"/>
          <w:sz w:val="24"/>
          <w:szCs w:val="24"/>
          <w:shd w:val="clear" w:color="auto" w:fill="FFFFFF"/>
        </w:rPr>
        <w:t>Hur</w:t>
      </w:r>
      <w:proofErr w:type="spellEnd"/>
      <w:r w:rsidRPr="00253432">
        <w:rPr>
          <w:rFonts w:ascii="Times New Roman" w:hAnsi="Times New Roman" w:cs="Times New Roman"/>
          <w:color w:val="000000" w:themeColor="text1"/>
          <w:sz w:val="24"/>
          <w:szCs w:val="24"/>
          <w:shd w:val="clear" w:color="auto" w:fill="FFFFFF"/>
        </w:rPr>
        <w:t>, W.M. and Shin, Y., 2023. Smart technology and service employees’ job crafting: Relationship between STARA awareness, performance pressure, receiving and giving help, and job crafting. </w:t>
      </w:r>
      <w:r w:rsidRPr="00253432">
        <w:rPr>
          <w:rFonts w:ascii="Times New Roman" w:hAnsi="Times New Roman" w:cs="Times New Roman"/>
          <w:i/>
          <w:iCs/>
          <w:color w:val="000000" w:themeColor="text1"/>
          <w:sz w:val="24"/>
          <w:szCs w:val="24"/>
          <w:shd w:val="clear" w:color="auto" w:fill="FFFFFF"/>
        </w:rPr>
        <w:t>Journal of Retailing and Consumer Services</w:t>
      </w:r>
      <w:r w:rsidRPr="00253432">
        <w:rPr>
          <w:rFonts w:ascii="Times New Roman" w:hAnsi="Times New Roman" w:cs="Times New Roman"/>
          <w:color w:val="000000" w:themeColor="text1"/>
          <w:sz w:val="24"/>
          <w:szCs w:val="24"/>
          <w:shd w:val="clear" w:color="auto" w:fill="FFFFFF"/>
        </w:rPr>
        <w:t>, </w:t>
      </w:r>
      <w:r w:rsidRPr="00253432">
        <w:rPr>
          <w:rFonts w:ascii="Times New Roman" w:hAnsi="Times New Roman" w:cs="Times New Roman"/>
          <w:i/>
          <w:iCs/>
          <w:color w:val="000000" w:themeColor="text1"/>
          <w:sz w:val="24"/>
          <w:szCs w:val="24"/>
          <w:shd w:val="clear" w:color="auto" w:fill="FFFFFF"/>
        </w:rPr>
        <w:t>73</w:t>
      </w:r>
      <w:r w:rsidRPr="00253432">
        <w:rPr>
          <w:rFonts w:ascii="Times New Roman" w:hAnsi="Times New Roman" w:cs="Times New Roman"/>
          <w:color w:val="000000" w:themeColor="text1"/>
          <w:sz w:val="24"/>
          <w:szCs w:val="24"/>
          <w:shd w:val="clear" w:color="auto" w:fill="FFFFFF"/>
        </w:rPr>
        <w:t>, p.103282.</w:t>
      </w:r>
    </w:p>
    <w:p w14:paraId="24A16C38"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r w:rsidRPr="00253432">
        <w:rPr>
          <w:rFonts w:ascii="Times New Roman" w:hAnsi="Times New Roman" w:cs="Times New Roman"/>
          <w:color w:val="000000" w:themeColor="text1"/>
          <w:sz w:val="24"/>
          <w:szCs w:val="24"/>
        </w:rPr>
        <w:t>Kawaguchi, K. (2021) 'When will workers follow an algorithm? A field experiment with a retail business', Management Science, 67(3), pp.1670-1695.</w:t>
      </w:r>
    </w:p>
    <w:p w14:paraId="5FC15697"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r w:rsidRPr="00253432">
        <w:rPr>
          <w:rFonts w:ascii="Times New Roman" w:hAnsi="Times New Roman" w:cs="Times New Roman"/>
          <w:color w:val="000000" w:themeColor="text1"/>
          <w:sz w:val="24"/>
          <w:szCs w:val="24"/>
        </w:rPr>
        <w:t>Kelan, E.K. (2024) 'Algorithmic inclusion: shaping the predictive algorithms of artificial intelligence in hiring', Human Resource Management Journal, 34(3), pp.694-707.</w:t>
      </w:r>
    </w:p>
    <w:p w14:paraId="1723CC2E"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r w:rsidRPr="00253432">
        <w:rPr>
          <w:rFonts w:ascii="Times New Roman" w:hAnsi="Times New Roman" w:cs="Times New Roman"/>
          <w:color w:val="000000" w:themeColor="text1"/>
          <w:sz w:val="24"/>
          <w:szCs w:val="24"/>
        </w:rPr>
        <w:t>Kellogg, K.C., Valentine, M.A. and Christin, A. (2020) 'Algorithms at work: the new contested terrain of control', Academy of Management Annals, 14(1), pp.366-410.</w:t>
      </w:r>
    </w:p>
    <w:p w14:paraId="535CB4B6"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r w:rsidRPr="00253432">
        <w:rPr>
          <w:rFonts w:ascii="Times New Roman" w:hAnsi="Times New Roman" w:cs="Times New Roman"/>
          <w:color w:val="000000" w:themeColor="text1"/>
          <w:sz w:val="24"/>
          <w:szCs w:val="24"/>
        </w:rPr>
        <w:t xml:space="preserve">Kim, H., </w:t>
      </w:r>
      <w:proofErr w:type="spellStart"/>
      <w:r w:rsidRPr="00253432">
        <w:rPr>
          <w:rFonts w:ascii="Times New Roman" w:hAnsi="Times New Roman" w:cs="Times New Roman"/>
          <w:color w:val="000000" w:themeColor="text1"/>
          <w:sz w:val="24"/>
          <w:szCs w:val="24"/>
        </w:rPr>
        <w:t>Glaeser</w:t>
      </w:r>
      <w:proofErr w:type="spellEnd"/>
      <w:r w:rsidRPr="00253432">
        <w:rPr>
          <w:rFonts w:ascii="Times New Roman" w:hAnsi="Times New Roman" w:cs="Times New Roman"/>
          <w:color w:val="000000" w:themeColor="text1"/>
          <w:sz w:val="24"/>
          <w:szCs w:val="24"/>
        </w:rPr>
        <w:t xml:space="preserve">, E.L., Hillis, A., </w:t>
      </w:r>
      <w:proofErr w:type="spellStart"/>
      <w:r w:rsidRPr="00253432">
        <w:rPr>
          <w:rFonts w:ascii="Times New Roman" w:hAnsi="Times New Roman" w:cs="Times New Roman"/>
          <w:color w:val="000000" w:themeColor="text1"/>
          <w:sz w:val="24"/>
          <w:szCs w:val="24"/>
        </w:rPr>
        <w:t>Kominers</w:t>
      </w:r>
      <w:proofErr w:type="spellEnd"/>
      <w:r w:rsidRPr="00253432">
        <w:rPr>
          <w:rFonts w:ascii="Times New Roman" w:hAnsi="Times New Roman" w:cs="Times New Roman"/>
          <w:color w:val="000000" w:themeColor="text1"/>
          <w:sz w:val="24"/>
          <w:szCs w:val="24"/>
        </w:rPr>
        <w:t>, S.D. and Luca, M. (2024) 'Decision authority and the returns to algorithms', Strategic Management Journal, 45(4), pp.619-648.</w:t>
      </w:r>
    </w:p>
    <w:p w14:paraId="268D8635"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r w:rsidRPr="00253432">
        <w:rPr>
          <w:rFonts w:ascii="Times New Roman" w:hAnsi="Times New Roman" w:cs="Times New Roman"/>
          <w:color w:val="000000" w:themeColor="text1"/>
          <w:sz w:val="24"/>
          <w:szCs w:val="24"/>
        </w:rPr>
        <w:t xml:space="preserve">Kim, S. </w:t>
      </w:r>
      <w:r w:rsidR="00BF34F4" w:rsidRPr="00253432">
        <w:rPr>
          <w:rFonts w:ascii="Times New Roman" w:hAnsi="Times New Roman" w:cs="Times New Roman"/>
          <w:i/>
          <w:color w:val="000000" w:themeColor="text1"/>
          <w:sz w:val="24"/>
          <w:szCs w:val="24"/>
        </w:rPr>
        <w:t>et al</w:t>
      </w:r>
      <w:r w:rsidRPr="00253432">
        <w:rPr>
          <w:rFonts w:ascii="Times New Roman" w:hAnsi="Times New Roman" w:cs="Times New Roman"/>
          <w:color w:val="000000" w:themeColor="text1"/>
          <w:sz w:val="24"/>
          <w:szCs w:val="24"/>
        </w:rPr>
        <w:t xml:space="preserve">. (2024) 'Determinants of generative AI system adoption and usage </w:t>
      </w:r>
      <w:proofErr w:type="spellStart"/>
      <w:r w:rsidRPr="00253432">
        <w:rPr>
          <w:rFonts w:ascii="Times New Roman" w:hAnsi="Times New Roman" w:cs="Times New Roman"/>
          <w:color w:val="000000" w:themeColor="text1"/>
          <w:sz w:val="24"/>
          <w:szCs w:val="24"/>
        </w:rPr>
        <w:t>behavior</w:t>
      </w:r>
      <w:proofErr w:type="spellEnd"/>
      <w:r w:rsidRPr="00253432">
        <w:rPr>
          <w:rFonts w:ascii="Times New Roman" w:hAnsi="Times New Roman" w:cs="Times New Roman"/>
          <w:color w:val="000000" w:themeColor="text1"/>
          <w:sz w:val="24"/>
          <w:szCs w:val="24"/>
        </w:rPr>
        <w:t xml:space="preserve"> in Korean companies: applying the UTAUT model', PMC, 11591487.</w:t>
      </w:r>
    </w:p>
    <w:p w14:paraId="1E625BCC"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proofErr w:type="spellStart"/>
      <w:r w:rsidRPr="00253432">
        <w:rPr>
          <w:rFonts w:ascii="Times New Roman" w:hAnsi="Times New Roman" w:cs="Times New Roman"/>
          <w:color w:val="000000" w:themeColor="text1"/>
          <w:sz w:val="24"/>
          <w:szCs w:val="24"/>
        </w:rPr>
        <w:t>Kinowska</w:t>
      </w:r>
      <w:proofErr w:type="spellEnd"/>
      <w:r w:rsidRPr="00253432">
        <w:rPr>
          <w:rFonts w:ascii="Times New Roman" w:hAnsi="Times New Roman" w:cs="Times New Roman"/>
          <w:color w:val="000000" w:themeColor="text1"/>
          <w:sz w:val="24"/>
          <w:szCs w:val="24"/>
        </w:rPr>
        <w:t>, H. and Sienkiewicz, L.J. (2022) 'Influence of algorithmic management practices on workplace well-being — evidence from European organisations', Information Technology &amp; People, 36, pp.21-42.</w:t>
      </w:r>
    </w:p>
    <w:p w14:paraId="3E6871F5"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r w:rsidRPr="00253432">
        <w:rPr>
          <w:rFonts w:ascii="Times New Roman" w:hAnsi="Times New Roman" w:cs="Times New Roman"/>
          <w:color w:val="000000" w:themeColor="text1"/>
          <w:sz w:val="24"/>
          <w:szCs w:val="24"/>
        </w:rPr>
        <w:t xml:space="preserve">Kong, H., Yin, Z., Baruch, Y. and Yuan, Y. (2023) 'The impact of trust in AI on career sustainability: the role of employee-AI collaboration and protean career orientation', Journal of Vocational </w:t>
      </w:r>
      <w:proofErr w:type="spellStart"/>
      <w:r w:rsidRPr="00253432">
        <w:rPr>
          <w:rFonts w:ascii="Times New Roman" w:hAnsi="Times New Roman" w:cs="Times New Roman"/>
          <w:color w:val="000000" w:themeColor="text1"/>
          <w:sz w:val="24"/>
          <w:szCs w:val="24"/>
        </w:rPr>
        <w:t>Behavior</w:t>
      </w:r>
      <w:proofErr w:type="spellEnd"/>
      <w:r w:rsidRPr="00253432">
        <w:rPr>
          <w:rFonts w:ascii="Times New Roman" w:hAnsi="Times New Roman" w:cs="Times New Roman"/>
          <w:color w:val="000000" w:themeColor="text1"/>
          <w:sz w:val="24"/>
          <w:szCs w:val="24"/>
        </w:rPr>
        <w:t>, 146, 103928.</w:t>
      </w:r>
    </w:p>
    <w:p w14:paraId="47E89D78"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r w:rsidRPr="00253432">
        <w:rPr>
          <w:rFonts w:ascii="Times New Roman" w:hAnsi="Times New Roman" w:cs="Times New Roman"/>
          <w:color w:val="000000" w:themeColor="text1"/>
          <w:sz w:val="24"/>
          <w:szCs w:val="24"/>
        </w:rPr>
        <w:t xml:space="preserve">Krakowski, S., Luger, J. and </w:t>
      </w:r>
      <w:proofErr w:type="spellStart"/>
      <w:r w:rsidRPr="00253432">
        <w:rPr>
          <w:rFonts w:ascii="Times New Roman" w:hAnsi="Times New Roman" w:cs="Times New Roman"/>
          <w:color w:val="000000" w:themeColor="text1"/>
          <w:sz w:val="24"/>
          <w:szCs w:val="24"/>
        </w:rPr>
        <w:t>Raisch</w:t>
      </w:r>
      <w:proofErr w:type="spellEnd"/>
      <w:r w:rsidRPr="00253432">
        <w:rPr>
          <w:rFonts w:ascii="Times New Roman" w:hAnsi="Times New Roman" w:cs="Times New Roman"/>
          <w:color w:val="000000" w:themeColor="text1"/>
          <w:sz w:val="24"/>
          <w:szCs w:val="24"/>
        </w:rPr>
        <w:t>, S. (2023) 'Artificial intelligence and the changing sources of competitive advantage', Strategic Management Journal, 44(6), pp.1425-1452.</w:t>
      </w:r>
    </w:p>
    <w:p w14:paraId="41EDD9CA"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proofErr w:type="spellStart"/>
      <w:r w:rsidRPr="00253432">
        <w:rPr>
          <w:rFonts w:ascii="Times New Roman" w:hAnsi="Times New Roman" w:cs="Times New Roman"/>
          <w:color w:val="000000" w:themeColor="text1"/>
          <w:sz w:val="24"/>
          <w:szCs w:val="24"/>
        </w:rPr>
        <w:lastRenderedPageBreak/>
        <w:t>Lahlou</w:t>
      </w:r>
      <w:proofErr w:type="spellEnd"/>
      <w:r w:rsidRPr="00253432">
        <w:rPr>
          <w:rFonts w:ascii="Times New Roman" w:hAnsi="Times New Roman" w:cs="Times New Roman"/>
          <w:color w:val="000000" w:themeColor="text1"/>
          <w:sz w:val="24"/>
          <w:szCs w:val="24"/>
        </w:rPr>
        <w:t xml:space="preserve">, S. </w:t>
      </w:r>
      <w:r w:rsidR="00BF34F4" w:rsidRPr="00253432">
        <w:rPr>
          <w:rFonts w:ascii="Times New Roman" w:hAnsi="Times New Roman" w:cs="Times New Roman"/>
          <w:i/>
          <w:color w:val="000000" w:themeColor="text1"/>
          <w:sz w:val="24"/>
          <w:szCs w:val="24"/>
        </w:rPr>
        <w:t>et al</w:t>
      </w:r>
      <w:r w:rsidRPr="00253432">
        <w:rPr>
          <w:rFonts w:ascii="Times New Roman" w:hAnsi="Times New Roman" w:cs="Times New Roman"/>
          <w:color w:val="000000" w:themeColor="text1"/>
          <w:sz w:val="24"/>
          <w:szCs w:val="24"/>
        </w:rPr>
        <w:t>. (2025) 'Exploring the impact of perceived distributive justice on organizational commitment', Scientific African, 29, e02782.</w:t>
      </w:r>
    </w:p>
    <w:p w14:paraId="5CC8E203"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r w:rsidRPr="00253432">
        <w:rPr>
          <w:rFonts w:ascii="Times New Roman" w:hAnsi="Times New Roman" w:cs="Times New Roman"/>
          <w:color w:val="000000" w:themeColor="text1"/>
          <w:sz w:val="24"/>
          <w:szCs w:val="24"/>
        </w:rPr>
        <w:t>Lee, J.D. and See, K.A. (2004) 'Trust in automation: designing for appropriate reliance', Human Factors, 46(1), pp.50-80.</w:t>
      </w:r>
    </w:p>
    <w:p w14:paraId="21937FCF"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r w:rsidRPr="00253432">
        <w:rPr>
          <w:rFonts w:ascii="Times New Roman" w:hAnsi="Times New Roman" w:cs="Times New Roman"/>
          <w:color w:val="000000" w:themeColor="text1"/>
          <w:sz w:val="24"/>
          <w:szCs w:val="24"/>
        </w:rPr>
        <w:t>Lee, M.K. (2018) 'Understanding perception of algorithmic decisions: fairness, trust, and emotion in response to algorithmic management', Big Data &amp; Society, 5(1).</w:t>
      </w:r>
    </w:p>
    <w:p w14:paraId="329ADF33"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r w:rsidRPr="00253432">
        <w:rPr>
          <w:rFonts w:ascii="Times New Roman" w:hAnsi="Times New Roman" w:cs="Times New Roman"/>
          <w:color w:val="000000" w:themeColor="text1"/>
          <w:sz w:val="24"/>
          <w:szCs w:val="24"/>
        </w:rPr>
        <w:t>Lewicki, R.J. and Bunker, B.B. (1996) 'Developing and maintaining trust in work relationships', in Kramer, R.M. and Tyler, T.R. (eds.) Trust in Organizations: Frontiers of Theory and Research. Thousand Oaks: Sage, pp.114-139.</w:t>
      </w:r>
    </w:p>
    <w:p w14:paraId="7A716770"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r w:rsidRPr="00253432">
        <w:rPr>
          <w:rFonts w:ascii="Times New Roman" w:hAnsi="Times New Roman" w:cs="Times New Roman"/>
          <w:color w:val="000000" w:themeColor="text1"/>
          <w:sz w:val="24"/>
          <w:szCs w:val="24"/>
        </w:rPr>
        <w:t>Li, J., Bonn, M.A. and Ye, B.H. (2019) 'Hotel employee's artificial intelligence and robotics awareness and its impact on turnover intention: the moderating roles of perceived organizational support and competitive psychological climate', Tourism Management, 73, pp.172-181.</w:t>
      </w:r>
    </w:p>
    <w:p w14:paraId="6B9A3191"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r w:rsidRPr="00253432">
        <w:rPr>
          <w:rFonts w:ascii="Times New Roman" w:hAnsi="Times New Roman" w:cs="Times New Roman"/>
          <w:color w:val="000000" w:themeColor="text1"/>
          <w:sz w:val="24"/>
          <w:szCs w:val="24"/>
          <w:shd w:val="clear" w:color="auto" w:fill="FFFFFF"/>
        </w:rPr>
        <w:t>Li, J., Huang, J., Liu, J. and Zheng, T., 2022. Human-AI cooperation: modes and their effects on attitudes. </w:t>
      </w:r>
      <w:r w:rsidRPr="00253432">
        <w:rPr>
          <w:rFonts w:ascii="Times New Roman" w:hAnsi="Times New Roman" w:cs="Times New Roman"/>
          <w:i/>
          <w:iCs/>
          <w:color w:val="000000" w:themeColor="text1"/>
          <w:sz w:val="24"/>
          <w:szCs w:val="24"/>
          <w:shd w:val="clear" w:color="auto" w:fill="FFFFFF"/>
        </w:rPr>
        <w:t>Telematics and Informatics</w:t>
      </w:r>
      <w:r w:rsidRPr="00253432">
        <w:rPr>
          <w:rFonts w:ascii="Times New Roman" w:hAnsi="Times New Roman" w:cs="Times New Roman"/>
          <w:color w:val="000000" w:themeColor="text1"/>
          <w:sz w:val="24"/>
          <w:szCs w:val="24"/>
          <w:shd w:val="clear" w:color="auto" w:fill="FFFFFF"/>
        </w:rPr>
        <w:t>, </w:t>
      </w:r>
      <w:r w:rsidRPr="00253432">
        <w:rPr>
          <w:rFonts w:ascii="Times New Roman" w:hAnsi="Times New Roman" w:cs="Times New Roman"/>
          <w:i/>
          <w:iCs/>
          <w:color w:val="000000" w:themeColor="text1"/>
          <w:sz w:val="24"/>
          <w:szCs w:val="24"/>
          <w:shd w:val="clear" w:color="auto" w:fill="FFFFFF"/>
        </w:rPr>
        <w:t>73</w:t>
      </w:r>
      <w:r w:rsidRPr="00253432">
        <w:rPr>
          <w:rFonts w:ascii="Times New Roman" w:hAnsi="Times New Roman" w:cs="Times New Roman"/>
          <w:color w:val="000000" w:themeColor="text1"/>
          <w:sz w:val="24"/>
          <w:szCs w:val="24"/>
          <w:shd w:val="clear" w:color="auto" w:fill="FFFFFF"/>
        </w:rPr>
        <w:t>, p.101862.</w:t>
      </w:r>
    </w:p>
    <w:p w14:paraId="156C6783"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proofErr w:type="spellStart"/>
      <w:r w:rsidRPr="00253432">
        <w:rPr>
          <w:rFonts w:ascii="Times New Roman" w:hAnsi="Times New Roman" w:cs="Times New Roman"/>
          <w:color w:val="000000" w:themeColor="text1"/>
          <w:sz w:val="24"/>
          <w:szCs w:val="24"/>
        </w:rPr>
        <w:t>Lichtenthaler</w:t>
      </w:r>
      <w:proofErr w:type="spellEnd"/>
      <w:r w:rsidRPr="00253432">
        <w:rPr>
          <w:rFonts w:ascii="Times New Roman" w:hAnsi="Times New Roman" w:cs="Times New Roman"/>
          <w:color w:val="000000" w:themeColor="text1"/>
          <w:sz w:val="24"/>
          <w:szCs w:val="24"/>
        </w:rPr>
        <w:t>, U. (2020) 'Extremes of acceptance: employee attitudes toward artificial intelligence', Journal of Business Strategy, 41(5), pp.39-45.</w:t>
      </w:r>
    </w:p>
    <w:p w14:paraId="7ACBCC5A"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proofErr w:type="spellStart"/>
      <w:r w:rsidRPr="00253432">
        <w:rPr>
          <w:rFonts w:ascii="Times New Roman" w:hAnsi="Times New Roman" w:cs="Times New Roman"/>
          <w:color w:val="000000" w:themeColor="text1"/>
          <w:sz w:val="24"/>
          <w:szCs w:val="24"/>
        </w:rPr>
        <w:t>Lingmont</w:t>
      </w:r>
      <w:proofErr w:type="spellEnd"/>
      <w:r w:rsidRPr="00253432">
        <w:rPr>
          <w:rFonts w:ascii="Times New Roman" w:hAnsi="Times New Roman" w:cs="Times New Roman"/>
          <w:color w:val="000000" w:themeColor="text1"/>
          <w:sz w:val="24"/>
          <w:szCs w:val="24"/>
        </w:rPr>
        <w:t>, D.N.J. and Alexiou, A. (2020) 'The contingent effect of job automating technology awareness on perceived job insecurity: exploring the moderating role of organizational culture', Technological Forecasting and Social Change, 161, 120302.</w:t>
      </w:r>
    </w:p>
    <w:p w14:paraId="776B88A3"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proofErr w:type="spellStart"/>
      <w:r w:rsidRPr="00253432">
        <w:rPr>
          <w:rFonts w:ascii="Times New Roman" w:hAnsi="Times New Roman" w:cs="Times New Roman"/>
          <w:color w:val="000000" w:themeColor="text1"/>
          <w:sz w:val="24"/>
          <w:szCs w:val="24"/>
          <w:shd w:val="clear" w:color="auto" w:fill="FFFFFF"/>
        </w:rPr>
        <w:t>Madanchian</w:t>
      </w:r>
      <w:proofErr w:type="spellEnd"/>
      <w:r w:rsidRPr="00253432">
        <w:rPr>
          <w:rFonts w:ascii="Times New Roman" w:hAnsi="Times New Roman" w:cs="Times New Roman"/>
          <w:color w:val="000000" w:themeColor="text1"/>
          <w:sz w:val="24"/>
          <w:szCs w:val="24"/>
          <w:shd w:val="clear" w:color="auto" w:fill="FFFFFF"/>
        </w:rPr>
        <w:t xml:space="preserve">, M. and </w:t>
      </w:r>
      <w:proofErr w:type="spellStart"/>
      <w:r w:rsidRPr="00253432">
        <w:rPr>
          <w:rFonts w:ascii="Times New Roman" w:hAnsi="Times New Roman" w:cs="Times New Roman"/>
          <w:color w:val="000000" w:themeColor="text1"/>
          <w:sz w:val="24"/>
          <w:szCs w:val="24"/>
          <w:shd w:val="clear" w:color="auto" w:fill="FFFFFF"/>
        </w:rPr>
        <w:t>Taherdoost</w:t>
      </w:r>
      <w:proofErr w:type="spellEnd"/>
      <w:r w:rsidRPr="00253432">
        <w:rPr>
          <w:rFonts w:ascii="Times New Roman" w:hAnsi="Times New Roman" w:cs="Times New Roman"/>
          <w:color w:val="000000" w:themeColor="text1"/>
          <w:sz w:val="24"/>
          <w:szCs w:val="24"/>
          <w:shd w:val="clear" w:color="auto" w:fill="FFFFFF"/>
        </w:rPr>
        <w:t>, H., 2025. Ethical theories, governance models, and strategic frameworks for responsible AI adoption and organizational success. </w:t>
      </w:r>
      <w:r w:rsidRPr="00253432">
        <w:rPr>
          <w:rFonts w:ascii="Times New Roman" w:hAnsi="Times New Roman" w:cs="Times New Roman"/>
          <w:i/>
          <w:iCs/>
          <w:color w:val="000000" w:themeColor="text1"/>
          <w:sz w:val="24"/>
          <w:szCs w:val="24"/>
          <w:shd w:val="clear" w:color="auto" w:fill="FFFFFF"/>
        </w:rPr>
        <w:t>Frontiers in Artificial Intelligence</w:t>
      </w:r>
      <w:r w:rsidRPr="00253432">
        <w:rPr>
          <w:rFonts w:ascii="Times New Roman" w:hAnsi="Times New Roman" w:cs="Times New Roman"/>
          <w:color w:val="000000" w:themeColor="text1"/>
          <w:sz w:val="24"/>
          <w:szCs w:val="24"/>
          <w:shd w:val="clear" w:color="auto" w:fill="FFFFFF"/>
        </w:rPr>
        <w:t>, </w:t>
      </w:r>
      <w:r w:rsidRPr="00253432">
        <w:rPr>
          <w:rFonts w:ascii="Times New Roman" w:hAnsi="Times New Roman" w:cs="Times New Roman"/>
          <w:i/>
          <w:iCs/>
          <w:color w:val="000000" w:themeColor="text1"/>
          <w:sz w:val="24"/>
          <w:szCs w:val="24"/>
          <w:shd w:val="clear" w:color="auto" w:fill="FFFFFF"/>
        </w:rPr>
        <w:t>8</w:t>
      </w:r>
      <w:r w:rsidRPr="00253432">
        <w:rPr>
          <w:rFonts w:ascii="Times New Roman" w:hAnsi="Times New Roman" w:cs="Times New Roman"/>
          <w:color w:val="000000" w:themeColor="text1"/>
          <w:sz w:val="24"/>
          <w:szCs w:val="24"/>
          <w:shd w:val="clear" w:color="auto" w:fill="FFFFFF"/>
        </w:rPr>
        <w:t>, p.1619029.</w:t>
      </w:r>
    </w:p>
    <w:p w14:paraId="7365BD70"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r w:rsidRPr="00253432">
        <w:rPr>
          <w:rFonts w:ascii="Times New Roman" w:hAnsi="Times New Roman" w:cs="Times New Roman"/>
          <w:color w:val="000000" w:themeColor="text1"/>
          <w:sz w:val="24"/>
          <w:szCs w:val="24"/>
        </w:rPr>
        <w:t xml:space="preserve">Mayer, R.C., Davis, J.H. and </w:t>
      </w:r>
      <w:proofErr w:type="spellStart"/>
      <w:r w:rsidRPr="00253432">
        <w:rPr>
          <w:rFonts w:ascii="Times New Roman" w:hAnsi="Times New Roman" w:cs="Times New Roman"/>
          <w:color w:val="000000" w:themeColor="text1"/>
          <w:sz w:val="24"/>
          <w:szCs w:val="24"/>
        </w:rPr>
        <w:t>Schoorman</w:t>
      </w:r>
      <w:proofErr w:type="spellEnd"/>
      <w:r w:rsidRPr="00253432">
        <w:rPr>
          <w:rFonts w:ascii="Times New Roman" w:hAnsi="Times New Roman" w:cs="Times New Roman"/>
          <w:color w:val="000000" w:themeColor="text1"/>
          <w:sz w:val="24"/>
          <w:szCs w:val="24"/>
        </w:rPr>
        <w:t>, F.D. (1995) 'An integrative model of organizational trust', Academy of Management Review, 20(3), pp.709-734.</w:t>
      </w:r>
    </w:p>
    <w:p w14:paraId="21216501"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r w:rsidRPr="00253432">
        <w:rPr>
          <w:rFonts w:ascii="Times New Roman" w:hAnsi="Times New Roman" w:cs="Times New Roman"/>
          <w:color w:val="000000" w:themeColor="text1"/>
          <w:sz w:val="24"/>
          <w:szCs w:val="24"/>
        </w:rPr>
        <w:t>McAllister, D.J. (1995) 'Affect- and cognition-based trust as foundations for interpersonal cooperation in organizations', Academy of Management Journal, 38(1), pp.24-59.</w:t>
      </w:r>
    </w:p>
    <w:p w14:paraId="192C9FD2"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r w:rsidRPr="00253432">
        <w:rPr>
          <w:rFonts w:ascii="Times New Roman" w:hAnsi="Times New Roman" w:cs="Times New Roman"/>
          <w:color w:val="000000" w:themeColor="text1"/>
          <w:sz w:val="24"/>
          <w:szCs w:val="24"/>
        </w:rPr>
        <w:t xml:space="preserve">McKnight, D.H. and </w:t>
      </w:r>
      <w:proofErr w:type="spellStart"/>
      <w:r w:rsidRPr="00253432">
        <w:rPr>
          <w:rFonts w:ascii="Times New Roman" w:hAnsi="Times New Roman" w:cs="Times New Roman"/>
          <w:color w:val="000000" w:themeColor="text1"/>
          <w:sz w:val="24"/>
          <w:szCs w:val="24"/>
        </w:rPr>
        <w:t>Chervany</w:t>
      </w:r>
      <w:proofErr w:type="spellEnd"/>
      <w:r w:rsidRPr="00253432">
        <w:rPr>
          <w:rFonts w:ascii="Times New Roman" w:hAnsi="Times New Roman" w:cs="Times New Roman"/>
          <w:color w:val="000000" w:themeColor="text1"/>
          <w:sz w:val="24"/>
          <w:szCs w:val="24"/>
        </w:rPr>
        <w:t>, N.L. (2001) 'Trust and distrust definitions: one bite at a time', in Falcone, R., Singh, M. and Tan, Y-H. (eds.) Trust in Cyber-societies. Berlin: Springer, pp.27-54.</w:t>
      </w:r>
    </w:p>
    <w:p w14:paraId="5FFC0790"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proofErr w:type="spellStart"/>
      <w:r w:rsidRPr="00253432">
        <w:rPr>
          <w:rFonts w:ascii="Times New Roman" w:hAnsi="Times New Roman" w:cs="Times New Roman"/>
          <w:color w:val="000000" w:themeColor="text1"/>
          <w:sz w:val="24"/>
          <w:szCs w:val="24"/>
        </w:rPr>
        <w:t>Mirishli</w:t>
      </w:r>
      <w:proofErr w:type="spellEnd"/>
      <w:r w:rsidRPr="00253432">
        <w:rPr>
          <w:rFonts w:ascii="Times New Roman" w:hAnsi="Times New Roman" w:cs="Times New Roman"/>
          <w:color w:val="000000" w:themeColor="text1"/>
          <w:sz w:val="24"/>
          <w:szCs w:val="24"/>
        </w:rPr>
        <w:t>, S. (2025) 'The role of legal frameworks in shaping ethical artificial intelligence use in corporate governance', arXiv:2503.14540.</w:t>
      </w:r>
    </w:p>
    <w:p w14:paraId="62BB1C11"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proofErr w:type="spellStart"/>
      <w:r w:rsidRPr="00253432">
        <w:rPr>
          <w:rFonts w:ascii="Times New Roman" w:hAnsi="Times New Roman" w:cs="Times New Roman"/>
          <w:color w:val="000000" w:themeColor="text1"/>
          <w:sz w:val="24"/>
          <w:szCs w:val="24"/>
        </w:rPr>
        <w:lastRenderedPageBreak/>
        <w:t>Mittelstadt</w:t>
      </w:r>
      <w:proofErr w:type="spellEnd"/>
      <w:r w:rsidRPr="00253432">
        <w:rPr>
          <w:rFonts w:ascii="Times New Roman" w:hAnsi="Times New Roman" w:cs="Times New Roman"/>
          <w:color w:val="000000" w:themeColor="text1"/>
          <w:sz w:val="24"/>
          <w:szCs w:val="24"/>
        </w:rPr>
        <w:t>, B. (2019) 'Principles alone cannot guarantee ethical AI', Nature Machine Intelligence, 1, pp.501-507.</w:t>
      </w:r>
    </w:p>
    <w:p w14:paraId="3F30A293"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r w:rsidRPr="00253432">
        <w:rPr>
          <w:rFonts w:ascii="Times New Roman" w:hAnsi="Times New Roman" w:cs="Times New Roman"/>
          <w:color w:val="000000" w:themeColor="text1"/>
          <w:sz w:val="24"/>
          <w:szCs w:val="24"/>
        </w:rPr>
        <w:t>Molnar, A. (2025) Surveillance and Algorithmic Management at Work: Capabilities, Trends, and Legal Implications. Toronto: Information and Privacy Commissioner of Ontario.</w:t>
      </w:r>
    </w:p>
    <w:p w14:paraId="47D9B88B"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r w:rsidRPr="00253432">
        <w:rPr>
          <w:rFonts w:ascii="Times New Roman" w:hAnsi="Times New Roman" w:cs="Times New Roman"/>
          <w:color w:val="000000" w:themeColor="text1"/>
          <w:sz w:val="24"/>
          <w:szCs w:val="24"/>
          <w:shd w:val="clear" w:color="auto" w:fill="FFFFFF"/>
        </w:rPr>
        <w:t xml:space="preserve">Morandini, S., </w:t>
      </w:r>
      <w:proofErr w:type="spellStart"/>
      <w:r w:rsidRPr="00253432">
        <w:rPr>
          <w:rFonts w:ascii="Times New Roman" w:hAnsi="Times New Roman" w:cs="Times New Roman"/>
          <w:color w:val="000000" w:themeColor="text1"/>
          <w:sz w:val="24"/>
          <w:szCs w:val="24"/>
          <w:shd w:val="clear" w:color="auto" w:fill="FFFFFF"/>
        </w:rPr>
        <w:t>Fraboni</w:t>
      </w:r>
      <w:proofErr w:type="spellEnd"/>
      <w:r w:rsidRPr="00253432">
        <w:rPr>
          <w:rFonts w:ascii="Times New Roman" w:hAnsi="Times New Roman" w:cs="Times New Roman"/>
          <w:color w:val="000000" w:themeColor="text1"/>
          <w:sz w:val="24"/>
          <w:szCs w:val="24"/>
          <w:shd w:val="clear" w:color="auto" w:fill="FFFFFF"/>
        </w:rPr>
        <w:t xml:space="preserve">, F., De Angelis, M., </w:t>
      </w:r>
      <w:proofErr w:type="spellStart"/>
      <w:r w:rsidRPr="00253432">
        <w:rPr>
          <w:rFonts w:ascii="Times New Roman" w:hAnsi="Times New Roman" w:cs="Times New Roman"/>
          <w:color w:val="000000" w:themeColor="text1"/>
          <w:sz w:val="24"/>
          <w:szCs w:val="24"/>
          <w:shd w:val="clear" w:color="auto" w:fill="FFFFFF"/>
        </w:rPr>
        <w:t>Puzzo</w:t>
      </w:r>
      <w:proofErr w:type="spellEnd"/>
      <w:r w:rsidRPr="00253432">
        <w:rPr>
          <w:rFonts w:ascii="Times New Roman" w:hAnsi="Times New Roman" w:cs="Times New Roman"/>
          <w:color w:val="000000" w:themeColor="text1"/>
          <w:sz w:val="24"/>
          <w:szCs w:val="24"/>
          <w:shd w:val="clear" w:color="auto" w:fill="FFFFFF"/>
        </w:rPr>
        <w:t xml:space="preserve">, G., </w:t>
      </w:r>
      <w:proofErr w:type="spellStart"/>
      <w:r w:rsidRPr="00253432">
        <w:rPr>
          <w:rFonts w:ascii="Times New Roman" w:hAnsi="Times New Roman" w:cs="Times New Roman"/>
          <w:color w:val="000000" w:themeColor="text1"/>
          <w:sz w:val="24"/>
          <w:szCs w:val="24"/>
          <w:shd w:val="clear" w:color="auto" w:fill="FFFFFF"/>
        </w:rPr>
        <w:t>Giusino</w:t>
      </w:r>
      <w:proofErr w:type="spellEnd"/>
      <w:r w:rsidRPr="00253432">
        <w:rPr>
          <w:rFonts w:ascii="Times New Roman" w:hAnsi="Times New Roman" w:cs="Times New Roman"/>
          <w:color w:val="000000" w:themeColor="text1"/>
          <w:sz w:val="24"/>
          <w:szCs w:val="24"/>
          <w:shd w:val="clear" w:color="auto" w:fill="FFFFFF"/>
        </w:rPr>
        <w:t xml:space="preserve">, D. and </w:t>
      </w:r>
      <w:proofErr w:type="spellStart"/>
      <w:r w:rsidRPr="00253432">
        <w:rPr>
          <w:rFonts w:ascii="Times New Roman" w:hAnsi="Times New Roman" w:cs="Times New Roman"/>
          <w:color w:val="000000" w:themeColor="text1"/>
          <w:sz w:val="24"/>
          <w:szCs w:val="24"/>
          <w:shd w:val="clear" w:color="auto" w:fill="FFFFFF"/>
        </w:rPr>
        <w:t>Pietrantoni</w:t>
      </w:r>
      <w:proofErr w:type="spellEnd"/>
      <w:r w:rsidRPr="00253432">
        <w:rPr>
          <w:rFonts w:ascii="Times New Roman" w:hAnsi="Times New Roman" w:cs="Times New Roman"/>
          <w:color w:val="000000" w:themeColor="text1"/>
          <w:sz w:val="24"/>
          <w:szCs w:val="24"/>
          <w:shd w:val="clear" w:color="auto" w:fill="FFFFFF"/>
        </w:rPr>
        <w:t>, L., 2023. The impact of artificial intelligence on workers’ skills: Upskilling and reskilling in organisations. </w:t>
      </w:r>
      <w:r w:rsidRPr="00253432">
        <w:rPr>
          <w:rFonts w:ascii="Times New Roman" w:hAnsi="Times New Roman" w:cs="Times New Roman"/>
          <w:i/>
          <w:iCs/>
          <w:color w:val="000000" w:themeColor="text1"/>
          <w:sz w:val="24"/>
          <w:szCs w:val="24"/>
          <w:shd w:val="clear" w:color="auto" w:fill="FFFFFF"/>
        </w:rPr>
        <w:t>Informing Science</w:t>
      </w:r>
      <w:r w:rsidRPr="00253432">
        <w:rPr>
          <w:rFonts w:ascii="Times New Roman" w:hAnsi="Times New Roman" w:cs="Times New Roman"/>
          <w:color w:val="000000" w:themeColor="text1"/>
          <w:sz w:val="24"/>
          <w:szCs w:val="24"/>
          <w:shd w:val="clear" w:color="auto" w:fill="FFFFFF"/>
        </w:rPr>
        <w:t>, </w:t>
      </w:r>
      <w:r w:rsidRPr="00253432">
        <w:rPr>
          <w:rFonts w:ascii="Times New Roman" w:hAnsi="Times New Roman" w:cs="Times New Roman"/>
          <w:i/>
          <w:iCs/>
          <w:color w:val="000000" w:themeColor="text1"/>
          <w:sz w:val="24"/>
          <w:szCs w:val="24"/>
          <w:shd w:val="clear" w:color="auto" w:fill="FFFFFF"/>
        </w:rPr>
        <w:t>26</w:t>
      </w:r>
      <w:r w:rsidRPr="00253432">
        <w:rPr>
          <w:rFonts w:ascii="Times New Roman" w:hAnsi="Times New Roman" w:cs="Times New Roman"/>
          <w:color w:val="000000" w:themeColor="text1"/>
          <w:sz w:val="24"/>
          <w:szCs w:val="24"/>
          <w:shd w:val="clear" w:color="auto" w:fill="FFFFFF"/>
        </w:rPr>
        <w:t>, pp.39-68.</w:t>
      </w:r>
    </w:p>
    <w:p w14:paraId="06898FDB"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r w:rsidRPr="00253432">
        <w:rPr>
          <w:rFonts w:ascii="Times New Roman" w:hAnsi="Times New Roman" w:cs="Times New Roman"/>
          <w:color w:val="000000" w:themeColor="text1"/>
          <w:sz w:val="24"/>
          <w:szCs w:val="24"/>
        </w:rPr>
        <w:t xml:space="preserve">Newlands, G. (2021) 'Algorithmic surveillance in the gig economy: the organization of work through </w:t>
      </w:r>
      <w:proofErr w:type="spellStart"/>
      <w:r w:rsidRPr="00253432">
        <w:rPr>
          <w:rFonts w:ascii="Times New Roman" w:hAnsi="Times New Roman" w:cs="Times New Roman"/>
          <w:color w:val="000000" w:themeColor="text1"/>
          <w:sz w:val="24"/>
          <w:szCs w:val="24"/>
        </w:rPr>
        <w:t>Lefebvrian</w:t>
      </w:r>
      <w:proofErr w:type="spellEnd"/>
      <w:r w:rsidRPr="00253432">
        <w:rPr>
          <w:rFonts w:ascii="Times New Roman" w:hAnsi="Times New Roman" w:cs="Times New Roman"/>
          <w:color w:val="000000" w:themeColor="text1"/>
          <w:sz w:val="24"/>
          <w:szCs w:val="24"/>
        </w:rPr>
        <w:t xml:space="preserve"> conceived space', Organization Studies, 42(5), pp.719-737.</w:t>
      </w:r>
    </w:p>
    <w:p w14:paraId="6660727D"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r w:rsidRPr="00253432">
        <w:rPr>
          <w:rFonts w:ascii="Times New Roman" w:hAnsi="Times New Roman" w:cs="Times New Roman"/>
          <w:color w:val="000000" w:themeColor="text1"/>
          <w:sz w:val="24"/>
          <w:szCs w:val="24"/>
        </w:rPr>
        <w:t>Noy, S. and Zhang, W. (2023) 'Experimental evidence on the productivity effects of generative artificial intelligence', Science, 381(6654), pp.187-192.</w:t>
      </w:r>
    </w:p>
    <w:p w14:paraId="1D150C84"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r w:rsidRPr="00253432">
        <w:rPr>
          <w:rFonts w:ascii="Times New Roman" w:hAnsi="Times New Roman" w:cs="Times New Roman"/>
          <w:color w:val="000000" w:themeColor="text1"/>
          <w:sz w:val="24"/>
          <w:szCs w:val="24"/>
        </w:rPr>
        <w:t>Qin, S., Jia, N., Luo, X., Liao, C. and Huang, Z. (2023) 'Perceived fairness of human managers compared with artificial intelligence in employee performance evaluation', Journal of Management Information Systems, 40(4), pp.1039-1070.</w:t>
      </w:r>
    </w:p>
    <w:p w14:paraId="4B8DD508"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r w:rsidRPr="00253432">
        <w:rPr>
          <w:rFonts w:ascii="Times New Roman" w:hAnsi="Times New Roman" w:cs="Times New Roman"/>
          <w:color w:val="000000" w:themeColor="text1"/>
          <w:sz w:val="24"/>
          <w:szCs w:val="24"/>
        </w:rPr>
        <w:t xml:space="preserve">Raghavan, M., </w:t>
      </w:r>
      <w:proofErr w:type="spellStart"/>
      <w:r w:rsidRPr="00253432">
        <w:rPr>
          <w:rFonts w:ascii="Times New Roman" w:hAnsi="Times New Roman" w:cs="Times New Roman"/>
          <w:color w:val="000000" w:themeColor="text1"/>
          <w:sz w:val="24"/>
          <w:szCs w:val="24"/>
        </w:rPr>
        <w:t>Barocas</w:t>
      </w:r>
      <w:proofErr w:type="spellEnd"/>
      <w:r w:rsidRPr="00253432">
        <w:rPr>
          <w:rFonts w:ascii="Times New Roman" w:hAnsi="Times New Roman" w:cs="Times New Roman"/>
          <w:color w:val="000000" w:themeColor="text1"/>
          <w:sz w:val="24"/>
          <w:szCs w:val="24"/>
        </w:rPr>
        <w:t>, S., Kleinberg, J. and Levy, K. (2020) 'Mitigating bias in algorithmic hiring: evaluating claims and practices', in Proceedings of the 2020 Conference on Fairness, Accountability, and Transparency (FAT* '20), pp.469-481.</w:t>
      </w:r>
    </w:p>
    <w:p w14:paraId="1B326CC6"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proofErr w:type="spellStart"/>
      <w:r w:rsidRPr="00253432">
        <w:rPr>
          <w:rFonts w:ascii="Times New Roman" w:hAnsi="Times New Roman" w:cs="Times New Roman"/>
          <w:color w:val="000000" w:themeColor="text1"/>
          <w:sz w:val="24"/>
          <w:szCs w:val="24"/>
        </w:rPr>
        <w:t>Raisch</w:t>
      </w:r>
      <w:proofErr w:type="spellEnd"/>
      <w:r w:rsidRPr="00253432">
        <w:rPr>
          <w:rFonts w:ascii="Times New Roman" w:hAnsi="Times New Roman" w:cs="Times New Roman"/>
          <w:color w:val="000000" w:themeColor="text1"/>
          <w:sz w:val="24"/>
          <w:szCs w:val="24"/>
        </w:rPr>
        <w:t>, S. and Krakowski, S. (2021) 'Artificial intelligence and management: the automation-augmentation paradox', Academy of Management Review, 46(1), pp.192-210.</w:t>
      </w:r>
    </w:p>
    <w:p w14:paraId="7883ABBD"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r w:rsidRPr="00253432">
        <w:rPr>
          <w:rFonts w:ascii="Times New Roman" w:hAnsi="Times New Roman" w:cs="Times New Roman"/>
          <w:color w:val="000000" w:themeColor="text1"/>
          <w:sz w:val="24"/>
          <w:szCs w:val="24"/>
        </w:rPr>
        <w:t xml:space="preserve">Raji, I.D., </w:t>
      </w:r>
      <w:proofErr w:type="spellStart"/>
      <w:r w:rsidRPr="00253432">
        <w:rPr>
          <w:rFonts w:ascii="Times New Roman" w:hAnsi="Times New Roman" w:cs="Times New Roman"/>
          <w:color w:val="000000" w:themeColor="text1"/>
          <w:sz w:val="24"/>
          <w:szCs w:val="24"/>
        </w:rPr>
        <w:t>Scheuerman</w:t>
      </w:r>
      <w:proofErr w:type="spellEnd"/>
      <w:r w:rsidRPr="00253432">
        <w:rPr>
          <w:rFonts w:ascii="Times New Roman" w:hAnsi="Times New Roman" w:cs="Times New Roman"/>
          <w:color w:val="000000" w:themeColor="text1"/>
          <w:sz w:val="24"/>
          <w:szCs w:val="24"/>
        </w:rPr>
        <w:t xml:space="preserve">, M.K. and </w:t>
      </w:r>
      <w:proofErr w:type="spellStart"/>
      <w:r w:rsidRPr="00253432">
        <w:rPr>
          <w:rFonts w:ascii="Times New Roman" w:hAnsi="Times New Roman" w:cs="Times New Roman"/>
          <w:color w:val="000000" w:themeColor="text1"/>
          <w:sz w:val="24"/>
          <w:szCs w:val="24"/>
        </w:rPr>
        <w:t>Amironesei</w:t>
      </w:r>
      <w:proofErr w:type="spellEnd"/>
      <w:r w:rsidRPr="00253432">
        <w:rPr>
          <w:rFonts w:ascii="Times New Roman" w:hAnsi="Times New Roman" w:cs="Times New Roman"/>
          <w:color w:val="000000" w:themeColor="text1"/>
          <w:sz w:val="24"/>
          <w:szCs w:val="24"/>
        </w:rPr>
        <w:t>, R. (2021) 'You can't sit with us: exclusionary pedagogy in AI ethics education', in Proceedings of the 2021 ACM Conference on Fairness, Accountability, and Transparency (</w:t>
      </w:r>
      <w:proofErr w:type="spellStart"/>
      <w:r w:rsidRPr="00253432">
        <w:rPr>
          <w:rFonts w:ascii="Times New Roman" w:hAnsi="Times New Roman" w:cs="Times New Roman"/>
          <w:color w:val="000000" w:themeColor="text1"/>
          <w:sz w:val="24"/>
          <w:szCs w:val="24"/>
        </w:rPr>
        <w:t>FAccT</w:t>
      </w:r>
      <w:proofErr w:type="spellEnd"/>
      <w:r w:rsidRPr="00253432">
        <w:rPr>
          <w:rFonts w:ascii="Times New Roman" w:hAnsi="Times New Roman" w:cs="Times New Roman"/>
          <w:color w:val="000000" w:themeColor="text1"/>
          <w:sz w:val="24"/>
          <w:szCs w:val="24"/>
        </w:rPr>
        <w:t xml:space="preserve"> '21), pp.515-525.</w:t>
      </w:r>
    </w:p>
    <w:p w14:paraId="6E605A42"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proofErr w:type="spellStart"/>
      <w:r w:rsidRPr="00253432">
        <w:rPr>
          <w:rFonts w:ascii="Times New Roman" w:hAnsi="Times New Roman" w:cs="Times New Roman"/>
          <w:color w:val="000000" w:themeColor="text1"/>
          <w:sz w:val="24"/>
          <w:szCs w:val="24"/>
        </w:rPr>
        <w:t>Rampersad</w:t>
      </w:r>
      <w:proofErr w:type="spellEnd"/>
      <w:r w:rsidRPr="00253432">
        <w:rPr>
          <w:rFonts w:ascii="Times New Roman" w:hAnsi="Times New Roman" w:cs="Times New Roman"/>
          <w:color w:val="000000" w:themeColor="text1"/>
          <w:sz w:val="24"/>
          <w:szCs w:val="24"/>
        </w:rPr>
        <w:t>, G. (2020) 'Robot will take your job: innovation for an era of artificial intelligence', Journal of Business Research, 116, pp.68-74.</w:t>
      </w:r>
    </w:p>
    <w:p w14:paraId="017385B3"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r w:rsidRPr="00253432">
        <w:rPr>
          <w:rFonts w:ascii="Times New Roman" w:hAnsi="Times New Roman" w:cs="Times New Roman"/>
          <w:color w:val="000000" w:themeColor="text1"/>
          <w:sz w:val="24"/>
          <w:szCs w:val="24"/>
        </w:rPr>
        <w:t>ResearchGate (2025) 'Employee trust, acceptance, and psychological responses to AI integration in modern workplaces', Journal of Applied Research in Business and Governance, 6(3).</w:t>
      </w:r>
    </w:p>
    <w:p w14:paraId="47DCD0E9"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proofErr w:type="spellStart"/>
      <w:r w:rsidRPr="00253432">
        <w:rPr>
          <w:rFonts w:ascii="Times New Roman" w:hAnsi="Times New Roman" w:cs="Times New Roman"/>
          <w:color w:val="000000" w:themeColor="text1"/>
          <w:sz w:val="24"/>
          <w:szCs w:val="24"/>
        </w:rPr>
        <w:t>Schoorman</w:t>
      </w:r>
      <w:proofErr w:type="spellEnd"/>
      <w:r w:rsidRPr="00253432">
        <w:rPr>
          <w:rFonts w:ascii="Times New Roman" w:hAnsi="Times New Roman" w:cs="Times New Roman"/>
          <w:color w:val="000000" w:themeColor="text1"/>
          <w:sz w:val="24"/>
          <w:szCs w:val="24"/>
        </w:rPr>
        <w:t>, F.D., Mayer, R.C. and Davis, J.H. (2007) 'An integrative model of organizational trust: past, present, and future', Academy of Management Review, 32(2), pp.344-354.</w:t>
      </w:r>
    </w:p>
    <w:p w14:paraId="7D474CEA"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r w:rsidRPr="00253432">
        <w:rPr>
          <w:rFonts w:ascii="Times New Roman" w:hAnsi="Times New Roman" w:cs="Times New Roman"/>
          <w:color w:val="000000" w:themeColor="text1"/>
          <w:sz w:val="24"/>
          <w:szCs w:val="24"/>
        </w:rPr>
        <w:lastRenderedPageBreak/>
        <w:t>ScienceDirect (2025) 'Shifting attitudes and trust in AI: influences on organizational AI adoption', Technological Forecasting and Social Change.</w:t>
      </w:r>
    </w:p>
    <w:p w14:paraId="335EA33F"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r w:rsidRPr="00253432">
        <w:rPr>
          <w:rFonts w:ascii="Times New Roman" w:hAnsi="Times New Roman" w:cs="Times New Roman"/>
          <w:color w:val="000000" w:themeColor="text1"/>
          <w:sz w:val="24"/>
          <w:szCs w:val="24"/>
        </w:rPr>
        <w:t>ScienceDirect (2026) 'Enhancing employees' change readiness for artificial intelligence (AI) adoption: the role of AI transparency', International Journal of Hospitality Management.</w:t>
      </w:r>
    </w:p>
    <w:p w14:paraId="50A973A3"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proofErr w:type="spellStart"/>
      <w:r w:rsidRPr="00253432">
        <w:rPr>
          <w:rFonts w:ascii="Times New Roman" w:hAnsi="Times New Roman" w:cs="Times New Roman"/>
          <w:color w:val="000000" w:themeColor="text1"/>
          <w:sz w:val="24"/>
          <w:szCs w:val="24"/>
        </w:rPr>
        <w:t>Siau</w:t>
      </w:r>
      <w:proofErr w:type="spellEnd"/>
      <w:r w:rsidRPr="00253432">
        <w:rPr>
          <w:rFonts w:ascii="Times New Roman" w:hAnsi="Times New Roman" w:cs="Times New Roman"/>
          <w:color w:val="000000" w:themeColor="text1"/>
          <w:sz w:val="24"/>
          <w:szCs w:val="24"/>
        </w:rPr>
        <w:t>, K. and Wang, W. (2018) 'Building trust in artificial intelligence, machine learning, and robotics', Cutter Business Technology Journal, 31(2), pp.47-53.</w:t>
      </w:r>
    </w:p>
    <w:p w14:paraId="0FC6268F"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r w:rsidRPr="00253432">
        <w:rPr>
          <w:rFonts w:ascii="Times New Roman" w:hAnsi="Times New Roman" w:cs="Times New Roman"/>
          <w:color w:val="000000" w:themeColor="text1"/>
          <w:sz w:val="24"/>
          <w:szCs w:val="24"/>
          <w:shd w:val="clear" w:color="auto" w:fill="FFFFFF"/>
        </w:rPr>
        <w:t xml:space="preserve">Song, Y., </w:t>
      </w:r>
      <w:proofErr w:type="spellStart"/>
      <w:r w:rsidRPr="00253432">
        <w:rPr>
          <w:rFonts w:ascii="Times New Roman" w:hAnsi="Times New Roman" w:cs="Times New Roman"/>
          <w:color w:val="000000" w:themeColor="text1"/>
          <w:sz w:val="24"/>
          <w:szCs w:val="24"/>
          <w:shd w:val="clear" w:color="auto" w:fill="FFFFFF"/>
        </w:rPr>
        <w:t>Qiu</w:t>
      </w:r>
      <w:proofErr w:type="spellEnd"/>
      <w:r w:rsidRPr="00253432">
        <w:rPr>
          <w:rFonts w:ascii="Times New Roman" w:hAnsi="Times New Roman" w:cs="Times New Roman"/>
          <w:color w:val="000000" w:themeColor="text1"/>
          <w:sz w:val="24"/>
          <w:szCs w:val="24"/>
          <w:shd w:val="clear" w:color="auto" w:fill="FFFFFF"/>
        </w:rPr>
        <w:t>, X. and Liu, J., 2025. The impact of artificial intelligence adoption on organizational decision-making: An empirical study based on the technology acceptance model in business management. </w:t>
      </w:r>
      <w:r w:rsidRPr="00253432">
        <w:rPr>
          <w:rFonts w:ascii="Times New Roman" w:hAnsi="Times New Roman" w:cs="Times New Roman"/>
          <w:i/>
          <w:iCs/>
          <w:color w:val="000000" w:themeColor="text1"/>
          <w:sz w:val="24"/>
          <w:szCs w:val="24"/>
          <w:shd w:val="clear" w:color="auto" w:fill="FFFFFF"/>
        </w:rPr>
        <w:t>Systems</w:t>
      </w:r>
      <w:r w:rsidRPr="00253432">
        <w:rPr>
          <w:rFonts w:ascii="Times New Roman" w:hAnsi="Times New Roman" w:cs="Times New Roman"/>
          <w:color w:val="000000" w:themeColor="text1"/>
          <w:sz w:val="24"/>
          <w:szCs w:val="24"/>
          <w:shd w:val="clear" w:color="auto" w:fill="FFFFFF"/>
        </w:rPr>
        <w:t>, </w:t>
      </w:r>
      <w:r w:rsidRPr="00253432">
        <w:rPr>
          <w:rFonts w:ascii="Times New Roman" w:hAnsi="Times New Roman" w:cs="Times New Roman"/>
          <w:i/>
          <w:iCs/>
          <w:color w:val="000000" w:themeColor="text1"/>
          <w:sz w:val="24"/>
          <w:szCs w:val="24"/>
          <w:shd w:val="clear" w:color="auto" w:fill="FFFFFF"/>
        </w:rPr>
        <w:t>13</w:t>
      </w:r>
      <w:r w:rsidRPr="00253432">
        <w:rPr>
          <w:rFonts w:ascii="Times New Roman" w:hAnsi="Times New Roman" w:cs="Times New Roman"/>
          <w:color w:val="000000" w:themeColor="text1"/>
          <w:sz w:val="24"/>
          <w:szCs w:val="24"/>
          <w:shd w:val="clear" w:color="auto" w:fill="FFFFFF"/>
        </w:rPr>
        <w:t>(8), p.683.</w:t>
      </w:r>
    </w:p>
    <w:p w14:paraId="3FC1F678"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proofErr w:type="spellStart"/>
      <w:r w:rsidRPr="00253432">
        <w:rPr>
          <w:rFonts w:ascii="Times New Roman" w:hAnsi="Times New Roman" w:cs="Times New Roman"/>
          <w:color w:val="000000" w:themeColor="text1"/>
          <w:sz w:val="24"/>
          <w:szCs w:val="24"/>
          <w:shd w:val="clear" w:color="auto" w:fill="FFFFFF"/>
        </w:rPr>
        <w:t>Soulami</w:t>
      </w:r>
      <w:proofErr w:type="spellEnd"/>
      <w:r w:rsidRPr="00253432">
        <w:rPr>
          <w:rFonts w:ascii="Times New Roman" w:hAnsi="Times New Roman" w:cs="Times New Roman"/>
          <w:color w:val="000000" w:themeColor="text1"/>
          <w:sz w:val="24"/>
          <w:szCs w:val="24"/>
          <w:shd w:val="clear" w:color="auto" w:fill="FFFFFF"/>
        </w:rPr>
        <w:t xml:space="preserve">, M., </w:t>
      </w:r>
      <w:proofErr w:type="spellStart"/>
      <w:r w:rsidRPr="00253432">
        <w:rPr>
          <w:rFonts w:ascii="Times New Roman" w:hAnsi="Times New Roman" w:cs="Times New Roman"/>
          <w:color w:val="000000" w:themeColor="text1"/>
          <w:sz w:val="24"/>
          <w:szCs w:val="24"/>
          <w:shd w:val="clear" w:color="auto" w:fill="FFFFFF"/>
        </w:rPr>
        <w:t>Benchekroun</w:t>
      </w:r>
      <w:proofErr w:type="spellEnd"/>
      <w:r w:rsidRPr="00253432">
        <w:rPr>
          <w:rFonts w:ascii="Times New Roman" w:hAnsi="Times New Roman" w:cs="Times New Roman"/>
          <w:color w:val="000000" w:themeColor="text1"/>
          <w:sz w:val="24"/>
          <w:szCs w:val="24"/>
          <w:shd w:val="clear" w:color="auto" w:fill="FFFFFF"/>
        </w:rPr>
        <w:t xml:space="preserve">, S. and </w:t>
      </w:r>
      <w:proofErr w:type="spellStart"/>
      <w:r w:rsidRPr="00253432">
        <w:rPr>
          <w:rFonts w:ascii="Times New Roman" w:hAnsi="Times New Roman" w:cs="Times New Roman"/>
          <w:color w:val="000000" w:themeColor="text1"/>
          <w:sz w:val="24"/>
          <w:szCs w:val="24"/>
          <w:shd w:val="clear" w:color="auto" w:fill="FFFFFF"/>
        </w:rPr>
        <w:t>Galiulina</w:t>
      </w:r>
      <w:proofErr w:type="spellEnd"/>
      <w:r w:rsidRPr="00253432">
        <w:rPr>
          <w:rFonts w:ascii="Times New Roman" w:hAnsi="Times New Roman" w:cs="Times New Roman"/>
          <w:color w:val="000000" w:themeColor="text1"/>
          <w:sz w:val="24"/>
          <w:szCs w:val="24"/>
          <w:shd w:val="clear" w:color="auto" w:fill="FFFFFF"/>
        </w:rPr>
        <w:t>, A., 2024. Exploring how AI adoption in the workplace affects employees: a bibliometric and systematic review. </w:t>
      </w:r>
      <w:r w:rsidRPr="00253432">
        <w:rPr>
          <w:rFonts w:ascii="Times New Roman" w:hAnsi="Times New Roman" w:cs="Times New Roman"/>
          <w:i/>
          <w:iCs/>
          <w:color w:val="000000" w:themeColor="text1"/>
          <w:sz w:val="24"/>
          <w:szCs w:val="24"/>
          <w:shd w:val="clear" w:color="auto" w:fill="FFFFFF"/>
        </w:rPr>
        <w:t>Frontiers in artificial intelligence</w:t>
      </w:r>
      <w:r w:rsidRPr="00253432">
        <w:rPr>
          <w:rFonts w:ascii="Times New Roman" w:hAnsi="Times New Roman" w:cs="Times New Roman"/>
          <w:color w:val="000000" w:themeColor="text1"/>
          <w:sz w:val="24"/>
          <w:szCs w:val="24"/>
          <w:shd w:val="clear" w:color="auto" w:fill="FFFFFF"/>
        </w:rPr>
        <w:t>, </w:t>
      </w:r>
      <w:r w:rsidRPr="00253432">
        <w:rPr>
          <w:rFonts w:ascii="Times New Roman" w:hAnsi="Times New Roman" w:cs="Times New Roman"/>
          <w:i/>
          <w:iCs/>
          <w:color w:val="000000" w:themeColor="text1"/>
          <w:sz w:val="24"/>
          <w:szCs w:val="24"/>
          <w:shd w:val="clear" w:color="auto" w:fill="FFFFFF"/>
        </w:rPr>
        <w:t>7</w:t>
      </w:r>
      <w:r w:rsidRPr="00253432">
        <w:rPr>
          <w:rFonts w:ascii="Times New Roman" w:hAnsi="Times New Roman" w:cs="Times New Roman"/>
          <w:color w:val="000000" w:themeColor="text1"/>
          <w:sz w:val="24"/>
          <w:szCs w:val="24"/>
          <w:shd w:val="clear" w:color="auto" w:fill="FFFFFF"/>
        </w:rPr>
        <w:t>, p.1473872.</w:t>
      </w:r>
    </w:p>
    <w:p w14:paraId="0F192E1E"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r w:rsidRPr="00253432">
        <w:rPr>
          <w:rFonts w:ascii="Times New Roman" w:hAnsi="Times New Roman" w:cs="Times New Roman"/>
          <w:color w:val="000000" w:themeColor="text1"/>
          <w:sz w:val="24"/>
          <w:szCs w:val="24"/>
          <w:shd w:val="clear" w:color="auto" w:fill="FFFFFF"/>
        </w:rPr>
        <w:t xml:space="preserve">Sousa, M.M., Oliveira, B.F., Gonçalves, T.I., Alves, S., </w:t>
      </w:r>
      <w:proofErr w:type="spellStart"/>
      <w:r w:rsidRPr="00253432">
        <w:rPr>
          <w:rFonts w:ascii="Times New Roman" w:hAnsi="Times New Roman" w:cs="Times New Roman"/>
          <w:color w:val="000000" w:themeColor="text1"/>
          <w:sz w:val="24"/>
          <w:szCs w:val="24"/>
          <w:shd w:val="clear" w:color="auto" w:fill="FFFFFF"/>
        </w:rPr>
        <w:t>Carreira</w:t>
      </w:r>
      <w:proofErr w:type="spellEnd"/>
      <w:r w:rsidRPr="00253432">
        <w:rPr>
          <w:rFonts w:ascii="Times New Roman" w:hAnsi="Times New Roman" w:cs="Times New Roman"/>
          <w:color w:val="000000" w:themeColor="text1"/>
          <w:sz w:val="24"/>
          <w:szCs w:val="24"/>
          <w:shd w:val="clear" w:color="auto" w:fill="FFFFFF"/>
        </w:rPr>
        <w:t>, C. and Barbosa, F.V., 2026. UTAUT-for-Industry: A novel model for assessing employee’s acceptance of new technologies in the industrial context. </w:t>
      </w:r>
      <w:r w:rsidRPr="00253432">
        <w:rPr>
          <w:rFonts w:ascii="Times New Roman" w:hAnsi="Times New Roman" w:cs="Times New Roman"/>
          <w:i/>
          <w:iCs/>
          <w:color w:val="000000" w:themeColor="text1"/>
          <w:sz w:val="24"/>
          <w:szCs w:val="24"/>
          <w:shd w:val="clear" w:color="auto" w:fill="FFFFFF"/>
        </w:rPr>
        <w:t>International Journal on Interactive Design and Manufacturing (</w:t>
      </w:r>
      <w:proofErr w:type="spellStart"/>
      <w:r w:rsidRPr="00253432">
        <w:rPr>
          <w:rFonts w:ascii="Times New Roman" w:hAnsi="Times New Roman" w:cs="Times New Roman"/>
          <w:i/>
          <w:iCs/>
          <w:color w:val="000000" w:themeColor="text1"/>
          <w:sz w:val="24"/>
          <w:szCs w:val="24"/>
          <w:shd w:val="clear" w:color="auto" w:fill="FFFFFF"/>
        </w:rPr>
        <w:t>IJIDeM</w:t>
      </w:r>
      <w:proofErr w:type="spellEnd"/>
      <w:r w:rsidRPr="00253432">
        <w:rPr>
          <w:rFonts w:ascii="Times New Roman" w:hAnsi="Times New Roman" w:cs="Times New Roman"/>
          <w:i/>
          <w:iCs/>
          <w:color w:val="000000" w:themeColor="text1"/>
          <w:sz w:val="24"/>
          <w:szCs w:val="24"/>
          <w:shd w:val="clear" w:color="auto" w:fill="FFFFFF"/>
        </w:rPr>
        <w:t>)</w:t>
      </w:r>
      <w:r w:rsidRPr="00253432">
        <w:rPr>
          <w:rFonts w:ascii="Times New Roman" w:hAnsi="Times New Roman" w:cs="Times New Roman"/>
          <w:color w:val="000000" w:themeColor="text1"/>
          <w:sz w:val="24"/>
          <w:szCs w:val="24"/>
          <w:shd w:val="clear" w:color="auto" w:fill="FFFFFF"/>
        </w:rPr>
        <w:t>, </w:t>
      </w:r>
      <w:r w:rsidRPr="00253432">
        <w:rPr>
          <w:rFonts w:ascii="Times New Roman" w:hAnsi="Times New Roman" w:cs="Times New Roman"/>
          <w:i/>
          <w:iCs/>
          <w:color w:val="000000" w:themeColor="text1"/>
          <w:sz w:val="24"/>
          <w:szCs w:val="24"/>
          <w:shd w:val="clear" w:color="auto" w:fill="FFFFFF"/>
        </w:rPr>
        <w:t>20</w:t>
      </w:r>
      <w:r w:rsidRPr="00253432">
        <w:rPr>
          <w:rFonts w:ascii="Times New Roman" w:hAnsi="Times New Roman" w:cs="Times New Roman"/>
          <w:color w:val="000000" w:themeColor="text1"/>
          <w:sz w:val="24"/>
          <w:szCs w:val="24"/>
          <w:shd w:val="clear" w:color="auto" w:fill="FFFFFF"/>
        </w:rPr>
        <w:t>(3), pp.1171-1195.</w:t>
      </w:r>
    </w:p>
    <w:p w14:paraId="540AE42D"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r w:rsidRPr="00253432">
        <w:rPr>
          <w:rFonts w:ascii="Times New Roman" w:hAnsi="Times New Roman" w:cs="Times New Roman"/>
          <w:color w:val="000000" w:themeColor="text1"/>
          <w:sz w:val="24"/>
          <w:szCs w:val="24"/>
        </w:rPr>
        <w:t>Springer Nature (2025) 'AI governance: a systematic literature review', AI and Ethics.</w:t>
      </w:r>
    </w:p>
    <w:p w14:paraId="40E083CA"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r w:rsidRPr="00253432">
        <w:rPr>
          <w:rFonts w:ascii="Times New Roman" w:hAnsi="Times New Roman" w:cs="Times New Roman"/>
          <w:color w:val="000000" w:themeColor="text1"/>
          <w:sz w:val="24"/>
          <w:szCs w:val="24"/>
        </w:rPr>
        <w:t>Springer Nature (2025) 'The consequences and theoretical explanation of workplace AI on employees: a systematic literature review', Journal of Digital Management.</w:t>
      </w:r>
    </w:p>
    <w:p w14:paraId="002CB660"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r w:rsidRPr="00253432">
        <w:rPr>
          <w:rFonts w:ascii="Times New Roman" w:hAnsi="Times New Roman" w:cs="Times New Roman"/>
          <w:color w:val="000000" w:themeColor="text1"/>
          <w:sz w:val="24"/>
          <w:szCs w:val="24"/>
        </w:rPr>
        <w:t>Taylor &amp; Francis (2025) 'AI ethics: integrating transparency, fairness, and privacy in AI development', Applied Artificial Intelligence.</w:t>
      </w:r>
    </w:p>
    <w:p w14:paraId="4E5D3A1F"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proofErr w:type="spellStart"/>
      <w:r w:rsidRPr="00253432">
        <w:rPr>
          <w:rFonts w:ascii="Times New Roman" w:hAnsi="Times New Roman" w:cs="Times New Roman"/>
          <w:color w:val="000000" w:themeColor="text1"/>
          <w:sz w:val="24"/>
          <w:szCs w:val="24"/>
        </w:rPr>
        <w:t>Thiebes</w:t>
      </w:r>
      <w:proofErr w:type="spellEnd"/>
      <w:r w:rsidRPr="00253432">
        <w:rPr>
          <w:rFonts w:ascii="Times New Roman" w:hAnsi="Times New Roman" w:cs="Times New Roman"/>
          <w:color w:val="000000" w:themeColor="text1"/>
          <w:sz w:val="24"/>
          <w:szCs w:val="24"/>
        </w:rPr>
        <w:t xml:space="preserve">, S., </w:t>
      </w:r>
      <w:proofErr w:type="spellStart"/>
      <w:r w:rsidRPr="00253432">
        <w:rPr>
          <w:rFonts w:ascii="Times New Roman" w:hAnsi="Times New Roman" w:cs="Times New Roman"/>
          <w:color w:val="000000" w:themeColor="text1"/>
          <w:sz w:val="24"/>
          <w:szCs w:val="24"/>
        </w:rPr>
        <w:t>Lins</w:t>
      </w:r>
      <w:proofErr w:type="spellEnd"/>
      <w:r w:rsidRPr="00253432">
        <w:rPr>
          <w:rFonts w:ascii="Times New Roman" w:hAnsi="Times New Roman" w:cs="Times New Roman"/>
          <w:color w:val="000000" w:themeColor="text1"/>
          <w:sz w:val="24"/>
          <w:szCs w:val="24"/>
        </w:rPr>
        <w:t xml:space="preserve">, S. and </w:t>
      </w:r>
      <w:proofErr w:type="spellStart"/>
      <w:r w:rsidRPr="00253432">
        <w:rPr>
          <w:rFonts w:ascii="Times New Roman" w:hAnsi="Times New Roman" w:cs="Times New Roman"/>
          <w:color w:val="000000" w:themeColor="text1"/>
          <w:sz w:val="24"/>
          <w:szCs w:val="24"/>
        </w:rPr>
        <w:t>Sunyaev</w:t>
      </w:r>
      <w:proofErr w:type="spellEnd"/>
      <w:r w:rsidRPr="00253432">
        <w:rPr>
          <w:rFonts w:ascii="Times New Roman" w:hAnsi="Times New Roman" w:cs="Times New Roman"/>
          <w:color w:val="000000" w:themeColor="text1"/>
          <w:sz w:val="24"/>
          <w:szCs w:val="24"/>
        </w:rPr>
        <w:t>, A. (2021) 'Trustworthy artificial intelligence', Electronic Markets, 31, pp.447-464.</w:t>
      </w:r>
    </w:p>
    <w:p w14:paraId="698B8869"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proofErr w:type="spellStart"/>
      <w:r w:rsidRPr="00253432">
        <w:rPr>
          <w:rFonts w:ascii="Times New Roman" w:hAnsi="Times New Roman" w:cs="Times New Roman"/>
          <w:color w:val="000000" w:themeColor="text1"/>
          <w:sz w:val="24"/>
          <w:szCs w:val="24"/>
        </w:rPr>
        <w:t>Tilmes</w:t>
      </w:r>
      <w:proofErr w:type="spellEnd"/>
      <w:r w:rsidRPr="00253432">
        <w:rPr>
          <w:rFonts w:ascii="Times New Roman" w:hAnsi="Times New Roman" w:cs="Times New Roman"/>
          <w:color w:val="000000" w:themeColor="text1"/>
          <w:sz w:val="24"/>
          <w:szCs w:val="24"/>
        </w:rPr>
        <w:t>, N. (2022) 'Disability, fairness, and algorithmic bias in AI recruitment', Ethics and Information Technology, 24(2), art. 21.</w:t>
      </w:r>
    </w:p>
    <w:p w14:paraId="28FD0182"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proofErr w:type="spellStart"/>
      <w:r w:rsidRPr="00253432">
        <w:rPr>
          <w:rFonts w:ascii="Times New Roman" w:hAnsi="Times New Roman" w:cs="Times New Roman"/>
          <w:color w:val="000000" w:themeColor="text1"/>
          <w:sz w:val="24"/>
          <w:szCs w:val="24"/>
        </w:rPr>
        <w:t>Tursunbayeva</w:t>
      </w:r>
      <w:proofErr w:type="spellEnd"/>
      <w:r w:rsidRPr="00253432">
        <w:rPr>
          <w:rFonts w:ascii="Times New Roman" w:hAnsi="Times New Roman" w:cs="Times New Roman"/>
          <w:color w:val="000000" w:themeColor="text1"/>
          <w:sz w:val="24"/>
          <w:szCs w:val="24"/>
        </w:rPr>
        <w:t>, A. and Chalutz-Ben Gal, H. (2024) 'Trust and organisational readiness for artificial intelligence: a review', [journal article cited in Making Sense of AI Limitations, arXiv:2502.15870].</w:t>
      </w:r>
    </w:p>
    <w:p w14:paraId="0D2F9825"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proofErr w:type="spellStart"/>
      <w:r w:rsidRPr="00253432">
        <w:rPr>
          <w:rFonts w:ascii="Times New Roman" w:hAnsi="Times New Roman" w:cs="Times New Roman"/>
          <w:color w:val="000000" w:themeColor="text1"/>
          <w:sz w:val="24"/>
          <w:szCs w:val="24"/>
          <w:shd w:val="clear" w:color="auto" w:fill="FFFFFF"/>
        </w:rPr>
        <w:t>Übellacker</w:t>
      </w:r>
      <w:proofErr w:type="spellEnd"/>
      <w:r w:rsidRPr="00253432">
        <w:rPr>
          <w:rFonts w:ascii="Times New Roman" w:hAnsi="Times New Roman" w:cs="Times New Roman"/>
          <w:color w:val="000000" w:themeColor="text1"/>
          <w:sz w:val="24"/>
          <w:szCs w:val="24"/>
          <w:shd w:val="clear" w:color="auto" w:fill="FFFFFF"/>
        </w:rPr>
        <w:t>, T., 2025. Making sense of AI limitations: how individual perceptions shape organizational readiness for AI adoption. </w:t>
      </w:r>
      <w:proofErr w:type="spellStart"/>
      <w:r w:rsidRPr="00253432">
        <w:rPr>
          <w:rFonts w:ascii="Times New Roman" w:hAnsi="Times New Roman" w:cs="Times New Roman"/>
          <w:i/>
          <w:iCs/>
          <w:color w:val="000000" w:themeColor="text1"/>
          <w:sz w:val="24"/>
          <w:szCs w:val="24"/>
          <w:shd w:val="clear" w:color="auto" w:fill="FFFFFF"/>
        </w:rPr>
        <w:t>arXiv</w:t>
      </w:r>
      <w:proofErr w:type="spellEnd"/>
      <w:r w:rsidRPr="00253432">
        <w:rPr>
          <w:rFonts w:ascii="Times New Roman" w:hAnsi="Times New Roman" w:cs="Times New Roman"/>
          <w:i/>
          <w:iCs/>
          <w:color w:val="000000" w:themeColor="text1"/>
          <w:sz w:val="24"/>
          <w:szCs w:val="24"/>
          <w:shd w:val="clear" w:color="auto" w:fill="FFFFFF"/>
        </w:rPr>
        <w:t xml:space="preserve"> preprint arXiv:2502.15870</w:t>
      </w:r>
      <w:r w:rsidRPr="00253432">
        <w:rPr>
          <w:rFonts w:ascii="Times New Roman" w:hAnsi="Times New Roman" w:cs="Times New Roman"/>
          <w:color w:val="000000" w:themeColor="text1"/>
          <w:sz w:val="24"/>
          <w:szCs w:val="24"/>
          <w:shd w:val="clear" w:color="auto" w:fill="FFFFFF"/>
        </w:rPr>
        <w:t>.</w:t>
      </w:r>
    </w:p>
    <w:p w14:paraId="75EC7497"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proofErr w:type="spellStart"/>
      <w:r w:rsidRPr="00253432">
        <w:rPr>
          <w:rFonts w:ascii="Times New Roman" w:hAnsi="Times New Roman" w:cs="Times New Roman"/>
          <w:color w:val="000000" w:themeColor="text1"/>
          <w:sz w:val="24"/>
          <w:szCs w:val="24"/>
          <w:shd w:val="clear" w:color="auto" w:fill="FFFFFF"/>
        </w:rPr>
        <w:t>Uhunoma</w:t>
      </w:r>
      <w:proofErr w:type="spellEnd"/>
      <w:r w:rsidRPr="00253432">
        <w:rPr>
          <w:rFonts w:ascii="Times New Roman" w:hAnsi="Times New Roman" w:cs="Times New Roman"/>
          <w:color w:val="000000" w:themeColor="text1"/>
          <w:sz w:val="24"/>
          <w:szCs w:val="24"/>
          <w:shd w:val="clear" w:color="auto" w:fill="FFFFFF"/>
        </w:rPr>
        <w:t>, E., 2025. From hours to minutes: The impact of generative AI on work turnaround time and productivity. </w:t>
      </w:r>
      <w:r w:rsidRPr="00253432">
        <w:rPr>
          <w:rFonts w:ascii="Times New Roman" w:hAnsi="Times New Roman" w:cs="Times New Roman"/>
          <w:i/>
          <w:iCs/>
          <w:color w:val="000000" w:themeColor="text1"/>
          <w:sz w:val="24"/>
          <w:szCs w:val="24"/>
          <w:shd w:val="clear" w:color="auto" w:fill="FFFFFF"/>
        </w:rPr>
        <w:t>United International Journal for Research &amp; Technology</w:t>
      </w:r>
      <w:r w:rsidRPr="00253432">
        <w:rPr>
          <w:rFonts w:ascii="Times New Roman" w:hAnsi="Times New Roman" w:cs="Times New Roman"/>
          <w:color w:val="000000" w:themeColor="text1"/>
          <w:sz w:val="24"/>
          <w:szCs w:val="24"/>
          <w:shd w:val="clear" w:color="auto" w:fill="FFFFFF"/>
        </w:rPr>
        <w:t>, </w:t>
      </w:r>
      <w:r w:rsidRPr="00253432">
        <w:rPr>
          <w:rFonts w:ascii="Times New Roman" w:hAnsi="Times New Roman" w:cs="Times New Roman"/>
          <w:i/>
          <w:iCs/>
          <w:color w:val="000000" w:themeColor="text1"/>
          <w:sz w:val="24"/>
          <w:szCs w:val="24"/>
          <w:shd w:val="clear" w:color="auto" w:fill="FFFFFF"/>
        </w:rPr>
        <w:t>6</w:t>
      </w:r>
      <w:r w:rsidRPr="00253432">
        <w:rPr>
          <w:rFonts w:ascii="Times New Roman" w:hAnsi="Times New Roman" w:cs="Times New Roman"/>
          <w:color w:val="000000" w:themeColor="text1"/>
          <w:sz w:val="24"/>
          <w:szCs w:val="24"/>
          <w:shd w:val="clear" w:color="auto" w:fill="FFFFFF"/>
        </w:rPr>
        <w:t>(7), pp.98-108.</w:t>
      </w:r>
    </w:p>
    <w:p w14:paraId="0B41CB0E"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r w:rsidRPr="00253432">
        <w:rPr>
          <w:rFonts w:ascii="Times New Roman" w:hAnsi="Times New Roman" w:cs="Times New Roman"/>
          <w:color w:val="000000" w:themeColor="text1"/>
          <w:sz w:val="24"/>
          <w:szCs w:val="24"/>
        </w:rPr>
        <w:lastRenderedPageBreak/>
        <w:t>UNESCO (2021) Recommendation on the Ethics of Artificial Intelligence. Paris: UNESCO.</w:t>
      </w:r>
    </w:p>
    <w:p w14:paraId="761797D9"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r w:rsidRPr="00253432">
        <w:rPr>
          <w:rFonts w:ascii="Times New Roman" w:hAnsi="Times New Roman" w:cs="Times New Roman"/>
          <w:color w:val="000000" w:themeColor="text1"/>
          <w:sz w:val="24"/>
          <w:szCs w:val="24"/>
        </w:rPr>
        <w:t>Venkatesh, V., Morris, M.G., Davis, G.B. and Davis, F.D. (2003) 'User acceptance of information technology: toward a unified view', MIS Quarterly, 27(3), pp.425-478.</w:t>
      </w:r>
    </w:p>
    <w:p w14:paraId="02294FC7"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proofErr w:type="spellStart"/>
      <w:r w:rsidRPr="00253432">
        <w:rPr>
          <w:rFonts w:ascii="Times New Roman" w:hAnsi="Times New Roman" w:cs="Times New Roman"/>
          <w:color w:val="000000" w:themeColor="text1"/>
          <w:sz w:val="24"/>
          <w:szCs w:val="24"/>
        </w:rPr>
        <w:t>Vistrust</w:t>
      </w:r>
      <w:proofErr w:type="spellEnd"/>
      <w:r w:rsidRPr="00253432">
        <w:rPr>
          <w:rFonts w:ascii="Times New Roman" w:hAnsi="Times New Roman" w:cs="Times New Roman"/>
          <w:color w:val="000000" w:themeColor="text1"/>
          <w:sz w:val="24"/>
          <w:szCs w:val="24"/>
        </w:rPr>
        <w:t xml:space="preserve"> project (</w:t>
      </w:r>
      <w:proofErr w:type="spellStart"/>
      <w:r w:rsidRPr="00253432">
        <w:rPr>
          <w:rFonts w:ascii="Times New Roman" w:hAnsi="Times New Roman" w:cs="Times New Roman"/>
          <w:color w:val="000000" w:themeColor="text1"/>
          <w:sz w:val="24"/>
          <w:szCs w:val="24"/>
        </w:rPr>
        <w:t>Arxiv</w:t>
      </w:r>
      <w:proofErr w:type="spellEnd"/>
      <w:r w:rsidRPr="00253432">
        <w:rPr>
          <w:rFonts w:ascii="Times New Roman" w:hAnsi="Times New Roman" w:cs="Times New Roman"/>
          <w:color w:val="000000" w:themeColor="text1"/>
          <w:sz w:val="24"/>
          <w:szCs w:val="24"/>
        </w:rPr>
        <w:t>, 2023) '</w:t>
      </w:r>
      <w:proofErr w:type="spellStart"/>
      <w:r w:rsidRPr="00253432">
        <w:rPr>
          <w:rFonts w:ascii="Times New Roman" w:hAnsi="Times New Roman" w:cs="Times New Roman"/>
          <w:color w:val="000000" w:themeColor="text1"/>
          <w:sz w:val="24"/>
          <w:szCs w:val="24"/>
        </w:rPr>
        <w:t>Vistrust</w:t>
      </w:r>
      <w:proofErr w:type="spellEnd"/>
      <w:r w:rsidRPr="00253432">
        <w:rPr>
          <w:rFonts w:ascii="Times New Roman" w:hAnsi="Times New Roman" w:cs="Times New Roman"/>
          <w:color w:val="000000" w:themeColor="text1"/>
          <w:sz w:val="24"/>
          <w:szCs w:val="24"/>
        </w:rPr>
        <w:t>: a multidimensional framework and empirical study of trust in data visualizations', arXiv:2309.16915.</w:t>
      </w:r>
    </w:p>
    <w:p w14:paraId="05E64729"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proofErr w:type="spellStart"/>
      <w:r w:rsidRPr="00253432">
        <w:rPr>
          <w:rFonts w:ascii="Times New Roman" w:hAnsi="Times New Roman" w:cs="Times New Roman"/>
          <w:color w:val="000000" w:themeColor="text1"/>
          <w:sz w:val="24"/>
          <w:szCs w:val="24"/>
        </w:rPr>
        <w:t>Walczok</w:t>
      </w:r>
      <w:proofErr w:type="spellEnd"/>
      <w:r w:rsidRPr="00253432">
        <w:rPr>
          <w:rFonts w:ascii="Times New Roman" w:hAnsi="Times New Roman" w:cs="Times New Roman"/>
          <w:color w:val="000000" w:themeColor="text1"/>
          <w:sz w:val="24"/>
          <w:szCs w:val="24"/>
        </w:rPr>
        <w:t xml:space="preserve">, M. </w:t>
      </w:r>
      <w:r w:rsidR="00BF34F4" w:rsidRPr="00253432">
        <w:rPr>
          <w:rFonts w:ascii="Times New Roman" w:hAnsi="Times New Roman" w:cs="Times New Roman"/>
          <w:i/>
          <w:color w:val="000000" w:themeColor="text1"/>
          <w:sz w:val="24"/>
          <w:szCs w:val="24"/>
        </w:rPr>
        <w:t>et al</w:t>
      </w:r>
      <w:r w:rsidRPr="00253432">
        <w:rPr>
          <w:rFonts w:ascii="Times New Roman" w:hAnsi="Times New Roman" w:cs="Times New Roman"/>
          <w:color w:val="000000" w:themeColor="text1"/>
          <w:sz w:val="24"/>
          <w:szCs w:val="24"/>
        </w:rPr>
        <w:t>. (2025) 'Understanding the emergence and trajectory of job insecurity due to smart technology, artificial intelligence, robotics, and automation', Human Factors and Ergonomics in Manufacturing &amp; Service Industries.</w:t>
      </w:r>
    </w:p>
    <w:p w14:paraId="6E449668"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r w:rsidRPr="00253432">
        <w:rPr>
          <w:rFonts w:ascii="Times New Roman" w:hAnsi="Times New Roman" w:cs="Times New Roman"/>
          <w:color w:val="000000" w:themeColor="text1"/>
          <w:sz w:val="24"/>
          <w:szCs w:val="24"/>
        </w:rPr>
        <w:t xml:space="preserve">Wang, Y-Y. and Wang, Y-S. (2022) 'Development and validation of an artificial intelligence anxiety scale: an initial application in predicting motivated learning </w:t>
      </w:r>
      <w:proofErr w:type="spellStart"/>
      <w:r w:rsidRPr="00253432">
        <w:rPr>
          <w:rFonts w:ascii="Times New Roman" w:hAnsi="Times New Roman" w:cs="Times New Roman"/>
          <w:color w:val="000000" w:themeColor="text1"/>
          <w:sz w:val="24"/>
          <w:szCs w:val="24"/>
        </w:rPr>
        <w:t>behavior</w:t>
      </w:r>
      <w:proofErr w:type="spellEnd"/>
      <w:r w:rsidRPr="00253432">
        <w:rPr>
          <w:rFonts w:ascii="Times New Roman" w:hAnsi="Times New Roman" w:cs="Times New Roman"/>
          <w:color w:val="000000" w:themeColor="text1"/>
          <w:sz w:val="24"/>
          <w:szCs w:val="24"/>
        </w:rPr>
        <w:t>', Interactive Learning Environments, 30(4), pp.619-634.</w:t>
      </w:r>
    </w:p>
    <w:p w14:paraId="584B128D"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r w:rsidRPr="00253432">
        <w:rPr>
          <w:rFonts w:ascii="Times New Roman" w:hAnsi="Times New Roman" w:cs="Times New Roman"/>
          <w:color w:val="000000" w:themeColor="text1"/>
          <w:sz w:val="24"/>
          <w:szCs w:val="24"/>
        </w:rPr>
        <w:t>Whittaker, M. (2021) 'The steep cost of capture', Interactions, 28(6), pp.50-55.</w:t>
      </w:r>
    </w:p>
    <w:p w14:paraId="531382D0"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r w:rsidRPr="00253432">
        <w:rPr>
          <w:rFonts w:ascii="Times New Roman" w:hAnsi="Times New Roman" w:cs="Times New Roman"/>
          <w:color w:val="000000" w:themeColor="text1"/>
          <w:sz w:val="24"/>
          <w:szCs w:val="24"/>
        </w:rPr>
        <w:t>Xu, R. (2024) 'How do employees form initial trust in artificial intelligence: hard to explain but leaders help', Asia Pacific Journal of Human Resources. Available via Wiley Online Library.</w:t>
      </w:r>
    </w:p>
    <w:p w14:paraId="2E8E4C5E"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r w:rsidRPr="00253432">
        <w:rPr>
          <w:rFonts w:ascii="Times New Roman" w:hAnsi="Times New Roman" w:cs="Times New Roman"/>
          <w:color w:val="000000" w:themeColor="text1"/>
          <w:sz w:val="24"/>
          <w:szCs w:val="24"/>
        </w:rPr>
        <w:t xml:space="preserve">Yam, K.C., Tang, P.M., Jackson, J.C., </w:t>
      </w:r>
      <w:proofErr w:type="spellStart"/>
      <w:r w:rsidRPr="00253432">
        <w:rPr>
          <w:rFonts w:ascii="Times New Roman" w:hAnsi="Times New Roman" w:cs="Times New Roman"/>
          <w:color w:val="000000" w:themeColor="text1"/>
          <w:sz w:val="24"/>
          <w:szCs w:val="24"/>
        </w:rPr>
        <w:t>Su</w:t>
      </w:r>
      <w:proofErr w:type="spellEnd"/>
      <w:r w:rsidRPr="00253432">
        <w:rPr>
          <w:rFonts w:ascii="Times New Roman" w:hAnsi="Times New Roman" w:cs="Times New Roman"/>
          <w:color w:val="000000" w:themeColor="text1"/>
          <w:sz w:val="24"/>
          <w:szCs w:val="24"/>
        </w:rPr>
        <w:t xml:space="preserve">, R. and Gray, K. (2023) 'The rise of robots increases job insecurity and maladaptive workplace </w:t>
      </w:r>
      <w:proofErr w:type="spellStart"/>
      <w:r w:rsidRPr="00253432">
        <w:rPr>
          <w:rFonts w:ascii="Times New Roman" w:hAnsi="Times New Roman" w:cs="Times New Roman"/>
          <w:color w:val="000000" w:themeColor="text1"/>
          <w:sz w:val="24"/>
          <w:szCs w:val="24"/>
        </w:rPr>
        <w:t>behaviors</w:t>
      </w:r>
      <w:proofErr w:type="spellEnd"/>
      <w:r w:rsidRPr="00253432">
        <w:rPr>
          <w:rFonts w:ascii="Times New Roman" w:hAnsi="Times New Roman" w:cs="Times New Roman"/>
          <w:color w:val="000000" w:themeColor="text1"/>
          <w:sz w:val="24"/>
          <w:szCs w:val="24"/>
        </w:rPr>
        <w:t>: multimethod evidence', Journal of Applied Psychology, 108(5), pp.850-870.</w:t>
      </w:r>
    </w:p>
    <w:p w14:paraId="24146DB8" w14:textId="77777777" w:rsidR="00E41687" w:rsidRPr="00253432" w:rsidRDefault="00E41687" w:rsidP="00253432">
      <w:pPr>
        <w:pStyle w:val="ListParagraph"/>
        <w:numPr>
          <w:ilvl w:val="0"/>
          <w:numId w:val="6"/>
        </w:numPr>
        <w:spacing w:after="160" w:line="360" w:lineRule="auto"/>
        <w:rPr>
          <w:rFonts w:ascii="Times New Roman" w:hAnsi="Times New Roman" w:cs="Times New Roman"/>
          <w:color w:val="000000" w:themeColor="text1"/>
          <w:sz w:val="24"/>
          <w:szCs w:val="24"/>
        </w:rPr>
      </w:pPr>
      <w:r w:rsidRPr="00253432">
        <w:rPr>
          <w:rFonts w:ascii="Times New Roman" w:hAnsi="Times New Roman" w:cs="Times New Roman"/>
          <w:color w:val="000000" w:themeColor="text1"/>
          <w:sz w:val="24"/>
          <w:szCs w:val="24"/>
        </w:rPr>
        <w:t xml:space="preserve">Zhang, Y. </w:t>
      </w:r>
      <w:r w:rsidR="00BF34F4" w:rsidRPr="00253432">
        <w:rPr>
          <w:rFonts w:ascii="Times New Roman" w:hAnsi="Times New Roman" w:cs="Times New Roman"/>
          <w:i/>
          <w:color w:val="000000" w:themeColor="text1"/>
          <w:sz w:val="24"/>
          <w:szCs w:val="24"/>
        </w:rPr>
        <w:t>et al</w:t>
      </w:r>
      <w:r w:rsidRPr="00253432">
        <w:rPr>
          <w:rFonts w:ascii="Times New Roman" w:hAnsi="Times New Roman" w:cs="Times New Roman"/>
          <w:color w:val="000000" w:themeColor="text1"/>
          <w:sz w:val="24"/>
          <w:szCs w:val="24"/>
        </w:rPr>
        <w:t>. (2025) 'Revisiting UTAUT for the age of AI: understanding employees' AI adoption and usage patterns through an extended UTAUT framework', arXiv:2510.15142.</w:t>
      </w:r>
    </w:p>
    <w:p w14:paraId="3EC1EED4" w14:textId="77777777" w:rsidR="007C1ACA" w:rsidRPr="00425EB1" w:rsidRDefault="007C1ACA">
      <w:pPr>
        <w:rPr>
          <w:rFonts w:ascii="Times New Roman" w:hAnsi="Times New Roman" w:cs="Times New Roman"/>
        </w:rPr>
      </w:pPr>
    </w:p>
    <w:sectPr w:rsidR="007C1ACA" w:rsidRPr="00425EB1" w:rsidSect="00425EB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65372C"/>
    <w:multiLevelType w:val="hybridMultilevel"/>
    <w:tmpl w:val="864E002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FAC78A9"/>
    <w:multiLevelType w:val="hybridMultilevel"/>
    <w:tmpl w:val="A3E86714"/>
    <w:lvl w:ilvl="0" w:tplc="9C8AC24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2A09B0"/>
    <w:multiLevelType w:val="multilevel"/>
    <w:tmpl w:val="A86E1FD6"/>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45A044DE"/>
    <w:multiLevelType w:val="hybridMultilevel"/>
    <w:tmpl w:val="999A3676"/>
    <w:lvl w:ilvl="0" w:tplc="AF3CFE54">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CC14272"/>
    <w:multiLevelType w:val="hybridMultilevel"/>
    <w:tmpl w:val="09740FAC"/>
    <w:lvl w:ilvl="0" w:tplc="4009000F">
      <w:start w:val="1"/>
      <w:numFmt w:val="decimal"/>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5" w15:restartNumberingAfterBreak="0">
    <w:nsid w:val="62274A07"/>
    <w:multiLevelType w:val="hybridMultilevel"/>
    <w:tmpl w:val="09740FA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6BE0331D"/>
    <w:multiLevelType w:val="hybridMultilevel"/>
    <w:tmpl w:val="19DEA6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41B0EA4"/>
    <w:multiLevelType w:val="hybridMultilevel"/>
    <w:tmpl w:val="107470AE"/>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4DE3B2A"/>
    <w:multiLevelType w:val="hybridMultilevel"/>
    <w:tmpl w:val="07582A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CB344C3"/>
    <w:multiLevelType w:val="hybridMultilevel"/>
    <w:tmpl w:val="F946B6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4"/>
  </w:num>
  <w:num w:numId="3">
    <w:abstractNumId w:val="5"/>
  </w:num>
  <w:num w:numId="4">
    <w:abstractNumId w:val="8"/>
  </w:num>
  <w:num w:numId="5">
    <w:abstractNumId w:val="3"/>
  </w:num>
  <w:num w:numId="6">
    <w:abstractNumId w:val="6"/>
  </w:num>
  <w:num w:numId="7">
    <w:abstractNumId w:val="7"/>
  </w:num>
  <w:num w:numId="8">
    <w:abstractNumId w:val="1"/>
  </w:num>
  <w:num w:numId="9">
    <w:abstractNumId w:val="9"/>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07574"/>
    <w:rsid w:val="00027B29"/>
    <w:rsid w:val="00202C97"/>
    <w:rsid w:val="00253432"/>
    <w:rsid w:val="002816B9"/>
    <w:rsid w:val="00297210"/>
    <w:rsid w:val="00331E4C"/>
    <w:rsid w:val="0038683E"/>
    <w:rsid w:val="003A447F"/>
    <w:rsid w:val="00425EB1"/>
    <w:rsid w:val="004D1EE0"/>
    <w:rsid w:val="005972FE"/>
    <w:rsid w:val="005B49A5"/>
    <w:rsid w:val="006179F1"/>
    <w:rsid w:val="00624648"/>
    <w:rsid w:val="00707574"/>
    <w:rsid w:val="00715125"/>
    <w:rsid w:val="007A7156"/>
    <w:rsid w:val="007C1ACA"/>
    <w:rsid w:val="008D55A0"/>
    <w:rsid w:val="009035B7"/>
    <w:rsid w:val="00986FE0"/>
    <w:rsid w:val="009C1BFD"/>
    <w:rsid w:val="009C76B7"/>
    <w:rsid w:val="00A3088F"/>
    <w:rsid w:val="00AB5572"/>
    <w:rsid w:val="00AD124C"/>
    <w:rsid w:val="00B076C3"/>
    <w:rsid w:val="00BA6D57"/>
    <w:rsid w:val="00BC5B46"/>
    <w:rsid w:val="00BD02AC"/>
    <w:rsid w:val="00BF34F4"/>
    <w:rsid w:val="00C04847"/>
    <w:rsid w:val="00C66DC3"/>
    <w:rsid w:val="00C77CB8"/>
    <w:rsid w:val="00E41687"/>
    <w:rsid w:val="00EF7B58"/>
    <w:rsid w:val="00F2081E"/>
    <w:rsid w:val="00F25C44"/>
    <w:rsid w:val="00F521F9"/>
    <w:rsid w:val="00F702C4"/>
    <w:rsid w:val="00FA278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0A0DA0"/>
  <w15:docId w15:val="{295458C2-2644-45CA-AF55-C8C1341172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link w:val="Heading1Char"/>
    <w:qFormat/>
    <w:rsid w:val="009C76B7"/>
    <w:pPr>
      <w:spacing w:line="240" w:lineRule="auto"/>
      <w:jc w:val="both"/>
      <w:outlineLvl w:val="0"/>
    </w:pPr>
    <w:rPr>
      <w:rFonts w:ascii="Times New Roman" w:eastAsia="Times New Roman" w:hAnsi="Times New Roman" w:cs="Times New Roman"/>
      <w:b/>
      <w:bCs/>
      <w:color w:val="000000" w:themeColor="text1"/>
      <w:sz w:val="28"/>
      <w:szCs w:val="28"/>
      <w:lang w:eastAsia="en-IN"/>
    </w:rPr>
  </w:style>
  <w:style w:type="paragraph" w:styleId="Heading2">
    <w:name w:val="heading 2"/>
    <w:basedOn w:val="Normal"/>
    <w:next w:val="Normal"/>
    <w:link w:val="Heading2Char"/>
    <w:uiPriority w:val="9"/>
    <w:unhideWhenUsed/>
    <w:qFormat/>
    <w:rsid w:val="00BF34F4"/>
    <w:pPr>
      <w:spacing w:line="360" w:lineRule="auto"/>
      <w:jc w:val="both"/>
      <w:outlineLvl w:val="1"/>
    </w:pPr>
    <w:rPr>
      <w:rFonts w:ascii="Times New Roman" w:hAnsi="Times New Roman" w:cs="Times New Roman"/>
      <w:b/>
      <w:i/>
      <w:color w:val="000000" w:themeColor="text1"/>
      <w:sz w:val="26"/>
      <w:szCs w:val="26"/>
    </w:rPr>
  </w:style>
  <w:style w:type="paragraph" w:styleId="Heading3">
    <w:name w:val="heading 3"/>
    <w:basedOn w:val="Heading2"/>
    <w:next w:val="Normal"/>
    <w:link w:val="Heading3Char"/>
    <w:uiPriority w:val="9"/>
    <w:unhideWhenUsed/>
    <w:qFormat/>
    <w:rsid w:val="003A447F"/>
    <w:pPr>
      <w:outlineLvl w:val="2"/>
    </w:pPr>
    <w:rPr>
      <w:i w:val="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9C76B7"/>
    <w:rPr>
      <w:rFonts w:ascii="Times New Roman" w:eastAsia="Times New Roman" w:hAnsi="Times New Roman" w:cs="Times New Roman"/>
      <w:b/>
      <w:bCs/>
      <w:color w:val="000000" w:themeColor="text1"/>
      <w:sz w:val="28"/>
      <w:szCs w:val="28"/>
      <w:lang w:eastAsia="en-IN"/>
    </w:rPr>
  </w:style>
  <w:style w:type="paragraph" w:styleId="ListParagraph">
    <w:name w:val="List Paragraph"/>
    <w:basedOn w:val="Normal"/>
    <w:uiPriority w:val="34"/>
    <w:qFormat/>
    <w:rsid w:val="00B076C3"/>
    <w:pPr>
      <w:ind w:left="720"/>
      <w:contextualSpacing/>
    </w:pPr>
  </w:style>
  <w:style w:type="paragraph" w:styleId="TOCHeading">
    <w:name w:val="TOC Heading"/>
    <w:basedOn w:val="Heading1"/>
    <w:next w:val="Normal"/>
    <w:uiPriority w:val="39"/>
    <w:semiHidden/>
    <w:unhideWhenUsed/>
    <w:qFormat/>
    <w:rsid w:val="00425EB1"/>
    <w:pPr>
      <w:keepNext/>
      <w:keepLines/>
      <w:spacing w:before="480" w:after="0" w:line="276" w:lineRule="auto"/>
      <w:jc w:val="left"/>
      <w:outlineLvl w:val="9"/>
    </w:pPr>
    <w:rPr>
      <w:rFonts w:asciiTheme="majorHAnsi" w:eastAsiaTheme="majorEastAsia" w:hAnsiTheme="majorHAnsi" w:cstheme="majorBidi"/>
      <w:color w:val="365F91" w:themeColor="accent1" w:themeShade="BF"/>
      <w:lang w:val="en-US" w:eastAsia="ja-JP"/>
    </w:rPr>
  </w:style>
  <w:style w:type="paragraph" w:styleId="TOC1">
    <w:name w:val="toc 1"/>
    <w:basedOn w:val="Normal"/>
    <w:next w:val="Normal"/>
    <w:autoRedefine/>
    <w:uiPriority w:val="39"/>
    <w:unhideWhenUsed/>
    <w:rsid w:val="00425EB1"/>
    <w:pPr>
      <w:spacing w:after="100"/>
    </w:pPr>
  </w:style>
  <w:style w:type="character" w:styleId="Hyperlink">
    <w:name w:val="Hyperlink"/>
    <w:basedOn w:val="DefaultParagraphFont"/>
    <w:uiPriority w:val="99"/>
    <w:unhideWhenUsed/>
    <w:rsid w:val="00425EB1"/>
    <w:rPr>
      <w:color w:val="0000FF" w:themeColor="hyperlink"/>
      <w:u w:val="single"/>
    </w:rPr>
  </w:style>
  <w:style w:type="paragraph" w:styleId="BalloonText">
    <w:name w:val="Balloon Text"/>
    <w:basedOn w:val="Normal"/>
    <w:link w:val="BalloonTextChar"/>
    <w:uiPriority w:val="99"/>
    <w:semiHidden/>
    <w:unhideWhenUsed/>
    <w:rsid w:val="00425EB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25EB1"/>
    <w:rPr>
      <w:rFonts w:ascii="Tahoma" w:hAnsi="Tahoma" w:cs="Tahoma"/>
      <w:sz w:val="16"/>
      <w:szCs w:val="16"/>
    </w:rPr>
  </w:style>
  <w:style w:type="character" w:customStyle="1" w:styleId="Heading2Char">
    <w:name w:val="Heading 2 Char"/>
    <w:basedOn w:val="DefaultParagraphFont"/>
    <w:link w:val="Heading2"/>
    <w:uiPriority w:val="9"/>
    <w:rsid w:val="00BF34F4"/>
    <w:rPr>
      <w:rFonts w:ascii="Times New Roman" w:hAnsi="Times New Roman" w:cs="Times New Roman"/>
      <w:b/>
      <w:i/>
      <w:color w:val="000000" w:themeColor="text1"/>
      <w:sz w:val="26"/>
      <w:szCs w:val="26"/>
    </w:rPr>
  </w:style>
  <w:style w:type="paragraph" w:styleId="TOC2">
    <w:name w:val="toc 2"/>
    <w:basedOn w:val="Normal"/>
    <w:next w:val="Normal"/>
    <w:autoRedefine/>
    <w:uiPriority w:val="39"/>
    <w:unhideWhenUsed/>
    <w:rsid w:val="00BF34F4"/>
    <w:pPr>
      <w:spacing w:after="100"/>
      <w:ind w:left="220"/>
    </w:pPr>
  </w:style>
  <w:style w:type="paragraph" w:customStyle="1" w:styleId="pdq2pgselectionanchorcontainer">
    <w:name w:val="pdq2pg_selectionanchorcontainer"/>
    <w:basedOn w:val="Normal"/>
    <w:rsid w:val="00C66DC3"/>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NormalWeb">
    <w:name w:val="Normal (Web)"/>
    <w:basedOn w:val="Normal"/>
    <w:uiPriority w:val="99"/>
    <w:semiHidden/>
    <w:unhideWhenUsed/>
    <w:rsid w:val="00C66DC3"/>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Strong">
    <w:name w:val="Strong"/>
    <w:basedOn w:val="DefaultParagraphFont"/>
    <w:uiPriority w:val="22"/>
    <w:qFormat/>
    <w:rsid w:val="003A447F"/>
    <w:rPr>
      <w:b/>
      <w:bCs/>
    </w:rPr>
  </w:style>
  <w:style w:type="character" w:styleId="Emphasis">
    <w:name w:val="Emphasis"/>
    <w:basedOn w:val="DefaultParagraphFont"/>
    <w:uiPriority w:val="20"/>
    <w:qFormat/>
    <w:rsid w:val="003A447F"/>
    <w:rPr>
      <w:i/>
      <w:iCs/>
    </w:rPr>
  </w:style>
  <w:style w:type="character" w:customStyle="1" w:styleId="Heading3Char">
    <w:name w:val="Heading 3 Char"/>
    <w:basedOn w:val="DefaultParagraphFont"/>
    <w:link w:val="Heading3"/>
    <w:uiPriority w:val="9"/>
    <w:rsid w:val="003A447F"/>
    <w:rPr>
      <w:rFonts w:ascii="Times New Roman" w:hAnsi="Times New Roman" w:cs="Times New Roman"/>
      <w:b/>
      <w:color w:val="000000" w:themeColor="text1"/>
      <w:sz w:val="24"/>
      <w:szCs w:val="26"/>
    </w:rPr>
  </w:style>
  <w:style w:type="paragraph" w:styleId="TOC3">
    <w:name w:val="toc 3"/>
    <w:basedOn w:val="Normal"/>
    <w:next w:val="Normal"/>
    <w:autoRedefine/>
    <w:uiPriority w:val="39"/>
    <w:unhideWhenUsed/>
    <w:rsid w:val="00715125"/>
    <w:pPr>
      <w:spacing w:after="100"/>
      <w:ind w:left="440"/>
    </w:pPr>
  </w:style>
  <w:style w:type="character" w:customStyle="1" w:styleId="citation-29">
    <w:name w:val="citation-29"/>
    <w:basedOn w:val="DefaultParagraphFont"/>
    <w:rsid w:val="00AD12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0802958">
      <w:bodyDiv w:val="1"/>
      <w:marLeft w:val="0"/>
      <w:marRight w:val="0"/>
      <w:marTop w:val="0"/>
      <w:marBottom w:val="0"/>
      <w:divBdr>
        <w:top w:val="none" w:sz="0" w:space="0" w:color="auto"/>
        <w:left w:val="none" w:sz="0" w:space="0" w:color="auto"/>
        <w:bottom w:val="none" w:sz="0" w:space="0" w:color="auto"/>
        <w:right w:val="none" w:sz="0" w:space="0" w:color="auto"/>
      </w:divBdr>
    </w:div>
    <w:div w:id="851989400">
      <w:bodyDiv w:val="1"/>
      <w:marLeft w:val="0"/>
      <w:marRight w:val="0"/>
      <w:marTop w:val="0"/>
      <w:marBottom w:val="0"/>
      <w:divBdr>
        <w:top w:val="none" w:sz="0" w:space="0" w:color="auto"/>
        <w:left w:val="none" w:sz="0" w:space="0" w:color="auto"/>
        <w:bottom w:val="none" w:sz="0" w:space="0" w:color="auto"/>
        <w:right w:val="none" w:sz="0" w:space="0" w:color="auto"/>
      </w:divBdr>
    </w:div>
    <w:div w:id="1183974316">
      <w:bodyDiv w:val="1"/>
      <w:marLeft w:val="0"/>
      <w:marRight w:val="0"/>
      <w:marTop w:val="0"/>
      <w:marBottom w:val="0"/>
      <w:divBdr>
        <w:top w:val="none" w:sz="0" w:space="0" w:color="auto"/>
        <w:left w:val="none" w:sz="0" w:space="0" w:color="auto"/>
        <w:bottom w:val="none" w:sz="0" w:space="0" w:color="auto"/>
        <w:right w:val="none" w:sz="0" w:space="0" w:color="auto"/>
      </w:divBdr>
    </w:div>
    <w:div w:id="1430546892">
      <w:bodyDiv w:val="1"/>
      <w:marLeft w:val="0"/>
      <w:marRight w:val="0"/>
      <w:marTop w:val="0"/>
      <w:marBottom w:val="0"/>
      <w:divBdr>
        <w:top w:val="none" w:sz="0" w:space="0" w:color="auto"/>
        <w:left w:val="none" w:sz="0" w:space="0" w:color="auto"/>
        <w:bottom w:val="none" w:sz="0" w:space="0" w:color="auto"/>
        <w:right w:val="none" w:sz="0" w:space="0" w:color="auto"/>
      </w:divBdr>
    </w:div>
    <w:div w:id="1751272030">
      <w:bodyDiv w:val="1"/>
      <w:marLeft w:val="0"/>
      <w:marRight w:val="0"/>
      <w:marTop w:val="0"/>
      <w:marBottom w:val="0"/>
      <w:divBdr>
        <w:top w:val="none" w:sz="0" w:space="0" w:color="auto"/>
        <w:left w:val="none" w:sz="0" w:space="0" w:color="auto"/>
        <w:bottom w:val="none" w:sz="0" w:space="0" w:color="auto"/>
        <w:right w:val="none" w:sz="0" w:space="0" w:color="auto"/>
      </w:divBdr>
    </w:div>
    <w:div w:id="1864855719">
      <w:bodyDiv w:val="1"/>
      <w:marLeft w:val="0"/>
      <w:marRight w:val="0"/>
      <w:marTop w:val="0"/>
      <w:marBottom w:val="0"/>
      <w:divBdr>
        <w:top w:val="none" w:sz="0" w:space="0" w:color="auto"/>
        <w:left w:val="none" w:sz="0" w:space="0" w:color="auto"/>
        <w:bottom w:val="none" w:sz="0" w:space="0" w:color="auto"/>
        <w:right w:val="none" w:sz="0" w:space="0" w:color="auto"/>
      </w:divBdr>
    </w:div>
    <w:div w:id="2004164821">
      <w:bodyDiv w:val="1"/>
      <w:marLeft w:val="0"/>
      <w:marRight w:val="0"/>
      <w:marTop w:val="0"/>
      <w:marBottom w:val="0"/>
      <w:divBdr>
        <w:top w:val="none" w:sz="0" w:space="0" w:color="auto"/>
        <w:left w:val="none" w:sz="0" w:space="0" w:color="auto"/>
        <w:bottom w:val="none" w:sz="0" w:space="0" w:color="auto"/>
        <w:right w:val="none" w:sz="0" w:space="0" w:color="auto"/>
      </w:divBdr>
    </w:div>
    <w:div w:id="2063214105">
      <w:bodyDiv w:val="1"/>
      <w:marLeft w:val="0"/>
      <w:marRight w:val="0"/>
      <w:marTop w:val="0"/>
      <w:marBottom w:val="0"/>
      <w:divBdr>
        <w:top w:val="none" w:sz="0" w:space="0" w:color="auto"/>
        <w:left w:val="none" w:sz="0" w:space="0" w:color="auto"/>
        <w:bottom w:val="none" w:sz="0" w:space="0" w:color="auto"/>
        <w:right w:val="none" w:sz="0" w:space="0" w:color="auto"/>
      </w:divBdr>
    </w:div>
    <w:div w:id="21401069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ainowinstitute.org/publications/algorithmic-management"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37EA879-A6DC-467B-983D-75983D2119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383</TotalTime>
  <Pages>39</Pages>
  <Words>12276</Words>
  <Characters>69974</Characters>
  <Application>Microsoft Office Word</Application>
  <DocSecurity>0</DocSecurity>
  <Lines>583</Lines>
  <Paragraphs>164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Farjana Akter Rimu (2519813)</cp:lastModifiedBy>
  <cp:revision>29</cp:revision>
  <dcterms:created xsi:type="dcterms:W3CDTF">2026-07-25T20:07:00Z</dcterms:created>
  <dcterms:modified xsi:type="dcterms:W3CDTF">2026-07-26T23:40:00Z</dcterms:modified>
</cp:coreProperties>
</file>