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68D2AD1">
      <w:pPr>
        <w:rPr>
          <w:rFonts w:hint="default"/>
        </w:rPr>
      </w:pPr>
    </w:p>
    <w:p w14:paraId="0B4E9931">
      <w:pPr>
        <w:rPr>
          <w:rFonts w:hint="default"/>
        </w:rPr>
      </w:pPr>
    </w:p>
    <w:p w14:paraId="31CA1F46">
      <w:pPr>
        <w:pStyle w:val="2"/>
        <w:keepNext w:val="0"/>
        <w:keepLines w:val="0"/>
        <w:widowControl/>
        <w:suppressLineNumbers w:val="0"/>
        <w:rPr>
          <w:rFonts w:ascii="Arial" w:hAnsi="Arial" w:eastAsia="Arial" w:cs="Arial"/>
          <w:i w:val="0"/>
          <w:iCs w:val="0"/>
          <w:caps w:val="0"/>
          <w:color w:val="000000"/>
          <w:spacing w:val="0"/>
          <w:kern w:val="0"/>
          <w:sz w:val="24"/>
          <w:szCs w:val="24"/>
          <w:shd w:val="clear" w:fill="FFFFFF"/>
          <w:vertAlign w:val="baseline"/>
          <w:lang w:val="en-US" w:eastAsia="zh-CN" w:bidi="ar"/>
        </w:rPr>
      </w:pPr>
      <w:r>
        <w:rPr>
          <w:rFonts w:hint="default"/>
        </w:rPr>
        <w:t xml:space="preserve"> </w:t>
      </w:r>
      <w:r>
        <w:rPr>
          <w:rFonts w:ascii="Arial" w:hAnsi="Arial" w:eastAsia="Arial" w:cs="Arial"/>
          <w:i w:val="0"/>
          <w:iCs w:val="0"/>
          <w:caps w:val="0"/>
          <w:color w:val="000000"/>
          <w:spacing w:val="0"/>
          <w:kern w:val="0"/>
          <w:sz w:val="24"/>
          <w:szCs w:val="24"/>
          <w:shd w:val="clear" w:fill="FFFFFF"/>
          <w:vertAlign w:val="baseline"/>
          <w:lang w:val="en-US" w:eastAsia="zh-CN" w:bidi="ar"/>
        </w:rPr>
        <w:drawing>
          <wp:inline distT="0" distB="0" distL="114300" distR="114300">
            <wp:extent cx="3219450" cy="1428750"/>
            <wp:effectExtent l="0" t="0" r="6350" b="19050"/>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4"/>
                    <a:stretch>
                      <a:fillRect/>
                    </a:stretch>
                  </pic:blipFill>
                  <pic:spPr>
                    <a:xfrm>
                      <a:off x="0" y="0"/>
                      <a:ext cx="3219450" cy="1428750"/>
                    </a:xfrm>
                    <a:prstGeom prst="rect">
                      <a:avLst/>
                    </a:prstGeom>
                    <a:noFill/>
                    <a:ln w="9525">
                      <a:noFill/>
                    </a:ln>
                  </pic:spPr>
                </pic:pic>
              </a:graphicData>
            </a:graphic>
          </wp:inline>
        </w:drawing>
      </w:r>
    </w:p>
    <w:p w14:paraId="04DC2463">
      <w:pPr>
        <w:rPr>
          <w:rFonts w:ascii="Arial" w:hAnsi="Arial" w:eastAsia="Arial" w:cs="Arial"/>
          <w:i w:val="0"/>
          <w:iCs w:val="0"/>
          <w:caps w:val="0"/>
          <w:color w:val="000000"/>
          <w:spacing w:val="0"/>
          <w:kern w:val="0"/>
          <w:sz w:val="24"/>
          <w:szCs w:val="24"/>
          <w:shd w:val="clear" w:fill="FFFFFF"/>
          <w:vertAlign w:val="baseline"/>
          <w:lang w:val="en-US" w:eastAsia="zh-CN" w:bidi="ar"/>
        </w:rPr>
      </w:pPr>
    </w:p>
    <w:p w14:paraId="21670885">
      <w:pPr>
        <w:rPr>
          <w:rFonts w:ascii="Arial" w:hAnsi="Arial" w:eastAsia="Arial" w:cs="Arial"/>
          <w:i w:val="0"/>
          <w:iCs w:val="0"/>
          <w:caps w:val="0"/>
          <w:color w:val="000000"/>
          <w:spacing w:val="0"/>
          <w:kern w:val="0"/>
          <w:sz w:val="24"/>
          <w:szCs w:val="24"/>
          <w:shd w:val="clear" w:fill="FFFFFF"/>
          <w:vertAlign w:val="baseline"/>
          <w:lang w:val="en-US" w:eastAsia="zh-CN" w:bidi="ar"/>
        </w:rPr>
      </w:pPr>
    </w:p>
    <w:p w14:paraId="58EC75A2">
      <w:pPr>
        <w:rPr>
          <w:rFonts w:ascii="Arial" w:hAnsi="Arial" w:eastAsia="Arial" w:cs="Arial"/>
          <w:i w:val="0"/>
          <w:iCs w:val="0"/>
          <w:caps w:val="0"/>
          <w:color w:val="000000"/>
          <w:spacing w:val="0"/>
          <w:kern w:val="0"/>
          <w:sz w:val="24"/>
          <w:szCs w:val="24"/>
          <w:shd w:val="clear" w:fill="FFFFFF"/>
          <w:vertAlign w:val="baseline"/>
          <w:lang w:val="en-US" w:eastAsia="zh-CN" w:bidi="ar"/>
        </w:rPr>
      </w:pPr>
    </w:p>
    <w:p w14:paraId="43802222">
      <w:pPr>
        <w:rPr>
          <w:rFonts w:hint="default" w:ascii="Arial Regular" w:hAnsi="Arial Regular" w:eastAsia="Arial Unicode MS" w:cs="Arial Regular"/>
          <w:sz w:val="24"/>
          <w:szCs w:val="24"/>
        </w:rPr>
      </w:pPr>
      <w:r>
        <w:rPr>
          <w:rFonts w:hint="default" w:ascii="Arial Regular" w:hAnsi="Arial Regular" w:eastAsia="Arial Unicode MS" w:cs="Arial Regular"/>
          <w:sz w:val="24"/>
          <w:szCs w:val="24"/>
        </w:rPr>
        <w:t xml:space="preserve">Assignment 1  </w:t>
      </w:r>
    </w:p>
    <w:p w14:paraId="27A0DF9A">
      <w:pPr>
        <w:rPr>
          <w:rFonts w:hint="default" w:ascii="Arial Regular" w:hAnsi="Arial Regular" w:eastAsia="Arial Unicode MS" w:cs="Arial Regular"/>
          <w:sz w:val="24"/>
          <w:szCs w:val="24"/>
        </w:rPr>
      </w:pPr>
    </w:p>
    <w:p w14:paraId="1E817B98">
      <w:pPr>
        <w:rPr>
          <w:rFonts w:hint="default" w:ascii="Arial Regular" w:hAnsi="Arial Regular" w:eastAsia="Arial Unicode MS" w:cs="Arial Regular"/>
          <w:sz w:val="24"/>
          <w:szCs w:val="24"/>
        </w:rPr>
      </w:pPr>
      <w:r>
        <w:rPr>
          <w:rFonts w:hint="default" w:ascii="Arial Regular" w:hAnsi="Arial Regular" w:eastAsia="Arial Unicode MS" w:cs="Arial Regular"/>
          <w:sz w:val="24"/>
          <w:szCs w:val="24"/>
        </w:rPr>
        <w:t xml:space="preserve"> </w:t>
      </w:r>
    </w:p>
    <w:p w14:paraId="4D5BB13C">
      <w:pPr>
        <w:rPr>
          <w:rFonts w:hint="default" w:ascii="Arial Regular" w:hAnsi="Arial Regular" w:eastAsia="Arial Unicode MS" w:cs="Arial Regular"/>
          <w:sz w:val="24"/>
          <w:szCs w:val="24"/>
        </w:rPr>
      </w:pPr>
    </w:p>
    <w:p w14:paraId="6CD516FD">
      <w:pPr>
        <w:rPr>
          <w:rFonts w:hint="default" w:ascii="Arial Regular" w:hAnsi="Arial Regular" w:eastAsia="Arial Unicode MS" w:cs="Arial Regular"/>
          <w:sz w:val="24"/>
          <w:szCs w:val="24"/>
        </w:rPr>
      </w:pPr>
      <w:r>
        <w:rPr>
          <w:rFonts w:hint="default" w:ascii="Arial Regular" w:hAnsi="Arial Regular" w:eastAsia="Arial Unicode MS" w:cs="Arial Regular"/>
          <w:sz w:val="24"/>
          <w:szCs w:val="24"/>
        </w:rPr>
        <w:t xml:space="preserve"> </w:t>
      </w:r>
    </w:p>
    <w:p w14:paraId="24F142F8">
      <w:pPr>
        <w:rPr>
          <w:rFonts w:hint="default" w:ascii="Arial Regular" w:hAnsi="Arial Regular" w:eastAsia="Arial Unicode MS" w:cs="Arial Regular"/>
          <w:sz w:val="24"/>
          <w:szCs w:val="24"/>
        </w:rPr>
      </w:pPr>
    </w:p>
    <w:p w14:paraId="0ED8CA3B">
      <w:pPr>
        <w:rPr>
          <w:rFonts w:hint="default" w:ascii="Arial Regular" w:hAnsi="Arial Regular" w:eastAsia="Arial Unicode MS" w:cs="Arial Regular"/>
          <w:sz w:val="24"/>
          <w:szCs w:val="24"/>
        </w:rPr>
      </w:pPr>
      <w:r>
        <w:rPr>
          <w:rFonts w:hint="default" w:ascii="Arial Regular" w:hAnsi="Arial Regular" w:eastAsia="Arial Unicode MS" w:cs="Arial Regular"/>
          <w:sz w:val="24"/>
          <w:szCs w:val="24"/>
        </w:rPr>
        <w:t xml:space="preserve"> </w:t>
      </w:r>
    </w:p>
    <w:p w14:paraId="49146408">
      <w:pPr>
        <w:rPr>
          <w:rFonts w:hint="default" w:ascii="Arial Regular" w:hAnsi="Arial Regular" w:eastAsia="Arial Unicode MS" w:cs="Arial Regular"/>
          <w:sz w:val="24"/>
          <w:szCs w:val="24"/>
        </w:rPr>
      </w:pPr>
    </w:p>
    <w:p w14:paraId="20140A62">
      <w:pPr>
        <w:keepNext w:val="0"/>
        <w:keepLines w:val="0"/>
        <w:widowControl/>
        <w:suppressLineNumbers w:val="0"/>
        <w:jc w:val="left"/>
        <w:rPr>
          <w:rFonts w:hint="default" w:ascii="Arial Regular" w:hAnsi="Arial Regular" w:cs="Arial Regular"/>
        </w:rPr>
      </w:pPr>
      <w:r>
        <w:rPr>
          <w:rFonts w:hint="default" w:ascii="Arial Regular" w:hAnsi="Arial Regular" w:eastAsia="Arial Unicode MS" w:cs="Arial Regular"/>
          <w:sz w:val="24"/>
          <w:szCs w:val="24"/>
        </w:rPr>
        <w:t xml:space="preserve">Module code and name: </w:t>
      </w:r>
      <w:r>
        <w:rPr>
          <w:rFonts w:hint="default" w:ascii="Arial Regular" w:hAnsi="Arial Regular" w:eastAsia="SimSun" w:cs="Arial Regular"/>
          <w:kern w:val="0"/>
          <w:sz w:val="24"/>
          <w:szCs w:val="24"/>
          <w:lang w:val="en-US" w:eastAsia="zh-CN" w:bidi="ar"/>
        </w:rPr>
        <w:t>LCLM4006</w:t>
      </w:r>
    </w:p>
    <w:p w14:paraId="77C9CC0C">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Enterprise and Entrepreneurship</w:t>
      </w:r>
    </w:p>
    <w:p w14:paraId="747AE641">
      <w:pPr>
        <w:rPr>
          <w:rFonts w:hint="default" w:ascii="Arial Regular" w:hAnsi="Arial Regular" w:eastAsia="Arial Unicode MS" w:cs="Arial Regular"/>
          <w:sz w:val="24"/>
          <w:szCs w:val="24"/>
        </w:rPr>
      </w:pPr>
    </w:p>
    <w:p w14:paraId="545E98EB">
      <w:pPr>
        <w:keepNext w:val="0"/>
        <w:keepLines w:val="0"/>
        <w:widowControl/>
        <w:suppressLineNumbers w:val="0"/>
        <w:jc w:val="left"/>
        <w:rPr>
          <w:rFonts w:hint="default" w:ascii="Arial Regular" w:hAnsi="Arial Regular" w:cs="Arial Regular"/>
        </w:rPr>
      </w:pPr>
      <w:r>
        <w:rPr>
          <w:rFonts w:hint="default" w:ascii="Arial Regular" w:hAnsi="Arial Regular" w:eastAsia="Arial Unicode MS" w:cs="Arial Regular"/>
          <w:sz w:val="24"/>
          <w:szCs w:val="24"/>
        </w:rPr>
        <w:t xml:space="preserve">Lecturer:  </w:t>
      </w:r>
      <w:r>
        <w:rPr>
          <w:rFonts w:hint="default" w:ascii="Arial Regular" w:hAnsi="Arial Regular" w:eastAsia="SimSun" w:cs="Arial Regular"/>
          <w:kern w:val="0"/>
          <w:sz w:val="24"/>
          <w:szCs w:val="24"/>
          <w:lang w:val="en-US" w:eastAsia="zh-CN" w:bidi="ar"/>
        </w:rPr>
        <w:t>Naomi Doerge</w:t>
      </w:r>
    </w:p>
    <w:p w14:paraId="3ED4C8A8">
      <w:pPr>
        <w:rPr>
          <w:rFonts w:hint="eastAsia" w:ascii="Arial Unicode MS" w:hAnsi="Arial Unicode MS" w:eastAsia="Arial Unicode MS" w:cs="Arial Unicode MS"/>
          <w:sz w:val="24"/>
          <w:szCs w:val="24"/>
        </w:rPr>
      </w:pPr>
    </w:p>
    <w:p w14:paraId="18B3A5F1">
      <w:pPr>
        <w:rPr>
          <w:rFonts w:hint="eastAsia" w:ascii="Arial Unicode MS" w:hAnsi="Arial Unicode MS" w:eastAsia="Arial Unicode MS" w:cs="Arial Unicode MS"/>
          <w:sz w:val="24"/>
          <w:szCs w:val="24"/>
        </w:rPr>
      </w:pPr>
    </w:p>
    <w:p w14:paraId="2C6C3A47">
      <w:pPr>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t xml:space="preserve"> </w:t>
      </w:r>
    </w:p>
    <w:p w14:paraId="5A9F676E">
      <w:pPr>
        <w:rPr>
          <w:rFonts w:hint="eastAsia" w:ascii="Arial Unicode MS" w:hAnsi="Arial Unicode MS" w:eastAsia="Arial Unicode MS" w:cs="Arial Unicode MS"/>
          <w:sz w:val="24"/>
          <w:szCs w:val="24"/>
        </w:rPr>
      </w:pPr>
    </w:p>
    <w:p w14:paraId="2FB18167">
      <w:pPr>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t xml:space="preserve"> </w:t>
      </w:r>
    </w:p>
    <w:p w14:paraId="7290661E">
      <w:pPr>
        <w:rPr>
          <w:rFonts w:hint="eastAsia" w:ascii="Arial Unicode MS" w:hAnsi="Arial Unicode MS" w:eastAsia="Arial Unicode MS" w:cs="Arial Unicode MS"/>
          <w:sz w:val="24"/>
          <w:szCs w:val="24"/>
        </w:rPr>
      </w:pPr>
    </w:p>
    <w:p w14:paraId="60AAA246">
      <w:pPr>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t xml:space="preserve"> </w:t>
      </w:r>
    </w:p>
    <w:p w14:paraId="021D3C1E">
      <w:pPr>
        <w:rPr>
          <w:rFonts w:hint="eastAsia" w:ascii="Arial Unicode MS" w:hAnsi="Arial Unicode MS" w:eastAsia="Arial Unicode MS" w:cs="Arial Unicode MS"/>
          <w:sz w:val="24"/>
          <w:szCs w:val="24"/>
        </w:rPr>
      </w:pPr>
    </w:p>
    <w:p w14:paraId="3C0FDD2F">
      <w:pPr>
        <w:rPr>
          <w:rFonts w:hint="eastAsia" w:ascii="Arial Unicode MS" w:hAnsi="Arial Unicode MS" w:eastAsia="Arial Unicode MS" w:cs="Arial Unicode MS"/>
          <w:sz w:val="24"/>
          <w:szCs w:val="24"/>
        </w:rPr>
      </w:pPr>
      <w:r>
        <w:rPr>
          <w:rFonts w:hint="eastAsia" w:ascii="Arial Unicode MS" w:hAnsi="Arial Unicode MS" w:eastAsia="Arial Unicode MS" w:cs="Arial Unicode MS"/>
          <w:sz w:val="24"/>
          <w:szCs w:val="24"/>
        </w:rPr>
        <w:t xml:space="preserve"> </w:t>
      </w:r>
    </w:p>
    <w:p w14:paraId="120B6BC7">
      <w:pPr>
        <w:rPr>
          <w:rFonts w:hint="eastAsia" w:ascii="Arial Unicode MS" w:hAnsi="Arial Unicode MS" w:eastAsia="Arial Unicode MS" w:cs="Arial Unicode MS"/>
          <w:sz w:val="24"/>
          <w:szCs w:val="24"/>
        </w:rPr>
      </w:pPr>
    </w:p>
    <w:p w14:paraId="143AB5CB">
      <w:pPr>
        <w:rPr>
          <w:rStyle w:val="10"/>
          <w:b/>
          <w:bCs/>
        </w:rPr>
      </w:pPr>
      <w:r>
        <w:rPr>
          <w:rFonts w:hint="eastAsia" w:ascii="Arial Unicode MS" w:hAnsi="Arial Unicode MS" w:eastAsia="Arial Unicode MS" w:cs="Arial Unicode MS"/>
          <w:sz w:val="24"/>
          <w:szCs w:val="24"/>
        </w:rPr>
        <w:t xml:space="preserve">       Submitted on:  </w:t>
      </w:r>
      <w:r>
        <w:rPr>
          <w:rFonts w:hint="default" w:ascii="Arial Unicode MS" w:hAnsi="Arial Unicode MS" w:eastAsia="Arial Unicode MS" w:cs="Arial Unicode MS"/>
          <w:sz w:val="24"/>
          <w:szCs w:val="24"/>
          <w:lang w:val="en-US"/>
        </w:rPr>
        <w:t>22/03/2026</w:t>
      </w:r>
    </w:p>
    <w:p w14:paraId="51D738BB">
      <w:pPr>
        <w:pStyle w:val="2"/>
        <w:keepNext w:val="0"/>
        <w:keepLines w:val="0"/>
        <w:widowControl/>
        <w:suppressLineNumbers w:val="0"/>
        <w:rPr>
          <w:rStyle w:val="10"/>
          <w:b/>
          <w:bCs/>
        </w:rPr>
      </w:pPr>
    </w:p>
    <w:p w14:paraId="24183ED4">
      <w:pPr>
        <w:pStyle w:val="2"/>
        <w:keepNext w:val="0"/>
        <w:keepLines w:val="0"/>
        <w:widowControl/>
        <w:suppressLineNumbers w:val="0"/>
        <w:rPr>
          <w:rStyle w:val="10"/>
          <w:b/>
          <w:bCs/>
        </w:rPr>
      </w:pPr>
    </w:p>
    <w:p w14:paraId="7C780C49">
      <w:pPr>
        <w:pStyle w:val="3"/>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Table of Contents</w:t>
      </w:r>
      <w:r>
        <w:rPr>
          <w:rFonts w:hint="default" w:ascii="Arial Regular" w:hAnsi="Arial Regular" w:cs="Arial Regular"/>
        </w:rPr>
        <w:t xml:space="preserve"> </w:t>
      </w:r>
    </w:p>
    <w:p w14:paraId="5C163BB3">
      <w:pPr>
        <w:keepNext w:val="0"/>
        <w:keepLines w:val="0"/>
        <w:widowControl/>
        <w:numPr>
          <w:ilvl w:val="0"/>
          <w:numId w:val="1"/>
        </w:numPr>
        <w:suppressLineNumbers w:val="0"/>
        <w:spacing w:before="0" w:beforeAutospacing="1" w:after="0" w:afterAutospacing="1"/>
        <w:ind w:left="720" w:hanging="360"/>
        <w:rPr>
          <w:rFonts w:hint="default" w:ascii="Arial Regular" w:hAnsi="Arial Regular" w:cs="Arial Regular"/>
          <w:sz w:val="24"/>
          <w:szCs w:val="24"/>
        </w:rPr>
      </w:pPr>
      <w:r>
        <w:rPr>
          <w:rFonts w:hint="default" w:ascii="Arial Regular" w:hAnsi="Arial Regular" w:cs="Arial Regular"/>
          <w:sz w:val="24"/>
          <w:szCs w:val="24"/>
        </w:rPr>
        <w:t xml:space="preserve">Executive Summary </w:t>
      </w:r>
    </w:p>
    <w:p w14:paraId="5935EF01">
      <w:pPr>
        <w:keepNext w:val="0"/>
        <w:keepLines w:val="0"/>
        <w:widowControl/>
        <w:numPr>
          <w:numId w:val="0"/>
        </w:numPr>
        <w:suppressLineNumbers w:val="0"/>
        <w:spacing w:before="0" w:beforeAutospacing="1" w:after="0" w:afterAutospacing="1"/>
        <w:ind w:left="360" w:leftChars="0"/>
        <w:rPr>
          <w:rFonts w:hint="default" w:ascii="Arial Regular" w:hAnsi="Arial Regular" w:cs="Arial Regular"/>
          <w:sz w:val="24"/>
          <w:szCs w:val="24"/>
        </w:rPr>
      </w:pPr>
    </w:p>
    <w:p w14:paraId="78F77545">
      <w:pPr>
        <w:keepNext w:val="0"/>
        <w:keepLines w:val="0"/>
        <w:widowControl/>
        <w:numPr>
          <w:ilvl w:val="0"/>
          <w:numId w:val="1"/>
        </w:numPr>
        <w:suppressLineNumbers w:val="0"/>
        <w:spacing w:before="0" w:beforeAutospacing="1" w:after="0" w:afterAutospacing="1"/>
        <w:ind w:left="720" w:hanging="360"/>
        <w:rPr>
          <w:rFonts w:hint="default" w:ascii="Arial Regular" w:hAnsi="Arial Regular" w:cs="Arial Regular"/>
          <w:sz w:val="24"/>
          <w:szCs w:val="24"/>
        </w:rPr>
      </w:pPr>
      <w:r>
        <w:rPr>
          <w:rFonts w:hint="default" w:ascii="Arial Regular" w:hAnsi="Arial Regular" w:cs="Arial Regular"/>
          <w:sz w:val="24"/>
          <w:szCs w:val="24"/>
        </w:rPr>
        <w:t>Overview of the Business Idea</w:t>
      </w:r>
      <w:r>
        <w:rPr>
          <w:rFonts w:hint="default" w:ascii="Arial Regular" w:hAnsi="Arial Regular" w:cs="Arial Regular"/>
          <w:sz w:val="24"/>
          <w:szCs w:val="24"/>
        </w:rPr>
        <w:br w:type="textWrapping"/>
      </w:r>
      <w:r>
        <w:rPr>
          <w:rFonts w:hint="default" w:ascii="Arial Regular" w:hAnsi="Arial Regular" w:cs="Arial Regular"/>
          <w:sz w:val="24"/>
          <w:szCs w:val="24"/>
        </w:rPr>
        <w:t>   2.1 Business Concept</w:t>
      </w:r>
      <w:r>
        <w:rPr>
          <w:rFonts w:hint="default" w:ascii="Arial Regular" w:hAnsi="Arial Regular" w:cs="Arial Regular"/>
          <w:sz w:val="24"/>
          <w:szCs w:val="24"/>
        </w:rPr>
        <w:br w:type="textWrapping"/>
      </w:r>
      <w:r>
        <w:rPr>
          <w:rFonts w:hint="default" w:ascii="Arial Regular" w:hAnsi="Arial Regular" w:cs="Arial Regular"/>
          <w:sz w:val="24"/>
          <w:szCs w:val="24"/>
        </w:rPr>
        <w:t xml:space="preserve">   2.2 Business Structure and Management </w:t>
      </w:r>
    </w:p>
    <w:p w14:paraId="55ABB369">
      <w:pPr>
        <w:keepNext w:val="0"/>
        <w:keepLines w:val="0"/>
        <w:widowControl/>
        <w:numPr>
          <w:numId w:val="0"/>
        </w:numPr>
        <w:suppressLineNumbers w:val="0"/>
        <w:spacing w:before="0" w:beforeAutospacing="1" w:after="0" w:afterAutospacing="1"/>
        <w:ind w:left="360" w:leftChars="0"/>
        <w:rPr>
          <w:rFonts w:hint="default" w:ascii="Arial Regular" w:hAnsi="Arial Regular" w:cs="Arial Regular"/>
          <w:sz w:val="24"/>
          <w:szCs w:val="24"/>
        </w:rPr>
      </w:pPr>
    </w:p>
    <w:p w14:paraId="47289463">
      <w:pPr>
        <w:keepNext w:val="0"/>
        <w:keepLines w:val="0"/>
        <w:widowControl/>
        <w:numPr>
          <w:ilvl w:val="0"/>
          <w:numId w:val="1"/>
        </w:numPr>
        <w:suppressLineNumbers w:val="0"/>
        <w:spacing w:before="0" w:beforeAutospacing="1" w:after="0" w:afterAutospacing="1"/>
        <w:ind w:left="720" w:hanging="360"/>
        <w:rPr>
          <w:rFonts w:hint="default" w:ascii="Arial Regular" w:hAnsi="Arial Regular" w:cs="Arial Regular"/>
          <w:sz w:val="24"/>
          <w:szCs w:val="24"/>
        </w:rPr>
      </w:pPr>
      <w:r>
        <w:rPr>
          <w:rFonts w:hint="default" w:ascii="Arial Regular" w:hAnsi="Arial Regular" w:cs="Arial Regular"/>
          <w:sz w:val="24"/>
          <w:szCs w:val="24"/>
        </w:rPr>
        <w:t>Market Research</w:t>
      </w:r>
      <w:r>
        <w:rPr>
          <w:rFonts w:hint="default" w:ascii="Arial Regular" w:hAnsi="Arial Regular" w:cs="Arial Regular"/>
          <w:sz w:val="24"/>
          <w:szCs w:val="24"/>
        </w:rPr>
        <w:br w:type="textWrapping"/>
      </w:r>
      <w:r>
        <w:rPr>
          <w:rFonts w:hint="default" w:ascii="Arial Regular" w:hAnsi="Arial Regular" w:cs="Arial Regular"/>
          <w:sz w:val="24"/>
          <w:szCs w:val="24"/>
        </w:rPr>
        <w:t>   3.1 PESTEL Analysis</w:t>
      </w:r>
      <w:r>
        <w:rPr>
          <w:rFonts w:hint="default" w:ascii="Arial Regular" w:hAnsi="Arial Regular" w:cs="Arial Regular"/>
          <w:sz w:val="24"/>
          <w:szCs w:val="24"/>
        </w:rPr>
        <w:br w:type="textWrapping"/>
      </w:r>
      <w:r>
        <w:rPr>
          <w:rFonts w:hint="default" w:ascii="Arial Regular" w:hAnsi="Arial Regular" w:cs="Arial Regular"/>
          <w:sz w:val="24"/>
          <w:szCs w:val="24"/>
        </w:rPr>
        <w:t xml:space="preserve">   3.2 Competitor Analysis </w:t>
      </w:r>
    </w:p>
    <w:p w14:paraId="33DAB381">
      <w:pPr>
        <w:keepNext w:val="0"/>
        <w:keepLines w:val="0"/>
        <w:widowControl/>
        <w:numPr>
          <w:numId w:val="0"/>
        </w:numPr>
        <w:suppressLineNumbers w:val="0"/>
        <w:tabs>
          <w:tab w:val="left" w:pos="720"/>
        </w:tabs>
        <w:spacing w:before="0" w:beforeAutospacing="1" w:after="0" w:afterAutospacing="1"/>
        <w:rPr>
          <w:rFonts w:hint="default" w:ascii="Arial Regular" w:hAnsi="Arial Regular" w:cs="Arial Regular"/>
          <w:sz w:val="24"/>
          <w:szCs w:val="24"/>
        </w:rPr>
      </w:pPr>
    </w:p>
    <w:p w14:paraId="1B49684F">
      <w:pPr>
        <w:keepNext w:val="0"/>
        <w:keepLines w:val="0"/>
        <w:widowControl/>
        <w:numPr>
          <w:ilvl w:val="0"/>
          <w:numId w:val="1"/>
        </w:numPr>
        <w:suppressLineNumbers w:val="0"/>
        <w:spacing w:before="0" w:beforeAutospacing="1" w:after="0" w:afterAutospacing="1"/>
        <w:ind w:left="720" w:hanging="360"/>
        <w:rPr>
          <w:rFonts w:hint="default" w:ascii="Arial Regular" w:hAnsi="Arial Regular" w:cs="Arial Regular"/>
          <w:sz w:val="24"/>
          <w:szCs w:val="24"/>
        </w:rPr>
      </w:pPr>
      <w:r>
        <w:rPr>
          <w:rFonts w:hint="default" w:ascii="Arial Regular" w:hAnsi="Arial Regular" w:cs="Arial Regular"/>
          <w:sz w:val="24"/>
          <w:szCs w:val="24"/>
        </w:rPr>
        <w:t>Marketing Communications</w:t>
      </w:r>
      <w:r>
        <w:rPr>
          <w:rFonts w:hint="default" w:ascii="Arial Regular" w:hAnsi="Arial Regular" w:cs="Arial Regular"/>
          <w:sz w:val="24"/>
          <w:szCs w:val="24"/>
        </w:rPr>
        <w:br w:type="textWrapping"/>
      </w:r>
      <w:r>
        <w:rPr>
          <w:rFonts w:hint="default" w:ascii="Arial Regular" w:hAnsi="Arial Regular" w:cs="Arial Regular"/>
          <w:sz w:val="24"/>
          <w:szCs w:val="24"/>
        </w:rPr>
        <w:t>   4.1 Social Media Marketing</w:t>
      </w:r>
      <w:r>
        <w:rPr>
          <w:rFonts w:hint="default" w:ascii="Arial Regular" w:hAnsi="Arial Regular" w:cs="Arial Regular"/>
          <w:sz w:val="24"/>
          <w:szCs w:val="24"/>
        </w:rPr>
        <w:br w:type="textWrapping"/>
      </w:r>
      <w:r>
        <w:rPr>
          <w:rFonts w:hint="default" w:ascii="Arial Regular" w:hAnsi="Arial Regular" w:cs="Arial Regular"/>
          <w:sz w:val="24"/>
          <w:szCs w:val="24"/>
        </w:rPr>
        <w:t>   4.2 Influencer Marketing</w:t>
      </w:r>
      <w:r>
        <w:rPr>
          <w:rFonts w:hint="default" w:ascii="Arial Regular" w:hAnsi="Arial Regular" w:cs="Arial Regular"/>
          <w:sz w:val="24"/>
          <w:szCs w:val="24"/>
        </w:rPr>
        <w:br w:type="textWrapping"/>
      </w:r>
      <w:r>
        <w:rPr>
          <w:rFonts w:hint="default" w:ascii="Arial Regular" w:hAnsi="Arial Regular" w:cs="Arial Regular"/>
          <w:sz w:val="24"/>
          <w:szCs w:val="24"/>
        </w:rPr>
        <w:t>   4.3 Content Strategy</w:t>
      </w:r>
      <w:r>
        <w:rPr>
          <w:rFonts w:hint="default" w:ascii="Arial Regular" w:hAnsi="Arial Regular" w:cs="Arial Regular"/>
          <w:sz w:val="24"/>
          <w:szCs w:val="24"/>
        </w:rPr>
        <w:br w:type="textWrapping"/>
      </w:r>
      <w:r>
        <w:rPr>
          <w:rFonts w:hint="default" w:ascii="Arial Regular" w:hAnsi="Arial Regular" w:cs="Arial Regular"/>
          <w:sz w:val="24"/>
          <w:szCs w:val="24"/>
        </w:rPr>
        <w:t xml:space="preserve">   4.4 Paid Advertising </w:t>
      </w:r>
    </w:p>
    <w:p w14:paraId="140F0E30">
      <w:pPr>
        <w:keepNext w:val="0"/>
        <w:keepLines w:val="0"/>
        <w:widowControl/>
        <w:numPr>
          <w:numId w:val="0"/>
        </w:numPr>
        <w:suppressLineNumbers w:val="0"/>
        <w:tabs>
          <w:tab w:val="left" w:pos="720"/>
        </w:tabs>
        <w:spacing w:before="0" w:beforeAutospacing="1" w:after="0" w:afterAutospacing="1"/>
        <w:rPr>
          <w:rFonts w:hint="default" w:ascii="Arial Regular" w:hAnsi="Arial Regular" w:cs="Arial Regular"/>
          <w:sz w:val="24"/>
          <w:szCs w:val="24"/>
        </w:rPr>
      </w:pPr>
    </w:p>
    <w:p w14:paraId="0631A363">
      <w:pPr>
        <w:keepNext w:val="0"/>
        <w:keepLines w:val="0"/>
        <w:widowControl/>
        <w:numPr>
          <w:ilvl w:val="0"/>
          <w:numId w:val="1"/>
        </w:numPr>
        <w:suppressLineNumbers w:val="0"/>
        <w:spacing w:before="0" w:beforeAutospacing="1" w:after="0" w:afterAutospacing="1"/>
        <w:ind w:left="720" w:hanging="360"/>
        <w:rPr>
          <w:rFonts w:hint="default" w:ascii="Arial Regular" w:hAnsi="Arial Regular" w:cs="Arial Regular"/>
          <w:sz w:val="24"/>
          <w:szCs w:val="24"/>
        </w:rPr>
      </w:pPr>
      <w:r>
        <w:rPr>
          <w:rFonts w:hint="default" w:ascii="Arial Regular" w:hAnsi="Arial Regular" w:cs="Arial Regular"/>
          <w:sz w:val="24"/>
          <w:szCs w:val="24"/>
        </w:rPr>
        <w:t>Financial Plan</w:t>
      </w:r>
      <w:r>
        <w:rPr>
          <w:rFonts w:hint="default" w:ascii="Arial Regular" w:hAnsi="Arial Regular" w:cs="Arial Regular"/>
          <w:sz w:val="24"/>
          <w:szCs w:val="24"/>
        </w:rPr>
        <w:br w:type="textWrapping"/>
      </w:r>
      <w:r>
        <w:rPr>
          <w:rFonts w:hint="default" w:ascii="Arial Regular" w:hAnsi="Arial Regular" w:cs="Arial Regular"/>
          <w:sz w:val="24"/>
          <w:szCs w:val="24"/>
        </w:rPr>
        <w:t>   5.1 Startup Funding Requirement</w:t>
      </w:r>
      <w:r>
        <w:rPr>
          <w:rFonts w:hint="default" w:ascii="Arial Regular" w:hAnsi="Arial Regular" w:cs="Arial Regular"/>
          <w:sz w:val="24"/>
          <w:szCs w:val="24"/>
        </w:rPr>
        <w:br w:type="textWrapping"/>
      </w:r>
      <w:r>
        <w:rPr>
          <w:rFonts w:hint="default" w:ascii="Arial Regular" w:hAnsi="Arial Regular" w:cs="Arial Regular"/>
          <w:sz w:val="24"/>
          <w:szCs w:val="24"/>
        </w:rPr>
        <w:t>   5.2 Startup Costs</w:t>
      </w:r>
      <w:r>
        <w:rPr>
          <w:rFonts w:hint="default" w:ascii="Arial Regular" w:hAnsi="Arial Regular" w:cs="Arial Regular"/>
          <w:sz w:val="24"/>
          <w:szCs w:val="24"/>
        </w:rPr>
        <w:br w:type="textWrapping"/>
      </w:r>
      <w:r>
        <w:rPr>
          <w:rFonts w:hint="default" w:ascii="Arial Regular" w:hAnsi="Arial Regular" w:cs="Arial Regular"/>
          <w:sz w:val="24"/>
          <w:szCs w:val="24"/>
        </w:rPr>
        <w:t>   5.3 Cash Flow Forecast</w:t>
      </w:r>
      <w:r>
        <w:rPr>
          <w:rFonts w:hint="default" w:ascii="Arial Regular" w:hAnsi="Arial Regular" w:cs="Arial Regular"/>
          <w:sz w:val="24"/>
          <w:szCs w:val="24"/>
        </w:rPr>
        <w:br w:type="textWrapping"/>
      </w:r>
      <w:r>
        <w:rPr>
          <w:rFonts w:hint="default" w:ascii="Arial Regular" w:hAnsi="Arial Regular" w:cs="Arial Regular"/>
          <w:sz w:val="24"/>
          <w:szCs w:val="24"/>
        </w:rPr>
        <w:t xml:space="preserve">   5.4 Break-even Analysis </w:t>
      </w:r>
    </w:p>
    <w:p w14:paraId="4843FE64">
      <w:pPr>
        <w:keepNext w:val="0"/>
        <w:keepLines w:val="0"/>
        <w:widowControl/>
        <w:numPr>
          <w:numId w:val="0"/>
        </w:numPr>
        <w:suppressLineNumbers w:val="0"/>
        <w:tabs>
          <w:tab w:val="left" w:pos="720"/>
        </w:tabs>
        <w:spacing w:before="0" w:beforeAutospacing="1" w:after="0" w:afterAutospacing="1"/>
        <w:rPr>
          <w:rFonts w:hint="default" w:ascii="Arial Regular" w:hAnsi="Arial Regular" w:cs="Arial Regular"/>
          <w:sz w:val="24"/>
          <w:szCs w:val="24"/>
        </w:rPr>
      </w:pPr>
    </w:p>
    <w:p w14:paraId="25589299">
      <w:pPr>
        <w:keepNext w:val="0"/>
        <w:keepLines w:val="0"/>
        <w:widowControl/>
        <w:numPr>
          <w:ilvl w:val="0"/>
          <w:numId w:val="1"/>
        </w:numPr>
        <w:suppressLineNumbers w:val="0"/>
        <w:spacing w:before="0" w:beforeAutospacing="1" w:after="0" w:afterAutospacing="1"/>
        <w:ind w:left="720" w:hanging="360"/>
        <w:rPr>
          <w:rFonts w:hint="default" w:ascii="Arial Regular" w:hAnsi="Arial Regular" w:cs="Arial Regular"/>
          <w:sz w:val="24"/>
          <w:szCs w:val="24"/>
        </w:rPr>
      </w:pPr>
      <w:r>
        <w:rPr>
          <w:rFonts w:hint="default" w:ascii="Arial Regular" w:hAnsi="Arial Regular" w:cs="Arial Regular"/>
          <w:sz w:val="24"/>
          <w:szCs w:val="24"/>
        </w:rPr>
        <w:t xml:space="preserve">Conclusion </w:t>
      </w:r>
    </w:p>
    <w:p w14:paraId="440E0B05">
      <w:pPr>
        <w:keepNext w:val="0"/>
        <w:keepLines w:val="0"/>
        <w:widowControl/>
        <w:numPr>
          <w:numId w:val="0"/>
        </w:numPr>
        <w:suppressLineNumbers w:val="0"/>
        <w:tabs>
          <w:tab w:val="left" w:pos="720"/>
        </w:tabs>
        <w:spacing w:before="0" w:beforeAutospacing="1" w:after="0" w:afterAutospacing="1"/>
        <w:rPr>
          <w:rFonts w:hint="default" w:ascii="Arial Regular" w:hAnsi="Arial Regular" w:cs="Arial Regular"/>
          <w:sz w:val="24"/>
          <w:szCs w:val="24"/>
        </w:rPr>
      </w:pPr>
    </w:p>
    <w:p w14:paraId="6FB2347C">
      <w:pPr>
        <w:keepNext w:val="0"/>
        <w:keepLines w:val="0"/>
        <w:widowControl/>
        <w:numPr>
          <w:ilvl w:val="0"/>
          <w:numId w:val="1"/>
        </w:numPr>
        <w:suppressLineNumbers w:val="0"/>
        <w:spacing w:before="0" w:beforeAutospacing="1" w:after="0" w:afterAutospacing="1"/>
        <w:ind w:left="720" w:hanging="360"/>
        <w:rPr>
          <w:rFonts w:hint="default" w:ascii="Arial Regular" w:hAnsi="Arial Regular" w:cs="Arial Regular"/>
          <w:sz w:val="24"/>
          <w:szCs w:val="24"/>
        </w:rPr>
      </w:pPr>
      <w:r>
        <w:rPr>
          <w:rFonts w:hint="default" w:ascii="Arial Regular" w:hAnsi="Arial Regular" w:cs="Arial Regular"/>
          <w:sz w:val="24"/>
          <w:szCs w:val="24"/>
        </w:rPr>
        <w:t>Reference List</w:t>
      </w:r>
    </w:p>
    <w:p w14:paraId="344B67C5">
      <w:pPr>
        <w:pStyle w:val="2"/>
        <w:keepNext w:val="0"/>
        <w:keepLines w:val="0"/>
        <w:widowControl/>
        <w:suppressLineNumbers w:val="0"/>
        <w:rPr>
          <w:rStyle w:val="10"/>
          <w:b/>
          <w:bCs/>
        </w:rPr>
      </w:pPr>
    </w:p>
    <w:p w14:paraId="7E99FCC2">
      <w:pPr>
        <w:rPr>
          <w:rStyle w:val="10"/>
          <w:b/>
          <w:bCs/>
        </w:rPr>
      </w:pPr>
    </w:p>
    <w:p w14:paraId="2F887A85">
      <w:pPr>
        <w:rPr>
          <w:rStyle w:val="10"/>
          <w:b/>
          <w:bCs/>
        </w:rPr>
      </w:pPr>
    </w:p>
    <w:p w14:paraId="5EE7BCC0">
      <w:pPr>
        <w:rPr>
          <w:rStyle w:val="10"/>
          <w:b/>
          <w:bCs/>
        </w:rPr>
      </w:pPr>
    </w:p>
    <w:p w14:paraId="27069FF8">
      <w:pPr>
        <w:rPr>
          <w:rStyle w:val="10"/>
          <w:b/>
          <w:bCs/>
        </w:rPr>
      </w:pPr>
    </w:p>
    <w:p w14:paraId="33EDF5B7">
      <w:pPr>
        <w:rPr>
          <w:rStyle w:val="10"/>
          <w:b/>
          <w:bCs/>
        </w:rPr>
      </w:pPr>
    </w:p>
    <w:p w14:paraId="015ED159">
      <w:pPr>
        <w:rPr>
          <w:rStyle w:val="10"/>
          <w:b/>
          <w:bCs/>
        </w:rPr>
      </w:pPr>
    </w:p>
    <w:p w14:paraId="625E1B82">
      <w:pPr>
        <w:rPr>
          <w:rStyle w:val="10"/>
          <w:b/>
          <w:bCs/>
        </w:rPr>
      </w:pPr>
    </w:p>
    <w:p w14:paraId="67063E38">
      <w:pPr>
        <w:rPr>
          <w:rStyle w:val="10"/>
          <w:b/>
          <w:bCs/>
        </w:rPr>
      </w:pPr>
    </w:p>
    <w:p w14:paraId="0240AD58">
      <w:pPr>
        <w:rPr>
          <w:rStyle w:val="10"/>
          <w:b/>
          <w:bCs/>
        </w:rPr>
      </w:pPr>
    </w:p>
    <w:p w14:paraId="2396EE54">
      <w:pPr>
        <w:rPr>
          <w:rStyle w:val="10"/>
          <w:b/>
          <w:bCs/>
        </w:rPr>
      </w:pPr>
      <w:bookmarkStart w:id="0" w:name="_GoBack"/>
      <w:bookmarkEnd w:id="0"/>
    </w:p>
    <w:p w14:paraId="1ECC6191">
      <w:pPr>
        <w:pStyle w:val="2"/>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BUSINESS PLAN FOR MODA LTD</w:t>
      </w:r>
    </w:p>
    <w:p w14:paraId="56A1C9E8">
      <w:pPr>
        <w:keepNext w:val="0"/>
        <w:keepLines w:val="0"/>
        <w:widowControl/>
        <w:suppressLineNumbers w:val="0"/>
        <w:rPr>
          <w:rFonts w:hint="default" w:ascii="Arial Regular" w:hAnsi="Arial Regular" w:cs="Arial Regular"/>
        </w:rPr>
      </w:pPr>
    </w:p>
    <w:p w14:paraId="5EF7A0B6">
      <w:pPr>
        <w:pStyle w:val="3"/>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Executive Summary</w:t>
      </w:r>
    </w:p>
    <w:p w14:paraId="7520880D">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MODA LTD is a proposed online fast fashion company targeting Gen Z and young millennial consumers aged 16–30. The business will offer trend-driven, affordable clothing through a digital-first model, leveraging social media platforms such as TikTok and Instagram to drive brand awareness and sales. The company aims to capitalise on the rapid growth of e-commerce and the increasing influence of social media on consumer purchasing behaviour.</w:t>
      </w:r>
    </w:p>
    <w:p w14:paraId="4D7909F4">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The business will operate as a private limited company, ensuring limited liability and scalability. MODA LTD’s competitive advantage lies in its ability to quickly respond to emerging trends and utilise engaging, data-driven content strategies to attract and retain customers. The global fast fashion market is expected to continue growing, with online fashion sales projected to account for over 30% of total fashion retail sales by 2027 (Statista, 2025).</w:t>
      </w:r>
    </w:p>
    <w:p w14:paraId="5C0FCA04">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An initial investment of £15,000 is required to cover startup costs, including inventory, website development, and marketing. The business aims to break even within 6–9 months through strong digital marketing strategies and consistent sales growth.</w:t>
      </w:r>
    </w:p>
    <w:p w14:paraId="74164332">
      <w:pPr>
        <w:keepNext w:val="0"/>
        <w:keepLines w:val="0"/>
        <w:widowControl/>
        <w:suppressLineNumbers w:val="0"/>
        <w:rPr>
          <w:rFonts w:hint="default" w:ascii="Arial Regular" w:hAnsi="Arial Regular" w:cs="Arial Regular"/>
        </w:rPr>
      </w:pPr>
    </w:p>
    <w:p w14:paraId="17D59498">
      <w:pPr>
        <w:pStyle w:val="3"/>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1. Overview of the Business Idea</w:t>
      </w:r>
    </w:p>
    <w:p w14:paraId="508BDEA2">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MODA LTD is an online fast fashion retailer specialising in affordable, trend-led clothing. The company will offer a range of products including dresses, tops, loungewear, and accessories, with collections frequently updated to reflect current trends influenced by social media and popular culture.</w:t>
      </w:r>
    </w:p>
    <w:p w14:paraId="7C0FD10B">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The business will operate exclusively online through its e-commerce website, reducing overhead costs associated with physical retail. This digital-first approach allows for flexibility, scalability, and access to a global customer base.</w:t>
      </w:r>
    </w:p>
    <w:p w14:paraId="67777605">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MODA LTD will be registered as a </w:t>
      </w:r>
      <w:r>
        <w:rPr>
          <w:rStyle w:val="10"/>
          <w:rFonts w:hint="default" w:ascii="Arial Regular" w:hAnsi="Arial Regular" w:cs="Arial Regular"/>
        </w:rPr>
        <w:t>Private Limited Company (Ltd)</w:t>
      </w:r>
      <w:r>
        <w:rPr>
          <w:rFonts w:hint="default" w:ascii="Arial Regular" w:hAnsi="Arial Regular" w:cs="Arial Regular"/>
        </w:rPr>
        <w:t>, which provides legal protection to the owner by limiting personal liability. This structure also enhances credibility with investors and stakeholders.</w:t>
      </w:r>
    </w:p>
    <w:p w14:paraId="3CBB8083">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The management structure will initially be lean. The founder will act as CEO and Marketing Lead, responsible for strategic decision-making and brand development. Freelancers will be hired for specialised tasks such as website design and content editing, while production will be outsourced to manufacturers. This structure allows the business to remain cost-efficient during its early stages.</w:t>
      </w:r>
    </w:p>
    <w:p w14:paraId="307AA005">
      <w:pPr>
        <w:keepNext w:val="0"/>
        <w:keepLines w:val="0"/>
        <w:widowControl/>
        <w:suppressLineNumbers w:val="0"/>
        <w:rPr>
          <w:rFonts w:hint="default" w:ascii="Arial Regular" w:hAnsi="Arial Regular" w:cs="Arial Regular"/>
        </w:rPr>
      </w:pPr>
    </w:p>
    <w:p w14:paraId="73C6410A">
      <w:pPr>
        <w:pStyle w:val="3"/>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2. Market Research</w:t>
      </w:r>
    </w:p>
    <w:p w14:paraId="5FA12902">
      <w:pPr>
        <w:pStyle w:val="4"/>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2.1 PESTEL Analysis</w:t>
      </w:r>
    </w:p>
    <w:p w14:paraId="3F2DA1AF">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A PESTEL analysis helps evaluate the external environment affecting MODA LTD.</w:t>
      </w:r>
    </w:p>
    <w:p w14:paraId="6588379F">
      <w:pPr>
        <w:pStyle w:val="9"/>
        <w:keepNext w:val="0"/>
        <w:keepLines w:val="0"/>
        <w:widowControl/>
        <w:suppressLineNumbers w:val="0"/>
        <w:rPr>
          <w:rFonts w:hint="default" w:ascii="Arial Regular" w:hAnsi="Arial Regular" w:cs="Arial Regular"/>
        </w:rPr>
      </w:pPr>
      <w:r>
        <w:rPr>
          <w:rStyle w:val="10"/>
          <w:rFonts w:hint="default" w:ascii="Arial Regular" w:hAnsi="Arial Regular" w:cs="Arial Regular"/>
        </w:rPr>
        <w:t>Political:</w:t>
      </w:r>
      <w:r>
        <w:rPr>
          <w:rFonts w:hint="default" w:ascii="Arial Regular" w:hAnsi="Arial Regular" w:cs="Arial Regular"/>
        </w:rPr>
        <w:br w:type="textWrapping"/>
      </w:r>
      <w:r>
        <w:rPr>
          <w:rFonts w:hint="default" w:ascii="Arial Regular" w:hAnsi="Arial Regular" w:cs="Arial Regular"/>
        </w:rPr>
        <w:t>Government policies related to import/export and trade tariffs may impact sourcing and production costs.</w:t>
      </w:r>
    </w:p>
    <w:p w14:paraId="5364D1DC">
      <w:pPr>
        <w:pStyle w:val="9"/>
        <w:keepNext w:val="0"/>
        <w:keepLines w:val="0"/>
        <w:widowControl/>
        <w:suppressLineNumbers w:val="0"/>
        <w:rPr>
          <w:rFonts w:hint="default" w:ascii="Arial Regular" w:hAnsi="Arial Regular" w:cs="Arial Regular"/>
        </w:rPr>
      </w:pPr>
      <w:r>
        <w:rPr>
          <w:rStyle w:val="10"/>
          <w:rFonts w:hint="default" w:ascii="Arial Regular" w:hAnsi="Arial Regular" w:cs="Arial Regular"/>
        </w:rPr>
        <w:t>Economic:</w:t>
      </w:r>
      <w:r>
        <w:rPr>
          <w:rFonts w:hint="default" w:ascii="Arial Regular" w:hAnsi="Arial Regular" w:cs="Arial Regular"/>
        </w:rPr>
        <w:br w:type="textWrapping"/>
      </w:r>
      <w:r>
        <w:rPr>
          <w:rFonts w:hint="default" w:ascii="Arial Regular" w:hAnsi="Arial Regular" w:cs="Arial Regular"/>
        </w:rPr>
        <w:t>The current cost-of-living crisis in the UK has increased demand for affordable fashion options. However, inflation may also increase operational costs.</w:t>
      </w:r>
    </w:p>
    <w:p w14:paraId="694D4B40">
      <w:pPr>
        <w:pStyle w:val="9"/>
        <w:keepNext w:val="0"/>
        <w:keepLines w:val="0"/>
        <w:widowControl/>
        <w:suppressLineNumbers w:val="0"/>
        <w:rPr>
          <w:rFonts w:hint="default" w:ascii="Arial Regular" w:hAnsi="Arial Regular" w:cs="Arial Regular"/>
        </w:rPr>
      </w:pPr>
      <w:r>
        <w:rPr>
          <w:rStyle w:val="10"/>
          <w:rFonts w:hint="default" w:ascii="Arial Regular" w:hAnsi="Arial Regular" w:cs="Arial Regular"/>
        </w:rPr>
        <w:t>Social:</w:t>
      </w:r>
      <w:r>
        <w:rPr>
          <w:rFonts w:hint="default" w:ascii="Arial Regular" w:hAnsi="Arial Regular" w:cs="Arial Regular"/>
        </w:rPr>
        <w:br w:type="textWrapping"/>
      </w:r>
      <w:r>
        <w:rPr>
          <w:rFonts w:hint="default" w:ascii="Arial Regular" w:hAnsi="Arial Regular" w:cs="Arial Regular"/>
        </w:rPr>
        <w:t>Consumer behaviour is heavily influenced by social media trends. Research shows that 74% of Gen Z consumers use social media for shopping inspiration (Statista, 2025).</w:t>
      </w:r>
    </w:p>
    <w:p w14:paraId="4D051DDC">
      <w:pPr>
        <w:pStyle w:val="9"/>
        <w:keepNext w:val="0"/>
        <w:keepLines w:val="0"/>
        <w:widowControl/>
        <w:suppressLineNumbers w:val="0"/>
        <w:rPr>
          <w:rFonts w:hint="default" w:ascii="Arial Regular" w:hAnsi="Arial Regular" w:cs="Arial Regular"/>
        </w:rPr>
      </w:pPr>
      <w:r>
        <w:rPr>
          <w:rStyle w:val="10"/>
          <w:rFonts w:hint="default" w:ascii="Arial Regular" w:hAnsi="Arial Regular" w:cs="Arial Regular"/>
        </w:rPr>
        <w:t>Technological:</w:t>
      </w:r>
      <w:r>
        <w:rPr>
          <w:rFonts w:hint="default" w:ascii="Arial Regular" w:hAnsi="Arial Regular" w:cs="Arial Regular"/>
        </w:rPr>
        <w:br w:type="textWrapping"/>
      </w:r>
      <w:r>
        <w:rPr>
          <w:rFonts w:hint="default" w:ascii="Arial Regular" w:hAnsi="Arial Regular" w:cs="Arial Regular"/>
        </w:rPr>
        <w:t>Advancements in e-commerce platforms and digital marketing tools enable businesses to reach global audiences efficiently.</w:t>
      </w:r>
    </w:p>
    <w:p w14:paraId="0D343919">
      <w:pPr>
        <w:pStyle w:val="9"/>
        <w:keepNext w:val="0"/>
        <w:keepLines w:val="0"/>
        <w:widowControl/>
        <w:suppressLineNumbers w:val="0"/>
        <w:rPr>
          <w:rFonts w:hint="default" w:ascii="Arial Regular" w:hAnsi="Arial Regular" w:cs="Arial Regular"/>
        </w:rPr>
      </w:pPr>
      <w:r>
        <w:rPr>
          <w:rStyle w:val="10"/>
          <w:rFonts w:hint="default" w:ascii="Arial Regular" w:hAnsi="Arial Regular" w:cs="Arial Regular"/>
        </w:rPr>
        <w:t>Environmental:</w:t>
      </w:r>
      <w:r>
        <w:rPr>
          <w:rFonts w:hint="default" w:ascii="Arial Regular" w:hAnsi="Arial Regular" w:cs="Arial Regular"/>
        </w:rPr>
        <w:br w:type="textWrapping"/>
      </w:r>
      <w:r>
        <w:rPr>
          <w:rFonts w:hint="default" w:ascii="Arial Regular" w:hAnsi="Arial Regular" w:cs="Arial Regular"/>
        </w:rPr>
        <w:t>Sustainability concerns are growing within the fashion industry. MODA LTD may explore eco-friendly collections to appeal to environmentally conscious consumers.</w:t>
      </w:r>
    </w:p>
    <w:p w14:paraId="6B734353">
      <w:pPr>
        <w:pStyle w:val="9"/>
        <w:keepNext w:val="0"/>
        <w:keepLines w:val="0"/>
        <w:widowControl/>
        <w:suppressLineNumbers w:val="0"/>
        <w:rPr>
          <w:rFonts w:hint="default" w:ascii="Arial Regular" w:hAnsi="Arial Regular" w:cs="Arial Regular"/>
        </w:rPr>
      </w:pPr>
      <w:r>
        <w:rPr>
          <w:rStyle w:val="10"/>
          <w:rFonts w:hint="default" w:ascii="Arial Regular" w:hAnsi="Arial Regular" w:cs="Arial Regular"/>
        </w:rPr>
        <w:t>Legal:</w:t>
      </w:r>
      <w:r>
        <w:rPr>
          <w:rFonts w:hint="default" w:ascii="Arial Regular" w:hAnsi="Arial Regular" w:cs="Arial Regular"/>
        </w:rPr>
        <w:br w:type="textWrapping"/>
      </w:r>
      <w:r>
        <w:rPr>
          <w:rFonts w:hint="default" w:ascii="Arial Regular" w:hAnsi="Arial Regular" w:cs="Arial Regular"/>
        </w:rPr>
        <w:t>The business must comply with UK consumer protection laws, data protection regulations, and online selling standards.</w:t>
      </w:r>
    </w:p>
    <w:p w14:paraId="262AA5CC">
      <w:pPr>
        <w:keepNext w:val="0"/>
        <w:keepLines w:val="0"/>
        <w:widowControl/>
        <w:suppressLineNumbers w:val="0"/>
        <w:rPr>
          <w:rFonts w:hint="default" w:ascii="Arial Regular" w:hAnsi="Arial Regular" w:cs="Arial Regular"/>
        </w:rPr>
      </w:pPr>
    </w:p>
    <w:p w14:paraId="473BD328">
      <w:pPr>
        <w:pStyle w:val="4"/>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2.2 Competitor Analysis</w:t>
      </w:r>
    </w:p>
    <w:p w14:paraId="0C7691B4">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MODA LTD will operate in a highly competitive market, with key competitors including brands such as Shein, PrettyLittleThing, and Zara. These companies dominate the fast fashion sector through low pricing, fast production cycles, and strong online presence.</w:t>
      </w:r>
    </w:p>
    <w:p w14:paraId="1752A14E">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However, MODA LTD aims to differentiate itself through authentic brand storytelling and a strong focus on community engagement. Unlike large corporations, the business will adopt a more personalised approach to content creation, building stronger relationships with its audience.</w:t>
      </w:r>
    </w:p>
    <w:p w14:paraId="7795806E">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Additionally, the company will focus on creating repeatable content formats and leveraging micro-influencers, which are often perceived as more trustworthy by consumers (Chaffey and Ellis-Chadwick, 2019).</w:t>
      </w:r>
    </w:p>
    <w:p w14:paraId="12172AFD">
      <w:pPr>
        <w:keepNext w:val="0"/>
        <w:keepLines w:val="0"/>
        <w:widowControl/>
        <w:suppressLineNumbers w:val="0"/>
        <w:rPr>
          <w:rFonts w:hint="default" w:ascii="Arial Regular" w:hAnsi="Arial Regular" w:cs="Arial Regular"/>
        </w:rPr>
      </w:pPr>
    </w:p>
    <w:p w14:paraId="7FF6B981">
      <w:pPr>
        <w:pStyle w:val="3"/>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3. Marketing Communications</w:t>
      </w:r>
    </w:p>
    <w:p w14:paraId="39D2FB22">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MODA LTD will adopt a digital-first marketing strategy, focusing primarily on social media platforms such as TikTok, Instagram,  </w:t>
      </w:r>
      <w:r>
        <w:rPr>
          <w:rFonts w:hint="default" w:ascii="Arial Regular" w:hAnsi="Arial Regular" w:cs="Arial Regular"/>
          <w:lang w:val="en-US"/>
        </w:rPr>
        <w:t xml:space="preserve">Facebook and  </w:t>
      </w:r>
      <w:r>
        <w:rPr>
          <w:rFonts w:hint="default" w:ascii="Arial Regular" w:hAnsi="Arial Regular" w:cs="Arial Regular"/>
        </w:rPr>
        <w:t>YouTube Shorts.</w:t>
      </w:r>
    </w:p>
    <w:p w14:paraId="5AF21857">
      <w:pPr>
        <w:pStyle w:val="4"/>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Social Media Marketing</w:t>
      </w:r>
    </w:p>
    <w:p w14:paraId="1963907B">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Short-form video content will be the primary marketing tool. Content will include outfit ideas, styling tips, behind-the-scenes footage, and trend-based videos. This aligns with current consumer preferences, as short-form video is one of the most engaging forms of digital content.</w:t>
      </w:r>
    </w:p>
    <w:p w14:paraId="6A8A1EA0">
      <w:pPr>
        <w:pStyle w:val="4"/>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Influencer Marketing</w:t>
      </w:r>
    </w:p>
    <w:p w14:paraId="6FF124A9">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The business will collaborate with micro-influencers to promote products. These influencers typically have higher engagement rates and stronger connections with their audiences.</w:t>
      </w:r>
    </w:p>
    <w:p w14:paraId="6672B23B">
      <w:pPr>
        <w:pStyle w:val="4"/>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Content Strategy</w:t>
      </w:r>
    </w:p>
    <w:p w14:paraId="7DC5B48D">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MODA LTD will develop consistent content series rather than one-off posts. Examples include:</w:t>
      </w:r>
    </w:p>
    <w:p w14:paraId="19E9394F">
      <w:pPr>
        <w:keepNext w:val="0"/>
        <w:keepLines w:val="0"/>
        <w:widowControl/>
        <w:numPr>
          <w:ilvl w:val="0"/>
          <w:numId w:val="2"/>
        </w:numPr>
        <w:suppressLineNumbers w:val="0"/>
        <w:spacing w:before="0" w:beforeAutospacing="1" w:after="0" w:afterAutospacing="1"/>
        <w:ind w:left="720" w:hanging="360"/>
        <w:rPr>
          <w:rFonts w:hint="default" w:ascii="Arial Regular" w:hAnsi="Arial Regular" w:cs="Arial Regular"/>
        </w:rPr>
      </w:pPr>
      <w:r>
        <w:rPr>
          <w:rFonts w:hint="default" w:ascii="Arial Regular" w:hAnsi="Arial Regular" w:cs="Arial Regular"/>
        </w:rPr>
        <w:t xml:space="preserve">“Outfit of the Day” </w:t>
      </w:r>
    </w:p>
    <w:p w14:paraId="4A7EEF2F">
      <w:pPr>
        <w:keepNext w:val="0"/>
        <w:keepLines w:val="0"/>
        <w:widowControl/>
        <w:numPr>
          <w:ilvl w:val="0"/>
          <w:numId w:val="2"/>
        </w:numPr>
        <w:suppressLineNumbers w:val="0"/>
        <w:spacing w:before="0" w:beforeAutospacing="1" w:after="0" w:afterAutospacing="1"/>
        <w:ind w:left="720" w:hanging="360"/>
        <w:rPr>
          <w:rFonts w:hint="default" w:ascii="Arial Regular" w:hAnsi="Arial Regular" w:cs="Arial Regular"/>
        </w:rPr>
      </w:pPr>
      <w:r>
        <w:rPr>
          <w:rFonts w:hint="default" w:ascii="Arial Regular" w:hAnsi="Arial Regular" w:cs="Arial Regular"/>
        </w:rPr>
        <w:t xml:space="preserve">“Get Ready With Me” </w:t>
      </w:r>
    </w:p>
    <w:p w14:paraId="68014589">
      <w:pPr>
        <w:keepNext w:val="0"/>
        <w:keepLines w:val="0"/>
        <w:widowControl/>
        <w:numPr>
          <w:ilvl w:val="0"/>
          <w:numId w:val="2"/>
        </w:numPr>
        <w:suppressLineNumbers w:val="0"/>
        <w:spacing w:before="0" w:beforeAutospacing="1" w:after="0" w:afterAutospacing="1"/>
        <w:ind w:left="720" w:hanging="360"/>
        <w:rPr>
          <w:rFonts w:hint="default" w:ascii="Arial Regular" w:hAnsi="Arial Regular" w:cs="Arial Regular"/>
        </w:rPr>
      </w:pPr>
      <w:r>
        <w:rPr>
          <w:rFonts w:hint="default" w:ascii="Arial Regular" w:hAnsi="Arial Regular" w:cs="Arial Regular"/>
        </w:rPr>
        <w:t xml:space="preserve">“Weekly Trend Drops” </w:t>
      </w:r>
    </w:p>
    <w:p w14:paraId="0E552266">
      <w:pPr>
        <w:pStyle w:val="4"/>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Paid Advertising</w:t>
      </w:r>
    </w:p>
    <w:p w14:paraId="77EE8F3A">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Paid social media advertising will be used to increase reach and drive traffic to the website. Platforms such as TikTok Ads and Instagram Ads will be utilised.</w:t>
      </w:r>
    </w:p>
    <w:p w14:paraId="25E99BAB">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Overall, the marketing strategy focuses on building brand awareness, increasing engagement, and converting viewers into customers.</w:t>
      </w:r>
    </w:p>
    <w:p w14:paraId="73E00A80">
      <w:pPr>
        <w:keepNext w:val="0"/>
        <w:keepLines w:val="0"/>
        <w:widowControl/>
        <w:suppressLineNumbers w:val="0"/>
        <w:rPr>
          <w:rFonts w:hint="default" w:ascii="Arial Regular" w:hAnsi="Arial Regular" w:cs="Arial Regular"/>
        </w:rPr>
      </w:pPr>
    </w:p>
    <w:p w14:paraId="12DE72F0">
      <w:pPr>
        <w:pStyle w:val="3"/>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4. Financials</w:t>
      </w:r>
    </w:p>
    <w:p w14:paraId="70EF5BAD">
      <w:pPr>
        <w:pStyle w:val="4"/>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4.1 Startup Funding Requirement</w:t>
      </w:r>
    </w:p>
    <w:p w14:paraId="36AD50E2">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MODA LTD requires an initial investment of </w:t>
      </w:r>
      <w:r>
        <w:rPr>
          <w:rStyle w:val="10"/>
          <w:rFonts w:hint="default" w:ascii="Arial Regular" w:hAnsi="Arial Regular" w:cs="Arial Regular"/>
        </w:rPr>
        <w:t>£15,000</w:t>
      </w:r>
      <w:r>
        <w:rPr>
          <w:rFonts w:hint="default" w:ascii="Arial Regular" w:hAnsi="Arial Regular" w:cs="Arial Regular"/>
        </w:rPr>
        <w:t>. This funding will be sourced from personal savings and potential investor contributions.</w:t>
      </w:r>
    </w:p>
    <w:p w14:paraId="3E8031CB">
      <w:pPr>
        <w:keepNext w:val="0"/>
        <w:keepLines w:val="0"/>
        <w:widowControl/>
        <w:suppressLineNumbers w:val="0"/>
        <w:rPr>
          <w:rFonts w:hint="default" w:ascii="Arial Regular" w:hAnsi="Arial Regular" w:cs="Arial Regular"/>
        </w:rPr>
      </w:pPr>
    </w:p>
    <w:p w14:paraId="76A75145">
      <w:pPr>
        <w:pStyle w:val="4"/>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4.2 Startup Costs (Month 1)</w:t>
      </w:r>
    </w:p>
    <w:tbl>
      <w:tblPr>
        <w:tblStyle w:val="6"/>
        <w:tblW w:w="0" w:type="auto"/>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4113"/>
        <w:gridCol w:w="4186"/>
      </w:tblGrid>
      <w:tr w14:paraId="00AD4728">
        <w:trPr>
          <w:tblHeader/>
          <w:tblCellSpacing w:w="15" w:type="dxa"/>
        </w:trPr>
        <w:tc>
          <w:tcPr>
            <w:tcW w:w="4068" w:type="dxa"/>
            <w:shd w:val="clear" w:color="auto" w:fill="auto"/>
            <w:vAlign w:val="center"/>
          </w:tcPr>
          <w:p w14:paraId="7EA9B13A">
            <w:pPr>
              <w:keepNext w:val="0"/>
              <w:keepLines w:val="0"/>
              <w:widowControl/>
              <w:suppressLineNumbers w:val="0"/>
              <w:jc w:val="center"/>
              <w:rPr>
                <w:rFonts w:hint="default" w:ascii="Arial Regular" w:hAnsi="Arial Regular" w:cs="Arial Regular"/>
                <w:b/>
                <w:bCs/>
              </w:rPr>
            </w:pPr>
            <w:r>
              <w:rPr>
                <w:rFonts w:hint="default" w:ascii="Arial Regular" w:hAnsi="Arial Regular" w:eastAsia="SimSun" w:cs="Arial Regular"/>
                <w:b/>
                <w:bCs/>
                <w:kern w:val="0"/>
                <w:sz w:val="24"/>
                <w:szCs w:val="24"/>
                <w:lang w:val="en-US" w:eastAsia="zh-CN" w:bidi="ar"/>
              </w:rPr>
              <w:t>Expense Category</w:t>
            </w:r>
          </w:p>
        </w:tc>
        <w:tc>
          <w:tcPr>
            <w:tcW w:w="4141" w:type="dxa"/>
            <w:shd w:val="clear" w:color="auto" w:fill="auto"/>
            <w:vAlign w:val="center"/>
          </w:tcPr>
          <w:p w14:paraId="37CB6C0F">
            <w:pPr>
              <w:keepNext w:val="0"/>
              <w:keepLines w:val="0"/>
              <w:widowControl/>
              <w:suppressLineNumbers w:val="0"/>
              <w:jc w:val="center"/>
              <w:rPr>
                <w:rFonts w:hint="default" w:ascii="Arial Regular" w:hAnsi="Arial Regular" w:cs="Arial Regular"/>
                <w:b/>
                <w:bCs/>
              </w:rPr>
            </w:pPr>
            <w:r>
              <w:rPr>
                <w:rFonts w:hint="default" w:ascii="Arial Regular" w:hAnsi="Arial Regular" w:eastAsia="SimSun" w:cs="Arial Regular"/>
                <w:b/>
                <w:bCs/>
                <w:kern w:val="0"/>
                <w:sz w:val="24"/>
                <w:szCs w:val="24"/>
                <w:lang w:val="en-US" w:eastAsia="zh-CN" w:bidi="ar"/>
              </w:rPr>
              <w:t>Cost (£)</w:t>
            </w:r>
          </w:p>
        </w:tc>
      </w:tr>
      <w:tr w14:paraId="7CDC1E0E">
        <w:trPr>
          <w:tblCellSpacing w:w="15" w:type="dxa"/>
        </w:trPr>
        <w:tc>
          <w:tcPr>
            <w:tcW w:w="4068" w:type="dxa"/>
            <w:shd w:val="clear" w:color="auto" w:fill="auto"/>
            <w:vAlign w:val="center"/>
          </w:tcPr>
          <w:p w14:paraId="7F3C8032">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Website Development</w:t>
            </w:r>
          </w:p>
        </w:tc>
        <w:tc>
          <w:tcPr>
            <w:tcW w:w="4141" w:type="dxa"/>
            <w:shd w:val="clear" w:color="auto" w:fill="auto"/>
            <w:vAlign w:val="center"/>
          </w:tcPr>
          <w:p w14:paraId="024359AB">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1,500</w:t>
            </w:r>
          </w:p>
        </w:tc>
      </w:tr>
      <w:tr w14:paraId="191D2025">
        <w:trPr>
          <w:tblCellSpacing w:w="15" w:type="dxa"/>
        </w:trPr>
        <w:tc>
          <w:tcPr>
            <w:tcW w:w="4068" w:type="dxa"/>
            <w:shd w:val="clear" w:color="auto" w:fill="auto"/>
            <w:vAlign w:val="center"/>
          </w:tcPr>
          <w:p w14:paraId="4AC12888">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Initial Inventory</w:t>
            </w:r>
          </w:p>
        </w:tc>
        <w:tc>
          <w:tcPr>
            <w:tcW w:w="4141" w:type="dxa"/>
            <w:shd w:val="clear" w:color="auto" w:fill="auto"/>
            <w:vAlign w:val="center"/>
          </w:tcPr>
          <w:p w14:paraId="5AF8B44F">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6,000</w:t>
            </w:r>
          </w:p>
        </w:tc>
      </w:tr>
      <w:tr w14:paraId="4E66721E">
        <w:trPr>
          <w:tblCellSpacing w:w="15" w:type="dxa"/>
        </w:trPr>
        <w:tc>
          <w:tcPr>
            <w:tcW w:w="4068" w:type="dxa"/>
            <w:shd w:val="clear" w:color="auto" w:fill="auto"/>
            <w:vAlign w:val="center"/>
          </w:tcPr>
          <w:p w14:paraId="0CC13646">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Marketing &amp; Advertising</w:t>
            </w:r>
          </w:p>
        </w:tc>
        <w:tc>
          <w:tcPr>
            <w:tcW w:w="4141" w:type="dxa"/>
            <w:shd w:val="clear" w:color="auto" w:fill="auto"/>
            <w:vAlign w:val="center"/>
          </w:tcPr>
          <w:p w14:paraId="271F8A70">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3,000</w:t>
            </w:r>
          </w:p>
        </w:tc>
      </w:tr>
      <w:tr w14:paraId="19A60658">
        <w:trPr>
          <w:tblCellSpacing w:w="15" w:type="dxa"/>
        </w:trPr>
        <w:tc>
          <w:tcPr>
            <w:tcW w:w="4068" w:type="dxa"/>
            <w:shd w:val="clear" w:color="auto" w:fill="auto"/>
            <w:vAlign w:val="center"/>
          </w:tcPr>
          <w:p w14:paraId="6C8F1A2F">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Packaging &amp; Logistics</w:t>
            </w:r>
          </w:p>
        </w:tc>
        <w:tc>
          <w:tcPr>
            <w:tcW w:w="4141" w:type="dxa"/>
            <w:shd w:val="clear" w:color="auto" w:fill="auto"/>
            <w:vAlign w:val="center"/>
          </w:tcPr>
          <w:p w14:paraId="7A8F7F8E">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1,500</w:t>
            </w:r>
          </w:p>
        </w:tc>
      </w:tr>
      <w:tr w14:paraId="650D7842">
        <w:trPr>
          <w:tblCellSpacing w:w="15" w:type="dxa"/>
        </w:trPr>
        <w:tc>
          <w:tcPr>
            <w:tcW w:w="4068" w:type="dxa"/>
            <w:shd w:val="clear" w:color="auto" w:fill="auto"/>
            <w:vAlign w:val="center"/>
          </w:tcPr>
          <w:p w14:paraId="25AF308E">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Equipment &amp; Software</w:t>
            </w:r>
          </w:p>
        </w:tc>
        <w:tc>
          <w:tcPr>
            <w:tcW w:w="4141" w:type="dxa"/>
            <w:shd w:val="clear" w:color="auto" w:fill="auto"/>
            <w:vAlign w:val="center"/>
          </w:tcPr>
          <w:p w14:paraId="1BAEEF14">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1,000</w:t>
            </w:r>
          </w:p>
        </w:tc>
      </w:tr>
      <w:tr w14:paraId="2B20FD27">
        <w:trPr>
          <w:tblCellSpacing w:w="15" w:type="dxa"/>
        </w:trPr>
        <w:tc>
          <w:tcPr>
            <w:tcW w:w="4068" w:type="dxa"/>
            <w:shd w:val="clear" w:color="auto" w:fill="auto"/>
            <w:vAlign w:val="center"/>
          </w:tcPr>
          <w:p w14:paraId="5A47E7EA">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Miscellaneous Costs</w:t>
            </w:r>
          </w:p>
        </w:tc>
        <w:tc>
          <w:tcPr>
            <w:tcW w:w="4141" w:type="dxa"/>
            <w:shd w:val="clear" w:color="auto" w:fill="auto"/>
            <w:vAlign w:val="center"/>
          </w:tcPr>
          <w:p w14:paraId="699CF508">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1,000</w:t>
            </w:r>
          </w:p>
        </w:tc>
      </w:tr>
      <w:tr w14:paraId="047B6812">
        <w:trPr>
          <w:tblCellSpacing w:w="15" w:type="dxa"/>
        </w:trPr>
        <w:tc>
          <w:tcPr>
            <w:tcW w:w="4068" w:type="dxa"/>
            <w:shd w:val="clear" w:color="auto" w:fill="auto"/>
            <w:vAlign w:val="center"/>
          </w:tcPr>
          <w:p w14:paraId="403E2F28">
            <w:pPr>
              <w:keepNext w:val="0"/>
              <w:keepLines w:val="0"/>
              <w:widowControl/>
              <w:suppressLineNumbers w:val="0"/>
              <w:jc w:val="left"/>
              <w:rPr>
                <w:rFonts w:hint="default" w:ascii="Arial Regular" w:hAnsi="Arial Regular" w:cs="Arial Regular"/>
              </w:rPr>
            </w:pPr>
            <w:r>
              <w:rPr>
                <w:rStyle w:val="10"/>
                <w:rFonts w:hint="default" w:ascii="Arial Regular" w:hAnsi="Arial Regular" w:eastAsia="SimSun" w:cs="Arial Regular"/>
                <w:kern w:val="0"/>
                <w:sz w:val="24"/>
                <w:szCs w:val="24"/>
                <w:lang w:val="en-US" w:eastAsia="zh-CN" w:bidi="ar"/>
              </w:rPr>
              <w:t>Total</w:t>
            </w:r>
          </w:p>
        </w:tc>
        <w:tc>
          <w:tcPr>
            <w:tcW w:w="4141" w:type="dxa"/>
            <w:shd w:val="clear" w:color="auto" w:fill="auto"/>
            <w:vAlign w:val="center"/>
          </w:tcPr>
          <w:p w14:paraId="55699E7E">
            <w:pPr>
              <w:keepNext w:val="0"/>
              <w:keepLines w:val="0"/>
              <w:widowControl/>
              <w:suppressLineNumbers w:val="0"/>
              <w:jc w:val="left"/>
              <w:rPr>
                <w:rFonts w:hint="default" w:ascii="Arial Regular" w:hAnsi="Arial Regular" w:cs="Arial Regular"/>
              </w:rPr>
            </w:pPr>
            <w:r>
              <w:rPr>
                <w:rStyle w:val="10"/>
                <w:rFonts w:hint="default" w:ascii="Arial Regular" w:hAnsi="Arial Regular" w:eastAsia="SimSun" w:cs="Arial Regular"/>
                <w:kern w:val="0"/>
                <w:sz w:val="24"/>
                <w:szCs w:val="24"/>
                <w:lang w:val="en-US" w:eastAsia="zh-CN" w:bidi="ar"/>
              </w:rPr>
              <w:t>15,000</w:t>
            </w:r>
          </w:p>
        </w:tc>
      </w:tr>
    </w:tbl>
    <w:p w14:paraId="5BA4F503">
      <w:pPr>
        <w:keepNext w:val="0"/>
        <w:keepLines w:val="0"/>
        <w:widowControl/>
        <w:suppressLineNumbers w:val="0"/>
        <w:rPr>
          <w:rFonts w:hint="default" w:ascii="Arial Regular" w:hAnsi="Arial Regular" w:cs="Arial Regular"/>
        </w:rPr>
      </w:pPr>
    </w:p>
    <w:p w14:paraId="576EF595">
      <w:pPr>
        <w:pStyle w:val="4"/>
        <w:keepNext w:val="0"/>
        <w:keepLines w:val="0"/>
        <w:widowControl/>
        <w:suppressLineNumbers w:val="0"/>
        <w:rPr>
          <w:rStyle w:val="10"/>
          <w:rFonts w:hint="default" w:ascii="Arial Regular" w:hAnsi="Arial Regular" w:cs="Arial Regular"/>
          <w:b/>
          <w:bCs/>
        </w:rPr>
      </w:pPr>
      <w:r>
        <w:rPr>
          <w:rStyle w:val="10"/>
          <w:rFonts w:hint="default" w:ascii="Arial Regular" w:hAnsi="Arial Regular" w:cs="Arial Regular"/>
          <w:b/>
          <w:bCs/>
        </w:rPr>
        <w:t>4.3 Cash Flow Forecast (</w:t>
      </w:r>
      <w:r>
        <w:rPr>
          <w:rStyle w:val="10"/>
          <w:rFonts w:hint="default" w:ascii="Arial Regular" w:hAnsi="Arial Regular" w:cs="Arial Regular"/>
          <w:b/>
          <w:bCs/>
          <w:lang w:val="en-US"/>
        </w:rPr>
        <w:t>First month</w:t>
      </w:r>
      <w:r>
        <w:rPr>
          <w:rStyle w:val="10"/>
          <w:rFonts w:hint="default" w:ascii="Arial Regular" w:hAnsi="Arial Regular" w:cs="Arial Regular"/>
          <w:b/>
          <w:bCs/>
        </w:rPr>
        <w:t>)</w:t>
      </w:r>
    </w:p>
    <w:tbl>
      <w:tblPr>
        <w:tblStyle w:val="6"/>
        <w:tblW w:w="8684" w:type="dxa"/>
        <w:tblCellSpacing w:w="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15" w:type="dxa"/>
          <w:left w:w="15" w:type="dxa"/>
          <w:bottom w:w="15" w:type="dxa"/>
          <w:right w:w="15" w:type="dxa"/>
        </w:tblCellMar>
      </w:tblPr>
      <w:tblGrid>
        <w:gridCol w:w="3284"/>
        <w:gridCol w:w="1672"/>
        <w:gridCol w:w="3728"/>
      </w:tblGrid>
      <w:tr w14:paraId="63D68A21">
        <w:trPr>
          <w:tblHeader/>
          <w:tblCellSpacing w:w="15" w:type="dxa"/>
        </w:trPr>
        <w:tc>
          <w:tcPr>
            <w:tcW w:w="3239" w:type="dxa"/>
            <w:shd w:val="clear" w:color="auto" w:fill="auto"/>
            <w:vAlign w:val="center"/>
          </w:tcPr>
          <w:p w14:paraId="1AA14CDC">
            <w:pPr>
              <w:keepNext w:val="0"/>
              <w:keepLines w:val="0"/>
              <w:widowControl/>
              <w:suppressLineNumbers w:val="0"/>
              <w:jc w:val="center"/>
              <w:rPr>
                <w:rFonts w:hint="default" w:ascii="Arial Regular" w:hAnsi="Arial Regular" w:cs="Arial Regular"/>
                <w:b/>
                <w:bCs/>
              </w:rPr>
            </w:pPr>
            <w:r>
              <w:rPr>
                <w:rFonts w:hint="default" w:ascii="Arial Regular" w:hAnsi="Arial Regular" w:eastAsia="SimSun" w:cs="Arial Regular"/>
                <w:b/>
                <w:bCs/>
                <w:kern w:val="0"/>
                <w:sz w:val="24"/>
                <w:szCs w:val="24"/>
                <w:lang w:val="en-US" w:eastAsia="zh-CN" w:bidi="ar"/>
              </w:rPr>
              <w:t>Description</w:t>
            </w:r>
          </w:p>
        </w:tc>
        <w:tc>
          <w:tcPr>
            <w:tcW w:w="1642" w:type="dxa"/>
            <w:shd w:val="clear" w:color="auto" w:fill="auto"/>
            <w:vAlign w:val="center"/>
          </w:tcPr>
          <w:p w14:paraId="2FBF1DAB">
            <w:pPr>
              <w:keepNext w:val="0"/>
              <w:keepLines w:val="0"/>
              <w:widowControl/>
              <w:suppressLineNumbers w:val="0"/>
              <w:jc w:val="center"/>
              <w:rPr>
                <w:rFonts w:hint="default" w:ascii="Arial Regular" w:hAnsi="Arial Regular" w:cs="Arial Regular"/>
                <w:b/>
                <w:bCs/>
              </w:rPr>
            </w:pPr>
            <w:r>
              <w:rPr>
                <w:rFonts w:hint="default" w:ascii="Arial Regular" w:hAnsi="Arial Regular" w:eastAsia="SimSun" w:cs="Arial Regular"/>
                <w:b/>
                <w:bCs/>
                <w:kern w:val="0"/>
                <w:sz w:val="24"/>
                <w:szCs w:val="24"/>
                <w:lang w:val="en-US" w:eastAsia="zh-CN" w:bidi="ar"/>
              </w:rPr>
              <w:t>Amount (£)</w:t>
            </w:r>
          </w:p>
        </w:tc>
        <w:tc>
          <w:tcPr>
            <w:tcW w:w="3683" w:type="dxa"/>
            <w:shd w:val="clear" w:color="auto" w:fill="auto"/>
            <w:vAlign w:val="center"/>
          </w:tcPr>
          <w:p w14:paraId="68E31422">
            <w:pPr>
              <w:keepNext w:val="0"/>
              <w:keepLines w:val="0"/>
              <w:widowControl/>
              <w:suppressLineNumbers w:val="0"/>
              <w:jc w:val="center"/>
              <w:rPr>
                <w:rFonts w:hint="default" w:ascii="Arial Regular" w:hAnsi="Arial Regular" w:cs="Arial Regular"/>
                <w:b/>
                <w:bCs/>
              </w:rPr>
            </w:pPr>
            <w:r>
              <w:rPr>
                <w:rFonts w:hint="default" w:ascii="Arial Regular" w:hAnsi="Arial Regular" w:eastAsia="SimSun" w:cs="Arial Regular"/>
                <w:b/>
                <w:bCs/>
                <w:kern w:val="0"/>
                <w:sz w:val="24"/>
                <w:szCs w:val="24"/>
                <w:lang w:val="en-US" w:eastAsia="zh-CN" w:bidi="ar"/>
              </w:rPr>
              <w:t>Notes</w:t>
            </w:r>
          </w:p>
        </w:tc>
      </w:tr>
      <w:tr w14:paraId="5816C05A">
        <w:trPr>
          <w:tblCellSpacing w:w="15" w:type="dxa"/>
        </w:trPr>
        <w:tc>
          <w:tcPr>
            <w:tcW w:w="3239" w:type="dxa"/>
            <w:shd w:val="clear" w:color="auto" w:fill="auto"/>
            <w:vAlign w:val="center"/>
          </w:tcPr>
          <w:p w14:paraId="195DE0C1">
            <w:pPr>
              <w:keepNext w:val="0"/>
              <w:keepLines w:val="0"/>
              <w:widowControl/>
              <w:suppressLineNumbers w:val="0"/>
              <w:jc w:val="left"/>
              <w:rPr>
                <w:rFonts w:hint="default" w:ascii="Arial Regular" w:hAnsi="Arial Regular" w:cs="Arial Regular"/>
              </w:rPr>
            </w:pPr>
            <w:r>
              <w:rPr>
                <w:rStyle w:val="10"/>
                <w:rFonts w:hint="default" w:ascii="Arial Regular" w:hAnsi="Arial Regular" w:eastAsia="SimSun" w:cs="Arial Regular"/>
                <w:kern w:val="0"/>
                <w:sz w:val="24"/>
                <w:szCs w:val="24"/>
                <w:lang w:val="en-US" w:eastAsia="zh-CN" w:bidi="ar"/>
              </w:rPr>
              <w:t>Revenue</w:t>
            </w:r>
          </w:p>
        </w:tc>
        <w:tc>
          <w:tcPr>
            <w:tcW w:w="1642" w:type="dxa"/>
            <w:shd w:val="clear" w:color="auto" w:fill="auto"/>
            <w:vAlign w:val="center"/>
          </w:tcPr>
          <w:p w14:paraId="6B8E4D37">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8,500</w:t>
            </w:r>
          </w:p>
        </w:tc>
        <w:tc>
          <w:tcPr>
            <w:tcW w:w="3683" w:type="dxa"/>
            <w:shd w:val="clear" w:color="auto" w:fill="auto"/>
            <w:vAlign w:val="center"/>
          </w:tcPr>
          <w:p w14:paraId="75224814">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Slightly higher sales than before</w:t>
            </w:r>
          </w:p>
        </w:tc>
      </w:tr>
      <w:tr w14:paraId="735AF82F">
        <w:trPr>
          <w:tblCellSpacing w:w="15" w:type="dxa"/>
        </w:trPr>
        <w:tc>
          <w:tcPr>
            <w:tcW w:w="3239" w:type="dxa"/>
            <w:shd w:val="clear" w:color="auto" w:fill="auto"/>
            <w:vAlign w:val="center"/>
          </w:tcPr>
          <w:p w14:paraId="5270DA25">
            <w:pPr>
              <w:keepNext w:val="0"/>
              <w:keepLines w:val="0"/>
              <w:widowControl/>
              <w:suppressLineNumbers w:val="0"/>
              <w:jc w:val="left"/>
              <w:rPr>
                <w:rFonts w:hint="default" w:ascii="Arial Regular" w:hAnsi="Arial Regular" w:cs="Arial Regular"/>
              </w:rPr>
            </w:pPr>
            <w:r>
              <w:rPr>
                <w:rStyle w:val="10"/>
                <w:rFonts w:hint="default" w:ascii="Arial Regular" w:hAnsi="Arial Regular" w:eastAsia="SimSun" w:cs="Arial Regular"/>
                <w:kern w:val="0"/>
                <w:sz w:val="24"/>
                <w:szCs w:val="24"/>
                <w:lang w:val="en-US" w:eastAsia="zh-CN" w:bidi="ar"/>
              </w:rPr>
              <w:t>Expenses:</w:t>
            </w:r>
          </w:p>
        </w:tc>
        <w:tc>
          <w:tcPr>
            <w:tcW w:w="1642" w:type="dxa"/>
            <w:shd w:val="clear" w:color="auto" w:fill="auto"/>
            <w:vAlign w:val="center"/>
          </w:tcPr>
          <w:p w14:paraId="0269C3E3">
            <w:pPr>
              <w:rPr>
                <w:rFonts w:hint="default" w:ascii="Arial Regular" w:hAnsi="Arial Regular" w:cs="Arial Regular"/>
                <w:sz w:val="24"/>
                <w:szCs w:val="24"/>
              </w:rPr>
            </w:pPr>
          </w:p>
        </w:tc>
        <w:tc>
          <w:tcPr>
            <w:tcW w:w="3683" w:type="dxa"/>
            <w:shd w:val="clear" w:color="auto" w:fill="auto"/>
            <w:vAlign w:val="center"/>
          </w:tcPr>
          <w:p w14:paraId="20D1310B">
            <w:pPr>
              <w:rPr>
                <w:rFonts w:hint="default" w:ascii="Arial Regular" w:hAnsi="Arial Regular" w:cs="Arial Regular"/>
                <w:sz w:val="24"/>
                <w:szCs w:val="24"/>
              </w:rPr>
            </w:pPr>
          </w:p>
        </w:tc>
      </w:tr>
      <w:tr w14:paraId="7A29BE96">
        <w:trPr>
          <w:tblCellSpacing w:w="15" w:type="dxa"/>
        </w:trPr>
        <w:tc>
          <w:tcPr>
            <w:tcW w:w="3239" w:type="dxa"/>
            <w:shd w:val="clear" w:color="auto" w:fill="auto"/>
            <w:vAlign w:val="center"/>
          </w:tcPr>
          <w:p w14:paraId="6250A36A">
            <w:pPr>
              <w:keepNext w:val="0"/>
              <w:keepLines w:val="0"/>
              <w:widowControl/>
              <w:suppressLineNumbers w:val="0"/>
              <w:jc w:val="left"/>
              <w:rPr>
                <w:rFonts w:hint="default" w:ascii="Arial Regular" w:hAnsi="Arial Regular" w:cs="Arial Regular"/>
              </w:rPr>
            </w:pPr>
            <w:r>
              <w:rPr>
                <w:rStyle w:val="10"/>
                <w:rFonts w:hint="default" w:ascii="Arial Regular" w:hAnsi="Arial Regular" w:eastAsia="SimSun" w:cs="Arial Regular"/>
                <w:kern w:val="0"/>
                <w:sz w:val="24"/>
                <w:szCs w:val="24"/>
                <w:lang w:val="en-US" w:eastAsia="zh-CN" w:bidi="ar"/>
              </w:rPr>
              <w:t xml:space="preserve">Cost of Goods Sold </w:t>
            </w:r>
          </w:p>
        </w:tc>
        <w:tc>
          <w:tcPr>
            <w:tcW w:w="1642" w:type="dxa"/>
            <w:shd w:val="clear" w:color="auto" w:fill="auto"/>
            <w:vAlign w:val="center"/>
          </w:tcPr>
          <w:p w14:paraId="7448AA70">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3,500</w:t>
            </w:r>
          </w:p>
        </w:tc>
        <w:tc>
          <w:tcPr>
            <w:tcW w:w="3683" w:type="dxa"/>
            <w:shd w:val="clear" w:color="auto" w:fill="auto"/>
            <w:vAlign w:val="center"/>
          </w:tcPr>
          <w:p w14:paraId="2A35574B">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Direct cost of inventory sold</w:t>
            </w:r>
          </w:p>
        </w:tc>
      </w:tr>
      <w:tr w14:paraId="672899FD">
        <w:trPr>
          <w:tblCellSpacing w:w="15" w:type="dxa"/>
        </w:trPr>
        <w:tc>
          <w:tcPr>
            <w:tcW w:w="3239" w:type="dxa"/>
            <w:shd w:val="clear" w:color="auto" w:fill="auto"/>
            <w:vAlign w:val="center"/>
          </w:tcPr>
          <w:p w14:paraId="58AA57F1">
            <w:pPr>
              <w:keepNext w:val="0"/>
              <w:keepLines w:val="0"/>
              <w:widowControl/>
              <w:suppressLineNumbers w:val="0"/>
              <w:jc w:val="left"/>
              <w:rPr>
                <w:rFonts w:hint="default" w:ascii="Arial Regular" w:hAnsi="Arial Regular" w:cs="Arial Regular"/>
              </w:rPr>
            </w:pPr>
            <w:r>
              <w:rPr>
                <w:rStyle w:val="10"/>
                <w:rFonts w:hint="default" w:ascii="Arial Regular" w:hAnsi="Arial Regular" w:eastAsia="SimSun" w:cs="Arial Regular"/>
                <w:kern w:val="0"/>
                <w:sz w:val="24"/>
                <w:szCs w:val="24"/>
                <w:lang w:val="en-US" w:eastAsia="zh-CN" w:bidi="ar"/>
              </w:rPr>
              <w:t>Operating Expenses (Fixed):</w:t>
            </w:r>
          </w:p>
        </w:tc>
        <w:tc>
          <w:tcPr>
            <w:tcW w:w="1642" w:type="dxa"/>
            <w:shd w:val="clear" w:color="auto" w:fill="auto"/>
            <w:vAlign w:val="center"/>
          </w:tcPr>
          <w:p w14:paraId="43D3269D">
            <w:pPr>
              <w:rPr>
                <w:rFonts w:hint="default" w:ascii="Arial Regular" w:hAnsi="Arial Regular" w:cs="Arial Regular"/>
                <w:sz w:val="24"/>
                <w:szCs w:val="24"/>
              </w:rPr>
            </w:pPr>
          </w:p>
        </w:tc>
        <w:tc>
          <w:tcPr>
            <w:tcW w:w="3683" w:type="dxa"/>
            <w:shd w:val="clear" w:color="auto" w:fill="auto"/>
            <w:vAlign w:val="center"/>
          </w:tcPr>
          <w:p w14:paraId="131B3087">
            <w:pPr>
              <w:rPr>
                <w:rFonts w:hint="default" w:ascii="Arial Regular" w:hAnsi="Arial Regular" w:cs="Arial Regular"/>
                <w:sz w:val="24"/>
                <w:szCs w:val="24"/>
              </w:rPr>
            </w:pPr>
          </w:p>
        </w:tc>
      </w:tr>
      <w:tr w14:paraId="1929FD0C">
        <w:trPr>
          <w:tblCellSpacing w:w="15" w:type="dxa"/>
        </w:trPr>
        <w:tc>
          <w:tcPr>
            <w:tcW w:w="3239" w:type="dxa"/>
            <w:shd w:val="clear" w:color="auto" w:fill="auto"/>
            <w:vAlign w:val="center"/>
          </w:tcPr>
          <w:p w14:paraId="5CAAD4AF">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 Rent</w:t>
            </w:r>
          </w:p>
        </w:tc>
        <w:tc>
          <w:tcPr>
            <w:tcW w:w="1642" w:type="dxa"/>
            <w:shd w:val="clear" w:color="auto" w:fill="auto"/>
            <w:vAlign w:val="center"/>
          </w:tcPr>
          <w:p w14:paraId="7E4848BC">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500</w:t>
            </w:r>
          </w:p>
        </w:tc>
        <w:tc>
          <w:tcPr>
            <w:tcW w:w="3683" w:type="dxa"/>
            <w:shd w:val="clear" w:color="auto" w:fill="auto"/>
            <w:vAlign w:val="center"/>
          </w:tcPr>
          <w:p w14:paraId="1CF53FD2">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Monthly rent for office/warehouse</w:t>
            </w:r>
          </w:p>
        </w:tc>
      </w:tr>
      <w:tr w14:paraId="57D3E111">
        <w:trPr>
          <w:tblCellSpacing w:w="15" w:type="dxa"/>
        </w:trPr>
        <w:tc>
          <w:tcPr>
            <w:tcW w:w="3239" w:type="dxa"/>
            <w:shd w:val="clear" w:color="auto" w:fill="auto"/>
            <w:vAlign w:val="center"/>
          </w:tcPr>
          <w:p w14:paraId="40EC1F73">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 Utilities</w:t>
            </w:r>
          </w:p>
        </w:tc>
        <w:tc>
          <w:tcPr>
            <w:tcW w:w="1642" w:type="dxa"/>
            <w:shd w:val="clear" w:color="auto" w:fill="auto"/>
            <w:vAlign w:val="center"/>
          </w:tcPr>
          <w:p w14:paraId="2F65E395">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150</w:t>
            </w:r>
          </w:p>
        </w:tc>
        <w:tc>
          <w:tcPr>
            <w:tcW w:w="3683" w:type="dxa"/>
            <w:shd w:val="clear" w:color="auto" w:fill="auto"/>
            <w:vAlign w:val="center"/>
          </w:tcPr>
          <w:p w14:paraId="35A6B02A">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Electricity, water, internet</w:t>
            </w:r>
          </w:p>
        </w:tc>
      </w:tr>
      <w:tr w14:paraId="135853EF">
        <w:trPr>
          <w:tblCellSpacing w:w="15" w:type="dxa"/>
        </w:trPr>
        <w:tc>
          <w:tcPr>
            <w:tcW w:w="3239" w:type="dxa"/>
            <w:shd w:val="clear" w:color="auto" w:fill="auto"/>
            <w:vAlign w:val="center"/>
          </w:tcPr>
          <w:p w14:paraId="4BE9009B">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 Wages</w:t>
            </w:r>
          </w:p>
        </w:tc>
        <w:tc>
          <w:tcPr>
            <w:tcW w:w="1642" w:type="dxa"/>
            <w:shd w:val="clear" w:color="auto" w:fill="auto"/>
            <w:vAlign w:val="center"/>
          </w:tcPr>
          <w:p w14:paraId="051C06A9">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250</w:t>
            </w:r>
          </w:p>
        </w:tc>
        <w:tc>
          <w:tcPr>
            <w:tcW w:w="3683" w:type="dxa"/>
            <w:shd w:val="clear" w:color="auto" w:fill="auto"/>
            <w:vAlign w:val="center"/>
          </w:tcPr>
          <w:p w14:paraId="045C0F99">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Part-time staff salary</w:t>
            </w:r>
          </w:p>
        </w:tc>
      </w:tr>
      <w:tr w14:paraId="2025539F">
        <w:trPr>
          <w:tblCellSpacing w:w="15" w:type="dxa"/>
        </w:trPr>
        <w:tc>
          <w:tcPr>
            <w:tcW w:w="3239" w:type="dxa"/>
            <w:shd w:val="clear" w:color="auto" w:fill="auto"/>
            <w:vAlign w:val="center"/>
          </w:tcPr>
          <w:p w14:paraId="6CB263D0">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 Software Subscriptions</w:t>
            </w:r>
          </w:p>
        </w:tc>
        <w:tc>
          <w:tcPr>
            <w:tcW w:w="1642" w:type="dxa"/>
            <w:shd w:val="clear" w:color="auto" w:fill="auto"/>
            <w:vAlign w:val="center"/>
          </w:tcPr>
          <w:p w14:paraId="3BB629C8">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100</w:t>
            </w:r>
          </w:p>
        </w:tc>
        <w:tc>
          <w:tcPr>
            <w:tcW w:w="3683" w:type="dxa"/>
            <w:shd w:val="clear" w:color="auto" w:fill="auto"/>
            <w:vAlign w:val="center"/>
          </w:tcPr>
          <w:p w14:paraId="0F2379EB">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Online tools and software</w:t>
            </w:r>
          </w:p>
        </w:tc>
      </w:tr>
      <w:tr w14:paraId="5FC840C0">
        <w:trPr>
          <w:tblCellSpacing w:w="15" w:type="dxa"/>
        </w:trPr>
        <w:tc>
          <w:tcPr>
            <w:tcW w:w="3239" w:type="dxa"/>
            <w:shd w:val="clear" w:color="auto" w:fill="auto"/>
            <w:vAlign w:val="center"/>
          </w:tcPr>
          <w:p w14:paraId="59314C2A">
            <w:pPr>
              <w:keepNext w:val="0"/>
              <w:keepLines w:val="0"/>
              <w:widowControl/>
              <w:suppressLineNumbers w:val="0"/>
              <w:jc w:val="left"/>
              <w:rPr>
                <w:rFonts w:hint="default" w:ascii="Arial Regular" w:hAnsi="Arial Regular" w:cs="Arial Regular"/>
              </w:rPr>
            </w:pPr>
            <w:r>
              <w:rPr>
                <w:rStyle w:val="10"/>
                <w:rFonts w:hint="default" w:ascii="Arial Regular" w:hAnsi="Arial Regular" w:eastAsia="SimSun" w:cs="Arial Regular"/>
                <w:kern w:val="0"/>
                <w:sz w:val="24"/>
                <w:szCs w:val="24"/>
                <w:lang w:val="en-US" w:eastAsia="zh-CN" w:bidi="ar"/>
              </w:rPr>
              <w:t>Operating Expenses (Variable):</w:t>
            </w:r>
          </w:p>
        </w:tc>
        <w:tc>
          <w:tcPr>
            <w:tcW w:w="1642" w:type="dxa"/>
            <w:shd w:val="clear" w:color="auto" w:fill="auto"/>
            <w:vAlign w:val="center"/>
          </w:tcPr>
          <w:p w14:paraId="3C22E32A">
            <w:pPr>
              <w:rPr>
                <w:rFonts w:hint="default" w:ascii="Arial Regular" w:hAnsi="Arial Regular" w:cs="Arial Regular"/>
                <w:sz w:val="24"/>
                <w:szCs w:val="24"/>
              </w:rPr>
            </w:pPr>
          </w:p>
        </w:tc>
        <w:tc>
          <w:tcPr>
            <w:tcW w:w="3683" w:type="dxa"/>
            <w:shd w:val="clear" w:color="auto" w:fill="auto"/>
            <w:vAlign w:val="center"/>
          </w:tcPr>
          <w:p w14:paraId="6F41793D">
            <w:pPr>
              <w:rPr>
                <w:rFonts w:hint="default" w:ascii="Arial Regular" w:hAnsi="Arial Regular" w:cs="Arial Regular"/>
                <w:sz w:val="24"/>
                <w:szCs w:val="24"/>
              </w:rPr>
            </w:pPr>
          </w:p>
        </w:tc>
      </w:tr>
      <w:tr w14:paraId="35407C5B">
        <w:trPr>
          <w:tblCellSpacing w:w="15" w:type="dxa"/>
        </w:trPr>
        <w:tc>
          <w:tcPr>
            <w:tcW w:w="3239" w:type="dxa"/>
            <w:shd w:val="clear" w:color="auto" w:fill="auto"/>
            <w:vAlign w:val="center"/>
          </w:tcPr>
          <w:p w14:paraId="0B884816">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 Marketing &amp; Advertising</w:t>
            </w:r>
          </w:p>
        </w:tc>
        <w:tc>
          <w:tcPr>
            <w:tcW w:w="1642" w:type="dxa"/>
            <w:shd w:val="clear" w:color="auto" w:fill="auto"/>
            <w:vAlign w:val="center"/>
          </w:tcPr>
          <w:p w14:paraId="0A51EC58">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1,200</w:t>
            </w:r>
          </w:p>
        </w:tc>
        <w:tc>
          <w:tcPr>
            <w:tcW w:w="3683" w:type="dxa"/>
            <w:shd w:val="clear" w:color="auto" w:fill="auto"/>
            <w:vAlign w:val="center"/>
          </w:tcPr>
          <w:p w14:paraId="00EDBABE">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Slightly reduced marketing spend</w:t>
            </w:r>
          </w:p>
        </w:tc>
      </w:tr>
      <w:tr w14:paraId="78CB5FD6">
        <w:trPr>
          <w:tblCellSpacing w:w="15" w:type="dxa"/>
        </w:trPr>
        <w:tc>
          <w:tcPr>
            <w:tcW w:w="3239" w:type="dxa"/>
            <w:shd w:val="clear" w:color="auto" w:fill="auto"/>
            <w:vAlign w:val="center"/>
          </w:tcPr>
          <w:p w14:paraId="18BD0104">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 Packaging &amp; Logistics</w:t>
            </w:r>
          </w:p>
        </w:tc>
        <w:tc>
          <w:tcPr>
            <w:tcW w:w="1642" w:type="dxa"/>
            <w:shd w:val="clear" w:color="auto" w:fill="auto"/>
            <w:vAlign w:val="center"/>
          </w:tcPr>
          <w:p w14:paraId="072B78BB">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500</w:t>
            </w:r>
          </w:p>
        </w:tc>
        <w:tc>
          <w:tcPr>
            <w:tcW w:w="3683" w:type="dxa"/>
            <w:shd w:val="clear" w:color="auto" w:fill="auto"/>
            <w:vAlign w:val="center"/>
          </w:tcPr>
          <w:p w14:paraId="5902E8BE">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Shipping, packaging materials</w:t>
            </w:r>
          </w:p>
        </w:tc>
      </w:tr>
      <w:tr w14:paraId="28B84C38">
        <w:trPr>
          <w:tblCellSpacing w:w="15" w:type="dxa"/>
        </w:trPr>
        <w:tc>
          <w:tcPr>
            <w:tcW w:w="3239" w:type="dxa"/>
            <w:shd w:val="clear" w:color="auto" w:fill="auto"/>
            <w:vAlign w:val="center"/>
          </w:tcPr>
          <w:p w14:paraId="4E9125DD">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 Miscellaneous Costs</w:t>
            </w:r>
          </w:p>
        </w:tc>
        <w:tc>
          <w:tcPr>
            <w:tcW w:w="1642" w:type="dxa"/>
            <w:shd w:val="clear" w:color="auto" w:fill="auto"/>
            <w:vAlign w:val="center"/>
          </w:tcPr>
          <w:p w14:paraId="4DB528AB">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200</w:t>
            </w:r>
          </w:p>
        </w:tc>
        <w:tc>
          <w:tcPr>
            <w:tcW w:w="3683" w:type="dxa"/>
            <w:shd w:val="clear" w:color="auto" w:fill="auto"/>
            <w:vAlign w:val="center"/>
          </w:tcPr>
          <w:p w14:paraId="27FD801C">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Unexpected expenses</w:t>
            </w:r>
          </w:p>
        </w:tc>
      </w:tr>
      <w:tr w14:paraId="0A607944">
        <w:trPr>
          <w:tblCellSpacing w:w="15" w:type="dxa"/>
        </w:trPr>
        <w:tc>
          <w:tcPr>
            <w:tcW w:w="3239" w:type="dxa"/>
            <w:shd w:val="clear" w:color="auto" w:fill="auto"/>
            <w:vAlign w:val="center"/>
          </w:tcPr>
          <w:p w14:paraId="24A9D2A3">
            <w:pPr>
              <w:keepNext w:val="0"/>
              <w:keepLines w:val="0"/>
              <w:widowControl/>
              <w:suppressLineNumbers w:val="0"/>
              <w:jc w:val="left"/>
              <w:rPr>
                <w:rFonts w:hint="default" w:ascii="Arial Regular" w:hAnsi="Arial Regular" w:cs="Arial Regular"/>
              </w:rPr>
            </w:pPr>
            <w:r>
              <w:rPr>
                <w:rStyle w:val="10"/>
                <w:rFonts w:hint="default" w:ascii="Arial Regular" w:hAnsi="Arial Regular" w:eastAsia="SimSun" w:cs="Arial Regular"/>
                <w:kern w:val="0"/>
                <w:sz w:val="24"/>
                <w:szCs w:val="24"/>
                <w:lang w:val="en-US" w:eastAsia="zh-CN" w:bidi="ar"/>
              </w:rPr>
              <w:t>Total Expenses</w:t>
            </w:r>
          </w:p>
        </w:tc>
        <w:tc>
          <w:tcPr>
            <w:tcW w:w="1642" w:type="dxa"/>
            <w:shd w:val="clear" w:color="auto" w:fill="auto"/>
            <w:vAlign w:val="center"/>
          </w:tcPr>
          <w:p w14:paraId="5A63824D">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6,400</w:t>
            </w:r>
          </w:p>
        </w:tc>
        <w:tc>
          <w:tcPr>
            <w:tcW w:w="3683" w:type="dxa"/>
            <w:shd w:val="clear" w:color="auto" w:fill="auto"/>
            <w:vAlign w:val="center"/>
          </w:tcPr>
          <w:p w14:paraId="63DF57D0">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Sum of all expenses</w:t>
            </w:r>
          </w:p>
        </w:tc>
      </w:tr>
      <w:tr w14:paraId="39067465">
        <w:trPr>
          <w:tblCellSpacing w:w="15" w:type="dxa"/>
        </w:trPr>
        <w:tc>
          <w:tcPr>
            <w:tcW w:w="3239" w:type="dxa"/>
            <w:shd w:val="clear" w:color="auto" w:fill="auto"/>
            <w:vAlign w:val="center"/>
          </w:tcPr>
          <w:p w14:paraId="304763CD">
            <w:pPr>
              <w:keepNext w:val="0"/>
              <w:keepLines w:val="0"/>
              <w:widowControl/>
              <w:suppressLineNumbers w:val="0"/>
              <w:jc w:val="left"/>
              <w:rPr>
                <w:rFonts w:hint="default" w:ascii="Arial Regular" w:hAnsi="Arial Regular" w:cs="Arial Regular"/>
              </w:rPr>
            </w:pPr>
            <w:r>
              <w:rPr>
                <w:rStyle w:val="10"/>
                <w:rFonts w:hint="default" w:ascii="Arial Regular" w:hAnsi="Arial Regular" w:eastAsia="SimSun" w:cs="Arial Regular"/>
                <w:kern w:val="0"/>
                <w:sz w:val="24"/>
                <w:szCs w:val="24"/>
                <w:lang w:val="en-US" w:eastAsia="zh-CN" w:bidi="ar"/>
              </w:rPr>
              <w:t>Net Cash Flow</w:t>
            </w:r>
          </w:p>
        </w:tc>
        <w:tc>
          <w:tcPr>
            <w:tcW w:w="1642" w:type="dxa"/>
            <w:shd w:val="clear" w:color="auto" w:fill="auto"/>
            <w:vAlign w:val="center"/>
          </w:tcPr>
          <w:p w14:paraId="3D7C0B51">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2,000</w:t>
            </w:r>
          </w:p>
        </w:tc>
        <w:tc>
          <w:tcPr>
            <w:tcW w:w="3683" w:type="dxa"/>
            <w:shd w:val="clear" w:color="auto" w:fill="auto"/>
            <w:vAlign w:val="center"/>
          </w:tcPr>
          <w:p w14:paraId="56C61616">
            <w:pPr>
              <w:keepNext w:val="0"/>
              <w:keepLines w:val="0"/>
              <w:widowControl/>
              <w:suppressLineNumbers w:val="0"/>
              <w:jc w:val="left"/>
              <w:rPr>
                <w:rFonts w:hint="default" w:ascii="Arial Regular" w:hAnsi="Arial Regular" w:cs="Arial Regular"/>
              </w:rPr>
            </w:pPr>
            <w:r>
              <w:rPr>
                <w:rFonts w:hint="default" w:ascii="Arial Regular" w:hAnsi="Arial Regular" w:eastAsia="SimSun" w:cs="Arial Regular"/>
                <w:kern w:val="0"/>
                <w:sz w:val="24"/>
                <w:szCs w:val="24"/>
                <w:lang w:val="en-US" w:eastAsia="zh-CN" w:bidi="ar"/>
              </w:rPr>
              <w:t>Revenue − Total Expenses</w:t>
            </w:r>
          </w:p>
        </w:tc>
      </w:tr>
    </w:tbl>
    <w:p w14:paraId="32C47B20">
      <w:pPr>
        <w:rPr>
          <w:rStyle w:val="10"/>
          <w:rFonts w:hint="default" w:ascii="Arial Regular" w:hAnsi="Arial Regular" w:cs="Arial Regular"/>
        </w:rPr>
      </w:pPr>
    </w:p>
    <w:p w14:paraId="6FF6A3D1">
      <w:pPr>
        <w:keepNext w:val="0"/>
        <w:keepLines w:val="0"/>
        <w:widowControl/>
        <w:suppressLineNumbers w:val="0"/>
        <w:rPr>
          <w:rFonts w:hint="default" w:ascii="Arial Regular" w:hAnsi="Arial Regular" w:cs="Arial Regular"/>
        </w:rPr>
      </w:pPr>
    </w:p>
    <w:p w14:paraId="23277F33">
      <w:pPr>
        <w:pStyle w:val="4"/>
        <w:keepNext w:val="0"/>
        <w:keepLines w:val="0"/>
        <w:widowControl/>
        <w:suppressLineNumbers w:val="0"/>
        <w:rPr>
          <w:rStyle w:val="10"/>
          <w:rFonts w:hint="default" w:ascii="Arial Regular" w:hAnsi="Arial Regular" w:cs="Arial Regular"/>
          <w:b/>
          <w:bCs/>
        </w:rPr>
      </w:pPr>
      <w:r>
        <w:rPr>
          <w:rStyle w:val="10"/>
          <w:rFonts w:hint="default" w:ascii="Arial Regular" w:hAnsi="Arial Regular" w:cs="Arial Regular"/>
          <w:b/>
          <w:bCs/>
        </w:rPr>
        <w:t>4.4 Break-even Analysis</w:t>
      </w:r>
    </w:p>
    <w:p w14:paraId="0E3521F9">
      <w:pPr>
        <w:rPr>
          <w:rFonts w:hint="default" w:ascii="Arial Regular" w:hAnsi="Arial Regular" w:cs="Arial Regular"/>
          <w:lang w:val="en-US"/>
        </w:rPr>
      </w:pPr>
      <w:r>
        <w:rPr>
          <w:rStyle w:val="10"/>
          <w:rFonts w:hint="default" w:ascii="Arial Regular" w:hAnsi="Arial Regular" w:cs="Arial Regular"/>
          <w:lang w:val="en-US"/>
        </w:rPr>
        <w:t>For the first month:</w:t>
      </w:r>
    </w:p>
    <w:p w14:paraId="19DCEFD9">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Calculating Total costs :</w:t>
      </w:r>
    </w:p>
    <w:p w14:paraId="27B5DF83">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For this step I used the formula we learned in Week 6 during ACCOUNTING FOR ENTREPRENEURS lecture :</w:t>
      </w:r>
    </w:p>
    <w:p w14:paraId="043343FD">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TOTAL COSTS</w:t>
      </w:r>
    </w:p>
    <w:p w14:paraId="69E96954">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 xml:space="preserve">   are ALL the costs of a business.</w:t>
      </w:r>
      <w:r>
        <w:rPr>
          <w:rFonts w:hint="default" w:ascii="Arial Regular" w:hAnsi="Arial Regular" w:cs="Arial Regular"/>
          <w:lang w:val="en-US"/>
        </w:rPr>
        <w:br w:type="textWrapping"/>
      </w:r>
    </w:p>
    <w:p w14:paraId="3D7B1A1A">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Total Fund Needed</w:t>
      </w:r>
    </w:p>
    <w:p w14:paraId="5E38C642">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 xml:space="preserve">    = Startup Costs + Sum of (Operational  Cost - Revenue)</w:t>
      </w:r>
      <w:r>
        <w:rPr>
          <w:rFonts w:hint="default" w:ascii="Arial Regular" w:hAnsi="Arial Regular" w:cs="Arial Regular"/>
          <w:lang w:val="en-US"/>
        </w:rPr>
        <w:br w:type="textWrapping"/>
      </w:r>
      <w:r>
        <w:rPr>
          <w:rFonts w:hint="default" w:ascii="Arial Regular" w:hAnsi="Arial Regular" w:cs="Arial Regular"/>
          <w:lang w:val="en-US"/>
        </w:rPr>
        <w:t xml:space="preserve">          up to the breakeven point</w:t>
      </w:r>
    </w:p>
    <w:p w14:paraId="46E146CF">
      <w:pPr>
        <w:pStyle w:val="9"/>
        <w:keepNext w:val="0"/>
        <w:keepLines w:val="0"/>
        <w:widowControl/>
        <w:suppressLineNumbers w:val="0"/>
        <w:rPr>
          <w:rFonts w:hint="default" w:ascii="Arial Regular" w:hAnsi="Arial Regular" w:cs="Arial Regular"/>
          <w:lang w:val="en-US"/>
        </w:rPr>
      </w:pPr>
    </w:p>
    <w:p w14:paraId="3778E904">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Applying the above formula I can conculed that:</w:t>
      </w:r>
    </w:p>
    <w:p w14:paraId="4C62FFD3">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15,000+-(1000-2000) = 14,000 (first month total costs)</w:t>
      </w:r>
    </w:p>
    <w:p w14:paraId="56F476B9">
      <w:pPr>
        <w:pStyle w:val="9"/>
        <w:keepNext w:val="0"/>
        <w:keepLines w:val="0"/>
        <w:widowControl/>
        <w:suppressLineNumbers w:val="0"/>
        <w:rPr>
          <w:rFonts w:hint="default" w:ascii="Arial Regular" w:hAnsi="Arial Regular" w:cs="Arial Regular"/>
          <w:lang w:val="en-US"/>
        </w:rPr>
      </w:pPr>
    </w:p>
    <w:p w14:paraId="53651FFF">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 xml:space="preserve">Breaking analysis: </w:t>
      </w:r>
    </w:p>
    <w:p w14:paraId="7E2E6680">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Break-even (units) = Fixed Costs ÷ (Selling Price per Unit − Variable Cost per Unit)</w:t>
      </w:r>
    </w:p>
    <w:p w14:paraId="447F5300">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or</w:t>
      </w:r>
    </w:p>
    <w:p w14:paraId="12A36F6F">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Break-even (units) = Fixed Costs ÷ Contribution Margin per Unit</w:t>
      </w:r>
    </w:p>
    <w:p w14:paraId="2FC56B01">
      <w:pPr>
        <w:pStyle w:val="9"/>
        <w:keepNext w:val="0"/>
        <w:keepLines w:val="0"/>
        <w:widowControl/>
        <w:suppressLineNumbers w:val="0"/>
        <w:rPr>
          <w:rFonts w:hint="default" w:ascii="Arial Regular" w:hAnsi="Arial Regular" w:cs="Arial Regular"/>
          <w:lang w:val="en-US"/>
        </w:rPr>
      </w:pPr>
    </w:p>
    <w:p w14:paraId="70B22810">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Following the above formula I was able to find out that :</w:t>
      </w:r>
    </w:p>
    <w:p w14:paraId="27D1846D">
      <w:pPr>
        <w:pStyle w:val="9"/>
        <w:keepNext w:val="0"/>
        <w:keepLines w:val="0"/>
        <w:widowControl/>
        <w:suppressLineNumbers w:val="0"/>
        <w:rPr>
          <w:rFonts w:hint="default" w:ascii="Arial Regular" w:hAnsi="Arial Regular" w:cs="Arial Regular"/>
          <w:lang w:val="en-US"/>
        </w:rPr>
      </w:pPr>
      <w:r>
        <w:rPr>
          <w:rFonts w:hint="default" w:ascii="Arial Regular" w:hAnsi="Arial Regular" w:cs="Arial Regular"/>
          <w:lang w:val="en-US"/>
        </w:rPr>
        <w:t>2000/3=667 tops MODA LTD needs to sell for the first month to cover operation costs and reach break even point.</w:t>
      </w:r>
    </w:p>
    <w:p w14:paraId="7E46DB64">
      <w:pPr>
        <w:pStyle w:val="9"/>
        <w:keepNext w:val="0"/>
        <w:keepLines w:val="0"/>
        <w:widowControl/>
        <w:suppressLineNumbers w:val="0"/>
        <w:rPr>
          <w:rFonts w:hint="default" w:ascii="Arial Regular" w:hAnsi="Arial Regular" w:cs="Arial Regular"/>
          <w:lang w:val="en-US"/>
        </w:rPr>
      </w:pPr>
    </w:p>
    <w:p w14:paraId="733681AF">
      <w:pPr>
        <w:pStyle w:val="9"/>
        <w:keepNext w:val="0"/>
        <w:keepLines w:val="0"/>
        <w:widowControl/>
        <w:suppressLineNumbers w:val="0"/>
        <w:rPr>
          <w:rFonts w:hint="default" w:ascii="Arial Regular" w:hAnsi="Arial Regular" w:cs="Arial Regular"/>
        </w:rPr>
      </w:pPr>
    </w:p>
    <w:p w14:paraId="61560D87">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The break-even point is expected within </w:t>
      </w:r>
      <w:r>
        <w:rPr>
          <w:rStyle w:val="10"/>
          <w:rFonts w:hint="default" w:ascii="Arial Regular" w:hAnsi="Arial Regular" w:cs="Arial Regular"/>
        </w:rPr>
        <w:t>6months</w:t>
      </w:r>
      <w:r>
        <w:rPr>
          <w:rFonts w:hint="default" w:ascii="Arial Regular" w:hAnsi="Arial Regular" w:cs="Arial Regular"/>
        </w:rPr>
        <w:t>, depending on sales performance and marketing effectiveness. As brand awareness increases, customer acquisition costs are expected to decrease, improving profitability.</w:t>
      </w:r>
    </w:p>
    <w:p w14:paraId="67265F55">
      <w:pPr>
        <w:pStyle w:val="9"/>
        <w:keepNext w:val="0"/>
        <w:keepLines w:val="0"/>
        <w:widowControl/>
        <w:suppressLineNumbers w:val="0"/>
        <w:rPr>
          <w:rFonts w:hint="default" w:ascii="Arial Regular" w:hAnsi="Arial Regular" w:cs="Arial Regular"/>
        </w:rPr>
      </w:pPr>
    </w:p>
    <w:p w14:paraId="7C6641FD">
      <w:pPr>
        <w:keepNext w:val="0"/>
        <w:keepLines w:val="0"/>
        <w:widowControl/>
        <w:suppressLineNumbers w:val="0"/>
        <w:rPr>
          <w:rFonts w:hint="default" w:ascii="Arial Regular" w:hAnsi="Arial Regular" w:cs="Arial Regular"/>
        </w:rPr>
      </w:pPr>
    </w:p>
    <w:p w14:paraId="5F1798B5">
      <w:pPr>
        <w:pStyle w:val="3"/>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Conclusion</w:t>
      </w:r>
    </w:p>
    <w:p w14:paraId="026DDB8A">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MODA LTD presents a viable and scalable business opportunity within the growing fast fashion e-commerce market. By leveraging digital marketing strategies, strong content creation, and an understanding of consumer behaviour, the business has the potential to establish a competitive position in the industry.</w:t>
      </w:r>
    </w:p>
    <w:p w14:paraId="77A746B9">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The combination of low startup costs, high demand for affordable fashion, and effective use of social media platforms creates a strong foundation for growth. With the right execution and strategic planning, MODA LTD can achieve profitability within its first year and expand its operations in the future.</w:t>
      </w:r>
    </w:p>
    <w:p w14:paraId="5F3E79A4">
      <w:pPr>
        <w:keepNext w:val="0"/>
        <w:keepLines w:val="0"/>
        <w:widowControl/>
        <w:suppressLineNumbers w:val="0"/>
        <w:rPr>
          <w:rFonts w:hint="default" w:ascii="Arial Regular" w:hAnsi="Arial Regular" w:cs="Arial Regular"/>
        </w:rPr>
      </w:pPr>
    </w:p>
    <w:p w14:paraId="74536FF6">
      <w:pPr>
        <w:pStyle w:val="3"/>
        <w:keepNext w:val="0"/>
        <w:keepLines w:val="0"/>
        <w:widowControl/>
        <w:suppressLineNumbers w:val="0"/>
        <w:rPr>
          <w:rFonts w:hint="default" w:ascii="Arial Regular" w:hAnsi="Arial Regular" w:cs="Arial Regular"/>
        </w:rPr>
      </w:pPr>
      <w:r>
        <w:rPr>
          <w:rStyle w:val="10"/>
          <w:rFonts w:hint="default" w:ascii="Arial Regular" w:hAnsi="Arial Regular" w:cs="Arial Regular"/>
          <w:b/>
          <w:bCs/>
        </w:rPr>
        <w:t xml:space="preserve">Reference List </w:t>
      </w:r>
    </w:p>
    <w:p w14:paraId="7A8A920C">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Chaffey, D. and Ellis-Chadwick, F. (2019) </w:t>
      </w:r>
      <w:r>
        <w:rPr>
          <w:rStyle w:val="7"/>
          <w:rFonts w:hint="default" w:ascii="Arial Regular" w:hAnsi="Arial Regular" w:cs="Arial Regular"/>
        </w:rPr>
        <w:t>Digital Marketing: Strategy, Implementation and Practice</w:t>
      </w:r>
      <w:r>
        <w:rPr>
          <w:rFonts w:hint="default" w:ascii="Arial Regular" w:hAnsi="Arial Regular" w:cs="Arial Regular"/>
        </w:rPr>
        <w:t>. 7th edn. Harlow: Pearson.</w:t>
      </w:r>
    </w:p>
    <w:p w14:paraId="1E900F56">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Kotler, P., Keller, K.L., Brady, M., Goodman, M. and Hansen, T. (2019) </w:t>
      </w:r>
      <w:r>
        <w:rPr>
          <w:rStyle w:val="7"/>
          <w:rFonts w:hint="default" w:ascii="Arial Regular" w:hAnsi="Arial Regular" w:cs="Arial Regular"/>
        </w:rPr>
        <w:t>Marketing Management</w:t>
      </w:r>
      <w:r>
        <w:rPr>
          <w:rFonts w:hint="default" w:ascii="Arial Regular" w:hAnsi="Arial Regular" w:cs="Arial Regular"/>
        </w:rPr>
        <w:t>. 4th European edn. Harlow: Pearson.</w:t>
      </w:r>
    </w:p>
    <w:p w14:paraId="54D1C4D5">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Blythe, J. (2013) </w:t>
      </w:r>
      <w:r>
        <w:rPr>
          <w:rStyle w:val="7"/>
          <w:rFonts w:hint="default" w:ascii="Arial Regular" w:hAnsi="Arial Regular" w:cs="Arial Regular"/>
        </w:rPr>
        <w:t>Consumer Behaviour</w:t>
      </w:r>
      <w:r>
        <w:rPr>
          <w:rFonts w:hint="default" w:ascii="Arial Regular" w:hAnsi="Arial Regular" w:cs="Arial Regular"/>
        </w:rPr>
        <w:t>. 2nd edn. London: SAGE Publications.</w:t>
      </w:r>
    </w:p>
    <w:p w14:paraId="761273FD">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Statista (2025) </w:t>
      </w:r>
      <w:r>
        <w:rPr>
          <w:rStyle w:val="7"/>
          <w:rFonts w:hint="default" w:ascii="Arial Regular" w:hAnsi="Arial Regular" w:cs="Arial Regular"/>
        </w:rPr>
        <w:t>Online fashion market revenue worldwide</w:t>
      </w:r>
      <w:r>
        <w:rPr>
          <w:rFonts w:hint="default" w:ascii="Arial Regular" w:hAnsi="Arial Regular" w:cs="Arial Regular"/>
        </w:rPr>
        <w:t xml:space="preserve">. Available at: </w:t>
      </w:r>
      <w:r>
        <w:rPr>
          <w:rFonts w:hint="default" w:ascii="Arial Regular" w:hAnsi="Arial Regular" w:cs="Arial Regular"/>
        </w:rPr>
        <w:fldChar w:fldCharType="begin"/>
      </w:r>
      <w:r>
        <w:rPr>
          <w:rFonts w:hint="default" w:ascii="Arial Regular" w:hAnsi="Arial Regular" w:cs="Arial Regular"/>
        </w:rPr>
        <w:instrText xml:space="preserve"> HYPERLINK "https://www.statista.com" \t "/private/var/folders/sp/yg_qhrm91wx2949rpx2kyr2m0000gp/T/com.kingsoft.wpsoffice.mac.global/wps-noidoishow/x/_new" </w:instrText>
      </w:r>
      <w:r>
        <w:rPr>
          <w:rFonts w:hint="default" w:ascii="Arial Regular" w:hAnsi="Arial Regular" w:cs="Arial Regular"/>
        </w:rPr>
        <w:fldChar w:fldCharType="separate"/>
      </w:r>
      <w:r>
        <w:rPr>
          <w:rStyle w:val="8"/>
          <w:rFonts w:hint="default" w:ascii="Arial Regular" w:hAnsi="Arial Regular" w:cs="Arial Regular"/>
        </w:rPr>
        <w:t>https://www.statista.com</w:t>
      </w:r>
      <w:r>
        <w:rPr>
          <w:rFonts w:hint="default" w:ascii="Arial Regular" w:hAnsi="Arial Regular" w:cs="Arial Regular"/>
        </w:rPr>
        <w:fldChar w:fldCharType="end"/>
      </w:r>
      <w:r>
        <w:rPr>
          <w:rFonts w:hint="default" w:ascii="Arial Regular" w:hAnsi="Arial Regular" w:cs="Arial Regular"/>
        </w:rPr>
        <w:t xml:space="preserve"> (Accessed: </w:t>
      </w:r>
      <w:r>
        <w:rPr>
          <w:rFonts w:hint="default" w:ascii="Arial Regular" w:hAnsi="Arial Regular" w:cs="Arial Regular"/>
          <w:lang w:val="en-US"/>
        </w:rPr>
        <w:t>18</w:t>
      </w:r>
      <w:r>
        <w:rPr>
          <w:rFonts w:hint="default" w:ascii="Arial Regular" w:hAnsi="Arial Regular" w:cs="Arial Regular"/>
        </w:rPr>
        <w:t xml:space="preserve"> March 2026).</w:t>
      </w:r>
    </w:p>
    <w:p w14:paraId="4DF939BB">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Statista (2025) </w:t>
      </w:r>
      <w:r>
        <w:rPr>
          <w:rStyle w:val="7"/>
          <w:rFonts w:hint="default" w:ascii="Arial Regular" w:hAnsi="Arial Regular" w:cs="Arial Regular"/>
        </w:rPr>
        <w:t>Influence of social media on Gen Z purchasing decisions</w:t>
      </w:r>
      <w:r>
        <w:rPr>
          <w:rFonts w:hint="default" w:ascii="Arial Regular" w:hAnsi="Arial Regular" w:cs="Arial Regular"/>
        </w:rPr>
        <w:t xml:space="preserve">. Available at: </w:t>
      </w:r>
      <w:r>
        <w:rPr>
          <w:rFonts w:hint="default" w:ascii="Arial Regular" w:hAnsi="Arial Regular" w:cs="Arial Regular"/>
        </w:rPr>
        <w:fldChar w:fldCharType="begin"/>
      </w:r>
      <w:r>
        <w:rPr>
          <w:rFonts w:hint="default" w:ascii="Arial Regular" w:hAnsi="Arial Regular" w:cs="Arial Regular"/>
        </w:rPr>
        <w:instrText xml:space="preserve"> HYPERLINK "https://www.statista.com" \t "/private/var/folders/sp/yg_qhrm91wx2949rpx2kyr2m0000gp/T/com.kingsoft.wpsoffice.mac.global/wps-noidoishow/x/_new" </w:instrText>
      </w:r>
      <w:r>
        <w:rPr>
          <w:rFonts w:hint="default" w:ascii="Arial Regular" w:hAnsi="Arial Regular" w:cs="Arial Regular"/>
        </w:rPr>
        <w:fldChar w:fldCharType="separate"/>
      </w:r>
      <w:r>
        <w:rPr>
          <w:rStyle w:val="8"/>
          <w:rFonts w:hint="default" w:ascii="Arial Regular" w:hAnsi="Arial Regular" w:cs="Arial Regular"/>
        </w:rPr>
        <w:t>https://www.statista.com</w:t>
      </w:r>
      <w:r>
        <w:rPr>
          <w:rFonts w:hint="default" w:ascii="Arial Regular" w:hAnsi="Arial Regular" w:cs="Arial Regular"/>
        </w:rPr>
        <w:fldChar w:fldCharType="end"/>
      </w:r>
      <w:r>
        <w:rPr>
          <w:rFonts w:hint="default" w:ascii="Arial Regular" w:hAnsi="Arial Regular" w:cs="Arial Regular"/>
        </w:rPr>
        <w:t xml:space="preserve"> (Accessed: </w:t>
      </w:r>
      <w:r>
        <w:rPr>
          <w:rFonts w:hint="default" w:ascii="Arial Regular" w:hAnsi="Arial Regular" w:cs="Arial Regular"/>
          <w:lang w:val="en-US"/>
        </w:rPr>
        <w:t>18</w:t>
      </w:r>
      <w:r>
        <w:rPr>
          <w:rFonts w:hint="default" w:ascii="Arial Regular" w:hAnsi="Arial Regular" w:cs="Arial Regular"/>
        </w:rPr>
        <w:t xml:space="preserve"> March 2026).</w:t>
      </w:r>
    </w:p>
    <w:p w14:paraId="4B09DD12">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Mintel (2024) </w:t>
      </w:r>
      <w:r>
        <w:rPr>
          <w:rStyle w:val="7"/>
          <w:rFonts w:hint="default" w:ascii="Arial Regular" w:hAnsi="Arial Regular" w:cs="Arial Regular"/>
        </w:rPr>
        <w:t>Online Fashion Retailing – UK Report</w:t>
      </w:r>
      <w:r>
        <w:rPr>
          <w:rFonts w:hint="default" w:ascii="Arial Regular" w:hAnsi="Arial Regular" w:cs="Arial Regular"/>
        </w:rPr>
        <w:t xml:space="preserve">. Available at: </w:t>
      </w:r>
      <w:r>
        <w:rPr>
          <w:rFonts w:hint="default" w:ascii="Arial Regular" w:hAnsi="Arial Regular" w:cs="Arial Regular"/>
        </w:rPr>
        <w:fldChar w:fldCharType="begin"/>
      </w:r>
      <w:r>
        <w:rPr>
          <w:rFonts w:hint="default" w:ascii="Arial Regular" w:hAnsi="Arial Regular" w:cs="Arial Regular"/>
        </w:rPr>
        <w:instrText xml:space="preserve"> HYPERLINK "https://www.mintel.com" \t "/private/var/folders/sp/yg_qhrm91wx2949rpx2kyr2m0000gp/T/com.kingsoft.wpsoffice.mac.global/wps-noidoishow/x/_new" </w:instrText>
      </w:r>
      <w:r>
        <w:rPr>
          <w:rFonts w:hint="default" w:ascii="Arial Regular" w:hAnsi="Arial Regular" w:cs="Arial Regular"/>
        </w:rPr>
        <w:fldChar w:fldCharType="separate"/>
      </w:r>
      <w:r>
        <w:rPr>
          <w:rStyle w:val="8"/>
          <w:rFonts w:hint="default" w:ascii="Arial Regular" w:hAnsi="Arial Regular" w:cs="Arial Regular"/>
        </w:rPr>
        <w:t>https://www.mintel.com</w:t>
      </w:r>
      <w:r>
        <w:rPr>
          <w:rFonts w:hint="default" w:ascii="Arial Regular" w:hAnsi="Arial Regular" w:cs="Arial Regular"/>
        </w:rPr>
        <w:fldChar w:fldCharType="end"/>
      </w:r>
      <w:r>
        <w:rPr>
          <w:rFonts w:hint="default" w:ascii="Arial Regular" w:hAnsi="Arial Regular" w:cs="Arial Regular"/>
        </w:rPr>
        <w:t xml:space="preserve"> (Accessed: 22 March 2026).</w:t>
      </w:r>
    </w:p>
    <w:p w14:paraId="07D6A18D">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McKinsey &amp; Company (2023) </w:t>
      </w:r>
      <w:r>
        <w:rPr>
          <w:rStyle w:val="7"/>
          <w:rFonts w:hint="default" w:ascii="Arial Regular" w:hAnsi="Arial Regular" w:cs="Arial Regular"/>
        </w:rPr>
        <w:t>The State of Fashion 2023</w:t>
      </w:r>
      <w:r>
        <w:rPr>
          <w:rFonts w:hint="default" w:ascii="Arial Regular" w:hAnsi="Arial Regular" w:cs="Arial Regular"/>
        </w:rPr>
        <w:t xml:space="preserve">. Available at: </w:t>
      </w:r>
      <w:r>
        <w:rPr>
          <w:rFonts w:hint="default" w:ascii="Arial Regular" w:hAnsi="Arial Regular" w:cs="Arial Regular"/>
        </w:rPr>
        <w:fldChar w:fldCharType="begin"/>
      </w:r>
      <w:r>
        <w:rPr>
          <w:rFonts w:hint="default" w:ascii="Arial Regular" w:hAnsi="Arial Regular" w:cs="Arial Regular"/>
        </w:rPr>
        <w:instrText xml:space="preserve"> HYPERLINK "https://www.mckinsey.com" \t "/private/var/folders/sp/yg_qhrm91wx2949rpx2kyr2m0000gp/T/com.kingsoft.wpsoffice.mac.global/wps-noidoishow/x/_new" </w:instrText>
      </w:r>
      <w:r>
        <w:rPr>
          <w:rFonts w:hint="default" w:ascii="Arial Regular" w:hAnsi="Arial Regular" w:cs="Arial Regular"/>
        </w:rPr>
        <w:fldChar w:fldCharType="separate"/>
      </w:r>
      <w:r>
        <w:rPr>
          <w:rStyle w:val="8"/>
          <w:rFonts w:hint="default" w:ascii="Arial Regular" w:hAnsi="Arial Regular" w:cs="Arial Regular"/>
        </w:rPr>
        <w:t>https://www.mckinsey.com</w:t>
      </w:r>
      <w:r>
        <w:rPr>
          <w:rFonts w:hint="default" w:ascii="Arial Regular" w:hAnsi="Arial Regular" w:cs="Arial Regular"/>
        </w:rPr>
        <w:fldChar w:fldCharType="end"/>
      </w:r>
      <w:r>
        <w:rPr>
          <w:rFonts w:hint="default" w:ascii="Arial Regular" w:hAnsi="Arial Regular" w:cs="Arial Regular"/>
        </w:rPr>
        <w:t xml:space="preserve"> (Accessed: </w:t>
      </w:r>
      <w:r>
        <w:rPr>
          <w:rFonts w:hint="default" w:ascii="Arial Regular" w:hAnsi="Arial Regular" w:cs="Arial Regular"/>
          <w:lang w:val="en-US"/>
        </w:rPr>
        <w:t>18</w:t>
      </w:r>
      <w:r>
        <w:rPr>
          <w:rFonts w:hint="default" w:ascii="Arial Regular" w:hAnsi="Arial Regular" w:cs="Arial Regular"/>
        </w:rPr>
        <w:t xml:space="preserve"> March 2026).</w:t>
      </w:r>
    </w:p>
    <w:p w14:paraId="34DB212C">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Deloitte (2024) </w:t>
      </w:r>
      <w:r>
        <w:rPr>
          <w:rStyle w:val="7"/>
          <w:rFonts w:hint="default" w:ascii="Arial Regular" w:hAnsi="Arial Regular" w:cs="Arial Regular"/>
        </w:rPr>
        <w:t>Global Powers of Retailing 2024</w:t>
      </w:r>
      <w:r>
        <w:rPr>
          <w:rFonts w:hint="default" w:ascii="Arial Regular" w:hAnsi="Arial Regular" w:cs="Arial Regular"/>
        </w:rPr>
        <w:t xml:space="preserve">. Available at: </w:t>
      </w:r>
      <w:r>
        <w:rPr>
          <w:rFonts w:hint="default" w:ascii="Arial Regular" w:hAnsi="Arial Regular" w:cs="Arial Regular"/>
        </w:rPr>
        <w:fldChar w:fldCharType="begin"/>
      </w:r>
      <w:r>
        <w:rPr>
          <w:rFonts w:hint="default" w:ascii="Arial Regular" w:hAnsi="Arial Regular" w:cs="Arial Regular"/>
        </w:rPr>
        <w:instrText xml:space="preserve"> HYPERLINK "https://www2.deloitte.com" \t "/private/var/folders/sp/yg_qhrm91wx2949rpx2kyr2m0000gp/T/com.kingsoft.wpsoffice.mac.global/wps-noidoishow/x/_new" </w:instrText>
      </w:r>
      <w:r>
        <w:rPr>
          <w:rFonts w:hint="default" w:ascii="Arial Regular" w:hAnsi="Arial Regular" w:cs="Arial Regular"/>
        </w:rPr>
        <w:fldChar w:fldCharType="separate"/>
      </w:r>
      <w:r>
        <w:rPr>
          <w:rStyle w:val="8"/>
          <w:rFonts w:hint="default" w:ascii="Arial Regular" w:hAnsi="Arial Regular" w:cs="Arial Regular"/>
        </w:rPr>
        <w:t>https://www2.deloitte.com</w:t>
      </w:r>
      <w:r>
        <w:rPr>
          <w:rFonts w:hint="default" w:ascii="Arial Regular" w:hAnsi="Arial Regular" w:cs="Arial Regular"/>
        </w:rPr>
        <w:fldChar w:fldCharType="end"/>
      </w:r>
      <w:r>
        <w:rPr>
          <w:rFonts w:hint="default" w:ascii="Arial Regular" w:hAnsi="Arial Regular" w:cs="Arial Regular"/>
        </w:rPr>
        <w:t xml:space="preserve"> (Accessed: </w:t>
      </w:r>
      <w:r>
        <w:rPr>
          <w:rFonts w:hint="default" w:ascii="Arial Regular" w:hAnsi="Arial Regular" w:cs="Arial Regular"/>
          <w:lang w:val="en-US"/>
        </w:rPr>
        <w:t>18</w:t>
      </w:r>
      <w:r>
        <w:rPr>
          <w:rFonts w:hint="default" w:ascii="Arial Regular" w:hAnsi="Arial Regular" w:cs="Arial Regular"/>
        </w:rPr>
        <w:t xml:space="preserve"> March 2026).</w:t>
      </w:r>
    </w:p>
    <w:p w14:paraId="66ACD5EC">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Indeed (2026) </w:t>
      </w:r>
      <w:r>
        <w:rPr>
          <w:rStyle w:val="7"/>
          <w:rFonts w:hint="default" w:ascii="Arial Regular" w:hAnsi="Arial Regular" w:cs="Arial Regular"/>
        </w:rPr>
        <w:t>Job market insights and trends</w:t>
      </w:r>
      <w:r>
        <w:rPr>
          <w:rFonts w:hint="default" w:ascii="Arial Regular" w:hAnsi="Arial Regular" w:cs="Arial Regular"/>
        </w:rPr>
        <w:t xml:space="preserve">. Available at: </w:t>
      </w:r>
      <w:r>
        <w:rPr>
          <w:rFonts w:hint="default" w:ascii="Arial Regular" w:hAnsi="Arial Regular" w:cs="Arial Regular"/>
        </w:rPr>
        <w:fldChar w:fldCharType="begin"/>
      </w:r>
      <w:r>
        <w:rPr>
          <w:rFonts w:hint="default" w:ascii="Arial Regular" w:hAnsi="Arial Regular" w:cs="Arial Regular"/>
        </w:rPr>
        <w:instrText xml:space="preserve"> HYPERLINK "https://www.indeed.com" \t "/private/var/folders/sp/yg_qhrm91wx2949rpx2kyr2m0000gp/T/com.kingsoft.wpsoffice.mac.global/wps-noidoishow/x/_new" </w:instrText>
      </w:r>
      <w:r>
        <w:rPr>
          <w:rFonts w:hint="default" w:ascii="Arial Regular" w:hAnsi="Arial Regular" w:cs="Arial Regular"/>
        </w:rPr>
        <w:fldChar w:fldCharType="separate"/>
      </w:r>
      <w:r>
        <w:rPr>
          <w:rStyle w:val="8"/>
          <w:rFonts w:hint="default" w:ascii="Arial Regular" w:hAnsi="Arial Regular" w:cs="Arial Regular"/>
        </w:rPr>
        <w:t>https://www.indeed.com</w:t>
      </w:r>
      <w:r>
        <w:rPr>
          <w:rFonts w:hint="default" w:ascii="Arial Regular" w:hAnsi="Arial Regular" w:cs="Arial Regular"/>
        </w:rPr>
        <w:fldChar w:fldCharType="end"/>
      </w:r>
      <w:r>
        <w:rPr>
          <w:rFonts w:hint="default" w:ascii="Arial Regular" w:hAnsi="Arial Regular" w:cs="Arial Regular"/>
        </w:rPr>
        <w:t xml:space="preserve"> (Accessed: 22 March 2026).</w:t>
      </w:r>
    </w:p>
    <w:p w14:paraId="69BDD2E7">
      <w:pPr>
        <w:pStyle w:val="9"/>
        <w:keepNext w:val="0"/>
        <w:keepLines w:val="0"/>
        <w:widowControl/>
        <w:suppressLineNumbers w:val="0"/>
        <w:rPr>
          <w:rFonts w:hint="default" w:ascii="Arial Regular" w:hAnsi="Arial Regular" w:cs="Arial Regular"/>
        </w:rPr>
      </w:pPr>
      <w:r>
        <w:rPr>
          <w:rFonts w:hint="default" w:ascii="Arial Regular" w:hAnsi="Arial Regular" w:cs="Arial Regular"/>
        </w:rPr>
        <w:t xml:space="preserve">Armstrong, G. and Kotler, P. (2020) </w:t>
      </w:r>
      <w:r>
        <w:rPr>
          <w:rStyle w:val="7"/>
          <w:rFonts w:hint="default" w:ascii="Arial Regular" w:hAnsi="Arial Regular" w:cs="Arial Regular"/>
        </w:rPr>
        <w:t>Principles of Marketing</w:t>
      </w:r>
      <w:r>
        <w:rPr>
          <w:rFonts w:hint="default" w:ascii="Arial Regular" w:hAnsi="Arial Regular" w:cs="Arial Regular"/>
        </w:rPr>
        <w:t>. 18th edn. Harlow: Pearson.</w:t>
      </w:r>
    </w:p>
    <w:p w14:paraId="4FB7C533">
      <w:pPr>
        <w:rPr>
          <w:rFonts w:hint="default" w:ascii="Arial Regular" w:hAnsi="Arial Regular" w:cs="Arial Regular"/>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Kingsoft Sign">
    <w:panose1 w:val="05050102010706020507"/>
    <w:charset w:val="00"/>
    <w:family w:val="auto"/>
    <w:pitch w:val="default"/>
    <w:sig w:usb0="00000000" w:usb1="10000000" w:usb2="00000000" w:usb3="00000000" w:csb0="00000001" w:csb1="00000000"/>
  </w:font>
  <w:font w:name="SimSun">
    <w:altName w:val="宋体-简"/>
    <w:panose1 w:val="02010600030101010101"/>
    <w:charset w:val="86"/>
    <w:family w:val="roman"/>
    <w:pitch w:val="variable"/>
    <w:sig w:usb0="00000003" w:usb1="288F0000" w:usb2="00000016" w:usb3="00000000" w:csb0="00040001" w:csb1="00000000"/>
  </w:font>
  <w:font w:name="Arial Regular">
    <w:panose1 w:val="020B0704020202020204"/>
    <w:charset w:val="00"/>
    <w:family w:val="auto"/>
    <w:pitch w:val="default"/>
    <w:sig w:usb0="E0002AFF" w:usb1="C0007843" w:usb2="00000009" w:usb3="00000000" w:csb0="400001FF" w:csb1="FFFF0000"/>
  </w:font>
  <w:font w:name="Arial Unicode MS">
    <w:panose1 w:val="020B0604020202020204"/>
    <w:charset w:val="86"/>
    <w:family w:val="auto"/>
    <w:pitch w:val="default"/>
    <w:sig w:usb0="FFFFFFFF" w:usb1="E9FFFFFF" w:usb2="0000003F" w:usb3="00000000" w:csb0="603F01FF" w:csb1="FFFF0000"/>
  </w:font>
  <w:font w:name="黑体-简">
    <w:panose1 w:val="00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等线">
    <w:altName w:val="苹方-简"/>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FBE1E26"/>
    <w:multiLevelType w:val="multilevel"/>
    <w:tmpl w:val="CFBE1E26"/>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
    <w:nsid w:val="1DFC0010"/>
    <w:multiLevelType w:val="multilevel"/>
    <w:tmpl w:val="1DFC0010"/>
    <w:lvl w:ilvl="0" w:tentative="0">
      <w:start w:val="1"/>
      <w:numFmt w:val="decimal"/>
      <w:lvlText w:val="%1."/>
      <w:lvlJc w:val="left"/>
      <w:pPr>
        <w:tabs>
          <w:tab w:val="left" w:pos="720"/>
        </w:tabs>
        <w:ind w:left="720" w:hanging="360"/>
      </w:pPr>
      <w:rPr>
        <w:sz w:val="24"/>
        <w:szCs w:val="24"/>
      </w:rPr>
    </w:lvl>
    <w:lvl w:ilvl="1" w:tentative="0">
      <w:start w:val="1"/>
      <w:numFmt w:val="decimal"/>
      <w:lvlText w:val="%2."/>
      <w:lvlJc w:val="left"/>
      <w:pPr>
        <w:tabs>
          <w:tab w:val="left" w:pos="1440"/>
        </w:tabs>
        <w:ind w:left="1440" w:hanging="360"/>
      </w:pPr>
      <w:rPr>
        <w:sz w:val="24"/>
        <w:szCs w:val="24"/>
      </w:rPr>
    </w:lvl>
    <w:lvl w:ilvl="2" w:tentative="0">
      <w:start w:val="1"/>
      <w:numFmt w:val="decimal"/>
      <w:lvlText w:val="%3."/>
      <w:lvlJc w:val="left"/>
      <w:pPr>
        <w:tabs>
          <w:tab w:val="left" w:pos="2160"/>
        </w:tabs>
        <w:ind w:left="2160" w:hanging="360"/>
      </w:pPr>
      <w:rPr>
        <w:sz w:val="24"/>
        <w:szCs w:val="24"/>
      </w:rPr>
    </w:lvl>
    <w:lvl w:ilvl="3" w:tentative="0">
      <w:start w:val="1"/>
      <w:numFmt w:val="decimal"/>
      <w:lvlText w:val="%4."/>
      <w:lvlJc w:val="left"/>
      <w:pPr>
        <w:tabs>
          <w:tab w:val="left" w:pos="2517"/>
        </w:tabs>
        <w:ind w:left="2880" w:hanging="360"/>
      </w:pPr>
      <w:rPr>
        <w:sz w:val="24"/>
        <w:szCs w:val="24"/>
      </w:rPr>
    </w:lvl>
    <w:lvl w:ilvl="4" w:tentative="0">
      <w:start w:val="1"/>
      <w:numFmt w:val="decimal"/>
      <w:lvlText w:val="%5."/>
      <w:lvlJc w:val="left"/>
      <w:pPr>
        <w:tabs>
          <w:tab w:val="left" w:pos="3238"/>
        </w:tabs>
        <w:ind w:left="3600" w:hanging="360"/>
      </w:pPr>
      <w:rPr>
        <w:sz w:val="24"/>
        <w:szCs w:val="24"/>
      </w:rPr>
    </w:lvl>
    <w:lvl w:ilvl="5" w:tentative="0">
      <w:start w:val="1"/>
      <w:numFmt w:val="decimal"/>
      <w:lvlText w:val="%6."/>
      <w:lvlJc w:val="left"/>
      <w:pPr>
        <w:tabs>
          <w:tab w:val="left" w:pos="3958"/>
        </w:tabs>
        <w:ind w:left="4320" w:hanging="360"/>
      </w:pPr>
      <w:rPr>
        <w:sz w:val="24"/>
        <w:szCs w:val="24"/>
      </w:rPr>
    </w:lvl>
    <w:lvl w:ilvl="6" w:tentative="0">
      <w:start w:val="1"/>
      <w:numFmt w:val="decimal"/>
      <w:lvlText w:val="%7."/>
      <w:lvlJc w:val="left"/>
      <w:pPr>
        <w:tabs>
          <w:tab w:val="left" w:pos="4678"/>
        </w:tabs>
        <w:ind w:left="5040" w:hanging="360"/>
      </w:pPr>
      <w:rPr>
        <w:sz w:val="24"/>
        <w:szCs w:val="24"/>
      </w:rPr>
    </w:lvl>
    <w:lvl w:ilvl="7" w:tentative="0">
      <w:start w:val="1"/>
      <w:numFmt w:val="decimal"/>
      <w:lvlText w:val="%8."/>
      <w:lvlJc w:val="left"/>
      <w:pPr>
        <w:tabs>
          <w:tab w:val="left" w:pos="5398"/>
        </w:tabs>
        <w:ind w:left="5760" w:hanging="360"/>
      </w:pPr>
      <w:rPr>
        <w:sz w:val="24"/>
        <w:szCs w:val="24"/>
      </w:rPr>
    </w:lvl>
    <w:lvl w:ilvl="8" w:tentative="0">
      <w:start w:val="1"/>
      <w:numFmt w:val="decimal"/>
      <w:lvlText w:val="%9."/>
      <w:lvlJc w:val="left"/>
      <w:pPr>
        <w:tabs>
          <w:tab w:val="left" w:pos="6118"/>
        </w:tabs>
        <w:ind w:left="6480" w:hanging="360"/>
      </w:pPr>
      <w:rPr>
        <w:sz w:val="24"/>
        <w:szCs w:val="24"/>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A6EBFCC0"/>
    <w:rsid w:val="6FDD2D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5">
    <w:name w:val="Default Paragraph Font"/>
    <w:semiHidden/>
    <w:uiPriority w:val="0"/>
  </w:style>
  <w:style w:type="table" w:default="1" w:styleId="6">
    <w:name w:val="Normal Table"/>
    <w:semiHidden/>
    <w:uiPriority w:val="0"/>
    <w:tblPr>
      <w:tblCellMar>
        <w:top w:w="0" w:type="dxa"/>
        <w:left w:w="108" w:type="dxa"/>
        <w:bottom w:w="0" w:type="dxa"/>
        <w:right w:w="108" w:type="dxa"/>
      </w:tblCellMar>
    </w:tblPr>
  </w:style>
  <w:style w:type="character" w:styleId="7">
    <w:name w:val="Emphasis"/>
    <w:basedOn w:val="5"/>
    <w:qFormat/>
    <w:uiPriority w:val="0"/>
    <w:rPr>
      <w:i/>
      <w:iCs/>
    </w:rPr>
  </w:style>
  <w:style w:type="character" w:styleId="8">
    <w:name w:val="Hyperlink"/>
    <w:basedOn w:val="5"/>
    <w:uiPriority w:val="0"/>
    <w:rPr>
      <w:color w:val="0000FF"/>
      <w:u w:val="single"/>
    </w:rPr>
  </w:style>
  <w:style w:type="paragraph" w:styleId="9">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0">
    <w:name w:val="Strong"/>
    <w:basedOn w:val="5"/>
    <w:qFormat/>
    <w:uiPriority w:val="0"/>
    <w:rPr>
      <w:b/>
      <w:bCs/>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8</Pages>
  <Words>0</Words>
  <Characters>0</Characters>
  <Lines>0</Lines>
  <Paragraphs>0</Paragraphs>
  <TotalTime>10</TotalTime>
  <ScaleCrop>false</ScaleCrop>
  <LinksUpToDate>false</LinksUpToDate>
  <CharactersWithSpaces>0</CharactersWithSpaces>
  <Application>WPS Office_12.1.23155.23155_F1E327BC-269C-435d-A152-05C5408002CA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2026-03-23T15:15:00Z</dcterms:created>
  <dc:creator>noidoishow</dc:creator>
  <cp:lastModifiedBy>noidoishow</cp:lastModifiedBy>
  <dcterms:modified xsi:type="dcterms:W3CDTF">2026-03-29T23:34:10Z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CA8945D78641EA19094BC169EE10FC69_41</vt:lpwstr>
  </property>
</Properties>
</file>