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032DB" w14:textId="56DF55C8" w:rsidR="008E70A0" w:rsidRPr="008E70A0" w:rsidRDefault="008E70A0" w:rsidP="008E70A0">
      <w:pPr>
        <w:jc w:val="center"/>
        <w:rPr>
          <w:rFonts w:ascii="Arial" w:hAnsi="Arial" w:cs="Arial"/>
          <w:b/>
          <w:bCs/>
          <w:sz w:val="96"/>
          <w:szCs w:val="96"/>
        </w:rPr>
      </w:pPr>
      <w:r w:rsidRPr="008E70A0">
        <w:rPr>
          <w:rFonts w:ascii="Arial" w:hAnsi="Arial" w:cs="Arial"/>
          <w:b/>
          <w:bCs/>
          <w:sz w:val="96"/>
          <w:szCs w:val="96"/>
        </w:rPr>
        <w:t>BMHP6030_BIRM: HEALTH, WELLBEING AND SUSTAINABLE DEVELOPMENT</w:t>
      </w:r>
    </w:p>
    <w:p w14:paraId="34B823F0" w14:textId="09A12C7D" w:rsidR="008E70A0" w:rsidRPr="008E70A0" w:rsidRDefault="008E70A0" w:rsidP="008E70A0">
      <w:pPr>
        <w:jc w:val="center"/>
        <w:rPr>
          <w:rFonts w:ascii="Arial" w:hAnsi="Arial" w:cs="Arial"/>
          <w:b/>
          <w:bCs/>
          <w:sz w:val="96"/>
          <w:szCs w:val="96"/>
        </w:rPr>
      </w:pPr>
      <w:r w:rsidRPr="008E70A0">
        <w:rPr>
          <w:rFonts w:ascii="Arial" w:hAnsi="Arial" w:cs="Arial"/>
          <w:b/>
          <w:bCs/>
          <w:sz w:val="96"/>
          <w:szCs w:val="96"/>
        </w:rPr>
        <w:t>COMPONENT 2 REPORT</w:t>
      </w:r>
    </w:p>
    <w:p w14:paraId="032B9EAA" w14:textId="7384A160" w:rsidR="008E70A0" w:rsidRPr="008E70A0" w:rsidRDefault="008E70A0" w:rsidP="008E70A0">
      <w:pPr>
        <w:jc w:val="center"/>
        <w:rPr>
          <w:rFonts w:ascii="Arial" w:hAnsi="Arial" w:cs="Arial"/>
          <w:b/>
          <w:bCs/>
          <w:sz w:val="96"/>
          <w:szCs w:val="96"/>
        </w:rPr>
      </w:pPr>
      <w:r w:rsidRPr="008E70A0">
        <w:rPr>
          <w:rFonts w:ascii="Arial" w:hAnsi="Arial" w:cs="Arial"/>
          <w:b/>
          <w:bCs/>
          <w:sz w:val="96"/>
          <w:szCs w:val="96"/>
        </w:rPr>
        <w:t xml:space="preserve">WORD COUNT: </w:t>
      </w:r>
      <w:r w:rsidR="00C3020B">
        <w:rPr>
          <w:rFonts w:ascii="Arial" w:hAnsi="Arial" w:cs="Arial"/>
          <w:b/>
          <w:bCs/>
          <w:sz w:val="96"/>
          <w:szCs w:val="96"/>
        </w:rPr>
        <w:t>2,033</w:t>
      </w:r>
    </w:p>
    <w:p w14:paraId="335EEF61" w14:textId="7061113D" w:rsidR="008E70A0" w:rsidRDefault="008E70A0" w:rsidP="008E70A0">
      <w:pPr>
        <w:jc w:val="center"/>
        <w:rPr>
          <w:rFonts w:ascii="Arial" w:hAnsi="Arial" w:cs="Arial"/>
        </w:rPr>
      </w:pPr>
      <w:r w:rsidRPr="008E70A0">
        <w:rPr>
          <w:rFonts w:ascii="Arial" w:hAnsi="Arial" w:cs="Arial"/>
          <w:b/>
          <w:bCs/>
          <w:sz w:val="96"/>
          <w:szCs w:val="96"/>
        </w:rPr>
        <w:t>SID: 2213244</w:t>
      </w:r>
      <w:r>
        <w:rPr>
          <w:rFonts w:ascii="Arial" w:hAnsi="Arial" w:cs="Arial"/>
        </w:rPr>
        <w:t>.</w:t>
      </w:r>
    </w:p>
    <w:p w14:paraId="59E03F2F" w14:textId="77777777" w:rsidR="008E70A0" w:rsidRDefault="008E70A0" w:rsidP="008E70A0">
      <w:pPr>
        <w:jc w:val="center"/>
        <w:rPr>
          <w:rFonts w:ascii="Arial" w:hAnsi="Arial" w:cs="Arial"/>
        </w:rPr>
      </w:pPr>
    </w:p>
    <w:p w14:paraId="69A35940" w14:textId="0C013C27" w:rsidR="008E70A0" w:rsidRDefault="008E70A0" w:rsidP="008E70A0">
      <w:pPr>
        <w:spacing w:line="360" w:lineRule="auto"/>
        <w:rPr>
          <w:rFonts w:ascii="Arial" w:hAnsi="Arial" w:cs="Arial"/>
          <w:sz w:val="22"/>
          <w:szCs w:val="22"/>
        </w:rPr>
      </w:pPr>
      <w:r w:rsidRPr="008E70A0">
        <w:rPr>
          <w:rFonts w:ascii="Arial" w:hAnsi="Arial" w:cs="Arial"/>
          <w:b/>
          <w:bCs/>
          <w:sz w:val="22"/>
          <w:szCs w:val="22"/>
          <w:u w:val="single"/>
        </w:rPr>
        <w:lastRenderedPageBreak/>
        <w:t>Introduction</w:t>
      </w:r>
      <w:r>
        <w:rPr>
          <w:rFonts w:ascii="Arial" w:hAnsi="Arial" w:cs="Arial"/>
          <w:sz w:val="22"/>
          <w:szCs w:val="22"/>
        </w:rPr>
        <w:t>:</w:t>
      </w:r>
    </w:p>
    <w:p w14:paraId="4F04015E" w14:textId="25695851" w:rsidR="008E70A0" w:rsidRDefault="008E70A0" w:rsidP="008E70A0">
      <w:pPr>
        <w:spacing w:line="360" w:lineRule="auto"/>
        <w:rPr>
          <w:rFonts w:ascii="Arial" w:hAnsi="Arial" w:cs="Arial"/>
          <w:sz w:val="22"/>
          <w:szCs w:val="22"/>
        </w:rPr>
      </w:pPr>
      <w:r w:rsidRPr="008E70A0">
        <w:rPr>
          <w:rFonts w:ascii="Arial" w:hAnsi="Arial" w:cs="Arial"/>
          <w:sz w:val="22"/>
          <w:szCs w:val="22"/>
        </w:rPr>
        <w:t>In addition to being acknowledged globally as crucial elements of enhancing quality of life and lowering inequality, health and wellbeing are key to sustainable development. The 17 Sustainable Development Goals (SDGs) of the United Nations' 2030 Agenda for Sustainable Development offer a worldwide framework for tackling interrelated economic, social, and environmental issues. According to this framework, Sustainable Development Goal 10 (SDG 10) concentrates on lowering inequality both within and between nations, whereas Sustainable Development Goal 3 (SDG 3) aims to guarantee healthy lifestyles and promote wellbeing for everyone at all ages (United Nations, 2024).</w:t>
      </w:r>
      <w:r>
        <w:rPr>
          <w:rFonts w:ascii="Arial" w:hAnsi="Arial" w:cs="Arial"/>
          <w:sz w:val="22"/>
          <w:szCs w:val="22"/>
        </w:rPr>
        <w:t xml:space="preserve"> </w:t>
      </w:r>
      <w:r w:rsidRPr="008E70A0">
        <w:rPr>
          <w:rFonts w:ascii="Arial" w:hAnsi="Arial" w:cs="Arial"/>
          <w:sz w:val="22"/>
          <w:szCs w:val="22"/>
        </w:rPr>
        <w:t>These objectives are interconnected because tackling the social and economic disparities that affect healthcare access, health-related behaviours, and general wellbeing is essential to improving population health.</w:t>
      </w:r>
    </w:p>
    <w:p w14:paraId="7589AD55" w14:textId="06A980B5" w:rsidR="008E70A0" w:rsidRDefault="004A3651" w:rsidP="008E70A0">
      <w:pPr>
        <w:spacing w:line="360" w:lineRule="auto"/>
        <w:rPr>
          <w:rFonts w:ascii="Arial" w:hAnsi="Arial" w:cs="Arial"/>
          <w:sz w:val="22"/>
          <w:szCs w:val="22"/>
        </w:rPr>
      </w:pPr>
      <w:r w:rsidRPr="004A3651">
        <w:rPr>
          <w:rFonts w:ascii="Arial" w:hAnsi="Arial" w:cs="Arial"/>
          <w:sz w:val="22"/>
          <w:szCs w:val="22"/>
        </w:rPr>
        <w:t>The significance of these objectives has grown more apparent in the UK as health and social care systems deal with mounting demands brought on by an ageing population, an increase in the prevalence of chronic illnesses, a lack of workers, and enduring health disparities.</w:t>
      </w:r>
      <w:r>
        <w:rPr>
          <w:rFonts w:ascii="Arial" w:hAnsi="Arial" w:cs="Arial"/>
          <w:sz w:val="22"/>
          <w:szCs w:val="22"/>
        </w:rPr>
        <w:t xml:space="preserve"> </w:t>
      </w:r>
      <w:r w:rsidRPr="004A3651">
        <w:rPr>
          <w:rFonts w:ascii="Arial" w:hAnsi="Arial" w:cs="Arial"/>
          <w:sz w:val="22"/>
          <w:szCs w:val="22"/>
        </w:rPr>
        <w:t>In order to promote population health and maintain the long-term sustainability of healthcare systems, national programs such as the NHS Long Term Plan and Integrated Care Systems (ICSs) have switched the focus to prevention, early intervention, and partnership working (NHS England, 2024).</w:t>
      </w:r>
      <w:r>
        <w:rPr>
          <w:rFonts w:ascii="Arial" w:hAnsi="Arial" w:cs="Arial"/>
          <w:sz w:val="22"/>
          <w:szCs w:val="22"/>
        </w:rPr>
        <w:t xml:space="preserve"> The effectiveness of current initiatives in achieving equitable and sustainable healthcare is called into question, though, as evidence continues to show disparities in health outcomes linked to socioeconomic status, ethnicity, geography, and digital exclusion despite significant policy commitments (Marmot et al., 2020; Office for Health Improvement and Disparities, 2024).</w:t>
      </w:r>
    </w:p>
    <w:p w14:paraId="40CB0C3A" w14:textId="57CDCE36" w:rsidR="004A3651" w:rsidRDefault="004A3651" w:rsidP="008E70A0">
      <w:pPr>
        <w:spacing w:line="360" w:lineRule="auto"/>
        <w:rPr>
          <w:rFonts w:ascii="Arial" w:hAnsi="Arial" w:cs="Arial"/>
          <w:sz w:val="22"/>
          <w:szCs w:val="22"/>
        </w:rPr>
      </w:pPr>
      <w:r w:rsidRPr="004A3651">
        <w:rPr>
          <w:rFonts w:ascii="Arial" w:hAnsi="Arial" w:cs="Arial"/>
          <w:sz w:val="22"/>
          <w:szCs w:val="22"/>
        </w:rPr>
        <w:t xml:space="preserve">By </w:t>
      </w:r>
      <w:r w:rsidRPr="004A3651">
        <w:rPr>
          <w:rFonts w:ascii="Arial" w:hAnsi="Arial" w:cs="Arial"/>
          <w:sz w:val="22"/>
          <w:szCs w:val="22"/>
        </w:rPr>
        <w:t>considering</w:t>
      </w:r>
      <w:r w:rsidRPr="004A3651">
        <w:rPr>
          <w:rFonts w:ascii="Arial" w:hAnsi="Arial" w:cs="Arial"/>
          <w:sz w:val="22"/>
          <w:szCs w:val="22"/>
        </w:rPr>
        <w:t xml:space="preserve"> the broader social determinants of health, </w:t>
      </w:r>
      <w:r>
        <w:rPr>
          <w:rFonts w:ascii="Arial" w:hAnsi="Arial" w:cs="Arial"/>
          <w:sz w:val="22"/>
          <w:szCs w:val="22"/>
        </w:rPr>
        <w:t>the report</w:t>
      </w:r>
      <w:r w:rsidRPr="004A3651">
        <w:rPr>
          <w:rFonts w:ascii="Arial" w:hAnsi="Arial" w:cs="Arial"/>
          <w:sz w:val="22"/>
          <w:szCs w:val="22"/>
        </w:rPr>
        <w:t xml:space="preserve"> investigates how these objectives affect health policy, healthcare delivery, and population results. The effectiveness of a few national and local health, wellbeing, and sustainable development programs is then critically assessed in the study, along with their contribution to lowering inequality and enhancing population health. Lastly, evidence-based suggestions are put forth to improve future practice and policy in order to promote more sustainable, integrated, and equitable health and social care services.</w:t>
      </w:r>
    </w:p>
    <w:p w14:paraId="21CD9DF0" w14:textId="77777777" w:rsidR="004A3651" w:rsidRDefault="004A3651" w:rsidP="008E70A0">
      <w:pPr>
        <w:spacing w:line="360" w:lineRule="auto"/>
        <w:rPr>
          <w:rFonts w:ascii="Arial" w:hAnsi="Arial" w:cs="Arial"/>
          <w:sz w:val="22"/>
          <w:szCs w:val="22"/>
        </w:rPr>
      </w:pPr>
    </w:p>
    <w:p w14:paraId="35B3F1F6" w14:textId="77777777" w:rsidR="000558EC" w:rsidRDefault="000558EC" w:rsidP="008E70A0">
      <w:pPr>
        <w:spacing w:line="360" w:lineRule="auto"/>
        <w:rPr>
          <w:rFonts w:ascii="Arial" w:hAnsi="Arial" w:cs="Arial"/>
          <w:b/>
          <w:bCs/>
          <w:sz w:val="22"/>
          <w:szCs w:val="22"/>
          <w:u w:val="single"/>
        </w:rPr>
      </w:pPr>
    </w:p>
    <w:p w14:paraId="2FB174DC" w14:textId="77777777" w:rsidR="000558EC" w:rsidRDefault="000558EC" w:rsidP="008E70A0">
      <w:pPr>
        <w:spacing w:line="360" w:lineRule="auto"/>
        <w:rPr>
          <w:rFonts w:ascii="Arial" w:hAnsi="Arial" w:cs="Arial"/>
          <w:b/>
          <w:bCs/>
          <w:sz w:val="22"/>
          <w:szCs w:val="22"/>
          <w:u w:val="single"/>
        </w:rPr>
      </w:pPr>
    </w:p>
    <w:p w14:paraId="4499FBE1" w14:textId="77777777" w:rsidR="000558EC" w:rsidRDefault="000558EC" w:rsidP="008E70A0">
      <w:pPr>
        <w:spacing w:line="360" w:lineRule="auto"/>
        <w:rPr>
          <w:rFonts w:ascii="Arial" w:hAnsi="Arial" w:cs="Arial"/>
          <w:b/>
          <w:bCs/>
          <w:sz w:val="22"/>
          <w:szCs w:val="22"/>
          <w:u w:val="single"/>
        </w:rPr>
      </w:pPr>
    </w:p>
    <w:p w14:paraId="2F41143E" w14:textId="45DCD9BD" w:rsidR="004A3651" w:rsidRDefault="004A3651" w:rsidP="008E70A0">
      <w:pPr>
        <w:spacing w:line="360" w:lineRule="auto"/>
        <w:rPr>
          <w:rFonts w:ascii="Arial" w:hAnsi="Arial" w:cs="Arial"/>
          <w:sz w:val="22"/>
          <w:szCs w:val="22"/>
        </w:rPr>
      </w:pPr>
      <w:r w:rsidRPr="004A3651">
        <w:rPr>
          <w:rFonts w:ascii="Arial" w:hAnsi="Arial" w:cs="Arial"/>
          <w:b/>
          <w:bCs/>
          <w:sz w:val="22"/>
          <w:szCs w:val="22"/>
          <w:u w:val="single"/>
        </w:rPr>
        <w:lastRenderedPageBreak/>
        <w:t>Section 1: Sustainable Development Goal 3, Good Health and Wellbeing</w:t>
      </w:r>
      <w:r>
        <w:rPr>
          <w:rFonts w:ascii="Arial" w:hAnsi="Arial" w:cs="Arial"/>
          <w:sz w:val="22"/>
          <w:szCs w:val="22"/>
        </w:rPr>
        <w:t xml:space="preserve">. </w:t>
      </w:r>
    </w:p>
    <w:p w14:paraId="4327DE13" w14:textId="4588E9D8" w:rsidR="004A3651" w:rsidRDefault="00723F69" w:rsidP="008E70A0">
      <w:pPr>
        <w:spacing w:line="360" w:lineRule="auto"/>
        <w:rPr>
          <w:rFonts w:ascii="Arial" w:hAnsi="Arial" w:cs="Arial"/>
          <w:sz w:val="22"/>
          <w:szCs w:val="22"/>
        </w:rPr>
      </w:pPr>
      <w:r>
        <w:rPr>
          <w:rFonts w:ascii="Arial" w:hAnsi="Arial" w:cs="Arial"/>
          <w:sz w:val="22"/>
          <w:szCs w:val="22"/>
        </w:rPr>
        <w:t xml:space="preserve">A key component of the United Nations’ 2030 Agenda for Sustainable Development, Sustainable Development Goal 3 (SDG 3) is to “ensure healthy lives and promote well-being for all at all ages” (United Nations, 2024). </w:t>
      </w:r>
      <w:r w:rsidRPr="00723F69">
        <w:rPr>
          <w:rFonts w:ascii="Arial" w:hAnsi="Arial" w:cs="Arial"/>
          <w:sz w:val="22"/>
          <w:szCs w:val="22"/>
        </w:rPr>
        <w:t>The goal encompasses thirteen targets that address major public health priorities, including reducing maternal and child mortality, preventing communicable and non-communicable diseases, improving mental health, strengthening universal health coverage and promoting healthier lifestyles.</w:t>
      </w:r>
      <w:r>
        <w:rPr>
          <w:rFonts w:ascii="Arial" w:hAnsi="Arial" w:cs="Arial"/>
          <w:sz w:val="22"/>
          <w:szCs w:val="22"/>
        </w:rPr>
        <w:t xml:space="preserve"> SDG 3 takes a preventative and holistic approach by acknowledging that biological, psychological, social and environmental elements influence health outcomes, in contrast to traditional healthcare approaches that concentrate primarily on detecting and treating illness (World Health Organisation, 2024). As a result, achieving SDG 3 extends across several sectors, including education, housing, employment, and environmental policy. </w:t>
      </w:r>
    </w:p>
    <w:p w14:paraId="35AD221D" w14:textId="7B4F5AFD" w:rsidR="00723F69" w:rsidRDefault="00723F69" w:rsidP="008E70A0">
      <w:pPr>
        <w:spacing w:line="360" w:lineRule="auto"/>
        <w:rPr>
          <w:rFonts w:ascii="Arial" w:hAnsi="Arial" w:cs="Arial"/>
          <w:sz w:val="22"/>
          <w:szCs w:val="22"/>
        </w:rPr>
      </w:pPr>
      <w:r w:rsidRPr="00723F69">
        <w:rPr>
          <w:rFonts w:ascii="Arial" w:hAnsi="Arial" w:cs="Arial"/>
          <w:sz w:val="22"/>
          <w:szCs w:val="22"/>
        </w:rPr>
        <w:t>Globally, SDG 3 has influenced governments to strengthen public health systems and prioritise preventative healthcare.</w:t>
      </w:r>
      <w:r>
        <w:rPr>
          <w:rFonts w:ascii="Arial" w:hAnsi="Arial" w:cs="Arial"/>
          <w:sz w:val="22"/>
          <w:szCs w:val="22"/>
        </w:rPr>
        <w:t xml:space="preserve"> </w:t>
      </w:r>
      <w:r w:rsidRPr="00723F69">
        <w:rPr>
          <w:rFonts w:ascii="Arial" w:hAnsi="Arial" w:cs="Arial"/>
          <w:sz w:val="22"/>
          <w:szCs w:val="22"/>
        </w:rPr>
        <w:t>Improvements have been noted in areas like children vaccination, decreased non-communicable disease-related premature mortality, and improved access to critical health services. However, the United Nations (2024) notes that since the COVID-19 pandemic, progress towards a number of SDG 3 targets has slowed, with growing health disparities, a lack of workers, and rising mental health requirements posing serious implementation challenges. These results imply that while SDG 3 offers a thorough framework for enhancing global health, continued political commitment, funding, and international cooperation are necessary for its achievement.</w:t>
      </w:r>
    </w:p>
    <w:p w14:paraId="182894FE" w14:textId="31AC5022" w:rsidR="00723F69" w:rsidRDefault="00723F69" w:rsidP="008E70A0">
      <w:pPr>
        <w:spacing w:line="360" w:lineRule="auto"/>
        <w:rPr>
          <w:rFonts w:ascii="Arial" w:hAnsi="Arial" w:cs="Arial"/>
          <w:sz w:val="22"/>
          <w:szCs w:val="22"/>
        </w:rPr>
      </w:pPr>
      <w:r w:rsidRPr="00723F69">
        <w:rPr>
          <w:rFonts w:ascii="Arial" w:hAnsi="Arial" w:cs="Arial"/>
          <w:sz w:val="22"/>
          <w:szCs w:val="22"/>
        </w:rPr>
        <w:t>At the local level, health promotion programs, immunisation campaigns, mental health services, and preventative interventions are implemented by Integrated Care Boards (ICBs), local authorities, and public health teams in order to meet the goals of SDG 3.</w:t>
      </w:r>
      <w:r w:rsidRPr="00723F69">
        <w:t xml:space="preserve"> </w:t>
      </w:r>
      <w:r w:rsidRPr="00723F69">
        <w:rPr>
          <w:rFonts w:ascii="Arial" w:hAnsi="Arial" w:cs="Arial"/>
          <w:sz w:val="22"/>
          <w:szCs w:val="22"/>
        </w:rPr>
        <w:t>The NHS Diabetes Prevention Programme (NHS DPP), which offers systematic lifestyle interventions to people at high risk of Type 2 diabetes, is one such example. Research shows that the program has improved physical activity, eating habits, and weight control, all of which have reduced the risk of diabetes (Valabhji et al., 2020).</w:t>
      </w:r>
      <w:r w:rsidR="00BC4984">
        <w:rPr>
          <w:rFonts w:ascii="Arial" w:hAnsi="Arial" w:cs="Arial"/>
          <w:sz w:val="22"/>
          <w:szCs w:val="22"/>
        </w:rPr>
        <w:t xml:space="preserve"> </w:t>
      </w:r>
      <w:r w:rsidR="00BC4984" w:rsidRPr="00BC4984">
        <w:rPr>
          <w:rFonts w:ascii="Arial" w:hAnsi="Arial" w:cs="Arial"/>
          <w:sz w:val="22"/>
          <w:szCs w:val="22"/>
        </w:rPr>
        <w:t>The initiative promotes individual wellness while lowering long-term demand on NHS services by emphasising prevention rather than treatment, demonstrating how preventative healthcare can support both improved population health and sustainable healthcare delivery.</w:t>
      </w:r>
    </w:p>
    <w:p w14:paraId="6EE5E734" w14:textId="77777777" w:rsidR="00275FED" w:rsidRDefault="00275FED" w:rsidP="008E70A0">
      <w:pPr>
        <w:spacing w:line="360" w:lineRule="auto"/>
        <w:rPr>
          <w:rFonts w:ascii="Arial" w:hAnsi="Arial" w:cs="Arial"/>
          <w:sz w:val="22"/>
          <w:szCs w:val="22"/>
        </w:rPr>
      </w:pPr>
    </w:p>
    <w:p w14:paraId="0016D80A" w14:textId="3D27DD36" w:rsidR="00BC4984" w:rsidRDefault="00275FED" w:rsidP="008E70A0">
      <w:pPr>
        <w:spacing w:line="360" w:lineRule="auto"/>
        <w:rPr>
          <w:rFonts w:ascii="Arial" w:hAnsi="Arial" w:cs="Arial"/>
          <w:sz w:val="22"/>
          <w:szCs w:val="22"/>
        </w:rPr>
      </w:pPr>
      <w:r w:rsidRPr="00275FED">
        <w:rPr>
          <w:rFonts w:ascii="Arial" w:hAnsi="Arial" w:cs="Arial"/>
          <w:sz w:val="22"/>
          <w:szCs w:val="22"/>
        </w:rPr>
        <w:t>Engel's Biopsychosocial Model proposes that health outcomes arise through interactions between biological, psychological and social factors (Engel, 1977). Contemporary scholars</w:t>
      </w:r>
      <w:r>
        <w:rPr>
          <w:rFonts w:ascii="Arial" w:hAnsi="Arial" w:cs="Arial"/>
          <w:sz w:val="22"/>
          <w:szCs w:val="22"/>
        </w:rPr>
        <w:t xml:space="preserve"> </w:t>
      </w:r>
      <w:r w:rsidRPr="00275FED">
        <w:rPr>
          <w:rFonts w:ascii="Arial" w:hAnsi="Arial" w:cs="Arial"/>
          <w:sz w:val="22"/>
          <w:szCs w:val="22"/>
        </w:rPr>
        <w:t xml:space="preserve">argue that the model remains highly relevant because it supports holistic and person-centred </w:t>
      </w:r>
      <w:r w:rsidRPr="00275FED">
        <w:rPr>
          <w:rFonts w:ascii="Arial" w:hAnsi="Arial" w:cs="Arial"/>
          <w:sz w:val="22"/>
          <w:szCs w:val="22"/>
        </w:rPr>
        <w:lastRenderedPageBreak/>
        <w:t>healthcare delivery (Bolton and Gillett, 2019).</w:t>
      </w:r>
      <w:r>
        <w:rPr>
          <w:rFonts w:ascii="Arial" w:hAnsi="Arial" w:cs="Arial"/>
          <w:sz w:val="22"/>
          <w:szCs w:val="22"/>
        </w:rPr>
        <w:t xml:space="preserve"> </w:t>
      </w:r>
      <w:r w:rsidR="00BC4984" w:rsidRPr="00BC4984">
        <w:rPr>
          <w:rFonts w:ascii="Arial" w:hAnsi="Arial" w:cs="Arial"/>
          <w:sz w:val="22"/>
          <w:szCs w:val="22"/>
        </w:rPr>
        <w:t>In a similar vein, Dahlgren and Whitehead's Social Determinants of Health Model illustrates how broader factors such as education, work, housing, income, and living conditions affect an individual's health (Dahlgren and Whitehead, 2021).</w:t>
      </w:r>
      <w:r w:rsidR="00BC4984">
        <w:rPr>
          <w:rFonts w:ascii="Arial" w:hAnsi="Arial" w:cs="Arial"/>
          <w:sz w:val="22"/>
          <w:szCs w:val="22"/>
        </w:rPr>
        <w:t xml:space="preserve"> </w:t>
      </w:r>
      <w:r w:rsidR="00BC4984" w:rsidRPr="00BC4984">
        <w:rPr>
          <w:rFonts w:ascii="Arial" w:hAnsi="Arial" w:cs="Arial"/>
          <w:sz w:val="22"/>
          <w:szCs w:val="22"/>
        </w:rPr>
        <w:t>By promoting a stronger focus on preventive, collaborative efforts, and population health management, these theories have influenced current UK public health policy.</w:t>
      </w:r>
      <w:r w:rsidR="00BC4984">
        <w:rPr>
          <w:rFonts w:ascii="Arial" w:hAnsi="Arial" w:cs="Arial"/>
          <w:sz w:val="22"/>
          <w:szCs w:val="22"/>
        </w:rPr>
        <w:t xml:space="preserve"> </w:t>
      </w:r>
      <w:r w:rsidR="00BC4984" w:rsidRPr="00BC4984">
        <w:rPr>
          <w:rFonts w:ascii="Arial" w:hAnsi="Arial" w:cs="Arial"/>
          <w:sz w:val="22"/>
          <w:szCs w:val="22"/>
        </w:rPr>
        <w:t>Despite these developments, the implementation of SDG 3 remains subject to significant criticism.</w:t>
      </w:r>
      <w:r w:rsidR="00BC4984">
        <w:rPr>
          <w:rFonts w:ascii="Arial" w:hAnsi="Arial" w:cs="Arial"/>
          <w:sz w:val="22"/>
          <w:szCs w:val="22"/>
        </w:rPr>
        <w:t xml:space="preserve"> Healthcare spending is still focused on acute and hospital base services rather than community and preventative care, despite UK policies growing emphasis on prevention (The King’s Fund, 2024). The long-term viability of healthcare systems is threatened by this imbalance, which also restricts options for early intervention. Additionally, the efficient provision of preventative healthcare is still hampered by ongoing labour shortages, rising health and social care service demand, and financial strains (NHS England, 2024). These problems imply that adequate </w:t>
      </w:r>
      <w:r w:rsidR="00335A41">
        <w:rPr>
          <w:rFonts w:ascii="Arial" w:hAnsi="Arial" w:cs="Arial"/>
          <w:sz w:val="22"/>
          <w:szCs w:val="22"/>
        </w:rPr>
        <w:t xml:space="preserve">funding or organisational capabilities have not always kept pace with policy goals. </w:t>
      </w:r>
    </w:p>
    <w:p w14:paraId="33ADAE69" w14:textId="43BF51BF" w:rsidR="00335A41" w:rsidRDefault="00066999" w:rsidP="008E70A0">
      <w:pPr>
        <w:spacing w:line="360" w:lineRule="auto"/>
        <w:rPr>
          <w:rFonts w:ascii="Arial" w:hAnsi="Arial" w:cs="Arial"/>
          <w:sz w:val="22"/>
          <w:szCs w:val="22"/>
        </w:rPr>
      </w:pPr>
      <w:r>
        <w:rPr>
          <w:rFonts w:ascii="Arial" w:hAnsi="Arial" w:cs="Arial"/>
          <w:sz w:val="22"/>
          <w:szCs w:val="22"/>
        </w:rPr>
        <w:t>As shown</w:t>
      </w:r>
      <w:r w:rsidR="00335A41">
        <w:rPr>
          <w:rFonts w:ascii="Arial" w:hAnsi="Arial" w:cs="Arial"/>
          <w:sz w:val="22"/>
          <w:szCs w:val="22"/>
        </w:rPr>
        <w:t xml:space="preserve"> </w:t>
      </w:r>
      <w:r>
        <w:rPr>
          <w:rFonts w:ascii="Arial" w:hAnsi="Arial" w:cs="Arial"/>
          <w:sz w:val="22"/>
          <w:szCs w:val="22"/>
        </w:rPr>
        <w:t>in</w:t>
      </w:r>
      <w:r w:rsidR="00335A41">
        <w:rPr>
          <w:rFonts w:ascii="Arial" w:hAnsi="Arial" w:cs="Arial"/>
          <w:sz w:val="22"/>
          <w:szCs w:val="22"/>
        </w:rPr>
        <w:t xml:space="preserve"> research by Marmot et al., (2020), those who live in the most improvised communities have far lower healthy life expectancies and higher incidence of avoidable illness than people living in more affluent communities. </w:t>
      </w:r>
      <w:r w:rsidR="00DE3085" w:rsidRPr="00DE3085">
        <w:rPr>
          <w:rFonts w:ascii="Arial" w:hAnsi="Arial" w:cs="Arial"/>
          <w:sz w:val="22"/>
          <w:szCs w:val="22"/>
        </w:rPr>
        <w:t>These differences show that achieving good health and wellbeing for all populations requires more than just improvements in healthcare services. Instead, health outcomes are still influenced by broader structural factors including poverty, unemployment, substandard housing, and unequal educational chances. As a result, detractors contend that current health policy frequently concentrates on altering individual behaviour while paying little attention to the structural factors that influence community health (Bambra et al., 2022).</w:t>
      </w:r>
      <w:r w:rsidR="00870C2D">
        <w:rPr>
          <w:rFonts w:ascii="Arial" w:hAnsi="Arial" w:cs="Arial"/>
          <w:sz w:val="22"/>
          <w:szCs w:val="22"/>
        </w:rPr>
        <w:t xml:space="preserve"> </w:t>
      </w:r>
      <w:r w:rsidR="00870C2D" w:rsidRPr="00870C2D">
        <w:rPr>
          <w:rFonts w:ascii="Arial" w:hAnsi="Arial" w:cs="Arial"/>
          <w:sz w:val="22"/>
          <w:szCs w:val="22"/>
        </w:rPr>
        <w:t>To strengthen the implementation of SDG 3, greater investment should be directed towards preventative and community-based healthcare services that address health inequalities before they develop into more complex health conditions.</w:t>
      </w:r>
      <w:r w:rsidR="00870C2D">
        <w:rPr>
          <w:rFonts w:ascii="Arial" w:hAnsi="Arial" w:cs="Arial"/>
          <w:sz w:val="22"/>
          <w:szCs w:val="22"/>
        </w:rPr>
        <w:t xml:space="preserve"> </w:t>
      </w:r>
      <w:r w:rsidR="00D56CBC" w:rsidRPr="00D56CBC">
        <w:rPr>
          <w:rFonts w:ascii="Arial" w:hAnsi="Arial" w:cs="Arial"/>
          <w:sz w:val="22"/>
          <w:szCs w:val="22"/>
        </w:rPr>
        <w:t>In order to guarantee that health, housing, education, and social care services function more efficiently as integrated systems rather than as separate institutions, national and local organisations should further improve collaborative working through Integrated Care Systems.</w:t>
      </w:r>
      <w:r w:rsidR="00D56CBC">
        <w:rPr>
          <w:rFonts w:ascii="Arial" w:hAnsi="Arial" w:cs="Arial"/>
          <w:sz w:val="22"/>
          <w:szCs w:val="22"/>
        </w:rPr>
        <w:t xml:space="preserve"> </w:t>
      </w:r>
      <w:r w:rsidR="0045617A" w:rsidRPr="0045617A">
        <w:rPr>
          <w:rFonts w:ascii="Arial" w:hAnsi="Arial" w:cs="Arial"/>
          <w:sz w:val="22"/>
          <w:szCs w:val="22"/>
        </w:rPr>
        <w:t>Policymakers should also increase the use of quantifiable outcome indicators that assess increases in wellbeing, health equity, and long-term sustainability in addition to clinical performance. Such methods would contribute to the broader goals of sustainable development while supporting a more thorough assessment of healthcare quality.</w:t>
      </w:r>
    </w:p>
    <w:p w14:paraId="69AB96D7" w14:textId="799AD8FF" w:rsidR="0045617A" w:rsidRDefault="004215D7" w:rsidP="008E70A0">
      <w:pPr>
        <w:spacing w:line="360" w:lineRule="auto"/>
        <w:rPr>
          <w:rFonts w:ascii="Arial" w:hAnsi="Arial" w:cs="Arial"/>
          <w:sz w:val="22"/>
          <w:szCs w:val="22"/>
        </w:rPr>
      </w:pPr>
      <w:r>
        <w:rPr>
          <w:rFonts w:ascii="Arial" w:hAnsi="Arial" w:cs="Arial"/>
          <w:sz w:val="22"/>
          <w:szCs w:val="22"/>
        </w:rPr>
        <w:t>All things considered, SDG 3 offers a crucial foundation for enhancing health and wellbeing through cooperation, preventative, and person-centred care. Though it takes more than just policy commitment to accomplish said goals. To ensure that the goal becomes a reality</w:t>
      </w:r>
      <w:r w:rsidR="00AB4D17">
        <w:rPr>
          <w:rFonts w:ascii="Arial" w:hAnsi="Arial" w:cs="Arial"/>
          <w:sz w:val="22"/>
          <w:szCs w:val="22"/>
        </w:rPr>
        <w:t xml:space="preserve">, it is </w:t>
      </w:r>
      <w:r w:rsidR="00AB4D17">
        <w:rPr>
          <w:rFonts w:ascii="Arial" w:hAnsi="Arial" w:cs="Arial"/>
          <w:sz w:val="22"/>
          <w:szCs w:val="22"/>
        </w:rPr>
        <w:lastRenderedPageBreak/>
        <w:t xml:space="preserve">essential to address enduring health disparities, improve preventative healthcare, and invest in integrated services. </w:t>
      </w:r>
    </w:p>
    <w:p w14:paraId="08677BFF" w14:textId="41389E33" w:rsidR="00AB4D17" w:rsidRDefault="007543A3" w:rsidP="008E70A0">
      <w:pPr>
        <w:spacing w:line="360" w:lineRule="auto"/>
        <w:rPr>
          <w:rFonts w:ascii="Arial" w:hAnsi="Arial" w:cs="Arial"/>
          <w:sz w:val="22"/>
          <w:szCs w:val="22"/>
        </w:rPr>
      </w:pPr>
      <w:r w:rsidRPr="00983452">
        <w:rPr>
          <w:rFonts w:ascii="Arial" w:hAnsi="Arial" w:cs="Arial"/>
          <w:b/>
          <w:bCs/>
          <w:sz w:val="22"/>
          <w:szCs w:val="22"/>
          <w:u w:val="single"/>
        </w:rPr>
        <w:t>Section 2: Sustainable Development Goal 10, Reduced Inequalities</w:t>
      </w:r>
      <w:r>
        <w:rPr>
          <w:rFonts w:ascii="Arial" w:hAnsi="Arial" w:cs="Arial"/>
          <w:sz w:val="22"/>
          <w:szCs w:val="22"/>
        </w:rPr>
        <w:t xml:space="preserve">. </w:t>
      </w:r>
    </w:p>
    <w:p w14:paraId="5A5150CD" w14:textId="0DE2977A" w:rsidR="00983452" w:rsidRDefault="00B66AE6" w:rsidP="008E70A0">
      <w:pPr>
        <w:spacing w:line="360" w:lineRule="auto"/>
        <w:rPr>
          <w:rFonts w:ascii="Arial" w:hAnsi="Arial" w:cs="Arial"/>
          <w:sz w:val="22"/>
          <w:szCs w:val="22"/>
        </w:rPr>
      </w:pPr>
      <w:r w:rsidRPr="00B66AE6">
        <w:rPr>
          <w:rFonts w:ascii="Arial" w:hAnsi="Arial" w:cs="Arial"/>
          <w:sz w:val="22"/>
          <w:szCs w:val="22"/>
        </w:rPr>
        <w:t>By encouraging social, economic, and political participation regardless of age, gender, disability, ethnicity, religion, or socioeconomic background, Sustainable Development Goal 10 (SDG 10) seeks to lessen inequality both within and between nations (United Nations, 2024). Although inequality is frequently considered in terms of wealth and income, it has significant effects on health and wellbeing that go well beyond economic results. Significant differences in health outcomes between populations are caused by unequal access to digital technology, healthcare, housing, work, and education.</w:t>
      </w:r>
      <w:r w:rsidR="009A180A">
        <w:rPr>
          <w:rFonts w:ascii="Arial" w:hAnsi="Arial" w:cs="Arial"/>
          <w:sz w:val="22"/>
          <w:szCs w:val="22"/>
        </w:rPr>
        <w:t xml:space="preserve"> </w:t>
      </w:r>
      <w:r w:rsidR="009A180A" w:rsidRPr="009A180A">
        <w:rPr>
          <w:rFonts w:ascii="Arial" w:hAnsi="Arial" w:cs="Arial"/>
          <w:sz w:val="22"/>
          <w:szCs w:val="22"/>
        </w:rPr>
        <w:t>One of the biggest obstacles to sustainable development on a global scale is still inequality. Despite the fact that many nations have seen economic progress, the advantages have not been shared fairly, leading to enduring differences in disease burden, life expectancy, and access to healthcare (United Nations, 2024). These disparities were further shown by the COVID-19 pandemic, which disproportionately affected underprivileged populations by raising mortality rates, limiting access to healthcare, and increasing financial instability (Bambra et al., 2022). These results show that health disparities are heavily impacted by larger social, political, and economic variables rather than being exclusively the product of personal lifestyle decisions.</w:t>
      </w:r>
    </w:p>
    <w:p w14:paraId="552ABBD0" w14:textId="35BA3493" w:rsidR="003622C4" w:rsidRDefault="003622C4" w:rsidP="008E70A0">
      <w:pPr>
        <w:spacing w:line="360" w:lineRule="auto"/>
        <w:rPr>
          <w:rFonts w:ascii="Arial" w:hAnsi="Arial" w:cs="Arial"/>
          <w:sz w:val="22"/>
          <w:szCs w:val="22"/>
        </w:rPr>
      </w:pPr>
      <w:r w:rsidRPr="003622C4">
        <w:rPr>
          <w:rFonts w:ascii="Arial" w:hAnsi="Arial" w:cs="Arial"/>
          <w:sz w:val="22"/>
          <w:szCs w:val="22"/>
        </w:rPr>
        <w:t>Reducing inequality has emerged as a key goal of health and social care policy in the United Kingdom. While the Core20PLUS5 programme was created to reduce health inequalities by concentrating on the most deprived 20% of the population along with groups experiencing poorer health outcomes, such as ethnic minority communities, people with learning disabilities, and socially excluded populations, the NHS Long Term Plan introduced targeted approaches to improve access to healthcare for disadvantaged populations (NHS England, 2024).</w:t>
      </w:r>
      <w:r w:rsidR="00E96294">
        <w:rPr>
          <w:rFonts w:ascii="Arial" w:hAnsi="Arial" w:cs="Arial"/>
          <w:sz w:val="22"/>
          <w:szCs w:val="22"/>
        </w:rPr>
        <w:t xml:space="preserve"> Likewise, </w:t>
      </w:r>
      <w:r w:rsidR="0006479A" w:rsidRPr="0006479A">
        <w:rPr>
          <w:rFonts w:ascii="Arial" w:hAnsi="Arial" w:cs="Arial"/>
          <w:sz w:val="22"/>
          <w:szCs w:val="22"/>
        </w:rPr>
        <w:t xml:space="preserve">the Office for Health Improvement and Disparities (OHID) </w:t>
      </w:r>
      <w:r w:rsidR="000558EC" w:rsidRPr="0006479A">
        <w:rPr>
          <w:rFonts w:ascii="Arial" w:hAnsi="Arial" w:cs="Arial"/>
          <w:sz w:val="22"/>
          <w:szCs w:val="22"/>
        </w:rPr>
        <w:t>collaborate</w:t>
      </w:r>
      <w:r w:rsidR="0006479A" w:rsidRPr="0006479A">
        <w:rPr>
          <w:rFonts w:ascii="Arial" w:hAnsi="Arial" w:cs="Arial"/>
          <w:sz w:val="22"/>
          <w:szCs w:val="22"/>
        </w:rPr>
        <w:t xml:space="preserve"> with Integrated Care Systems (ICSs) and local authorities to address the broader determinants of health through public health interventions, community engagement, and prevention strategies (Office for Health Improvement and Disparities, 2024).</w:t>
      </w:r>
    </w:p>
    <w:p w14:paraId="34FA4718" w14:textId="7402751E" w:rsidR="00496885" w:rsidRDefault="00AA47A6" w:rsidP="008E70A0">
      <w:pPr>
        <w:spacing w:line="360" w:lineRule="auto"/>
        <w:rPr>
          <w:rFonts w:ascii="Arial" w:hAnsi="Arial" w:cs="Arial"/>
          <w:sz w:val="22"/>
          <w:szCs w:val="22"/>
        </w:rPr>
      </w:pPr>
      <w:r w:rsidRPr="00AA47A6">
        <w:rPr>
          <w:rFonts w:ascii="Arial" w:hAnsi="Arial" w:cs="Arial"/>
          <w:sz w:val="22"/>
          <w:szCs w:val="22"/>
        </w:rPr>
        <w:t>Evidence indicates that advances in health outcomes have been minimal, despite the fact that programs like Core20PLUS5 and Integrated Care Systems have intensified the policy focus on eliminating inequities. According to Marmot et al. (2020), health disparities in England have increased throughout the last ten years, and healthy life expectancy is still much lower in underprivileged areas. Significant disparities in socioeconomic position, ethnicity, and geographic location are still evident in more recent statistics from the Office for National Statistics (2024).</w:t>
      </w:r>
      <w:r w:rsidR="005E3D09">
        <w:rPr>
          <w:rFonts w:ascii="Arial" w:hAnsi="Arial" w:cs="Arial"/>
          <w:sz w:val="22"/>
          <w:szCs w:val="22"/>
        </w:rPr>
        <w:t xml:space="preserve"> Furthermore, the growing reliance on digital healthcare has put </w:t>
      </w:r>
      <w:r w:rsidR="005E3D09">
        <w:rPr>
          <w:rFonts w:ascii="Arial" w:hAnsi="Arial" w:cs="Arial"/>
          <w:sz w:val="22"/>
          <w:szCs w:val="22"/>
        </w:rPr>
        <w:lastRenderedPageBreak/>
        <w:t>additional obstacles in the way some groups, in particular older adults and those with limited digit</w:t>
      </w:r>
      <w:r w:rsidR="002A61CB">
        <w:rPr>
          <w:rFonts w:ascii="Arial" w:hAnsi="Arial" w:cs="Arial"/>
          <w:sz w:val="22"/>
          <w:szCs w:val="22"/>
        </w:rPr>
        <w:t>al access or skills. This underscores the possibility that technological innovation could inad</w:t>
      </w:r>
      <w:r w:rsidR="00114E97">
        <w:rPr>
          <w:rFonts w:ascii="Arial" w:hAnsi="Arial" w:cs="Arial"/>
          <w:sz w:val="22"/>
          <w:szCs w:val="22"/>
        </w:rPr>
        <w:t>vertently exacerbate already existing disparities if proper support is not given (OECD, 2023)</w:t>
      </w:r>
      <w:r w:rsidR="00B0684E">
        <w:rPr>
          <w:rFonts w:ascii="Arial" w:hAnsi="Arial" w:cs="Arial"/>
          <w:sz w:val="22"/>
          <w:szCs w:val="22"/>
        </w:rPr>
        <w:t xml:space="preserve">. </w:t>
      </w:r>
    </w:p>
    <w:p w14:paraId="38EE2A21" w14:textId="71F9D9A0" w:rsidR="00B0684E" w:rsidRDefault="00BE1E59" w:rsidP="008E70A0">
      <w:pPr>
        <w:spacing w:line="360" w:lineRule="auto"/>
        <w:rPr>
          <w:rFonts w:ascii="Arial" w:hAnsi="Arial" w:cs="Arial"/>
          <w:sz w:val="22"/>
          <w:szCs w:val="22"/>
        </w:rPr>
      </w:pPr>
      <w:r w:rsidRPr="00BE1E59">
        <w:rPr>
          <w:rFonts w:ascii="Arial" w:hAnsi="Arial" w:cs="Arial"/>
          <w:sz w:val="22"/>
          <w:szCs w:val="22"/>
        </w:rPr>
        <w:t>Policymakers should increase funding for preventative services that target the broader determinants of health in addition to clinical care in order to improve the implementation of SDG 10.</w:t>
      </w:r>
      <w:r w:rsidR="00E8388D">
        <w:rPr>
          <w:rFonts w:ascii="Arial" w:hAnsi="Arial" w:cs="Arial"/>
          <w:sz w:val="22"/>
          <w:szCs w:val="22"/>
        </w:rPr>
        <w:t xml:space="preserve"> </w:t>
      </w:r>
      <w:r w:rsidR="00E8388D" w:rsidRPr="00E8388D">
        <w:rPr>
          <w:rFonts w:ascii="Arial" w:hAnsi="Arial" w:cs="Arial"/>
          <w:sz w:val="22"/>
          <w:szCs w:val="22"/>
        </w:rPr>
        <w:t>To provide coordinated solutions to health disparities, Integrated Care Systems, local governments, educational institutions, and nonprofits must work together more. Programs for digital inclusion should also be increased in order to guarantee that technological advancements enhance rather than limit access to healthcare. Lastly, in order to allocate resources to initiatives that show quantifiable long-term impact, national and local organisations should implement uniform assessment systems that track increases in population wellbeing as well as decreases in health disparities (WHO, 2024).</w:t>
      </w:r>
    </w:p>
    <w:p w14:paraId="540E0D6C" w14:textId="53179F11" w:rsidR="002941AC" w:rsidRDefault="006B6A6E" w:rsidP="008E70A0">
      <w:pPr>
        <w:spacing w:line="360" w:lineRule="auto"/>
        <w:rPr>
          <w:rFonts w:ascii="Arial" w:hAnsi="Arial" w:cs="Arial"/>
          <w:sz w:val="22"/>
          <w:szCs w:val="22"/>
        </w:rPr>
      </w:pPr>
      <w:r>
        <w:rPr>
          <w:rFonts w:ascii="Arial" w:hAnsi="Arial" w:cs="Arial"/>
          <w:sz w:val="22"/>
          <w:szCs w:val="22"/>
        </w:rPr>
        <w:t>Overall, SDG 10 offers a crucial framework for resolving the structural disparities that still affe</w:t>
      </w:r>
      <w:r w:rsidR="00A951A7">
        <w:rPr>
          <w:rFonts w:ascii="Arial" w:hAnsi="Arial" w:cs="Arial"/>
          <w:sz w:val="22"/>
          <w:szCs w:val="22"/>
        </w:rPr>
        <w:t xml:space="preserve">ct health and wellbeing in the UK. Current research indicates that sustained progress requires long-term investment, </w:t>
      </w:r>
      <w:r w:rsidR="00E96A26">
        <w:rPr>
          <w:rFonts w:ascii="Arial" w:hAnsi="Arial" w:cs="Arial"/>
          <w:sz w:val="22"/>
          <w:szCs w:val="22"/>
        </w:rPr>
        <w:t xml:space="preserve">successful cross-sector collaboration, and ongoing work to address the broader social determinants of health, even while national and local programs show a growing commitment to reducing inequities. </w:t>
      </w:r>
    </w:p>
    <w:p w14:paraId="3842FF4A" w14:textId="77777777" w:rsidR="00AF0BB9" w:rsidRDefault="00AF0BB9" w:rsidP="008E70A0">
      <w:pPr>
        <w:spacing w:line="360" w:lineRule="auto"/>
        <w:rPr>
          <w:rFonts w:ascii="Arial" w:hAnsi="Arial" w:cs="Arial"/>
          <w:sz w:val="22"/>
          <w:szCs w:val="22"/>
        </w:rPr>
      </w:pPr>
    </w:p>
    <w:p w14:paraId="6080DE1B" w14:textId="663D20F5" w:rsidR="00AF0BB9" w:rsidRDefault="00AF0BB9" w:rsidP="008E70A0">
      <w:pPr>
        <w:spacing w:line="360" w:lineRule="auto"/>
        <w:rPr>
          <w:rFonts w:ascii="Arial" w:hAnsi="Arial" w:cs="Arial"/>
          <w:sz w:val="22"/>
          <w:szCs w:val="22"/>
        </w:rPr>
      </w:pPr>
      <w:r w:rsidRPr="00AF0BB9">
        <w:rPr>
          <w:rFonts w:ascii="Arial" w:hAnsi="Arial" w:cs="Arial"/>
          <w:b/>
          <w:bCs/>
          <w:sz w:val="22"/>
          <w:szCs w:val="22"/>
          <w:u w:val="single"/>
        </w:rPr>
        <w:t>Conclusion</w:t>
      </w:r>
      <w:r>
        <w:rPr>
          <w:rFonts w:ascii="Arial" w:hAnsi="Arial" w:cs="Arial"/>
          <w:sz w:val="22"/>
          <w:szCs w:val="22"/>
        </w:rPr>
        <w:t xml:space="preserve">: </w:t>
      </w:r>
    </w:p>
    <w:p w14:paraId="1FE46C5B" w14:textId="2D4A875F" w:rsidR="00AF0BB9" w:rsidRDefault="00896611" w:rsidP="008E70A0">
      <w:pPr>
        <w:spacing w:line="360" w:lineRule="auto"/>
        <w:rPr>
          <w:rFonts w:ascii="Arial" w:hAnsi="Arial" w:cs="Arial"/>
          <w:sz w:val="22"/>
          <w:szCs w:val="22"/>
        </w:rPr>
      </w:pPr>
      <w:r w:rsidRPr="00896611">
        <w:rPr>
          <w:rFonts w:ascii="Arial" w:hAnsi="Arial" w:cs="Arial"/>
          <w:sz w:val="22"/>
          <w:szCs w:val="22"/>
        </w:rPr>
        <w:t>The importance of Sustainable Development Goals 3 (Good Health and Wellbeing) and 10 (Reduced Inequalities) in influencing health and wellbeing outcomes in the UK has been critically evaluated in this paper. The analysis showed that attaining excellent health necessitates addressing the broader social determinants of health, such as education, employment, housing, and socioeconomic inequality, in addition to providing healthcare services. The evidence indicates that persistent disparities in health outcomes, workforce pressures, and unequal access to services continue to limit the overall effectiveness of national initiatives like the NHS Long Term Plan, Core20PLUS5, and Integrated Care Systems, which have strengthened the policy focus on prevention, partnership working, and reducing inequalities.</w:t>
      </w:r>
    </w:p>
    <w:p w14:paraId="23A2438E" w14:textId="71EBC660" w:rsidR="00896611" w:rsidRDefault="00A72EFD" w:rsidP="008E70A0">
      <w:pPr>
        <w:spacing w:line="360" w:lineRule="auto"/>
        <w:rPr>
          <w:rFonts w:ascii="Arial" w:hAnsi="Arial" w:cs="Arial"/>
          <w:sz w:val="22"/>
          <w:szCs w:val="22"/>
        </w:rPr>
      </w:pPr>
      <w:r>
        <w:rPr>
          <w:rFonts w:ascii="Arial" w:hAnsi="Arial" w:cs="Arial"/>
          <w:sz w:val="22"/>
          <w:szCs w:val="22"/>
        </w:rPr>
        <w:t xml:space="preserve">Additionally, </w:t>
      </w:r>
      <w:r w:rsidR="00EC7097">
        <w:rPr>
          <w:rFonts w:ascii="Arial" w:hAnsi="Arial" w:cs="Arial"/>
          <w:sz w:val="22"/>
          <w:szCs w:val="22"/>
        </w:rPr>
        <w:t>t</w:t>
      </w:r>
      <w:r w:rsidR="00EC7097" w:rsidRPr="00EC7097">
        <w:rPr>
          <w:rFonts w:ascii="Arial" w:hAnsi="Arial" w:cs="Arial"/>
          <w:sz w:val="22"/>
          <w:szCs w:val="22"/>
        </w:rPr>
        <w:t xml:space="preserve">he report emphasised the crucial connections between SDG 3 and SDG 10. Reducing the structural disparities that affect people's chances of leading healthy lives is essential to making progress toward bettering health and wellbeing. Similarly, without easily available, excellent, and preventive health and social care services, efforts to lessen </w:t>
      </w:r>
      <w:r w:rsidR="00EC7097" w:rsidRPr="00EC7097">
        <w:rPr>
          <w:rFonts w:ascii="Arial" w:hAnsi="Arial" w:cs="Arial"/>
          <w:sz w:val="22"/>
          <w:szCs w:val="22"/>
        </w:rPr>
        <w:lastRenderedPageBreak/>
        <w:t>inequality are unlikely to be successful. This shows that rather than focusing solely on NHS initiatives, coordinated effort across healthcare, local government, and broader public services is necessary for long-term improvements in population health.</w:t>
      </w:r>
    </w:p>
    <w:p w14:paraId="0C029277" w14:textId="05FC088C" w:rsidR="00C85592" w:rsidRDefault="00C85592" w:rsidP="008E70A0">
      <w:pPr>
        <w:spacing w:line="360" w:lineRule="auto"/>
        <w:rPr>
          <w:rFonts w:ascii="Arial" w:hAnsi="Arial" w:cs="Arial"/>
          <w:sz w:val="22"/>
          <w:szCs w:val="22"/>
        </w:rPr>
      </w:pPr>
      <w:r w:rsidRPr="00C85592">
        <w:rPr>
          <w:rFonts w:ascii="Arial" w:hAnsi="Arial" w:cs="Arial"/>
          <w:sz w:val="22"/>
          <w:szCs w:val="22"/>
        </w:rPr>
        <w:t>Overall, the results show that even while the UK has put in place a robust framework of policies to promote sustainable development, it is still difficult to turn those policies into quantifiable advancements. If the Sustainable Development Goals are to be achieved and health outcomes for present and future generations are to be improved, then sustained investment in prevention, increased cross-sector collaboration, and a persistent commitment to addressing the socioeconomic determinants of health will be crucial.</w:t>
      </w:r>
    </w:p>
    <w:p w14:paraId="4C256ED5" w14:textId="77777777" w:rsidR="0097093F" w:rsidRDefault="0097093F" w:rsidP="008E70A0">
      <w:pPr>
        <w:spacing w:line="360" w:lineRule="auto"/>
        <w:rPr>
          <w:rFonts w:ascii="Arial" w:hAnsi="Arial" w:cs="Arial"/>
          <w:sz w:val="22"/>
          <w:szCs w:val="22"/>
        </w:rPr>
      </w:pPr>
    </w:p>
    <w:p w14:paraId="1EA5D435" w14:textId="77777777" w:rsidR="0097093F" w:rsidRDefault="0097093F" w:rsidP="008E70A0">
      <w:pPr>
        <w:spacing w:line="360" w:lineRule="auto"/>
        <w:rPr>
          <w:rFonts w:ascii="Arial" w:hAnsi="Arial" w:cs="Arial"/>
          <w:sz w:val="22"/>
          <w:szCs w:val="22"/>
        </w:rPr>
      </w:pPr>
    </w:p>
    <w:p w14:paraId="2BDA5E0E" w14:textId="77777777" w:rsidR="0097093F" w:rsidRDefault="0097093F" w:rsidP="008E70A0">
      <w:pPr>
        <w:spacing w:line="360" w:lineRule="auto"/>
        <w:rPr>
          <w:rFonts w:ascii="Arial" w:hAnsi="Arial" w:cs="Arial"/>
          <w:sz w:val="22"/>
          <w:szCs w:val="22"/>
        </w:rPr>
      </w:pPr>
    </w:p>
    <w:p w14:paraId="6DA961AF" w14:textId="77777777" w:rsidR="0097093F" w:rsidRDefault="0097093F" w:rsidP="008E70A0">
      <w:pPr>
        <w:spacing w:line="360" w:lineRule="auto"/>
        <w:rPr>
          <w:rFonts w:ascii="Arial" w:hAnsi="Arial" w:cs="Arial"/>
          <w:sz w:val="22"/>
          <w:szCs w:val="22"/>
        </w:rPr>
      </w:pPr>
    </w:p>
    <w:p w14:paraId="4DC8A114" w14:textId="77777777" w:rsidR="0097093F" w:rsidRDefault="0097093F" w:rsidP="008E70A0">
      <w:pPr>
        <w:spacing w:line="360" w:lineRule="auto"/>
        <w:rPr>
          <w:rFonts w:ascii="Arial" w:hAnsi="Arial" w:cs="Arial"/>
          <w:sz w:val="22"/>
          <w:szCs w:val="22"/>
        </w:rPr>
      </w:pPr>
    </w:p>
    <w:p w14:paraId="1A243EB7" w14:textId="77777777" w:rsidR="0097093F" w:rsidRDefault="0097093F" w:rsidP="008E70A0">
      <w:pPr>
        <w:spacing w:line="360" w:lineRule="auto"/>
        <w:rPr>
          <w:rFonts w:ascii="Arial" w:hAnsi="Arial" w:cs="Arial"/>
          <w:sz w:val="22"/>
          <w:szCs w:val="22"/>
        </w:rPr>
      </w:pPr>
    </w:p>
    <w:p w14:paraId="7B792D0E" w14:textId="661B7F91" w:rsidR="0097093F" w:rsidRDefault="0097093F" w:rsidP="008E70A0">
      <w:pPr>
        <w:spacing w:line="360" w:lineRule="auto"/>
        <w:rPr>
          <w:rFonts w:ascii="Arial" w:hAnsi="Arial" w:cs="Arial"/>
          <w:sz w:val="22"/>
          <w:szCs w:val="22"/>
        </w:rPr>
      </w:pPr>
      <w:r w:rsidRPr="00C3020B">
        <w:rPr>
          <w:rFonts w:ascii="Arial" w:hAnsi="Arial" w:cs="Arial"/>
          <w:b/>
          <w:bCs/>
          <w:sz w:val="22"/>
          <w:szCs w:val="22"/>
        </w:rPr>
        <w:t>Re</w:t>
      </w:r>
      <w:r w:rsidR="00D27A8C" w:rsidRPr="00C3020B">
        <w:rPr>
          <w:rFonts w:ascii="Arial" w:hAnsi="Arial" w:cs="Arial"/>
          <w:b/>
          <w:bCs/>
          <w:sz w:val="22"/>
          <w:szCs w:val="22"/>
        </w:rPr>
        <w:t>ferences</w:t>
      </w:r>
      <w:r w:rsidR="00D27A8C">
        <w:rPr>
          <w:rFonts w:ascii="Arial" w:hAnsi="Arial" w:cs="Arial"/>
          <w:sz w:val="22"/>
          <w:szCs w:val="22"/>
        </w:rPr>
        <w:t xml:space="preserve">: </w:t>
      </w:r>
    </w:p>
    <w:p w14:paraId="3EDAF689"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Alderwick, H., Hutchings, A., Briggs, A., Mays, N. and Dixon, J. (2021) ‘The impacts of collaboration between local health care and non-health care organisations and factors shaping how they work: A systematic review of reviews’, </w:t>
      </w:r>
      <w:r w:rsidRPr="005C559C">
        <w:rPr>
          <w:rFonts w:ascii="Arial" w:hAnsi="Arial" w:cs="Arial"/>
          <w:i/>
          <w:iCs/>
          <w:sz w:val="22"/>
          <w:szCs w:val="22"/>
        </w:rPr>
        <w:t>BMC Public Health</w:t>
      </w:r>
      <w:r w:rsidRPr="005C559C">
        <w:rPr>
          <w:rFonts w:ascii="Arial" w:hAnsi="Arial" w:cs="Arial"/>
          <w:sz w:val="22"/>
          <w:szCs w:val="22"/>
        </w:rPr>
        <w:t xml:space="preserve">, 21(1), pp. 1–16. </w:t>
      </w:r>
      <w:hyperlink r:id="rId5" w:history="1">
        <w:r w:rsidRPr="005C559C">
          <w:rPr>
            <w:rStyle w:val="Hyperlink"/>
            <w:rFonts w:ascii="Arial" w:hAnsi="Arial" w:cs="Arial"/>
            <w:sz w:val="22"/>
            <w:szCs w:val="22"/>
          </w:rPr>
          <w:t>https://doi.org/10.1186/s12889-021-10630-1</w:t>
        </w:r>
      </w:hyperlink>
    </w:p>
    <w:p w14:paraId="7130AE39"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Bambra, C., Riordan, R., Ford, J. and Matthews, F. (2022) ‘The COVID-19 pandemic and health inequalities’, </w:t>
      </w:r>
      <w:r w:rsidRPr="005C559C">
        <w:rPr>
          <w:rFonts w:ascii="Arial" w:hAnsi="Arial" w:cs="Arial"/>
          <w:i/>
          <w:iCs/>
          <w:sz w:val="22"/>
          <w:szCs w:val="22"/>
        </w:rPr>
        <w:t>Journal of Epidemiology and Community Health</w:t>
      </w:r>
      <w:r w:rsidRPr="005C559C">
        <w:rPr>
          <w:rFonts w:ascii="Arial" w:hAnsi="Arial" w:cs="Arial"/>
          <w:sz w:val="22"/>
          <w:szCs w:val="22"/>
        </w:rPr>
        <w:t xml:space="preserve">, 76(11), pp. 964–968. </w:t>
      </w:r>
      <w:hyperlink r:id="rId6" w:history="1">
        <w:r w:rsidRPr="005C559C">
          <w:rPr>
            <w:rStyle w:val="Hyperlink"/>
            <w:rFonts w:ascii="Arial" w:hAnsi="Arial" w:cs="Arial"/>
            <w:sz w:val="22"/>
            <w:szCs w:val="22"/>
          </w:rPr>
          <w:t>https://doi.org/10.1136/jech-2022-219200</w:t>
        </w:r>
      </w:hyperlink>
    </w:p>
    <w:p w14:paraId="7398B358"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Bolton, D. and Gillett, G. (2019) </w:t>
      </w:r>
      <w:r w:rsidRPr="005C559C">
        <w:rPr>
          <w:rFonts w:ascii="Arial" w:hAnsi="Arial" w:cs="Arial"/>
          <w:i/>
          <w:iCs/>
          <w:sz w:val="22"/>
          <w:szCs w:val="22"/>
        </w:rPr>
        <w:t>The Biopsychosocial Model of Health and Disease: New Philosophical and Scientific Developments</w:t>
      </w:r>
      <w:r w:rsidRPr="005C559C">
        <w:rPr>
          <w:rFonts w:ascii="Arial" w:hAnsi="Arial" w:cs="Arial"/>
          <w:sz w:val="22"/>
          <w:szCs w:val="22"/>
        </w:rPr>
        <w:t>. Cham: Palgrave Macmillan.</w:t>
      </w:r>
    </w:p>
    <w:p w14:paraId="442533E0" w14:textId="6B132BC4"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Buckingham, H., Gardner, T. and Fraser, C. (2023) </w:t>
      </w:r>
      <w:r w:rsidRPr="005C559C">
        <w:rPr>
          <w:rFonts w:ascii="Arial" w:hAnsi="Arial" w:cs="Arial"/>
          <w:i/>
          <w:iCs/>
          <w:sz w:val="22"/>
          <w:szCs w:val="22"/>
        </w:rPr>
        <w:t>Integrated Care Systems Explained</w:t>
      </w:r>
      <w:r w:rsidRPr="005C559C">
        <w:rPr>
          <w:rFonts w:ascii="Arial" w:hAnsi="Arial" w:cs="Arial"/>
          <w:sz w:val="22"/>
          <w:szCs w:val="22"/>
        </w:rPr>
        <w:t xml:space="preserve">. London: The King's Fund. Available at: </w:t>
      </w:r>
      <w:hyperlink r:id="rId7" w:history="1">
        <w:r w:rsidRPr="005C559C">
          <w:rPr>
            <w:rStyle w:val="Hyperlink"/>
            <w:rFonts w:ascii="Arial" w:hAnsi="Arial" w:cs="Arial"/>
            <w:sz w:val="22"/>
            <w:szCs w:val="22"/>
          </w:rPr>
          <w:t>https://www.kingsfund.org.uk</w:t>
        </w:r>
      </w:hyperlink>
      <w:r w:rsidRPr="005C559C">
        <w:rPr>
          <w:rFonts w:ascii="Arial" w:hAnsi="Arial" w:cs="Arial"/>
          <w:sz w:val="22"/>
          <w:szCs w:val="22"/>
        </w:rPr>
        <w:t xml:space="preserve"> (Accessed: </w:t>
      </w:r>
      <w:r w:rsidRPr="005C559C">
        <w:rPr>
          <w:rFonts w:ascii="Arial" w:hAnsi="Arial" w:cs="Arial"/>
          <w:sz w:val="22"/>
          <w:szCs w:val="22"/>
        </w:rPr>
        <w:t>11 May</w:t>
      </w:r>
      <w:r w:rsidRPr="005C559C">
        <w:rPr>
          <w:rFonts w:ascii="Arial" w:hAnsi="Arial" w:cs="Arial"/>
          <w:sz w:val="22"/>
          <w:szCs w:val="22"/>
        </w:rPr>
        <w:t xml:space="preserve"> 2026).</w:t>
      </w:r>
    </w:p>
    <w:p w14:paraId="6243EA6B"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Dahlgren, G. and Whitehead, M. (2021) </w:t>
      </w:r>
      <w:r w:rsidRPr="005C559C">
        <w:rPr>
          <w:rFonts w:ascii="Arial" w:hAnsi="Arial" w:cs="Arial"/>
          <w:i/>
          <w:iCs/>
          <w:sz w:val="22"/>
          <w:szCs w:val="22"/>
        </w:rPr>
        <w:t>European Strategies for Tackling Social Inequities in Health: Levelling Up Part 2</w:t>
      </w:r>
      <w:r w:rsidRPr="005C559C">
        <w:rPr>
          <w:rFonts w:ascii="Arial" w:hAnsi="Arial" w:cs="Arial"/>
          <w:sz w:val="22"/>
          <w:szCs w:val="22"/>
        </w:rPr>
        <w:t>. Copenhagen: WHO Regional Office for Europe.</w:t>
      </w:r>
    </w:p>
    <w:p w14:paraId="6285071A"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lastRenderedPageBreak/>
        <w:t xml:space="preserve">Engel, G.L. (1977) ‘The need for a new medical model: A challenge for biomedicine’, </w:t>
      </w:r>
      <w:r w:rsidRPr="005C559C">
        <w:rPr>
          <w:rFonts w:ascii="Arial" w:hAnsi="Arial" w:cs="Arial"/>
          <w:i/>
          <w:iCs/>
          <w:sz w:val="22"/>
          <w:szCs w:val="22"/>
        </w:rPr>
        <w:t>Science</w:t>
      </w:r>
      <w:r w:rsidRPr="005C559C">
        <w:rPr>
          <w:rFonts w:ascii="Arial" w:hAnsi="Arial" w:cs="Arial"/>
          <w:sz w:val="22"/>
          <w:szCs w:val="22"/>
        </w:rPr>
        <w:t xml:space="preserve">, 196(4286), pp. 129–136. </w:t>
      </w:r>
      <w:hyperlink r:id="rId8" w:history="1">
        <w:r w:rsidRPr="005C559C">
          <w:rPr>
            <w:rStyle w:val="Hyperlink"/>
            <w:rFonts w:ascii="Arial" w:hAnsi="Arial" w:cs="Arial"/>
            <w:sz w:val="22"/>
            <w:szCs w:val="22"/>
          </w:rPr>
          <w:t>https://doi.org/10.1126/science.847460</w:t>
        </w:r>
      </w:hyperlink>
    </w:p>
    <w:p w14:paraId="246E506E"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Marmot, M., Allen, J., Boyce, T., Goldblatt, P. and Morrison, J. (2020) </w:t>
      </w:r>
      <w:r w:rsidRPr="005C559C">
        <w:rPr>
          <w:rFonts w:ascii="Arial" w:hAnsi="Arial" w:cs="Arial"/>
          <w:i/>
          <w:iCs/>
          <w:sz w:val="22"/>
          <w:szCs w:val="22"/>
        </w:rPr>
        <w:t>Health Equity in England: The Marmot Review 10 Years On</w:t>
      </w:r>
      <w:r w:rsidRPr="005C559C">
        <w:rPr>
          <w:rFonts w:ascii="Arial" w:hAnsi="Arial" w:cs="Arial"/>
          <w:sz w:val="22"/>
          <w:szCs w:val="22"/>
        </w:rPr>
        <w:t>. London: Institute of Health Equity.</w:t>
      </w:r>
    </w:p>
    <w:p w14:paraId="37105996" w14:textId="354A4478"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National Institute for Health and Care Excellence (NICE) (2022) </w:t>
      </w:r>
      <w:r w:rsidRPr="005C559C">
        <w:rPr>
          <w:rFonts w:ascii="Arial" w:hAnsi="Arial" w:cs="Arial"/>
          <w:i/>
          <w:iCs/>
          <w:sz w:val="22"/>
          <w:szCs w:val="22"/>
        </w:rPr>
        <w:t>Community Engagement: Improving Health and Wellbeing and Reducing Health Inequalities (NG44)</w:t>
      </w:r>
      <w:r w:rsidRPr="005C559C">
        <w:rPr>
          <w:rFonts w:ascii="Arial" w:hAnsi="Arial" w:cs="Arial"/>
          <w:sz w:val="22"/>
          <w:szCs w:val="22"/>
        </w:rPr>
        <w:t xml:space="preserve">. London: NICE. Available at: </w:t>
      </w:r>
      <w:hyperlink r:id="rId9" w:history="1">
        <w:r w:rsidRPr="005C559C">
          <w:rPr>
            <w:rStyle w:val="Hyperlink"/>
            <w:rFonts w:ascii="Arial" w:hAnsi="Arial" w:cs="Arial"/>
            <w:sz w:val="22"/>
            <w:szCs w:val="22"/>
          </w:rPr>
          <w:t>https://www.nice.org.uk/guidance/ng44</w:t>
        </w:r>
      </w:hyperlink>
      <w:r w:rsidRPr="005C559C">
        <w:rPr>
          <w:rFonts w:ascii="Arial" w:hAnsi="Arial" w:cs="Arial"/>
          <w:sz w:val="22"/>
          <w:szCs w:val="22"/>
        </w:rPr>
        <w:t xml:space="preserve"> (Accessed: </w:t>
      </w:r>
      <w:r w:rsidRPr="005C559C">
        <w:rPr>
          <w:rFonts w:ascii="Arial" w:hAnsi="Arial" w:cs="Arial"/>
          <w:sz w:val="22"/>
          <w:szCs w:val="22"/>
        </w:rPr>
        <w:t>15 June</w:t>
      </w:r>
      <w:r w:rsidRPr="005C559C">
        <w:rPr>
          <w:rFonts w:ascii="Arial" w:hAnsi="Arial" w:cs="Arial"/>
          <w:sz w:val="22"/>
          <w:szCs w:val="22"/>
        </w:rPr>
        <w:t xml:space="preserve"> 2026).</w:t>
      </w:r>
    </w:p>
    <w:p w14:paraId="0949B03A" w14:textId="44B9480E"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NHS England (2019) </w:t>
      </w:r>
      <w:r w:rsidRPr="005C559C">
        <w:rPr>
          <w:rFonts w:ascii="Arial" w:hAnsi="Arial" w:cs="Arial"/>
          <w:i/>
          <w:iCs/>
          <w:sz w:val="22"/>
          <w:szCs w:val="22"/>
        </w:rPr>
        <w:t>The NHS Long Term Plan</w:t>
      </w:r>
      <w:r w:rsidRPr="005C559C">
        <w:rPr>
          <w:rFonts w:ascii="Arial" w:hAnsi="Arial" w:cs="Arial"/>
          <w:sz w:val="22"/>
          <w:szCs w:val="22"/>
        </w:rPr>
        <w:t xml:space="preserve">. London: NHS England. Available at: </w:t>
      </w:r>
      <w:hyperlink r:id="rId10" w:history="1">
        <w:r w:rsidRPr="005C559C">
          <w:rPr>
            <w:rStyle w:val="Hyperlink"/>
            <w:rFonts w:ascii="Arial" w:hAnsi="Arial" w:cs="Arial"/>
            <w:sz w:val="22"/>
            <w:szCs w:val="22"/>
          </w:rPr>
          <w:t>https://www.longtermplan.nhs.uk</w:t>
        </w:r>
      </w:hyperlink>
      <w:r w:rsidRPr="005C559C">
        <w:rPr>
          <w:rFonts w:ascii="Arial" w:hAnsi="Arial" w:cs="Arial"/>
          <w:sz w:val="22"/>
          <w:szCs w:val="22"/>
        </w:rPr>
        <w:t xml:space="preserve"> (Accessed: </w:t>
      </w:r>
      <w:r w:rsidRPr="005C559C">
        <w:rPr>
          <w:rFonts w:ascii="Arial" w:hAnsi="Arial" w:cs="Arial"/>
          <w:sz w:val="22"/>
          <w:szCs w:val="22"/>
        </w:rPr>
        <w:t>15 June</w:t>
      </w:r>
      <w:r w:rsidRPr="005C559C">
        <w:rPr>
          <w:rFonts w:ascii="Arial" w:hAnsi="Arial" w:cs="Arial"/>
          <w:sz w:val="22"/>
          <w:szCs w:val="22"/>
        </w:rPr>
        <w:t xml:space="preserve"> 2026).</w:t>
      </w:r>
    </w:p>
    <w:p w14:paraId="6AFA67A7" w14:textId="35492441"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NHS England (2024) </w:t>
      </w:r>
      <w:r w:rsidRPr="005C559C">
        <w:rPr>
          <w:rFonts w:ascii="Arial" w:hAnsi="Arial" w:cs="Arial"/>
          <w:i/>
          <w:iCs/>
          <w:sz w:val="22"/>
          <w:szCs w:val="22"/>
        </w:rPr>
        <w:t>Core20PLUS5 – An Approach to Reducing Healthcare Inequalities</w:t>
      </w:r>
      <w:r w:rsidRPr="005C559C">
        <w:rPr>
          <w:rFonts w:ascii="Arial" w:hAnsi="Arial" w:cs="Arial"/>
          <w:sz w:val="22"/>
          <w:szCs w:val="22"/>
        </w:rPr>
        <w:t xml:space="preserve">. London: NHS England. Available at: </w:t>
      </w:r>
      <w:hyperlink r:id="rId11" w:history="1">
        <w:r w:rsidRPr="005C559C">
          <w:rPr>
            <w:rStyle w:val="Hyperlink"/>
            <w:rFonts w:ascii="Arial" w:hAnsi="Arial" w:cs="Arial"/>
            <w:sz w:val="22"/>
            <w:szCs w:val="22"/>
          </w:rPr>
          <w:t>https://www.england.nhs.uk/about/equality/equality-hub/core20plus5/</w:t>
        </w:r>
      </w:hyperlink>
      <w:r w:rsidRPr="005C559C">
        <w:rPr>
          <w:rFonts w:ascii="Arial" w:hAnsi="Arial" w:cs="Arial"/>
          <w:sz w:val="22"/>
          <w:szCs w:val="22"/>
        </w:rPr>
        <w:t xml:space="preserve"> (Accessed: </w:t>
      </w:r>
      <w:r w:rsidRPr="005C559C">
        <w:rPr>
          <w:rFonts w:ascii="Arial" w:hAnsi="Arial" w:cs="Arial"/>
          <w:sz w:val="22"/>
          <w:szCs w:val="22"/>
        </w:rPr>
        <w:t>1</w:t>
      </w:r>
      <w:r w:rsidR="00775969" w:rsidRPr="005C559C">
        <w:rPr>
          <w:rFonts w:ascii="Arial" w:hAnsi="Arial" w:cs="Arial"/>
          <w:sz w:val="22"/>
          <w:szCs w:val="22"/>
        </w:rPr>
        <w:t>5 June</w:t>
      </w:r>
      <w:r w:rsidRPr="005C559C">
        <w:rPr>
          <w:rFonts w:ascii="Arial" w:hAnsi="Arial" w:cs="Arial"/>
          <w:sz w:val="22"/>
          <w:szCs w:val="22"/>
        </w:rPr>
        <w:t xml:space="preserve"> 2026).</w:t>
      </w:r>
    </w:p>
    <w:p w14:paraId="23674F8E" w14:textId="4AEB71B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Office for Health Improvement and Disparities (2024) </w:t>
      </w:r>
      <w:r w:rsidRPr="005C559C">
        <w:rPr>
          <w:rFonts w:ascii="Arial" w:hAnsi="Arial" w:cs="Arial"/>
          <w:i/>
          <w:iCs/>
          <w:sz w:val="22"/>
          <w:szCs w:val="22"/>
        </w:rPr>
        <w:t>Health Inequalities Dashboard</w:t>
      </w:r>
      <w:r w:rsidRPr="005C559C">
        <w:rPr>
          <w:rFonts w:ascii="Arial" w:hAnsi="Arial" w:cs="Arial"/>
          <w:sz w:val="22"/>
          <w:szCs w:val="22"/>
        </w:rPr>
        <w:t xml:space="preserve">. London: Department of Health and Social Care. Available at: </w:t>
      </w:r>
      <w:hyperlink r:id="rId12" w:history="1">
        <w:r w:rsidRPr="005C559C">
          <w:rPr>
            <w:rStyle w:val="Hyperlink"/>
            <w:rFonts w:ascii="Arial" w:hAnsi="Arial" w:cs="Arial"/>
            <w:sz w:val="22"/>
            <w:szCs w:val="22"/>
          </w:rPr>
          <w:t>https://fingertips.phe.org.uk/profile/health-inequalities</w:t>
        </w:r>
      </w:hyperlink>
      <w:r w:rsidRPr="005C559C">
        <w:rPr>
          <w:rFonts w:ascii="Arial" w:hAnsi="Arial" w:cs="Arial"/>
          <w:sz w:val="22"/>
          <w:szCs w:val="22"/>
        </w:rPr>
        <w:t xml:space="preserve"> (Accessed: </w:t>
      </w:r>
      <w:r w:rsidR="005C559C" w:rsidRPr="005C559C">
        <w:rPr>
          <w:rFonts w:ascii="Arial" w:hAnsi="Arial" w:cs="Arial"/>
          <w:sz w:val="22"/>
          <w:szCs w:val="22"/>
        </w:rPr>
        <w:t>11 July</w:t>
      </w:r>
      <w:r w:rsidRPr="005C559C">
        <w:rPr>
          <w:rFonts w:ascii="Arial" w:hAnsi="Arial" w:cs="Arial"/>
          <w:sz w:val="22"/>
          <w:szCs w:val="22"/>
        </w:rPr>
        <w:t xml:space="preserve"> 2026).</w:t>
      </w:r>
    </w:p>
    <w:p w14:paraId="4D63C4FD" w14:textId="753CE75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Office for National Statistics (2024) </w:t>
      </w:r>
      <w:r w:rsidRPr="005C559C">
        <w:rPr>
          <w:rFonts w:ascii="Arial" w:hAnsi="Arial" w:cs="Arial"/>
          <w:i/>
          <w:iCs/>
          <w:sz w:val="22"/>
          <w:szCs w:val="22"/>
        </w:rPr>
        <w:t>Health State Life Expectancies, UK: 2021 to 2023</w:t>
      </w:r>
      <w:r w:rsidRPr="005C559C">
        <w:rPr>
          <w:rFonts w:ascii="Arial" w:hAnsi="Arial" w:cs="Arial"/>
          <w:sz w:val="22"/>
          <w:szCs w:val="22"/>
        </w:rPr>
        <w:t xml:space="preserve">. Newport: Office for National Statistics. Available at: </w:t>
      </w:r>
      <w:hyperlink r:id="rId13" w:history="1">
        <w:r w:rsidRPr="005C559C">
          <w:rPr>
            <w:rStyle w:val="Hyperlink"/>
            <w:rFonts w:ascii="Arial" w:hAnsi="Arial" w:cs="Arial"/>
            <w:sz w:val="22"/>
            <w:szCs w:val="22"/>
          </w:rPr>
          <w:t>https://www.ons.gov.uk</w:t>
        </w:r>
      </w:hyperlink>
      <w:r w:rsidRPr="005C559C">
        <w:rPr>
          <w:rFonts w:ascii="Arial" w:hAnsi="Arial" w:cs="Arial"/>
          <w:sz w:val="22"/>
          <w:szCs w:val="22"/>
        </w:rPr>
        <w:t xml:space="preserve"> (Accessed: </w:t>
      </w:r>
      <w:r w:rsidR="005C559C" w:rsidRPr="005C559C">
        <w:rPr>
          <w:rFonts w:ascii="Arial" w:hAnsi="Arial" w:cs="Arial"/>
          <w:sz w:val="22"/>
          <w:szCs w:val="22"/>
        </w:rPr>
        <w:t>11 July</w:t>
      </w:r>
      <w:r w:rsidRPr="005C559C">
        <w:rPr>
          <w:rFonts w:ascii="Arial" w:hAnsi="Arial" w:cs="Arial"/>
          <w:sz w:val="22"/>
          <w:szCs w:val="22"/>
        </w:rPr>
        <w:t xml:space="preserve"> 2026).</w:t>
      </w:r>
    </w:p>
    <w:p w14:paraId="078905EA"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Organisation for Economic Co-operation and Development (OECD) (2023) </w:t>
      </w:r>
      <w:r w:rsidRPr="005C559C">
        <w:rPr>
          <w:rFonts w:ascii="Arial" w:hAnsi="Arial" w:cs="Arial"/>
          <w:i/>
          <w:iCs/>
          <w:sz w:val="22"/>
          <w:szCs w:val="22"/>
        </w:rPr>
        <w:t>Health at a Glance 2023: OECD Indicators</w:t>
      </w:r>
      <w:r w:rsidRPr="005C559C">
        <w:rPr>
          <w:rFonts w:ascii="Arial" w:hAnsi="Arial" w:cs="Arial"/>
          <w:sz w:val="22"/>
          <w:szCs w:val="22"/>
        </w:rPr>
        <w:t xml:space="preserve">. Paris: OECD Publishing. </w:t>
      </w:r>
      <w:hyperlink r:id="rId14" w:history="1">
        <w:r w:rsidRPr="005C559C">
          <w:rPr>
            <w:rStyle w:val="Hyperlink"/>
            <w:rFonts w:ascii="Arial" w:hAnsi="Arial" w:cs="Arial"/>
            <w:sz w:val="22"/>
            <w:szCs w:val="22"/>
          </w:rPr>
          <w:t>https://doi.org/10.1787/7a7afb35-en</w:t>
        </w:r>
      </w:hyperlink>
    </w:p>
    <w:p w14:paraId="2EB499FB" w14:textId="36A1540B"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The Health Foundation (2024) </w:t>
      </w:r>
      <w:r w:rsidRPr="005C559C">
        <w:rPr>
          <w:rFonts w:ascii="Arial" w:hAnsi="Arial" w:cs="Arial"/>
          <w:i/>
          <w:iCs/>
          <w:sz w:val="22"/>
          <w:szCs w:val="22"/>
        </w:rPr>
        <w:t>Health Inequalities in 2040</w:t>
      </w:r>
      <w:r w:rsidRPr="005C559C">
        <w:rPr>
          <w:rFonts w:ascii="Arial" w:hAnsi="Arial" w:cs="Arial"/>
          <w:sz w:val="22"/>
          <w:szCs w:val="22"/>
        </w:rPr>
        <w:t xml:space="preserve">. London: The Health Foundation. Available at: </w:t>
      </w:r>
      <w:hyperlink r:id="rId15" w:history="1">
        <w:r w:rsidRPr="005C559C">
          <w:rPr>
            <w:rStyle w:val="Hyperlink"/>
            <w:rFonts w:ascii="Arial" w:hAnsi="Arial" w:cs="Arial"/>
            <w:sz w:val="22"/>
            <w:szCs w:val="22"/>
          </w:rPr>
          <w:t>https://www.health.org.uk</w:t>
        </w:r>
      </w:hyperlink>
      <w:r w:rsidRPr="005C559C">
        <w:rPr>
          <w:rFonts w:ascii="Arial" w:hAnsi="Arial" w:cs="Arial"/>
          <w:sz w:val="22"/>
          <w:szCs w:val="22"/>
        </w:rPr>
        <w:t xml:space="preserve"> (Accessed: </w:t>
      </w:r>
      <w:r w:rsidR="005C559C" w:rsidRPr="005C559C">
        <w:rPr>
          <w:rFonts w:ascii="Arial" w:hAnsi="Arial" w:cs="Arial"/>
          <w:sz w:val="22"/>
          <w:szCs w:val="22"/>
        </w:rPr>
        <w:t>10 July</w:t>
      </w:r>
      <w:r w:rsidRPr="005C559C">
        <w:rPr>
          <w:rFonts w:ascii="Arial" w:hAnsi="Arial" w:cs="Arial"/>
          <w:sz w:val="22"/>
          <w:szCs w:val="22"/>
        </w:rPr>
        <w:t xml:space="preserve"> 2026).</w:t>
      </w:r>
    </w:p>
    <w:p w14:paraId="6183FFF5" w14:textId="16DB02A3"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The King's Fund (2024) </w:t>
      </w:r>
      <w:r w:rsidRPr="005C559C">
        <w:rPr>
          <w:rFonts w:ascii="Arial" w:hAnsi="Arial" w:cs="Arial"/>
          <w:i/>
          <w:iCs/>
          <w:sz w:val="22"/>
          <w:szCs w:val="22"/>
        </w:rPr>
        <w:t>The NHS in a Nutshell</w:t>
      </w:r>
      <w:r w:rsidRPr="005C559C">
        <w:rPr>
          <w:rFonts w:ascii="Arial" w:hAnsi="Arial" w:cs="Arial"/>
          <w:sz w:val="22"/>
          <w:szCs w:val="22"/>
        </w:rPr>
        <w:t xml:space="preserve">. London: The King's Fund. Available at: </w:t>
      </w:r>
      <w:hyperlink r:id="rId16" w:history="1">
        <w:r w:rsidRPr="005C559C">
          <w:rPr>
            <w:rStyle w:val="Hyperlink"/>
            <w:rFonts w:ascii="Arial" w:hAnsi="Arial" w:cs="Arial"/>
            <w:sz w:val="22"/>
            <w:szCs w:val="22"/>
          </w:rPr>
          <w:t>https://www.kingsfund.org.uk</w:t>
        </w:r>
      </w:hyperlink>
      <w:r w:rsidRPr="005C559C">
        <w:rPr>
          <w:rFonts w:ascii="Arial" w:hAnsi="Arial" w:cs="Arial"/>
          <w:sz w:val="22"/>
          <w:szCs w:val="22"/>
        </w:rPr>
        <w:t xml:space="preserve"> (Accessed: </w:t>
      </w:r>
      <w:r w:rsidR="005C559C" w:rsidRPr="005C559C">
        <w:rPr>
          <w:rFonts w:ascii="Arial" w:hAnsi="Arial" w:cs="Arial"/>
          <w:sz w:val="22"/>
          <w:szCs w:val="22"/>
        </w:rPr>
        <w:t>10 July</w:t>
      </w:r>
      <w:r w:rsidRPr="005C559C">
        <w:rPr>
          <w:rFonts w:ascii="Arial" w:hAnsi="Arial" w:cs="Arial"/>
          <w:sz w:val="22"/>
          <w:szCs w:val="22"/>
        </w:rPr>
        <w:t xml:space="preserve"> 2026).</w:t>
      </w:r>
    </w:p>
    <w:p w14:paraId="1FFF48AD" w14:textId="77D65B70"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United Nations (2024) </w:t>
      </w:r>
      <w:r w:rsidRPr="005C559C">
        <w:rPr>
          <w:rFonts w:ascii="Arial" w:hAnsi="Arial" w:cs="Arial"/>
          <w:i/>
          <w:iCs/>
          <w:sz w:val="22"/>
          <w:szCs w:val="22"/>
        </w:rPr>
        <w:t>The Sustainable Development Goals Report 2024</w:t>
      </w:r>
      <w:r w:rsidRPr="005C559C">
        <w:rPr>
          <w:rFonts w:ascii="Arial" w:hAnsi="Arial" w:cs="Arial"/>
          <w:sz w:val="22"/>
          <w:szCs w:val="22"/>
        </w:rPr>
        <w:t xml:space="preserve">. New York: United Nations. Available at: </w:t>
      </w:r>
      <w:hyperlink r:id="rId17" w:history="1">
        <w:r w:rsidRPr="005C559C">
          <w:rPr>
            <w:rStyle w:val="Hyperlink"/>
            <w:rFonts w:ascii="Arial" w:hAnsi="Arial" w:cs="Arial"/>
            <w:sz w:val="22"/>
            <w:szCs w:val="22"/>
          </w:rPr>
          <w:t>https://unstats.un.org/sdgs/report/2024/</w:t>
        </w:r>
      </w:hyperlink>
      <w:r w:rsidRPr="005C559C">
        <w:rPr>
          <w:rFonts w:ascii="Arial" w:hAnsi="Arial" w:cs="Arial"/>
          <w:sz w:val="22"/>
          <w:szCs w:val="22"/>
        </w:rPr>
        <w:t xml:space="preserve"> (Accessed: </w:t>
      </w:r>
      <w:r w:rsidR="005C559C" w:rsidRPr="005C559C">
        <w:rPr>
          <w:rFonts w:ascii="Arial" w:hAnsi="Arial" w:cs="Arial"/>
          <w:sz w:val="22"/>
          <w:szCs w:val="22"/>
        </w:rPr>
        <w:t>10 July</w:t>
      </w:r>
      <w:r w:rsidRPr="005C559C">
        <w:rPr>
          <w:rFonts w:ascii="Arial" w:hAnsi="Arial" w:cs="Arial"/>
          <w:sz w:val="22"/>
          <w:szCs w:val="22"/>
        </w:rPr>
        <w:t xml:space="preserve"> 2026).</w:t>
      </w:r>
    </w:p>
    <w:p w14:paraId="1F93D331" w14:textId="77777777"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Valabhji, J., Barron, E., Bradley, D., Bakhai, C., Fagg, J., O'Neill, S., Young, B. and Wareham, N.J. (2020) ‘Early outcomes from the English National Health Service Diabetes Prevention Programme’, </w:t>
      </w:r>
      <w:r w:rsidRPr="005C559C">
        <w:rPr>
          <w:rFonts w:ascii="Arial" w:hAnsi="Arial" w:cs="Arial"/>
          <w:i/>
          <w:iCs/>
          <w:sz w:val="22"/>
          <w:szCs w:val="22"/>
        </w:rPr>
        <w:t>Diabetes Care</w:t>
      </w:r>
      <w:r w:rsidRPr="005C559C">
        <w:rPr>
          <w:rFonts w:ascii="Arial" w:hAnsi="Arial" w:cs="Arial"/>
          <w:sz w:val="22"/>
          <w:szCs w:val="22"/>
        </w:rPr>
        <w:t xml:space="preserve">, 43(1), pp. 152–160. </w:t>
      </w:r>
      <w:hyperlink r:id="rId18" w:history="1">
        <w:r w:rsidRPr="005C559C">
          <w:rPr>
            <w:rStyle w:val="Hyperlink"/>
            <w:rFonts w:ascii="Arial" w:hAnsi="Arial" w:cs="Arial"/>
            <w:sz w:val="22"/>
            <w:szCs w:val="22"/>
          </w:rPr>
          <w:t>https://doi.org/10.2337/dc19-1425</w:t>
        </w:r>
      </w:hyperlink>
    </w:p>
    <w:p w14:paraId="0519B713" w14:textId="7A1F9339"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lastRenderedPageBreak/>
        <w:t xml:space="preserve">World Health </w:t>
      </w:r>
      <w:r w:rsidRPr="005C559C">
        <w:rPr>
          <w:rFonts w:ascii="Arial" w:hAnsi="Arial" w:cs="Arial"/>
          <w:sz w:val="22"/>
          <w:szCs w:val="22"/>
        </w:rPr>
        <w:t>Organisation</w:t>
      </w:r>
      <w:r w:rsidRPr="005C559C">
        <w:rPr>
          <w:rFonts w:ascii="Arial" w:hAnsi="Arial" w:cs="Arial"/>
          <w:sz w:val="22"/>
          <w:szCs w:val="22"/>
        </w:rPr>
        <w:t xml:space="preserve"> (2023) </w:t>
      </w:r>
      <w:r w:rsidRPr="005C559C">
        <w:rPr>
          <w:rFonts w:ascii="Arial" w:hAnsi="Arial" w:cs="Arial"/>
          <w:i/>
          <w:iCs/>
          <w:sz w:val="22"/>
          <w:szCs w:val="22"/>
        </w:rPr>
        <w:t>Health in All Policies: Framework for Country Action</w:t>
      </w:r>
      <w:r w:rsidRPr="005C559C">
        <w:rPr>
          <w:rFonts w:ascii="Arial" w:hAnsi="Arial" w:cs="Arial"/>
          <w:sz w:val="22"/>
          <w:szCs w:val="22"/>
        </w:rPr>
        <w:t xml:space="preserve">. Geneva: World Health </w:t>
      </w:r>
      <w:r w:rsidRPr="005C559C">
        <w:rPr>
          <w:rFonts w:ascii="Arial" w:hAnsi="Arial" w:cs="Arial"/>
          <w:sz w:val="22"/>
          <w:szCs w:val="22"/>
        </w:rPr>
        <w:t>Organisation</w:t>
      </w:r>
      <w:r w:rsidRPr="005C559C">
        <w:rPr>
          <w:rFonts w:ascii="Arial" w:hAnsi="Arial" w:cs="Arial"/>
          <w:sz w:val="22"/>
          <w:szCs w:val="22"/>
        </w:rPr>
        <w:t xml:space="preserve">. Available at: </w:t>
      </w:r>
      <w:hyperlink r:id="rId19" w:history="1">
        <w:r w:rsidRPr="005C559C">
          <w:rPr>
            <w:rStyle w:val="Hyperlink"/>
            <w:rFonts w:ascii="Arial" w:hAnsi="Arial" w:cs="Arial"/>
            <w:sz w:val="22"/>
            <w:szCs w:val="22"/>
          </w:rPr>
          <w:t>https://www.wh</w:t>
        </w:r>
        <w:r w:rsidRPr="005C559C">
          <w:rPr>
            <w:rStyle w:val="Hyperlink"/>
            <w:rFonts w:ascii="Arial" w:hAnsi="Arial" w:cs="Arial"/>
            <w:sz w:val="22"/>
            <w:szCs w:val="22"/>
          </w:rPr>
          <w:t>o</w:t>
        </w:r>
        <w:r w:rsidRPr="005C559C">
          <w:rPr>
            <w:rStyle w:val="Hyperlink"/>
            <w:rFonts w:ascii="Arial" w:hAnsi="Arial" w:cs="Arial"/>
            <w:sz w:val="22"/>
            <w:szCs w:val="22"/>
          </w:rPr>
          <w:t>.int</w:t>
        </w:r>
      </w:hyperlink>
      <w:r w:rsidRPr="005C559C">
        <w:rPr>
          <w:rFonts w:ascii="Arial" w:hAnsi="Arial" w:cs="Arial"/>
          <w:sz w:val="22"/>
          <w:szCs w:val="22"/>
        </w:rPr>
        <w:t xml:space="preserve"> (Accessed: </w:t>
      </w:r>
      <w:r w:rsidR="005C559C" w:rsidRPr="005C559C">
        <w:rPr>
          <w:rFonts w:ascii="Arial" w:hAnsi="Arial" w:cs="Arial"/>
          <w:sz w:val="22"/>
          <w:szCs w:val="22"/>
        </w:rPr>
        <w:t>19 July</w:t>
      </w:r>
      <w:r w:rsidRPr="005C559C">
        <w:rPr>
          <w:rFonts w:ascii="Arial" w:hAnsi="Arial" w:cs="Arial"/>
          <w:sz w:val="22"/>
          <w:szCs w:val="22"/>
        </w:rPr>
        <w:t xml:space="preserve"> 2026).</w:t>
      </w:r>
    </w:p>
    <w:p w14:paraId="46911730" w14:textId="650D217A" w:rsidR="001C32EB" w:rsidRPr="005C559C" w:rsidRDefault="001C32EB" w:rsidP="005C559C">
      <w:pPr>
        <w:spacing w:line="360" w:lineRule="auto"/>
        <w:rPr>
          <w:rFonts w:ascii="Arial" w:hAnsi="Arial" w:cs="Arial"/>
          <w:sz w:val="22"/>
          <w:szCs w:val="22"/>
        </w:rPr>
      </w:pPr>
      <w:r w:rsidRPr="005C559C">
        <w:rPr>
          <w:rFonts w:ascii="Arial" w:hAnsi="Arial" w:cs="Arial"/>
          <w:sz w:val="22"/>
          <w:szCs w:val="22"/>
        </w:rPr>
        <w:t xml:space="preserve">World Health </w:t>
      </w:r>
      <w:r w:rsidRPr="005C559C">
        <w:rPr>
          <w:rFonts w:ascii="Arial" w:hAnsi="Arial" w:cs="Arial"/>
          <w:sz w:val="22"/>
          <w:szCs w:val="22"/>
        </w:rPr>
        <w:t>Organisation</w:t>
      </w:r>
      <w:r w:rsidRPr="005C559C">
        <w:rPr>
          <w:rFonts w:ascii="Arial" w:hAnsi="Arial" w:cs="Arial"/>
          <w:sz w:val="22"/>
          <w:szCs w:val="22"/>
        </w:rPr>
        <w:t xml:space="preserve"> (2024) </w:t>
      </w:r>
      <w:r w:rsidRPr="005C559C">
        <w:rPr>
          <w:rFonts w:ascii="Arial" w:hAnsi="Arial" w:cs="Arial"/>
          <w:i/>
          <w:iCs/>
          <w:sz w:val="22"/>
          <w:szCs w:val="22"/>
        </w:rPr>
        <w:t>World Health Statistics 2024: Monitoring Health for the SDGs</w:t>
      </w:r>
      <w:r w:rsidRPr="005C559C">
        <w:rPr>
          <w:rFonts w:ascii="Arial" w:hAnsi="Arial" w:cs="Arial"/>
          <w:sz w:val="22"/>
          <w:szCs w:val="22"/>
        </w:rPr>
        <w:t xml:space="preserve">. Geneva: World Health </w:t>
      </w:r>
      <w:r w:rsidRPr="005C559C">
        <w:rPr>
          <w:rFonts w:ascii="Arial" w:hAnsi="Arial" w:cs="Arial"/>
          <w:sz w:val="22"/>
          <w:szCs w:val="22"/>
        </w:rPr>
        <w:t>Organisation</w:t>
      </w:r>
      <w:r w:rsidRPr="005C559C">
        <w:rPr>
          <w:rFonts w:ascii="Arial" w:hAnsi="Arial" w:cs="Arial"/>
          <w:sz w:val="22"/>
          <w:szCs w:val="22"/>
        </w:rPr>
        <w:t xml:space="preserve">. Available at: </w:t>
      </w:r>
      <w:hyperlink r:id="rId20" w:history="1">
        <w:r w:rsidRPr="005C559C">
          <w:rPr>
            <w:rStyle w:val="Hyperlink"/>
            <w:rFonts w:ascii="Arial" w:hAnsi="Arial" w:cs="Arial"/>
            <w:sz w:val="22"/>
            <w:szCs w:val="22"/>
          </w:rPr>
          <w:t>https://www.who.int/publications</w:t>
        </w:r>
      </w:hyperlink>
      <w:r w:rsidRPr="005C559C">
        <w:rPr>
          <w:rFonts w:ascii="Arial" w:hAnsi="Arial" w:cs="Arial"/>
          <w:sz w:val="22"/>
          <w:szCs w:val="22"/>
        </w:rPr>
        <w:t xml:space="preserve"> (Accessed: </w:t>
      </w:r>
      <w:r w:rsidR="005C559C" w:rsidRPr="005C559C">
        <w:rPr>
          <w:rFonts w:ascii="Arial" w:hAnsi="Arial" w:cs="Arial"/>
          <w:sz w:val="22"/>
          <w:szCs w:val="22"/>
        </w:rPr>
        <w:t>19 July</w:t>
      </w:r>
      <w:r w:rsidRPr="005C559C">
        <w:rPr>
          <w:rFonts w:ascii="Arial" w:hAnsi="Arial" w:cs="Arial"/>
          <w:sz w:val="22"/>
          <w:szCs w:val="22"/>
        </w:rPr>
        <w:t xml:space="preserve"> 2026).</w:t>
      </w:r>
    </w:p>
    <w:p w14:paraId="3E3BC3D8" w14:textId="77777777" w:rsidR="005E3D09" w:rsidRPr="008E70A0" w:rsidRDefault="005E3D09" w:rsidP="008E70A0">
      <w:pPr>
        <w:spacing w:line="360" w:lineRule="auto"/>
        <w:rPr>
          <w:rFonts w:ascii="Arial" w:hAnsi="Arial" w:cs="Arial"/>
          <w:sz w:val="22"/>
          <w:szCs w:val="22"/>
        </w:rPr>
      </w:pPr>
    </w:p>
    <w:sectPr w:rsidR="005E3D09" w:rsidRPr="008E70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DF1CA5"/>
    <w:multiLevelType w:val="hybridMultilevel"/>
    <w:tmpl w:val="3CA04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5321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0A0"/>
    <w:rsid w:val="000558EC"/>
    <w:rsid w:val="0006479A"/>
    <w:rsid w:val="00066999"/>
    <w:rsid w:val="00114E97"/>
    <w:rsid w:val="001C32EB"/>
    <w:rsid w:val="00275FED"/>
    <w:rsid w:val="002941AC"/>
    <w:rsid w:val="002A61CB"/>
    <w:rsid w:val="00335A41"/>
    <w:rsid w:val="003622C4"/>
    <w:rsid w:val="004215D7"/>
    <w:rsid w:val="0045617A"/>
    <w:rsid w:val="00496885"/>
    <w:rsid w:val="004A3651"/>
    <w:rsid w:val="00597995"/>
    <w:rsid w:val="005C559C"/>
    <w:rsid w:val="005E3D09"/>
    <w:rsid w:val="006B6A6E"/>
    <w:rsid w:val="00723F69"/>
    <w:rsid w:val="007543A3"/>
    <w:rsid w:val="00775969"/>
    <w:rsid w:val="00870C2D"/>
    <w:rsid w:val="00896611"/>
    <w:rsid w:val="008E70A0"/>
    <w:rsid w:val="0097093F"/>
    <w:rsid w:val="00983452"/>
    <w:rsid w:val="009A180A"/>
    <w:rsid w:val="00A72EFD"/>
    <w:rsid w:val="00A951A7"/>
    <w:rsid w:val="00AA47A6"/>
    <w:rsid w:val="00AB4D17"/>
    <w:rsid w:val="00AF0BB9"/>
    <w:rsid w:val="00B0684E"/>
    <w:rsid w:val="00B66AE6"/>
    <w:rsid w:val="00BC4984"/>
    <w:rsid w:val="00BE1E59"/>
    <w:rsid w:val="00C3020B"/>
    <w:rsid w:val="00C85592"/>
    <w:rsid w:val="00D27A8C"/>
    <w:rsid w:val="00D56CBC"/>
    <w:rsid w:val="00D73153"/>
    <w:rsid w:val="00DE3085"/>
    <w:rsid w:val="00E8388D"/>
    <w:rsid w:val="00E96294"/>
    <w:rsid w:val="00E96A26"/>
    <w:rsid w:val="00EC7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33955"/>
  <w15:chartTrackingRefBased/>
  <w15:docId w15:val="{E3D2266C-86F5-467D-9525-A8A75B1200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0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70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70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70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70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70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70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70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70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0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70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70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70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70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70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70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70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70A0"/>
    <w:rPr>
      <w:rFonts w:eastAsiaTheme="majorEastAsia" w:cstheme="majorBidi"/>
      <w:color w:val="272727" w:themeColor="text1" w:themeTint="D8"/>
    </w:rPr>
  </w:style>
  <w:style w:type="paragraph" w:styleId="Title">
    <w:name w:val="Title"/>
    <w:basedOn w:val="Normal"/>
    <w:next w:val="Normal"/>
    <w:link w:val="TitleChar"/>
    <w:uiPriority w:val="10"/>
    <w:qFormat/>
    <w:rsid w:val="008E70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0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70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70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70A0"/>
    <w:pPr>
      <w:spacing w:before="160"/>
      <w:jc w:val="center"/>
    </w:pPr>
    <w:rPr>
      <w:i/>
      <w:iCs/>
      <w:color w:val="404040" w:themeColor="text1" w:themeTint="BF"/>
    </w:rPr>
  </w:style>
  <w:style w:type="character" w:customStyle="1" w:styleId="QuoteChar">
    <w:name w:val="Quote Char"/>
    <w:basedOn w:val="DefaultParagraphFont"/>
    <w:link w:val="Quote"/>
    <w:uiPriority w:val="29"/>
    <w:rsid w:val="008E70A0"/>
    <w:rPr>
      <w:i/>
      <w:iCs/>
      <w:color w:val="404040" w:themeColor="text1" w:themeTint="BF"/>
    </w:rPr>
  </w:style>
  <w:style w:type="paragraph" w:styleId="ListParagraph">
    <w:name w:val="List Paragraph"/>
    <w:basedOn w:val="Normal"/>
    <w:uiPriority w:val="34"/>
    <w:qFormat/>
    <w:rsid w:val="008E70A0"/>
    <w:pPr>
      <w:ind w:left="720"/>
      <w:contextualSpacing/>
    </w:pPr>
  </w:style>
  <w:style w:type="character" w:styleId="IntenseEmphasis">
    <w:name w:val="Intense Emphasis"/>
    <w:basedOn w:val="DefaultParagraphFont"/>
    <w:uiPriority w:val="21"/>
    <w:qFormat/>
    <w:rsid w:val="008E70A0"/>
    <w:rPr>
      <w:i/>
      <w:iCs/>
      <w:color w:val="0F4761" w:themeColor="accent1" w:themeShade="BF"/>
    </w:rPr>
  </w:style>
  <w:style w:type="paragraph" w:styleId="IntenseQuote">
    <w:name w:val="Intense Quote"/>
    <w:basedOn w:val="Normal"/>
    <w:next w:val="Normal"/>
    <w:link w:val="IntenseQuoteChar"/>
    <w:uiPriority w:val="30"/>
    <w:qFormat/>
    <w:rsid w:val="008E70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70A0"/>
    <w:rPr>
      <w:i/>
      <w:iCs/>
      <w:color w:val="0F4761" w:themeColor="accent1" w:themeShade="BF"/>
    </w:rPr>
  </w:style>
  <w:style w:type="character" w:styleId="IntenseReference">
    <w:name w:val="Intense Reference"/>
    <w:basedOn w:val="DefaultParagraphFont"/>
    <w:uiPriority w:val="32"/>
    <w:qFormat/>
    <w:rsid w:val="008E70A0"/>
    <w:rPr>
      <w:b/>
      <w:bCs/>
      <w:smallCaps/>
      <w:color w:val="0F4761" w:themeColor="accent1" w:themeShade="BF"/>
      <w:spacing w:val="5"/>
    </w:rPr>
  </w:style>
  <w:style w:type="character" w:styleId="Hyperlink">
    <w:name w:val="Hyperlink"/>
    <w:basedOn w:val="DefaultParagraphFont"/>
    <w:uiPriority w:val="99"/>
    <w:unhideWhenUsed/>
    <w:rsid w:val="001C32EB"/>
    <w:rPr>
      <w:color w:val="467886" w:themeColor="hyperlink"/>
      <w:u w:val="single"/>
    </w:rPr>
  </w:style>
  <w:style w:type="character" w:styleId="UnresolvedMention">
    <w:name w:val="Unresolved Mention"/>
    <w:basedOn w:val="DefaultParagraphFont"/>
    <w:uiPriority w:val="99"/>
    <w:semiHidden/>
    <w:unhideWhenUsed/>
    <w:rsid w:val="001C32EB"/>
    <w:rPr>
      <w:color w:val="605E5C"/>
      <w:shd w:val="clear" w:color="auto" w:fill="E1DFDD"/>
    </w:rPr>
  </w:style>
  <w:style w:type="character" w:styleId="FollowedHyperlink">
    <w:name w:val="FollowedHyperlink"/>
    <w:basedOn w:val="DefaultParagraphFont"/>
    <w:uiPriority w:val="99"/>
    <w:semiHidden/>
    <w:unhideWhenUsed/>
    <w:rsid w:val="0077596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26/science.847460" TargetMode="External"/><Relationship Id="rId13" Type="http://schemas.openxmlformats.org/officeDocument/2006/relationships/hyperlink" Target="https://www.ons.gov.uk" TargetMode="External"/><Relationship Id="rId18" Type="http://schemas.openxmlformats.org/officeDocument/2006/relationships/hyperlink" Target="https://doi.org/10.2337/dc19-1425"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kingsfund.org.uk" TargetMode="External"/><Relationship Id="rId12" Type="http://schemas.openxmlformats.org/officeDocument/2006/relationships/hyperlink" Target="https://fingertips.phe.org.uk/profile/health-inequalities" TargetMode="External"/><Relationship Id="rId17" Type="http://schemas.openxmlformats.org/officeDocument/2006/relationships/hyperlink" Target="https://unstats.un.org/sdgs/report/2024/" TargetMode="External"/><Relationship Id="rId2" Type="http://schemas.openxmlformats.org/officeDocument/2006/relationships/styles" Target="styles.xml"/><Relationship Id="rId16" Type="http://schemas.openxmlformats.org/officeDocument/2006/relationships/hyperlink" Target="https://www.kingsfund.org.uk" TargetMode="External"/><Relationship Id="rId20" Type="http://schemas.openxmlformats.org/officeDocument/2006/relationships/hyperlink" Target="https://www.who.int/publications" TargetMode="External"/><Relationship Id="rId1" Type="http://schemas.openxmlformats.org/officeDocument/2006/relationships/numbering" Target="numbering.xml"/><Relationship Id="rId6" Type="http://schemas.openxmlformats.org/officeDocument/2006/relationships/hyperlink" Target="https://doi.org/10.1136/jech-2022-219200" TargetMode="External"/><Relationship Id="rId11" Type="http://schemas.openxmlformats.org/officeDocument/2006/relationships/hyperlink" Target="https://www.england.nhs.uk/about/equality/equality-hub/core20plus5/" TargetMode="External"/><Relationship Id="rId5" Type="http://schemas.openxmlformats.org/officeDocument/2006/relationships/hyperlink" Target="https://doi.org/10.1186/s12889-021-10630-1" TargetMode="External"/><Relationship Id="rId15" Type="http://schemas.openxmlformats.org/officeDocument/2006/relationships/hyperlink" Target="https://www.health.org.uk" TargetMode="External"/><Relationship Id="rId10" Type="http://schemas.openxmlformats.org/officeDocument/2006/relationships/hyperlink" Target="https://www.longtermplan.nhs.uk" TargetMode="External"/><Relationship Id="rId19"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nice.org.uk/guidance/ng44" TargetMode="External"/><Relationship Id="rId14" Type="http://schemas.openxmlformats.org/officeDocument/2006/relationships/hyperlink" Target="https://doi.org/10.1787/7a7afb35-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1258</TotalTime>
  <Pages>9</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K</dc:creator>
  <cp:keywords/>
  <dc:description/>
  <cp:lastModifiedBy>Louise K</cp:lastModifiedBy>
  <cp:revision>41</cp:revision>
  <dcterms:created xsi:type="dcterms:W3CDTF">2026-07-18T13:59:00Z</dcterms:created>
  <dcterms:modified xsi:type="dcterms:W3CDTF">2026-07-19T11:06:00Z</dcterms:modified>
</cp:coreProperties>
</file>