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336BDE" w14:textId="77777777" w:rsidR="00A96AC1" w:rsidRDefault="00A96AC1"/>
    <w:p w14:paraId="72756AC1" w14:textId="77253838" w:rsidR="00A96AC1" w:rsidRDefault="00A96AC1">
      <w:pPr>
        <w:rPr>
          <w:sz w:val="36"/>
          <w:szCs w:val="36"/>
        </w:rPr>
      </w:pPr>
      <w:r w:rsidRPr="00A96AC1">
        <w:rPr>
          <w:sz w:val="36"/>
          <w:szCs w:val="36"/>
        </w:rPr>
        <w:t>Critical analysis of Plutarch’s Obsolescence of Oracles.</w:t>
      </w:r>
    </w:p>
    <w:p w14:paraId="4A69F9A8" w14:textId="733ED809" w:rsidR="0098624B" w:rsidRDefault="00A96AC1">
      <w:r>
        <w:t>This essay will be analysing one of Plutarch’s later works called the Obsolescence of Oracles and will be split into four main parts. These sections will be: who was Plutarch and his place in history, An overview of the Obsolescence of Oracles and its context,</w:t>
      </w:r>
      <w:r w:rsidR="00A81417">
        <w:t xml:space="preserve"> and parts</w:t>
      </w:r>
      <w:r>
        <w:t xml:space="preserve"> </w:t>
      </w:r>
      <w:r w:rsidR="000B184E">
        <w:t>within the text that discusses the decline of oracles</w:t>
      </w:r>
      <w:r w:rsidR="00A81417">
        <w:t xml:space="preserve">. </w:t>
      </w:r>
      <w:r w:rsidR="000B184E">
        <w:t xml:space="preserve">The first two sections will look at the brief contextualisation and the background of this work that would not be known from just reading it and may sway the readers understanding of the text. While the last section will make up the majority of this paper and will look at what is actually being said within his writing. </w:t>
      </w:r>
      <w:r w:rsidR="00E72D29">
        <w:t xml:space="preserve">This analysis of the text will be asking questions like why </w:t>
      </w:r>
      <w:r w:rsidR="002D685B">
        <w:t>this is</w:t>
      </w:r>
      <w:r w:rsidR="00E72D29">
        <w:t xml:space="preserve"> mentioned, is there something important about this, what is the point he is actually trying to make, is he drawing any conclusions about what he is saying, and several other similar questions. </w:t>
      </w:r>
      <w:r w:rsidR="002D685B">
        <w:t>However,</w:t>
      </w:r>
      <w:r w:rsidR="00E72D29">
        <w:t xml:space="preserve"> as this paper will not be strenuous towards the whole text and can only cover a li</w:t>
      </w:r>
      <w:r w:rsidR="0098624B">
        <w:t>mited amount there will likely be several parts of the text that may have to be overlooked in the analysis to give detail on those that have been chosen.</w:t>
      </w:r>
    </w:p>
    <w:p w14:paraId="6C0BA6F5" w14:textId="09C3EE2A" w:rsidR="00A96AC1" w:rsidRDefault="0098624B">
      <w:pPr>
        <w:rPr>
          <w:sz w:val="28"/>
          <w:szCs w:val="28"/>
        </w:rPr>
      </w:pPr>
      <w:r w:rsidRPr="0098624B">
        <w:rPr>
          <w:sz w:val="28"/>
          <w:szCs w:val="28"/>
        </w:rPr>
        <w:t>Who is Plutarch?</w:t>
      </w:r>
      <w:r w:rsidR="00E72D29" w:rsidRPr="0098624B">
        <w:rPr>
          <w:sz w:val="28"/>
          <w:szCs w:val="28"/>
        </w:rPr>
        <w:t xml:space="preserve"> </w:t>
      </w:r>
      <w:r w:rsidR="00A96AC1" w:rsidRPr="0098624B">
        <w:rPr>
          <w:sz w:val="28"/>
          <w:szCs w:val="28"/>
        </w:rPr>
        <w:t xml:space="preserve"> </w:t>
      </w:r>
    </w:p>
    <w:p w14:paraId="446FD429" w14:textId="65332B2D" w:rsidR="0098624B" w:rsidRDefault="0098624B">
      <w:r>
        <w:t xml:space="preserve">Plutarch was a Greek philosopher and </w:t>
      </w:r>
      <w:r w:rsidR="007C6EDB">
        <w:t>biographer who was born c. 45 CE and died c. 120 CE.</w:t>
      </w:r>
      <w:r>
        <w:t xml:space="preserve"> </w:t>
      </w:r>
      <w:r w:rsidR="007C6EDB">
        <w:t>He</w:t>
      </w:r>
      <w:r>
        <w:t xml:space="preserve"> lived </w:t>
      </w:r>
      <w:r w:rsidR="002D685B">
        <w:t xml:space="preserve">in the town of </w:t>
      </w:r>
      <w:r w:rsidR="007C6EDB">
        <w:t>Chaeronea in the region of Boeotia for most of his life except for when he was studying under the Platonist Ammonius in Athens.</w:t>
      </w:r>
      <w:r w:rsidR="007C6EDB">
        <w:rPr>
          <w:rStyle w:val="FootnoteReference"/>
        </w:rPr>
        <w:footnoteReference w:id="1"/>
      </w:r>
      <w:r w:rsidR="00BA71C6">
        <w:t xml:space="preserve"> Plutarch became a very famous author and wrote an expansive list of works on a range of topics and people. A list called the </w:t>
      </w:r>
      <w:r w:rsidR="00673280">
        <w:t>L</w:t>
      </w:r>
      <w:r w:rsidR="00BA71C6">
        <w:t>amp</w:t>
      </w:r>
      <w:r w:rsidR="00673280">
        <w:t>r</w:t>
      </w:r>
      <w:r w:rsidR="00BA71C6">
        <w:t>ias Catalogue</w:t>
      </w:r>
      <w:r w:rsidR="00673280">
        <w:t>, supposedly compiled by his son Lamprias</w:t>
      </w:r>
      <w:r w:rsidR="00673280">
        <w:rPr>
          <w:rStyle w:val="FootnoteReference"/>
        </w:rPr>
        <w:footnoteReference w:id="2"/>
      </w:r>
      <w:r w:rsidR="00673280">
        <w:t>,</w:t>
      </w:r>
      <w:r w:rsidR="00BA71C6">
        <w:t xml:space="preserve"> was </w:t>
      </w:r>
      <w:r w:rsidR="00673280">
        <w:t>a list</w:t>
      </w:r>
      <w:r w:rsidR="00BA71C6">
        <w:t xml:space="preserve"> containing 227 different works all attributed to Plutarch and even with this vast number it was still an incomplete list. Unfortunately, only about 100 of these works have survived to the modern day.</w:t>
      </w:r>
      <w:r w:rsidR="00BA71C6">
        <w:rPr>
          <w:rStyle w:val="FootnoteReference"/>
        </w:rPr>
        <w:footnoteReference w:id="3"/>
      </w:r>
      <w:r w:rsidR="0085455D">
        <w:t xml:space="preserve"> </w:t>
      </w:r>
      <w:r w:rsidR="00D56DC6">
        <w:t>Although Plutarch is famous for his writings, he had also done several works of rhetoric and had studied it heavily like most other Greek writers. Martin points out that the rhetoric and orator side of Plutarch are often overlooked but argues that they should not be as it displays another side to Plutarch.</w:t>
      </w:r>
      <w:r w:rsidR="00D56DC6">
        <w:rPr>
          <w:rStyle w:val="FootnoteReference"/>
        </w:rPr>
        <w:footnoteReference w:id="4"/>
      </w:r>
      <w:r w:rsidR="00D56DC6">
        <w:t xml:space="preserve"> Furthermore, he continues that these skills would have undoubtedly had an impact on his writing with how ingrained into him they would have been from his time studying them.</w:t>
      </w:r>
      <w:r w:rsidR="00D56DC6">
        <w:rPr>
          <w:rStyle w:val="FootnoteReference"/>
        </w:rPr>
        <w:footnoteReference w:id="5"/>
      </w:r>
      <w:r w:rsidR="00D56DC6">
        <w:t xml:space="preserve">  </w:t>
      </w:r>
    </w:p>
    <w:p w14:paraId="2DE07213" w14:textId="413CB38F" w:rsidR="008C7746" w:rsidRDefault="00B60CCC">
      <w:pPr>
        <w:rPr>
          <w:sz w:val="28"/>
          <w:szCs w:val="28"/>
        </w:rPr>
      </w:pPr>
      <w:r w:rsidRPr="00B60CCC">
        <w:rPr>
          <w:sz w:val="28"/>
          <w:szCs w:val="28"/>
        </w:rPr>
        <w:t>What is the Obsolescence of Oracle?</w:t>
      </w:r>
    </w:p>
    <w:p w14:paraId="2E0F372F" w14:textId="29D2664E" w:rsidR="00673280" w:rsidRDefault="00673280">
      <w:r>
        <w:t xml:space="preserve">The works of Plutarch were separated into two main groups. Philosophical writings and historical-biographical writings. The philosophical works, which the Obsolescence of Oracles is, have all been published under the name Moralia that came from the first collection that </w:t>
      </w:r>
      <w:r w:rsidR="00AD0C8D">
        <w:t>all covered ethical issues and were found in the same manuscript. Since then, the term has still been used to refer all of them even though they do not all cover ethical issues.</w:t>
      </w:r>
      <w:r w:rsidR="00AD0C8D">
        <w:rPr>
          <w:rStyle w:val="FootnoteReference"/>
        </w:rPr>
        <w:footnoteReference w:id="6"/>
      </w:r>
      <w:r w:rsidR="00AD0C8D">
        <w:t xml:space="preserve"> The work that this paper is focusing on is one such work that does not pertain to ethical dilemma.</w:t>
      </w:r>
      <w:r w:rsidR="008B5A62">
        <w:t xml:space="preserve"> It is one of </w:t>
      </w:r>
      <w:r w:rsidR="008B5A62">
        <w:lastRenderedPageBreak/>
        <w:t>several works that focuses on theology and the relationship between</w:t>
      </w:r>
      <w:r w:rsidR="00CE5304">
        <w:t xml:space="preserve"> the</w:t>
      </w:r>
      <w:r w:rsidR="008B5A62">
        <w:t xml:space="preserve"> god</w:t>
      </w:r>
      <w:r w:rsidR="00CE5304">
        <w:t>s</w:t>
      </w:r>
      <w:r w:rsidR="008B5A62">
        <w:t xml:space="preserve"> and man</w:t>
      </w:r>
      <w:r w:rsidR="00CE5304">
        <w:rPr>
          <w:rStyle w:val="FootnoteReference"/>
        </w:rPr>
        <w:footnoteReference w:id="7"/>
      </w:r>
      <w:r w:rsidR="00CE5304">
        <w:t>, particularly concerning issues of divination practices.</w:t>
      </w:r>
    </w:p>
    <w:p w14:paraId="2CA82C75" w14:textId="10A3E192" w:rsidR="00B60CCC" w:rsidRDefault="00442A68">
      <w:r>
        <w:t xml:space="preserve">Many of the writings within the Moralia are dialogues between several characters discussing what the particular topic is at hand, with the Obsolescence of Oracles being one of these. Since they are in the form of speeches there is likely possibility that Plutarch’s studies of rhetoric may influence the writing of these works. </w:t>
      </w:r>
      <w:r w:rsidR="00B60CCC">
        <w:t>While discussing the rhetoric influence on Plutarch’s writing Martin suggests the idea that the Moralia that display this rhetoric influence cannot been held as reliable for what Plutarch’s actual opinion would have been.</w:t>
      </w:r>
      <w:r w:rsidR="00B60CCC">
        <w:rPr>
          <w:rStyle w:val="FootnoteReference"/>
        </w:rPr>
        <w:footnoteReference w:id="8"/>
      </w:r>
      <w:r w:rsidR="00B60CCC">
        <w:t xml:space="preserve"> Although he does not state that the Moralia which includes the Obsolescence of Oracles is one of these that he deems as less reliable, it would still seem prudent to take this thought into consideration when analysing would arguments Plutarch has written.</w:t>
      </w:r>
    </w:p>
    <w:p w14:paraId="03D03962" w14:textId="4E1D6818" w:rsidR="00442A68" w:rsidRDefault="00B903BD">
      <w:r>
        <w:t xml:space="preserve">In these dialogue works one of the characters will act as a </w:t>
      </w:r>
      <w:r w:rsidR="00255B5A">
        <w:t>narrator and be the character that the reader will have as a first person speaker. For this particular work that is the character Lamprias, Plutarch’s brother.</w:t>
      </w:r>
      <w:r w:rsidR="00255B5A">
        <w:rPr>
          <w:rStyle w:val="FootnoteReference"/>
        </w:rPr>
        <w:footnoteReference w:id="9"/>
      </w:r>
      <w:r w:rsidR="00255B5A">
        <w:t xml:space="preserve"> </w:t>
      </w:r>
      <w:r w:rsidR="0060148C">
        <w:t>Brenk points out that he may be an odd choice as the primary speaker because Ammonius is also present and so this would become like “the student lecturing the professor on philosophy” and that in other works where Lamprias is present he does not display the same intellect that he does here.</w:t>
      </w:r>
      <w:r w:rsidR="0060148C">
        <w:rPr>
          <w:rStyle w:val="FootnoteReference"/>
        </w:rPr>
        <w:footnoteReference w:id="10"/>
      </w:r>
    </w:p>
    <w:p w14:paraId="193BFD4E" w14:textId="4FF45EEF" w:rsidR="0060148C" w:rsidRPr="00B60CCC" w:rsidRDefault="0060148C">
      <w:r>
        <w:t xml:space="preserve">Overall, the content of the Obsolescence of Oracles is a discussion between several people on why they think that the profession of the oracle is on the decline. They give several ideas and also give reasons for they are wrong. While they are talking on this topic, they branch out several times into related topics that allow them to introduce new reasons for the decline or to explain why someone else’s idea was incorrect. What follows will be a look at some of the ideas pertaining to the decline of the oracles.  </w:t>
      </w:r>
    </w:p>
    <w:p w14:paraId="06DDA3D4" w14:textId="59D5727F" w:rsidR="00102376" w:rsidRPr="00CC0063" w:rsidRDefault="00CC0063">
      <w:pPr>
        <w:rPr>
          <w:sz w:val="28"/>
          <w:szCs w:val="28"/>
        </w:rPr>
      </w:pPr>
      <w:r w:rsidRPr="00CC0063">
        <w:rPr>
          <w:sz w:val="28"/>
          <w:szCs w:val="28"/>
        </w:rPr>
        <w:t>Discussion of the decline of oracles</w:t>
      </w:r>
    </w:p>
    <w:p w14:paraId="01E26BBE" w14:textId="402D18C0" w:rsidR="00FC5271" w:rsidRDefault="00CC0063" w:rsidP="00FC5271">
      <w:r>
        <w:t xml:space="preserve">At the start of the piece of work after the meeting of the characters and a brief debate about an eternal flame in the (one of them had seen). The conversation quickly shifts towards the main issue of the work with </w:t>
      </w:r>
      <w:r w:rsidR="002E4A02">
        <w:t>Lamprias</w:t>
      </w:r>
      <w:r>
        <w:t xml:space="preserve"> </w:t>
      </w:r>
      <w:r w:rsidR="00794421">
        <w:t>asking about the oracle instead of the eternal flame and mentioning that “great was the ancient repute of the divine influence there, but at the present time it seems to be somewhat evanescent”</w:t>
      </w:r>
      <w:r w:rsidR="00951FD9">
        <w:rPr>
          <w:rStyle w:val="FootnoteReference"/>
        </w:rPr>
        <w:footnoteReference w:id="11"/>
      </w:r>
      <w:r w:rsidR="00951FD9">
        <w:t xml:space="preserve">. Immediately Demetrius shifts the conversation from those far away oracles to the local ones but keeps </w:t>
      </w:r>
      <w:r w:rsidR="003620DA">
        <w:t>on the same issue and brings forth the true topic of why they are not as prominent as they once were. He states that</w:t>
      </w:r>
      <w:r w:rsidR="00FC5271">
        <w:t xml:space="preserve">: </w:t>
      </w:r>
    </w:p>
    <w:p w14:paraId="5365BB97" w14:textId="1D0B559A" w:rsidR="00A96AC1" w:rsidRDefault="003620DA" w:rsidP="00FC5271">
      <w:pPr>
        <w:ind w:left="720"/>
      </w:pPr>
      <w:r>
        <w:t>“There is no need to make any inquiries no</w:t>
      </w:r>
      <w:r w:rsidR="00C94D77">
        <w:t>r</w:t>
      </w:r>
      <w:r>
        <w:t xml:space="preserve"> to raise any questions about the state of affairs there, when we see the evanescence of the oracles here, or rather the total disappearance of all but one or two; but we should deliberate the reason why they have become so utterly weak. What need to speak of others, when in </w:t>
      </w:r>
      <w:r w:rsidR="002E4A02">
        <w:t>Boeotia</w:t>
      </w:r>
      <w:r>
        <w:t>, which in former times spoke with many tongues because of its oracles, the oracles have now failed completely, even as if they were streams of flowing water, and a great drought in prophecy has overspread the land? For nowh</w:t>
      </w:r>
      <w:r w:rsidR="00FC5271">
        <w:t xml:space="preserve">ere now except in the neighbourhood of Lebadeia has Boeotia aught to offer to those who would draw from the well-spring of </w:t>
      </w:r>
      <w:r w:rsidR="00FC5271">
        <w:lastRenderedPageBreak/>
        <w:t>prophecy. As for the rest, silence has come upon some and utter desolation upon others.”</w:t>
      </w:r>
      <w:r w:rsidR="00877ACE">
        <w:rPr>
          <w:rStyle w:val="FootnoteReference"/>
        </w:rPr>
        <w:footnoteReference w:id="12"/>
      </w:r>
    </w:p>
    <w:p w14:paraId="5479D298" w14:textId="42B3079B" w:rsidR="0097491F" w:rsidRDefault="00FC5271" w:rsidP="00CC0063">
      <w:pPr>
        <w:tabs>
          <w:tab w:val="left" w:pos="2016"/>
        </w:tabs>
      </w:pPr>
      <w:r>
        <w:t xml:space="preserve">In this opening remark Demitrius turns the discussion to the oracles of Boeotia that would have been well known to Plutarch </w:t>
      </w:r>
      <w:r w:rsidR="00877ACE">
        <w:t>as he was born and lived in this area for most of his life.</w:t>
      </w:r>
      <w:r w:rsidR="00877ACE">
        <w:rPr>
          <w:rStyle w:val="FootnoteReference"/>
        </w:rPr>
        <w:footnoteReference w:id="13"/>
      </w:r>
      <w:r w:rsidR="0097491F">
        <w:t xml:space="preserve"> This would most likely explain why this particular oracle in Lebadeia and the disappearance of the ones in the surrounding region are mentioned since Plutarch would have direct knowledge about the situation and could use his own knowledge to develop the conversation of his characters. This idea also makes</w:t>
      </w:r>
      <w:r w:rsidR="00AA7FAD">
        <w:t xml:space="preserve"> sense with</w:t>
      </w:r>
      <w:r w:rsidR="0097491F">
        <w:t xml:space="preserve"> the fact that he immediately abandons the conversation about the foreign oracles </w:t>
      </w:r>
      <w:r w:rsidR="00AA7FAD">
        <w:t xml:space="preserve">decline in favour of the situation of the local ones. The context within the world of the work also encourages this action as the characters have met up in near that region of Greece and so would themselves rather talk about an issue more relevant to themselves than one that is </w:t>
      </w:r>
      <w:r w:rsidR="00764884">
        <w:t>far removed from them.</w:t>
      </w:r>
      <w:r w:rsidR="00C35DA2">
        <w:t xml:space="preserve"> However, he may have brought up the other oracle before bringing up the idea that this is not just an issue in Greece but a wider spread one that is happening across the empire. Thus, giving importance to this issue to everyone who may read this work instead of just those who would be in the local area of Boeotia. </w:t>
      </w:r>
    </w:p>
    <w:p w14:paraId="3EEA2549" w14:textId="7C9D9325" w:rsidR="00764884" w:rsidRDefault="003A1757" w:rsidP="00CC0063">
      <w:pPr>
        <w:tabs>
          <w:tab w:val="left" w:pos="2016"/>
        </w:tabs>
      </w:pPr>
      <w:r>
        <w:t xml:space="preserve">This section also draws great emphasis on how </w:t>
      </w:r>
      <w:r w:rsidR="0071294A">
        <w:t>much Plutarch believes that the oracles have declined. Demetrius talks as if the oracle has almost gone extinct and the particular wording of “total disappearance”, “utterly weak”, “great drought”, and “utter desolation”</w:t>
      </w:r>
      <w:r w:rsidR="007F6047">
        <w:rPr>
          <w:rStyle w:val="FootnoteReference"/>
        </w:rPr>
        <w:footnoteReference w:id="14"/>
      </w:r>
      <w:r w:rsidR="007F6047">
        <w:t xml:space="preserve"> all emphasise this </w:t>
      </w:r>
      <w:r w:rsidR="00C35DA2">
        <w:t>idea of the near complete disappearance of the oracles.</w:t>
      </w:r>
      <w:r w:rsidR="00AD3BBB">
        <w:t xml:space="preserve"> </w:t>
      </w:r>
      <w:r w:rsidR="00A941CE">
        <w:t>Being as this is the introduction of the main discussion of this work and Plutarch is using such powerful language may suggest to the degree of seriousness that he gives to this issue.</w:t>
      </w:r>
      <w:r w:rsidR="00B35D85">
        <w:t xml:space="preserve"> </w:t>
      </w:r>
      <w:r w:rsidR="00EB23FD">
        <w:t xml:space="preserve">Even though the number of oracles would have been dwindling and much lower than in their prime after the </w:t>
      </w:r>
      <w:r w:rsidR="006865B5">
        <w:t>Peloponnesian</w:t>
      </w:r>
      <w:r w:rsidR="00EB23FD">
        <w:t xml:space="preserve"> Wars</w:t>
      </w:r>
      <w:r w:rsidR="006865B5">
        <w:t>, the extent of this decline would most likely not be this extreme. In fact, the tradition of oracles lasted even into the 4th century CE as there were still Christian authors writing attacks against their continued existence.</w:t>
      </w:r>
      <w:r w:rsidR="006865B5">
        <w:rPr>
          <w:rStyle w:val="FootnoteReference"/>
        </w:rPr>
        <w:footnoteReference w:id="15"/>
      </w:r>
      <w:r w:rsidR="002D685B">
        <w:t xml:space="preserve"> Which would counter the suggestion of how dire the situation of the oracle may have been in Plutarch’s time.</w:t>
      </w:r>
    </w:p>
    <w:p w14:paraId="591CCE3E" w14:textId="77777777" w:rsidR="00612BDD" w:rsidRDefault="00320CA6" w:rsidP="00612BDD">
      <w:pPr>
        <w:tabs>
          <w:tab w:val="left" w:pos="2016"/>
        </w:tabs>
      </w:pPr>
      <w:r>
        <w:t>But now onto the answers to the very question that Plutarch himself has posed. Why did he think the number of oracles was declining.</w:t>
      </w:r>
      <w:r w:rsidR="002B3CA0">
        <w:t xml:space="preserve"> The Discussion moves into a bath house where they meet up with the rest of their group and open the conversation of the oracles to them as well. We then get a quick back and forth through several reasons for their decline while also being given counter arguments for these ideas as well. The first of which was said by </w:t>
      </w:r>
      <w:r w:rsidR="00B0763B">
        <w:t xml:space="preserve">Didymus and his idea was that </w:t>
      </w:r>
    </w:p>
    <w:p w14:paraId="08201F98" w14:textId="25FAE28B" w:rsidR="002D685B" w:rsidRDefault="00B0763B" w:rsidP="00612BDD">
      <w:pPr>
        <w:tabs>
          <w:tab w:val="left" w:pos="2016"/>
        </w:tabs>
        <w:ind w:left="720"/>
      </w:pPr>
      <w:r>
        <w:t>“</w:t>
      </w:r>
      <w:r w:rsidR="00612BDD">
        <w:t>It is indeed a wonder, when so much wickedness has been disseminated upon earth that not only Modesty and Righteous Indignation, as Hesiod said long ago, have deserted the life of mankind, but that Divine Providence also has gathered up its oracles and departed from every place! Quite the contrary, I propose that you discuss how it happens that the oracle here has not also given out, … which is constantly being occupied with shameful and i</w:t>
      </w:r>
      <w:r w:rsidR="00124E61">
        <w:t>m</w:t>
      </w:r>
      <w:r w:rsidR="00612BDD">
        <w:t>pious questions people propound to the god.”</w:t>
      </w:r>
      <w:r w:rsidR="00612BDD">
        <w:rPr>
          <w:rStyle w:val="FootnoteReference"/>
        </w:rPr>
        <w:footnoteReference w:id="16"/>
      </w:r>
    </w:p>
    <w:p w14:paraId="1B05CAB3" w14:textId="5B695A42" w:rsidR="00124E61" w:rsidRDefault="00124E61" w:rsidP="00124E61">
      <w:pPr>
        <w:tabs>
          <w:tab w:val="left" w:pos="2016"/>
        </w:tabs>
      </w:pPr>
      <w:r>
        <w:lastRenderedPageBreak/>
        <w:t>Didymus is explaining here that he believes the gods have abandoned the people and removed the power of divination from the oracles because they have lost the right to use such a power. He has ruled that the dwindling number of oracles is due to the lack of them being deemed worthy by the gods. The reason he gives of impious and shameful questions being the reason for the gods to abandon them does not seem to be well reasoned as the oracle has always been used for very mundane problems that are not often related to religious matters. This idea is also readily argued against by Lamprias as he says, “it is not likely that he should deny his utterance to people of the present day because of their unworthiness, when he is responsible for their birth and nurture and their existence and power to think”.</w:t>
      </w:r>
      <w:r>
        <w:rPr>
          <w:rStyle w:val="FootnoteReference"/>
        </w:rPr>
        <w:footnoteReference w:id="17"/>
      </w:r>
      <w:r>
        <w:t xml:space="preserve"> </w:t>
      </w:r>
      <w:r w:rsidR="005E76A8">
        <w:t>Thus refuting the idea of Didymus based off of the personality of Apollo and the fact that he is the one who gives form to the way that people act so how could he deem it as unworthiness</w:t>
      </w:r>
      <w:r>
        <w:t xml:space="preserve"> </w:t>
      </w:r>
    </w:p>
    <w:p w14:paraId="029BF835" w14:textId="11BA7FD7" w:rsidR="00537C60" w:rsidRDefault="00537C60" w:rsidP="00124E61">
      <w:pPr>
        <w:tabs>
          <w:tab w:val="left" w:pos="2016"/>
        </w:tabs>
      </w:pPr>
      <w:r>
        <w:t>In his own argument Lmprias suggests that the actual cause for the disapearence of oracles is simply that the population of Greece has lowered and that there is not a need to have as many as there once was.</w:t>
      </w:r>
      <w:r>
        <w:rPr>
          <w:rStyle w:val="FootnoteReference"/>
        </w:rPr>
        <w:footnoteReference w:id="18"/>
      </w:r>
    </w:p>
    <w:p w14:paraId="513B3BA3" w14:textId="02DA2401" w:rsidR="00320CA6" w:rsidRDefault="00320CA6" w:rsidP="00CC0063">
      <w:pPr>
        <w:tabs>
          <w:tab w:val="left" w:pos="2016"/>
        </w:tabs>
      </w:pPr>
      <w:r>
        <w:t xml:space="preserve">In his own discussion about the actual ending of the tradition of oracles </w:t>
      </w:r>
      <w:r w:rsidR="00866D29">
        <w:t>Kennedy</w:t>
      </w:r>
      <w:r>
        <w:t xml:space="preserve"> repeatedly mentions how their existence relied upon the patronage of the common people</w:t>
      </w:r>
      <w:r w:rsidR="00866D29">
        <w:t>,</w:t>
      </w:r>
      <w:r>
        <w:t xml:space="preserve"> who used the oracles for mundane and everyday advice. It was this connection in the community that kept them thriving.</w:t>
      </w:r>
      <w:r>
        <w:rPr>
          <w:rStyle w:val="FootnoteReference"/>
        </w:rPr>
        <w:footnoteReference w:id="19"/>
      </w:r>
      <w:r>
        <w:t xml:space="preserve"> </w:t>
      </w:r>
    </w:p>
    <w:p w14:paraId="3135B985" w14:textId="58BB01A4" w:rsidR="00A919EB" w:rsidRDefault="005E76A8" w:rsidP="00CC0063">
      <w:pPr>
        <w:tabs>
          <w:tab w:val="left" w:pos="2016"/>
        </w:tabs>
      </w:pPr>
      <w:r>
        <w:t xml:space="preserve">In the later parts of the work Lamprias gives a speech about how the Daimone gives the power to the oracle to be able to perform their </w:t>
      </w:r>
      <w:r w:rsidR="00537C60">
        <w:t>prophetic</w:t>
      </w:r>
      <w:r>
        <w:t xml:space="preserve"> duties. Brenk gives a very good summary of this idea. He tells us that Lamprias idea is that they gain the power from a catalyst of the exhalation in the Delphic oracle chamber that comes from the ground and that they are losing in numbers because this catalyst is becoming weaker.</w:t>
      </w:r>
      <w:r>
        <w:rPr>
          <w:rStyle w:val="FootnoteReference"/>
        </w:rPr>
        <w:footnoteReference w:id="20"/>
      </w:r>
      <w:r w:rsidR="00537C60">
        <w:t xml:space="preserve"> </w:t>
      </w:r>
    </w:p>
    <w:p w14:paraId="014196C2" w14:textId="77777777" w:rsidR="007D4793" w:rsidRDefault="007D4793" w:rsidP="00CC0063">
      <w:pPr>
        <w:tabs>
          <w:tab w:val="left" w:pos="2016"/>
        </w:tabs>
      </w:pPr>
      <w:r>
        <w:t>Bibliography:</w:t>
      </w:r>
    </w:p>
    <w:p w14:paraId="120750F6" w14:textId="289C03A6" w:rsidR="00CC0063" w:rsidRDefault="007D4793" w:rsidP="00CC0063">
      <w:pPr>
        <w:tabs>
          <w:tab w:val="left" w:pos="2016"/>
        </w:tabs>
      </w:pPr>
      <w:r>
        <w:t xml:space="preserve">Martin, H.M., 2002. Plutarch. In </w:t>
      </w:r>
      <w:r>
        <w:rPr>
          <w:i/>
          <w:iCs/>
        </w:rPr>
        <w:t>Handbook of Classical Rhetoric in the Hellenistic Period</w:t>
      </w:r>
      <w:r w:rsidR="0097491F">
        <w:rPr>
          <w:i/>
          <w:iCs/>
        </w:rPr>
        <w:t>, 330 BC-AD 400</w:t>
      </w:r>
      <w:r w:rsidR="0097491F">
        <w:t>. p. 715 – 736. Brill</w:t>
      </w:r>
      <w:r w:rsidR="00877ACE">
        <w:t xml:space="preserve"> </w:t>
      </w:r>
    </w:p>
    <w:p w14:paraId="087F0629" w14:textId="6BED6B7B" w:rsidR="002D685B" w:rsidRDefault="002D685B" w:rsidP="00CC0063">
      <w:pPr>
        <w:tabs>
          <w:tab w:val="left" w:pos="2016"/>
        </w:tabs>
      </w:pPr>
      <w:r>
        <w:t xml:space="preserve">Kennedy, Larkin. 2003. </w:t>
      </w:r>
      <w:r>
        <w:rPr>
          <w:i/>
          <w:iCs/>
        </w:rPr>
        <w:t>The End of Oracles, Ephemeris.</w:t>
      </w:r>
      <w:r>
        <w:t xml:space="preserve"> Vol 3, Article 6.</w:t>
      </w:r>
    </w:p>
    <w:p w14:paraId="63CEB91B" w14:textId="358FEB39" w:rsidR="001A42E5" w:rsidRDefault="001A42E5" w:rsidP="00CC0063">
      <w:pPr>
        <w:tabs>
          <w:tab w:val="left" w:pos="2016"/>
        </w:tabs>
        <w:rPr>
          <w:rFonts w:ascii="Source Sans Pro" w:hAnsi="Source Sans Pro"/>
          <w:color w:val="1A1A1A"/>
          <w:sz w:val="23"/>
          <w:szCs w:val="23"/>
        </w:rPr>
      </w:pPr>
      <w:r>
        <w:rPr>
          <w:rFonts w:ascii="Source Sans Pro" w:hAnsi="Source Sans Pro"/>
          <w:color w:val="1A1A1A"/>
          <w:sz w:val="23"/>
          <w:szCs w:val="23"/>
        </w:rPr>
        <w:t>Karamanolis, George, "Plutarch", </w:t>
      </w:r>
      <w:r>
        <w:rPr>
          <w:rStyle w:val="Emphasis"/>
          <w:rFonts w:ascii="Source Sans Pro" w:hAnsi="Source Sans Pro"/>
          <w:color w:val="1A1A1A"/>
          <w:sz w:val="23"/>
          <w:szCs w:val="23"/>
        </w:rPr>
        <w:t xml:space="preserve">The Stanford </w:t>
      </w:r>
      <w:r>
        <w:rPr>
          <w:rStyle w:val="Emphasis"/>
          <w:rFonts w:ascii="Source Sans Pro" w:hAnsi="Source Sans Pro"/>
          <w:color w:val="1A1A1A"/>
          <w:sz w:val="23"/>
          <w:szCs w:val="23"/>
        </w:rPr>
        <w:t>Encyclopaedia</w:t>
      </w:r>
      <w:r>
        <w:rPr>
          <w:rStyle w:val="Emphasis"/>
          <w:rFonts w:ascii="Source Sans Pro" w:hAnsi="Source Sans Pro"/>
          <w:color w:val="1A1A1A"/>
          <w:sz w:val="23"/>
          <w:szCs w:val="23"/>
        </w:rPr>
        <w:t xml:space="preserve"> of Philosophy </w:t>
      </w:r>
      <w:r>
        <w:rPr>
          <w:rFonts w:ascii="Source Sans Pro" w:hAnsi="Source Sans Pro"/>
          <w:color w:val="1A1A1A"/>
          <w:sz w:val="23"/>
          <w:szCs w:val="23"/>
        </w:rPr>
        <w:t>(Summer 2020 Edition), Edward N. Zalta (ed.), URL =</w:t>
      </w:r>
      <w:r>
        <w:rPr>
          <w:rFonts w:ascii="Source Sans Pro" w:hAnsi="Source Sans Pro"/>
          <w:color w:val="1A1A1A"/>
          <w:sz w:val="23"/>
          <w:szCs w:val="23"/>
        </w:rPr>
        <w:t xml:space="preserve"> </w:t>
      </w:r>
      <w:r>
        <w:rPr>
          <w:rFonts w:ascii="Source Sans Pro" w:hAnsi="Source Sans Pro"/>
          <w:color w:val="1A1A1A"/>
          <w:sz w:val="23"/>
          <w:szCs w:val="23"/>
        </w:rPr>
        <w:t>&lt;https://plato.stanford.edu/archives/sum2020/entries/plutarch/&gt;.</w:t>
      </w:r>
    </w:p>
    <w:p w14:paraId="23D8515D" w14:textId="77777777" w:rsidR="00A919EB" w:rsidRDefault="001A42E5" w:rsidP="00CC0063">
      <w:pPr>
        <w:tabs>
          <w:tab w:val="left" w:pos="2016"/>
        </w:tabs>
        <w:rPr>
          <w:rFonts w:ascii="Source Sans Pro" w:hAnsi="Source Sans Pro"/>
          <w:color w:val="1A1A1A"/>
          <w:sz w:val="23"/>
          <w:szCs w:val="23"/>
        </w:rPr>
      </w:pPr>
      <w:r>
        <w:rPr>
          <w:rFonts w:ascii="Source Sans Pro" w:hAnsi="Source Sans Pro"/>
          <w:color w:val="1A1A1A"/>
          <w:sz w:val="23"/>
          <w:szCs w:val="23"/>
        </w:rPr>
        <w:t xml:space="preserve">Brenk, F.E., 2023. Plutarch’s Flawed Characters: The Personae of the Dialogues. In </w:t>
      </w:r>
      <w:r>
        <w:rPr>
          <w:rFonts w:ascii="Source Sans Pro" w:hAnsi="Source Sans Pro"/>
          <w:i/>
          <w:iCs/>
          <w:color w:val="1A1A1A"/>
          <w:sz w:val="23"/>
          <w:szCs w:val="23"/>
        </w:rPr>
        <w:t>Plutarch on Literature, Greco-Roman Religion, Jews and Christians</w:t>
      </w:r>
      <w:r w:rsidR="00A919EB">
        <w:rPr>
          <w:rFonts w:ascii="Source Sans Pro" w:hAnsi="Source Sans Pro"/>
          <w:i/>
          <w:iCs/>
          <w:color w:val="1A1A1A"/>
          <w:sz w:val="23"/>
          <w:szCs w:val="23"/>
        </w:rPr>
        <w:t xml:space="preserve">. </w:t>
      </w:r>
      <w:r w:rsidR="00A919EB">
        <w:rPr>
          <w:rFonts w:ascii="Source Sans Pro" w:hAnsi="Source Sans Pro"/>
          <w:color w:val="1A1A1A"/>
          <w:sz w:val="23"/>
          <w:szCs w:val="23"/>
        </w:rPr>
        <w:t>pp. 3-20. Brill</w:t>
      </w:r>
    </w:p>
    <w:p w14:paraId="325A8307" w14:textId="151EA1CE" w:rsidR="001A42E5" w:rsidRPr="00A919EB" w:rsidRDefault="00537C60" w:rsidP="00CC0063">
      <w:pPr>
        <w:tabs>
          <w:tab w:val="left" w:pos="2016"/>
        </w:tabs>
      </w:pPr>
      <w:r>
        <w:rPr>
          <w:rFonts w:ascii="Source Sans Pro" w:hAnsi="Source Sans Pro"/>
          <w:color w:val="1A1A1A"/>
          <w:sz w:val="23"/>
          <w:szCs w:val="23"/>
        </w:rPr>
        <w:t>Plutarch, Moralia Vol V, Obsolescence of Oracles, LOEB Classical library. Translated by</w:t>
      </w:r>
      <w:r w:rsidR="00501EF0">
        <w:rPr>
          <w:rFonts w:ascii="Source Sans Pro" w:hAnsi="Source Sans Pro"/>
          <w:color w:val="1A1A1A"/>
          <w:sz w:val="23"/>
          <w:szCs w:val="23"/>
        </w:rPr>
        <w:t xml:space="preserve"> Frank Cole Babbit.</w:t>
      </w:r>
      <w:r>
        <w:rPr>
          <w:rFonts w:ascii="Source Sans Pro" w:hAnsi="Source Sans Pro"/>
          <w:color w:val="1A1A1A"/>
          <w:sz w:val="23"/>
          <w:szCs w:val="23"/>
        </w:rPr>
        <w:t xml:space="preserve"> </w:t>
      </w:r>
      <w:r w:rsidR="00A919EB">
        <w:rPr>
          <w:rFonts w:ascii="Source Sans Pro" w:hAnsi="Source Sans Pro"/>
          <w:color w:val="1A1A1A"/>
          <w:sz w:val="23"/>
          <w:szCs w:val="23"/>
        </w:rPr>
        <w:t xml:space="preserve"> </w:t>
      </w:r>
    </w:p>
    <w:sectPr w:rsidR="001A42E5" w:rsidRPr="00A919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300037" w14:textId="77777777" w:rsidR="00F13A59" w:rsidRDefault="00F13A59" w:rsidP="00951FD9">
      <w:pPr>
        <w:spacing w:after="0" w:line="240" w:lineRule="auto"/>
      </w:pPr>
      <w:r>
        <w:separator/>
      </w:r>
    </w:p>
  </w:endnote>
  <w:endnote w:type="continuationSeparator" w:id="0">
    <w:p w14:paraId="45A84AB9" w14:textId="77777777" w:rsidR="00F13A59" w:rsidRDefault="00F13A59" w:rsidP="00951F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A9FF56" w14:textId="77777777" w:rsidR="00F13A59" w:rsidRDefault="00F13A59" w:rsidP="00951FD9">
      <w:pPr>
        <w:spacing w:after="0" w:line="240" w:lineRule="auto"/>
      </w:pPr>
      <w:r>
        <w:separator/>
      </w:r>
    </w:p>
  </w:footnote>
  <w:footnote w:type="continuationSeparator" w:id="0">
    <w:p w14:paraId="3E1D03D9" w14:textId="77777777" w:rsidR="00F13A59" w:rsidRDefault="00F13A59" w:rsidP="00951FD9">
      <w:pPr>
        <w:spacing w:after="0" w:line="240" w:lineRule="auto"/>
      </w:pPr>
      <w:r>
        <w:continuationSeparator/>
      </w:r>
    </w:p>
  </w:footnote>
  <w:footnote w:id="1">
    <w:p w14:paraId="2E170D6A" w14:textId="44ADADBF" w:rsidR="007C6EDB" w:rsidRDefault="007C6EDB">
      <w:pPr>
        <w:pStyle w:val="FootnoteText"/>
      </w:pPr>
      <w:r>
        <w:rPr>
          <w:rStyle w:val="FootnoteReference"/>
        </w:rPr>
        <w:footnoteRef/>
      </w:r>
      <w:r>
        <w:t xml:space="preserve"> Martin, 2002, p. 715</w:t>
      </w:r>
    </w:p>
  </w:footnote>
  <w:footnote w:id="2">
    <w:p w14:paraId="03517589" w14:textId="1D5E0282" w:rsidR="00673280" w:rsidRDefault="00673280">
      <w:pPr>
        <w:pStyle w:val="FootnoteText"/>
      </w:pPr>
      <w:r>
        <w:rPr>
          <w:rStyle w:val="FootnoteReference"/>
        </w:rPr>
        <w:footnoteRef/>
      </w:r>
      <w:r>
        <w:t xml:space="preserve"> Ka</w:t>
      </w:r>
      <w:r w:rsidR="001A42E5">
        <w:t>ramanolis</w:t>
      </w:r>
      <w:r>
        <w:t>, chap. 1, para. 2</w:t>
      </w:r>
    </w:p>
  </w:footnote>
  <w:footnote w:id="3">
    <w:p w14:paraId="64DA7E47" w14:textId="42D06B58" w:rsidR="00BA71C6" w:rsidRDefault="00BA71C6">
      <w:pPr>
        <w:pStyle w:val="FootnoteText"/>
      </w:pPr>
      <w:r>
        <w:rPr>
          <w:rStyle w:val="FootnoteReference"/>
        </w:rPr>
        <w:footnoteRef/>
      </w:r>
      <w:r>
        <w:t xml:space="preserve"> Martin, 2002, p. 716</w:t>
      </w:r>
    </w:p>
  </w:footnote>
  <w:footnote w:id="4">
    <w:p w14:paraId="45EDE30A" w14:textId="514D9016" w:rsidR="00D56DC6" w:rsidRDefault="00D56DC6">
      <w:pPr>
        <w:pStyle w:val="FootnoteText"/>
      </w:pPr>
      <w:r>
        <w:rPr>
          <w:rStyle w:val="FootnoteReference"/>
        </w:rPr>
        <w:footnoteRef/>
      </w:r>
      <w:r>
        <w:t xml:space="preserve"> Martin, 2002, p. 718</w:t>
      </w:r>
    </w:p>
  </w:footnote>
  <w:footnote w:id="5">
    <w:p w14:paraId="5E48635A" w14:textId="17589384" w:rsidR="00D56DC6" w:rsidRDefault="00D56DC6">
      <w:pPr>
        <w:pStyle w:val="FootnoteText"/>
      </w:pPr>
      <w:r>
        <w:rPr>
          <w:rStyle w:val="FootnoteReference"/>
        </w:rPr>
        <w:footnoteRef/>
      </w:r>
      <w:r>
        <w:t xml:space="preserve"> Martin, 2002, p. 723 - 724</w:t>
      </w:r>
    </w:p>
  </w:footnote>
  <w:footnote w:id="6">
    <w:p w14:paraId="72765B88" w14:textId="7F63433A" w:rsidR="00AD0C8D" w:rsidRDefault="00AD0C8D">
      <w:pPr>
        <w:pStyle w:val="FootnoteText"/>
      </w:pPr>
      <w:r>
        <w:rPr>
          <w:rStyle w:val="FootnoteReference"/>
        </w:rPr>
        <w:footnoteRef/>
      </w:r>
      <w:r>
        <w:t xml:space="preserve"> Ka</w:t>
      </w:r>
      <w:r w:rsidR="001A42E5">
        <w:t>ramanolis</w:t>
      </w:r>
      <w:r>
        <w:t>, chap. 1, para 2</w:t>
      </w:r>
    </w:p>
  </w:footnote>
  <w:footnote w:id="7">
    <w:p w14:paraId="0F6477AE" w14:textId="6D533176" w:rsidR="00CE5304" w:rsidRDefault="00CE5304">
      <w:pPr>
        <w:pStyle w:val="FootnoteText"/>
      </w:pPr>
      <w:r>
        <w:rPr>
          <w:rStyle w:val="FootnoteReference"/>
        </w:rPr>
        <w:footnoteRef/>
      </w:r>
      <w:r>
        <w:t xml:space="preserve"> Ka</w:t>
      </w:r>
      <w:r w:rsidR="001A42E5">
        <w:t>ramanolis</w:t>
      </w:r>
      <w:r>
        <w:t xml:space="preserve">, </w:t>
      </w:r>
      <w:r w:rsidR="001A42E5">
        <w:t>chap</w:t>
      </w:r>
      <w:r>
        <w:t>. 1, para 6</w:t>
      </w:r>
    </w:p>
  </w:footnote>
  <w:footnote w:id="8">
    <w:p w14:paraId="61675CC9" w14:textId="1CE30792" w:rsidR="00B60CCC" w:rsidRDefault="00B60CCC">
      <w:pPr>
        <w:pStyle w:val="FootnoteText"/>
      </w:pPr>
      <w:r>
        <w:rPr>
          <w:rStyle w:val="FootnoteReference"/>
        </w:rPr>
        <w:footnoteRef/>
      </w:r>
      <w:r>
        <w:t xml:space="preserve"> Martin, 2002, p. 718</w:t>
      </w:r>
    </w:p>
  </w:footnote>
  <w:footnote w:id="9">
    <w:p w14:paraId="4CEBE1B8" w14:textId="1E797452" w:rsidR="00255B5A" w:rsidRDefault="00255B5A">
      <w:pPr>
        <w:pStyle w:val="FootnoteText"/>
      </w:pPr>
      <w:r>
        <w:rPr>
          <w:rStyle w:val="FootnoteReference"/>
        </w:rPr>
        <w:footnoteRef/>
      </w:r>
      <w:r>
        <w:t xml:space="preserve"> Brenk, 2023, p. 8</w:t>
      </w:r>
    </w:p>
  </w:footnote>
  <w:footnote w:id="10">
    <w:p w14:paraId="592F32EA" w14:textId="0F0C253E" w:rsidR="0060148C" w:rsidRDefault="0060148C">
      <w:pPr>
        <w:pStyle w:val="FootnoteText"/>
      </w:pPr>
      <w:r>
        <w:rPr>
          <w:rStyle w:val="FootnoteReference"/>
        </w:rPr>
        <w:footnoteRef/>
      </w:r>
      <w:r>
        <w:t xml:space="preserve"> Brenk, 2023, p. 8</w:t>
      </w:r>
    </w:p>
  </w:footnote>
  <w:footnote w:id="11">
    <w:p w14:paraId="2E3803C9" w14:textId="78CC08EA" w:rsidR="00951FD9" w:rsidRDefault="00951FD9">
      <w:pPr>
        <w:pStyle w:val="FootnoteText"/>
      </w:pPr>
      <w:r>
        <w:rPr>
          <w:rStyle w:val="FootnoteReference"/>
        </w:rPr>
        <w:footnoteRef/>
      </w:r>
      <w:r>
        <w:t xml:space="preserve"> Plutarch, p. 361, 411.E</w:t>
      </w:r>
    </w:p>
  </w:footnote>
  <w:footnote w:id="12">
    <w:p w14:paraId="373A2DF9" w14:textId="3B865CC9" w:rsidR="00877ACE" w:rsidRDefault="00877ACE">
      <w:pPr>
        <w:pStyle w:val="FootnoteText"/>
      </w:pPr>
      <w:r>
        <w:rPr>
          <w:rStyle w:val="FootnoteReference"/>
        </w:rPr>
        <w:footnoteRef/>
      </w:r>
      <w:r>
        <w:t xml:space="preserve"> Plutarch, p. 361, 411.E - F</w:t>
      </w:r>
    </w:p>
  </w:footnote>
  <w:footnote w:id="13">
    <w:p w14:paraId="1E6C1122" w14:textId="5AC53573" w:rsidR="00877ACE" w:rsidRDefault="00877ACE">
      <w:pPr>
        <w:pStyle w:val="FootnoteText"/>
      </w:pPr>
      <w:r>
        <w:rPr>
          <w:rStyle w:val="FootnoteReference"/>
        </w:rPr>
        <w:footnoteRef/>
      </w:r>
      <w:r>
        <w:t xml:space="preserve"> Martin,</w:t>
      </w:r>
      <w:r w:rsidR="007D4793">
        <w:t xml:space="preserve"> 2002,</w:t>
      </w:r>
      <w:r>
        <w:t xml:space="preserve"> p. 715</w:t>
      </w:r>
    </w:p>
  </w:footnote>
  <w:footnote w:id="14">
    <w:p w14:paraId="277E9D08" w14:textId="2B8DBBC5" w:rsidR="007F6047" w:rsidRDefault="007F6047">
      <w:pPr>
        <w:pStyle w:val="FootnoteText"/>
      </w:pPr>
      <w:r>
        <w:rPr>
          <w:rStyle w:val="FootnoteReference"/>
        </w:rPr>
        <w:footnoteRef/>
      </w:r>
      <w:r>
        <w:t xml:space="preserve"> </w:t>
      </w:r>
      <w:r w:rsidR="00AD3BBB">
        <w:t>Plutarch, p. 361, 411.E - F</w:t>
      </w:r>
    </w:p>
  </w:footnote>
  <w:footnote w:id="15">
    <w:p w14:paraId="6421D3DC" w14:textId="0E6A9144" w:rsidR="006865B5" w:rsidRDefault="006865B5">
      <w:pPr>
        <w:pStyle w:val="FootnoteText"/>
      </w:pPr>
      <w:r>
        <w:rPr>
          <w:rStyle w:val="FootnoteReference"/>
        </w:rPr>
        <w:footnoteRef/>
      </w:r>
      <w:r>
        <w:t xml:space="preserve"> </w:t>
      </w:r>
      <w:r w:rsidR="002D685B">
        <w:t>Kennedy, 2003, p. 19</w:t>
      </w:r>
    </w:p>
  </w:footnote>
  <w:footnote w:id="16">
    <w:p w14:paraId="68845177" w14:textId="10C834F5" w:rsidR="00612BDD" w:rsidRDefault="00612BDD">
      <w:pPr>
        <w:pStyle w:val="FootnoteText"/>
      </w:pPr>
      <w:r>
        <w:rPr>
          <w:rStyle w:val="FootnoteReference"/>
        </w:rPr>
        <w:footnoteRef/>
      </w:r>
      <w:r>
        <w:t xml:space="preserve"> Plutarch, p. 367 – 369, 413.A - B</w:t>
      </w:r>
    </w:p>
  </w:footnote>
  <w:footnote w:id="17">
    <w:p w14:paraId="69C17DF4" w14:textId="31E22226" w:rsidR="00124E61" w:rsidRDefault="00124E61">
      <w:pPr>
        <w:pStyle w:val="FootnoteText"/>
      </w:pPr>
      <w:r>
        <w:rPr>
          <w:rStyle w:val="FootnoteReference"/>
        </w:rPr>
        <w:footnoteRef/>
      </w:r>
      <w:r>
        <w:t xml:space="preserve"> Plutarch, p. 369 – 371, 413.D- E</w:t>
      </w:r>
    </w:p>
  </w:footnote>
  <w:footnote w:id="18">
    <w:p w14:paraId="3AC7110E" w14:textId="09F2039C" w:rsidR="00537C60" w:rsidRDefault="00537C60">
      <w:pPr>
        <w:pStyle w:val="FootnoteText"/>
      </w:pPr>
      <w:r>
        <w:rPr>
          <w:rStyle w:val="FootnoteReference"/>
        </w:rPr>
        <w:footnoteRef/>
      </w:r>
      <w:r>
        <w:t xml:space="preserve"> Plutarch. P. 373</w:t>
      </w:r>
    </w:p>
  </w:footnote>
  <w:footnote w:id="19">
    <w:p w14:paraId="53F26A2F" w14:textId="24BD5FA0" w:rsidR="00320CA6" w:rsidRDefault="00320CA6">
      <w:pPr>
        <w:pStyle w:val="FootnoteText"/>
      </w:pPr>
      <w:r>
        <w:rPr>
          <w:rStyle w:val="FootnoteReference"/>
        </w:rPr>
        <w:footnoteRef/>
      </w:r>
      <w:r>
        <w:t xml:space="preserve"> </w:t>
      </w:r>
      <w:r w:rsidR="00866D29">
        <w:t xml:space="preserve">Kennedy, 2003, </w:t>
      </w:r>
      <w:r w:rsidR="005E76A8">
        <w:t>p. 17</w:t>
      </w:r>
    </w:p>
  </w:footnote>
  <w:footnote w:id="20">
    <w:p w14:paraId="058A45B8" w14:textId="0E2A1331" w:rsidR="005E76A8" w:rsidRDefault="005E76A8">
      <w:pPr>
        <w:pStyle w:val="FootnoteText"/>
      </w:pPr>
      <w:r>
        <w:rPr>
          <w:rStyle w:val="FootnoteReference"/>
        </w:rPr>
        <w:footnoteRef/>
      </w:r>
      <w:r>
        <w:t xml:space="preserve"> Brenk, 2023, p. 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20DA"/>
    <w:rsid w:val="00053B57"/>
    <w:rsid w:val="000B184E"/>
    <w:rsid w:val="00102376"/>
    <w:rsid w:val="00124E61"/>
    <w:rsid w:val="001620DA"/>
    <w:rsid w:val="001A42E5"/>
    <w:rsid w:val="001F659C"/>
    <w:rsid w:val="00224DF9"/>
    <w:rsid w:val="00255B5A"/>
    <w:rsid w:val="002569A5"/>
    <w:rsid w:val="00290555"/>
    <w:rsid w:val="002A09B8"/>
    <w:rsid w:val="002B3CA0"/>
    <w:rsid w:val="002D685B"/>
    <w:rsid w:val="002E4A02"/>
    <w:rsid w:val="00320CA6"/>
    <w:rsid w:val="003620DA"/>
    <w:rsid w:val="00374B94"/>
    <w:rsid w:val="003A1757"/>
    <w:rsid w:val="00442A68"/>
    <w:rsid w:val="00501EF0"/>
    <w:rsid w:val="00537C60"/>
    <w:rsid w:val="005E76A8"/>
    <w:rsid w:val="0060148C"/>
    <w:rsid w:val="00612BDD"/>
    <w:rsid w:val="006377DA"/>
    <w:rsid w:val="00673280"/>
    <w:rsid w:val="006865B5"/>
    <w:rsid w:val="006A2D35"/>
    <w:rsid w:val="0071294A"/>
    <w:rsid w:val="00764884"/>
    <w:rsid w:val="007662AD"/>
    <w:rsid w:val="00794421"/>
    <w:rsid w:val="007C6EDB"/>
    <w:rsid w:val="007D4793"/>
    <w:rsid w:val="007F6047"/>
    <w:rsid w:val="0085455D"/>
    <w:rsid w:val="00866D29"/>
    <w:rsid w:val="00877ACE"/>
    <w:rsid w:val="008B5A62"/>
    <w:rsid w:val="008C7746"/>
    <w:rsid w:val="00931544"/>
    <w:rsid w:val="00951FD9"/>
    <w:rsid w:val="0097491F"/>
    <w:rsid w:val="0098624B"/>
    <w:rsid w:val="009A7A3A"/>
    <w:rsid w:val="00A81417"/>
    <w:rsid w:val="00A919EB"/>
    <w:rsid w:val="00A941CE"/>
    <w:rsid w:val="00A96AC1"/>
    <w:rsid w:val="00AA7FAD"/>
    <w:rsid w:val="00AB035D"/>
    <w:rsid w:val="00AD0C8D"/>
    <w:rsid w:val="00AD3BBB"/>
    <w:rsid w:val="00B0763B"/>
    <w:rsid w:val="00B35D85"/>
    <w:rsid w:val="00B60CCC"/>
    <w:rsid w:val="00B703D5"/>
    <w:rsid w:val="00B903BD"/>
    <w:rsid w:val="00BA71C6"/>
    <w:rsid w:val="00BB5EB0"/>
    <w:rsid w:val="00C35DA2"/>
    <w:rsid w:val="00C94D77"/>
    <w:rsid w:val="00CC0063"/>
    <w:rsid w:val="00CE5304"/>
    <w:rsid w:val="00D56DC6"/>
    <w:rsid w:val="00D735BF"/>
    <w:rsid w:val="00E72D29"/>
    <w:rsid w:val="00EB23FD"/>
    <w:rsid w:val="00F13A59"/>
    <w:rsid w:val="00F86120"/>
    <w:rsid w:val="00FC52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11D57E"/>
  <w15:chartTrackingRefBased/>
  <w15:docId w15:val="{890CF128-31C3-4449-903D-54A69DE73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20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20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20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20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20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20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20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20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20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20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20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20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20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20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20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20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20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20DA"/>
    <w:rPr>
      <w:rFonts w:eastAsiaTheme="majorEastAsia" w:cstheme="majorBidi"/>
      <w:color w:val="272727" w:themeColor="text1" w:themeTint="D8"/>
    </w:rPr>
  </w:style>
  <w:style w:type="paragraph" w:styleId="Title">
    <w:name w:val="Title"/>
    <w:basedOn w:val="Normal"/>
    <w:next w:val="Normal"/>
    <w:link w:val="TitleChar"/>
    <w:uiPriority w:val="10"/>
    <w:qFormat/>
    <w:rsid w:val="001620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20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20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20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20DA"/>
    <w:pPr>
      <w:spacing w:before="160"/>
      <w:jc w:val="center"/>
    </w:pPr>
    <w:rPr>
      <w:i/>
      <w:iCs/>
      <w:color w:val="404040" w:themeColor="text1" w:themeTint="BF"/>
    </w:rPr>
  </w:style>
  <w:style w:type="character" w:customStyle="1" w:styleId="QuoteChar">
    <w:name w:val="Quote Char"/>
    <w:basedOn w:val="DefaultParagraphFont"/>
    <w:link w:val="Quote"/>
    <w:uiPriority w:val="29"/>
    <w:rsid w:val="001620DA"/>
    <w:rPr>
      <w:i/>
      <w:iCs/>
      <w:color w:val="404040" w:themeColor="text1" w:themeTint="BF"/>
    </w:rPr>
  </w:style>
  <w:style w:type="paragraph" w:styleId="ListParagraph">
    <w:name w:val="List Paragraph"/>
    <w:basedOn w:val="Normal"/>
    <w:uiPriority w:val="34"/>
    <w:qFormat/>
    <w:rsid w:val="001620DA"/>
    <w:pPr>
      <w:ind w:left="720"/>
      <w:contextualSpacing/>
    </w:pPr>
  </w:style>
  <w:style w:type="character" w:styleId="IntenseEmphasis">
    <w:name w:val="Intense Emphasis"/>
    <w:basedOn w:val="DefaultParagraphFont"/>
    <w:uiPriority w:val="21"/>
    <w:qFormat/>
    <w:rsid w:val="001620DA"/>
    <w:rPr>
      <w:i/>
      <w:iCs/>
      <w:color w:val="0F4761" w:themeColor="accent1" w:themeShade="BF"/>
    </w:rPr>
  </w:style>
  <w:style w:type="paragraph" w:styleId="IntenseQuote">
    <w:name w:val="Intense Quote"/>
    <w:basedOn w:val="Normal"/>
    <w:next w:val="Normal"/>
    <w:link w:val="IntenseQuoteChar"/>
    <w:uiPriority w:val="30"/>
    <w:qFormat/>
    <w:rsid w:val="001620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20DA"/>
    <w:rPr>
      <w:i/>
      <w:iCs/>
      <w:color w:val="0F4761" w:themeColor="accent1" w:themeShade="BF"/>
    </w:rPr>
  </w:style>
  <w:style w:type="character" w:styleId="IntenseReference">
    <w:name w:val="Intense Reference"/>
    <w:basedOn w:val="DefaultParagraphFont"/>
    <w:uiPriority w:val="32"/>
    <w:qFormat/>
    <w:rsid w:val="001620DA"/>
    <w:rPr>
      <w:b/>
      <w:bCs/>
      <w:smallCaps/>
      <w:color w:val="0F4761" w:themeColor="accent1" w:themeShade="BF"/>
      <w:spacing w:val="5"/>
    </w:rPr>
  </w:style>
  <w:style w:type="paragraph" w:styleId="FootnoteText">
    <w:name w:val="footnote text"/>
    <w:basedOn w:val="Normal"/>
    <w:link w:val="FootnoteTextChar"/>
    <w:uiPriority w:val="99"/>
    <w:semiHidden/>
    <w:unhideWhenUsed/>
    <w:rsid w:val="00951FD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51FD9"/>
    <w:rPr>
      <w:sz w:val="20"/>
      <w:szCs w:val="20"/>
    </w:rPr>
  </w:style>
  <w:style w:type="character" w:styleId="FootnoteReference">
    <w:name w:val="footnote reference"/>
    <w:basedOn w:val="DefaultParagraphFont"/>
    <w:uiPriority w:val="99"/>
    <w:semiHidden/>
    <w:unhideWhenUsed/>
    <w:rsid w:val="00951FD9"/>
    <w:rPr>
      <w:vertAlign w:val="superscript"/>
    </w:rPr>
  </w:style>
  <w:style w:type="character" w:styleId="Emphasis">
    <w:name w:val="Emphasis"/>
    <w:basedOn w:val="DefaultParagraphFont"/>
    <w:uiPriority w:val="20"/>
    <w:qFormat/>
    <w:rsid w:val="001A42E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E6C89E-6C94-4761-A3A6-450C5D11BA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5525</TotalTime>
  <Pages>4</Pages>
  <Words>1813</Words>
  <Characters>10337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rush</dc:creator>
  <cp:keywords/>
  <dc:description/>
  <cp:lastModifiedBy>connor rush</cp:lastModifiedBy>
  <cp:revision>16</cp:revision>
  <dcterms:created xsi:type="dcterms:W3CDTF">2024-03-03T13:43:00Z</dcterms:created>
  <dcterms:modified xsi:type="dcterms:W3CDTF">2024-03-19T00:01:00Z</dcterms:modified>
</cp:coreProperties>
</file>