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A2D65" w14:textId="77777777" w:rsidR="0028695F" w:rsidRDefault="0028695F" w:rsidP="0028695F">
      <w:pPr>
        <w:pStyle w:val="Header"/>
      </w:pPr>
      <w:r>
        <w:t>James Goddard 2111623</w:t>
      </w:r>
    </w:p>
    <w:p w14:paraId="68C481D5" w14:textId="77777777" w:rsidR="006519AD" w:rsidRDefault="006519AD" w:rsidP="006519AD">
      <w:pPr>
        <w:rPr>
          <w:rFonts w:eastAsia="Calibri"/>
          <w:szCs w:val="24"/>
        </w:rPr>
      </w:pPr>
    </w:p>
    <w:p w14:paraId="55B5A7C3" w14:textId="40A1A262" w:rsidR="006519AD" w:rsidRDefault="006519AD" w:rsidP="006519AD">
      <w:pPr>
        <w:rPr>
          <w:rFonts w:eastAsia="Calibri"/>
          <w:szCs w:val="24"/>
        </w:rPr>
      </w:pPr>
      <w:r w:rsidRPr="00805844">
        <w:rPr>
          <w:rFonts w:eastAsia="Calibri"/>
          <w:b/>
          <w:bCs/>
          <w:szCs w:val="24"/>
        </w:rPr>
        <w:t>Name</w:t>
      </w:r>
      <w:r>
        <w:rPr>
          <w:rFonts w:eastAsia="Calibri"/>
          <w:szCs w:val="24"/>
        </w:rPr>
        <w:t>: James Goddar</w:t>
      </w:r>
      <w:r w:rsidR="003947A4">
        <w:rPr>
          <w:rFonts w:eastAsia="Calibri"/>
          <w:szCs w:val="24"/>
        </w:rPr>
        <w:t>d</w:t>
      </w:r>
    </w:p>
    <w:p w14:paraId="34F1C672" w14:textId="77777777" w:rsidR="006519AD" w:rsidRDefault="006519AD" w:rsidP="006519AD">
      <w:pPr>
        <w:rPr>
          <w:rFonts w:eastAsia="Calibri"/>
          <w:szCs w:val="24"/>
        </w:rPr>
      </w:pPr>
      <w:r w:rsidRPr="00805844">
        <w:rPr>
          <w:rFonts w:eastAsia="Calibri"/>
          <w:b/>
          <w:bCs/>
          <w:szCs w:val="24"/>
        </w:rPr>
        <w:t>Student Number</w:t>
      </w:r>
      <w:r>
        <w:rPr>
          <w:rFonts w:eastAsia="Calibri"/>
          <w:szCs w:val="24"/>
        </w:rPr>
        <w:t>: 2111623</w:t>
      </w:r>
    </w:p>
    <w:p w14:paraId="3A56DEC1" w14:textId="04BAC44A" w:rsidR="006519AD" w:rsidRDefault="006519AD" w:rsidP="006519AD">
      <w:pPr>
        <w:rPr>
          <w:rFonts w:eastAsia="Calibri"/>
          <w:szCs w:val="24"/>
        </w:rPr>
      </w:pPr>
      <w:r w:rsidRPr="00805844">
        <w:rPr>
          <w:rFonts w:eastAsia="Calibri"/>
          <w:b/>
          <w:bCs/>
          <w:szCs w:val="24"/>
        </w:rPr>
        <w:t xml:space="preserve">Word Count </w:t>
      </w:r>
      <w:r w:rsidR="00987C80" w:rsidRPr="00805844">
        <w:rPr>
          <w:rFonts w:eastAsia="Calibri"/>
          <w:b/>
          <w:bCs/>
          <w:szCs w:val="24"/>
        </w:rPr>
        <w:t>for</w:t>
      </w:r>
      <w:r w:rsidRPr="00805844">
        <w:rPr>
          <w:rFonts w:eastAsia="Calibri"/>
          <w:b/>
          <w:bCs/>
          <w:szCs w:val="24"/>
        </w:rPr>
        <w:t xml:space="preserve"> Core Document Between Contents </w:t>
      </w:r>
      <w:r w:rsidR="00D71EF6">
        <w:rPr>
          <w:rFonts w:eastAsia="Calibri"/>
          <w:b/>
          <w:bCs/>
          <w:szCs w:val="24"/>
        </w:rPr>
        <w:t>L</w:t>
      </w:r>
      <w:r w:rsidRPr="00805844">
        <w:rPr>
          <w:rFonts w:eastAsia="Calibri"/>
          <w:b/>
          <w:bCs/>
          <w:szCs w:val="24"/>
        </w:rPr>
        <w:t>ist and Reference</w:t>
      </w:r>
      <w:r w:rsidRPr="721CC8D4">
        <w:rPr>
          <w:rFonts w:eastAsia="Calibri"/>
          <w:szCs w:val="24"/>
        </w:rPr>
        <w:t xml:space="preserve">: </w:t>
      </w:r>
      <w:r w:rsidR="00F96844">
        <w:rPr>
          <w:rFonts w:eastAsia="Calibri"/>
          <w:szCs w:val="24"/>
        </w:rPr>
        <w:t>53</w:t>
      </w:r>
      <w:r w:rsidR="00D01B30">
        <w:rPr>
          <w:rFonts w:eastAsia="Calibri"/>
          <w:szCs w:val="24"/>
        </w:rPr>
        <w:t>36</w:t>
      </w:r>
    </w:p>
    <w:sdt>
      <w:sdtPr>
        <w:rPr>
          <w:rFonts w:ascii="Arial" w:eastAsiaTheme="minorHAnsi" w:hAnsi="Arial" w:cstheme="minorBidi"/>
          <w:color w:val="auto"/>
          <w:sz w:val="24"/>
          <w:szCs w:val="22"/>
          <w:lang w:val="en-GB"/>
        </w:rPr>
        <w:id w:val="1072707864"/>
        <w:docPartObj>
          <w:docPartGallery w:val="Table of Contents"/>
          <w:docPartUnique/>
        </w:docPartObj>
      </w:sdtPr>
      <w:sdtEndPr>
        <w:rPr>
          <w:b/>
          <w:bCs/>
          <w:noProof/>
        </w:rPr>
      </w:sdtEndPr>
      <w:sdtContent>
        <w:p w14:paraId="79D01908" w14:textId="6B185818" w:rsidR="007F70AB" w:rsidRDefault="007F70AB">
          <w:pPr>
            <w:pStyle w:val="TOCHeading"/>
          </w:pPr>
          <w:r>
            <w:t>Contents</w:t>
          </w:r>
        </w:p>
        <w:p w14:paraId="022F5653" w14:textId="22D0B397" w:rsidR="003947A4" w:rsidRDefault="007F70A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7881384" w:history="1">
            <w:r w:rsidR="003947A4" w:rsidRPr="00F071AA">
              <w:rPr>
                <w:rStyle w:val="Hyperlink"/>
                <w:rFonts w:eastAsia="Times New Roman"/>
                <w:noProof/>
                <w:lang w:eastAsia="en-GB"/>
              </w:rPr>
              <w:t>Critical Analysis of Decision Support</w:t>
            </w:r>
            <w:r w:rsidR="003947A4">
              <w:rPr>
                <w:noProof/>
                <w:webHidden/>
              </w:rPr>
              <w:tab/>
            </w:r>
            <w:r w:rsidR="003947A4">
              <w:rPr>
                <w:noProof/>
                <w:webHidden/>
              </w:rPr>
              <w:fldChar w:fldCharType="begin"/>
            </w:r>
            <w:r w:rsidR="003947A4">
              <w:rPr>
                <w:noProof/>
                <w:webHidden/>
              </w:rPr>
              <w:instrText xml:space="preserve"> PAGEREF _Toc127881384 \h </w:instrText>
            </w:r>
            <w:r w:rsidR="003947A4">
              <w:rPr>
                <w:noProof/>
                <w:webHidden/>
              </w:rPr>
            </w:r>
            <w:r w:rsidR="003947A4">
              <w:rPr>
                <w:noProof/>
                <w:webHidden/>
              </w:rPr>
              <w:fldChar w:fldCharType="separate"/>
            </w:r>
            <w:r w:rsidR="003947A4">
              <w:rPr>
                <w:noProof/>
                <w:webHidden/>
              </w:rPr>
              <w:t>1</w:t>
            </w:r>
            <w:r w:rsidR="003947A4">
              <w:rPr>
                <w:noProof/>
                <w:webHidden/>
              </w:rPr>
              <w:fldChar w:fldCharType="end"/>
            </w:r>
          </w:hyperlink>
        </w:p>
        <w:p w14:paraId="6D0F526A" w14:textId="7CCFDACB" w:rsidR="003947A4" w:rsidRDefault="003947A4">
          <w:pPr>
            <w:pStyle w:val="TOC1"/>
            <w:tabs>
              <w:tab w:val="right" w:leader="dot" w:pos="9016"/>
            </w:tabs>
            <w:rPr>
              <w:rFonts w:asciiTheme="minorHAnsi" w:eastAsiaTheme="minorEastAsia" w:hAnsiTheme="minorHAnsi"/>
              <w:noProof/>
              <w:sz w:val="22"/>
              <w:lang w:eastAsia="en-GB"/>
            </w:rPr>
          </w:pPr>
          <w:hyperlink w:anchor="_Toc127881385" w:history="1">
            <w:r w:rsidRPr="00F071AA">
              <w:rPr>
                <w:rStyle w:val="Hyperlink"/>
                <w:noProof/>
                <w:lang w:val="en-US"/>
              </w:rPr>
              <w:t>Introduction</w:t>
            </w:r>
            <w:r>
              <w:rPr>
                <w:noProof/>
                <w:webHidden/>
              </w:rPr>
              <w:tab/>
            </w:r>
            <w:r>
              <w:rPr>
                <w:noProof/>
                <w:webHidden/>
              </w:rPr>
              <w:fldChar w:fldCharType="begin"/>
            </w:r>
            <w:r>
              <w:rPr>
                <w:noProof/>
                <w:webHidden/>
              </w:rPr>
              <w:instrText xml:space="preserve"> PAGEREF _Toc127881385 \h </w:instrText>
            </w:r>
            <w:r>
              <w:rPr>
                <w:noProof/>
                <w:webHidden/>
              </w:rPr>
            </w:r>
            <w:r>
              <w:rPr>
                <w:noProof/>
                <w:webHidden/>
              </w:rPr>
              <w:fldChar w:fldCharType="separate"/>
            </w:r>
            <w:r>
              <w:rPr>
                <w:noProof/>
                <w:webHidden/>
              </w:rPr>
              <w:t>2</w:t>
            </w:r>
            <w:r>
              <w:rPr>
                <w:noProof/>
                <w:webHidden/>
              </w:rPr>
              <w:fldChar w:fldCharType="end"/>
            </w:r>
          </w:hyperlink>
        </w:p>
        <w:p w14:paraId="7FD9A969" w14:textId="3268965B" w:rsidR="003947A4" w:rsidRDefault="003947A4">
          <w:pPr>
            <w:pStyle w:val="TOC1"/>
            <w:tabs>
              <w:tab w:val="right" w:leader="dot" w:pos="9016"/>
            </w:tabs>
            <w:rPr>
              <w:rFonts w:asciiTheme="minorHAnsi" w:eastAsiaTheme="minorEastAsia" w:hAnsiTheme="minorHAnsi"/>
              <w:noProof/>
              <w:sz w:val="22"/>
              <w:lang w:eastAsia="en-GB"/>
            </w:rPr>
          </w:pPr>
          <w:hyperlink w:anchor="_Toc127881386" w:history="1">
            <w:r w:rsidRPr="00F071AA">
              <w:rPr>
                <w:rStyle w:val="Hyperlink"/>
                <w:noProof/>
                <w:lang w:val="en-US"/>
              </w:rPr>
              <w:t>Evidence Review</w:t>
            </w:r>
            <w:r>
              <w:rPr>
                <w:noProof/>
                <w:webHidden/>
              </w:rPr>
              <w:tab/>
            </w:r>
            <w:r>
              <w:rPr>
                <w:noProof/>
                <w:webHidden/>
              </w:rPr>
              <w:fldChar w:fldCharType="begin"/>
            </w:r>
            <w:r>
              <w:rPr>
                <w:noProof/>
                <w:webHidden/>
              </w:rPr>
              <w:instrText xml:space="preserve"> PAGEREF _Toc127881386 \h </w:instrText>
            </w:r>
            <w:r>
              <w:rPr>
                <w:noProof/>
                <w:webHidden/>
              </w:rPr>
            </w:r>
            <w:r>
              <w:rPr>
                <w:noProof/>
                <w:webHidden/>
              </w:rPr>
              <w:fldChar w:fldCharType="separate"/>
            </w:r>
            <w:r>
              <w:rPr>
                <w:noProof/>
                <w:webHidden/>
              </w:rPr>
              <w:t>4</w:t>
            </w:r>
            <w:r>
              <w:rPr>
                <w:noProof/>
                <w:webHidden/>
              </w:rPr>
              <w:fldChar w:fldCharType="end"/>
            </w:r>
          </w:hyperlink>
        </w:p>
        <w:p w14:paraId="5C45307B" w14:textId="159A6E7B" w:rsidR="003947A4" w:rsidRDefault="003947A4">
          <w:pPr>
            <w:pStyle w:val="TOC2"/>
            <w:tabs>
              <w:tab w:val="right" w:leader="dot" w:pos="9016"/>
            </w:tabs>
            <w:rPr>
              <w:rFonts w:asciiTheme="minorHAnsi" w:eastAsiaTheme="minorEastAsia" w:hAnsiTheme="minorHAnsi"/>
              <w:noProof/>
              <w:sz w:val="22"/>
              <w:lang w:eastAsia="en-GB"/>
            </w:rPr>
          </w:pPr>
          <w:hyperlink w:anchor="_Toc127881387" w:history="1">
            <w:r w:rsidRPr="00F071AA">
              <w:rPr>
                <w:rStyle w:val="Hyperlink"/>
                <w:noProof/>
                <w:lang w:val="en-US"/>
              </w:rPr>
              <w:t>Methods</w:t>
            </w:r>
            <w:r>
              <w:rPr>
                <w:noProof/>
                <w:webHidden/>
              </w:rPr>
              <w:tab/>
            </w:r>
            <w:r>
              <w:rPr>
                <w:noProof/>
                <w:webHidden/>
              </w:rPr>
              <w:fldChar w:fldCharType="begin"/>
            </w:r>
            <w:r>
              <w:rPr>
                <w:noProof/>
                <w:webHidden/>
              </w:rPr>
              <w:instrText xml:space="preserve"> PAGEREF _Toc127881387 \h </w:instrText>
            </w:r>
            <w:r>
              <w:rPr>
                <w:noProof/>
                <w:webHidden/>
              </w:rPr>
            </w:r>
            <w:r>
              <w:rPr>
                <w:noProof/>
                <w:webHidden/>
              </w:rPr>
              <w:fldChar w:fldCharType="separate"/>
            </w:r>
            <w:r>
              <w:rPr>
                <w:noProof/>
                <w:webHidden/>
              </w:rPr>
              <w:t>4</w:t>
            </w:r>
            <w:r>
              <w:rPr>
                <w:noProof/>
                <w:webHidden/>
              </w:rPr>
              <w:fldChar w:fldCharType="end"/>
            </w:r>
          </w:hyperlink>
        </w:p>
        <w:p w14:paraId="6561CAF4" w14:textId="1E623631" w:rsidR="003947A4" w:rsidRDefault="003947A4">
          <w:pPr>
            <w:pStyle w:val="TOC3"/>
            <w:tabs>
              <w:tab w:val="right" w:leader="dot" w:pos="9016"/>
            </w:tabs>
            <w:rPr>
              <w:rFonts w:asciiTheme="minorHAnsi" w:eastAsiaTheme="minorEastAsia" w:hAnsiTheme="minorHAnsi"/>
              <w:noProof/>
              <w:sz w:val="22"/>
              <w:lang w:eastAsia="en-GB"/>
            </w:rPr>
          </w:pPr>
          <w:hyperlink w:anchor="_Toc127881388" w:history="1">
            <w:r w:rsidRPr="00F071AA">
              <w:rPr>
                <w:rStyle w:val="Hyperlink"/>
                <w:noProof/>
                <w:lang w:val="en-US"/>
              </w:rPr>
              <w:t>Search Strategy</w:t>
            </w:r>
            <w:r>
              <w:rPr>
                <w:noProof/>
                <w:webHidden/>
              </w:rPr>
              <w:tab/>
            </w:r>
            <w:r>
              <w:rPr>
                <w:noProof/>
                <w:webHidden/>
              </w:rPr>
              <w:fldChar w:fldCharType="begin"/>
            </w:r>
            <w:r>
              <w:rPr>
                <w:noProof/>
                <w:webHidden/>
              </w:rPr>
              <w:instrText xml:space="preserve"> PAGEREF _Toc127881388 \h </w:instrText>
            </w:r>
            <w:r>
              <w:rPr>
                <w:noProof/>
                <w:webHidden/>
              </w:rPr>
            </w:r>
            <w:r>
              <w:rPr>
                <w:noProof/>
                <w:webHidden/>
              </w:rPr>
              <w:fldChar w:fldCharType="separate"/>
            </w:r>
            <w:r>
              <w:rPr>
                <w:noProof/>
                <w:webHidden/>
              </w:rPr>
              <w:t>4</w:t>
            </w:r>
            <w:r>
              <w:rPr>
                <w:noProof/>
                <w:webHidden/>
              </w:rPr>
              <w:fldChar w:fldCharType="end"/>
            </w:r>
          </w:hyperlink>
        </w:p>
        <w:p w14:paraId="73B3DE89" w14:textId="03958822" w:rsidR="003947A4" w:rsidRDefault="003947A4">
          <w:pPr>
            <w:pStyle w:val="TOC3"/>
            <w:tabs>
              <w:tab w:val="right" w:leader="dot" w:pos="9016"/>
            </w:tabs>
            <w:rPr>
              <w:rFonts w:asciiTheme="minorHAnsi" w:eastAsiaTheme="minorEastAsia" w:hAnsiTheme="minorHAnsi"/>
              <w:noProof/>
              <w:sz w:val="22"/>
              <w:lang w:eastAsia="en-GB"/>
            </w:rPr>
          </w:pPr>
          <w:hyperlink w:anchor="_Toc127881389" w:history="1">
            <w:r w:rsidRPr="00F071AA">
              <w:rPr>
                <w:rStyle w:val="Hyperlink"/>
                <w:noProof/>
                <w:lang w:val="en-US"/>
              </w:rPr>
              <w:t>Study Selection</w:t>
            </w:r>
            <w:r>
              <w:rPr>
                <w:noProof/>
                <w:webHidden/>
              </w:rPr>
              <w:tab/>
            </w:r>
            <w:r>
              <w:rPr>
                <w:noProof/>
                <w:webHidden/>
              </w:rPr>
              <w:fldChar w:fldCharType="begin"/>
            </w:r>
            <w:r>
              <w:rPr>
                <w:noProof/>
                <w:webHidden/>
              </w:rPr>
              <w:instrText xml:space="preserve"> PAGEREF _Toc127881389 \h </w:instrText>
            </w:r>
            <w:r>
              <w:rPr>
                <w:noProof/>
                <w:webHidden/>
              </w:rPr>
            </w:r>
            <w:r>
              <w:rPr>
                <w:noProof/>
                <w:webHidden/>
              </w:rPr>
              <w:fldChar w:fldCharType="separate"/>
            </w:r>
            <w:r>
              <w:rPr>
                <w:noProof/>
                <w:webHidden/>
              </w:rPr>
              <w:t>5</w:t>
            </w:r>
            <w:r>
              <w:rPr>
                <w:noProof/>
                <w:webHidden/>
              </w:rPr>
              <w:fldChar w:fldCharType="end"/>
            </w:r>
          </w:hyperlink>
        </w:p>
        <w:p w14:paraId="566D1D30" w14:textId="03665AC8" w:rsidR="003947A4" w:rsidRDefault="003947A4">
          <w:pPr>
            <w:pStyle w:val="TOC3"/>
            <w:tabs>
              <w:tab w:val="right" w:leader="dot" w:pos="9016"/>
            </w:tabs>
            <w:rPr>
              <w:rFonts w:asciiTheme="minorHAnsi" w:eastAsiaTheme="minorEastAsia" w:hAnsiTheme="minorHAnsi"/>
              <w:noProof/>
              <w:sz w:val="22"/>
              <w:lang w:eastAsia="en-GB"/>
            </w:rPr>
          </w:pPr>
          <w:hyperlink w:anchor="_Toc127881390" w:history="1">
            <w:r w:rsidRPr="00F071AA">
              <w:rPr>
                <w:rStyle w:val="Hyperlink"/>
                <w:noProof/>
                <w:lang w:val="en-US"/>
              </w:rPr>
              <w:t>Grading</w:t>
            </w:r>
            <w:r>
              <w:rPr>
                <w:noProof/>
                <w:webHidden/>
              </w:rPr>
              <w:tab/>
            </w:r>
            <w:r>
              <w:rPr>
                <w:noProof/>
                <w:webHidden/>
              </w:rPr>
              <w:fldChar w:fldCharType="begin"/>
            </w:r>
            <w:r>
              <w:rPr>
                <w:noProof/>
                <w:webHidden/>
              </w:rPr>
              <w:instrText xml:space="preserve"> PAGEREF _Toc127881390 \h </w:instrText>
            </w:r>
            <w:r>
              <w:rPr>
                <w:noProof/>
                <w:webHidden/>
              </w:rPr>
            </w:r>
            <w:r>
              <w:rPr>
                <w:noProof/>
                <w:webHidden/>
              </w:rPr>
              <w:fldChar w:fldCharType="separate"/>
            </w:r>
            <w:r>
              <w:rPr>
                <w:noProof/>
                <w:webHidden/>
              </w:rPr>
              <w:t>6</w:t>
            </w:r>
            <w:r>
              <w:rPr>
                <w:noProof/>
                <w:webHidden/>
              </w:rPr>
              <w:fldChar w:fldCharType="end"/>
            </w:r>
          </w:hyperlink>
        </w:p>
        <w:p w14:paraId="3305982D" w14:textId="2D2634CB" w:rsidR="003947A4" w:rsidRDefault="003947A4">
          <w:pPr>
            <w:pStyle w:val="TOC2"/>
            <w:tabs>
              <w:tab w:val="right" w:leader="dot" w:pos="9016"/>
            </w:tabs>
            <w:rPr>
              <w:rFonts w:asciiTheme="minorHAnsi" w:eastAsiaTheme="minorEastAsia" w:hAnsiTheme="minorHAnsi"/>
              <w:noProof/>
              <w:sz w:val="22"/>
              <w:lang w:eastAsia="en-GB"/>
            </w:rPr>
          </w:pPr>
          <w:hyperlink w:anchor="_Toc127881391" w:history="1">
            <w:r w:rsidRPr="00F071AA">
              <w:rPr>
                <w:rStyle w:val="Hyperlink"/>
                <w:noProof/>
                <w:lang w:val="en-US"/>
              </w:rPr>
              <w:t>Results</w:t>
            </w:r>
            <w:r>
              <w:rPr>
                <w:noProof/>
                <w:webHidden/>
              </w:rPr>
              <w:tab/>
            </w:r>
            <w:r>
              <w:rPr>
                <w:noProof/>
                <w:webHidden/>
              </w:rPr>
              <w:fldChar w:fldCharType="begin"/>
            </w:r>
            <w:r>
              <w:rPr>
                <w:noProof/>
                <w:webHidden/>
              </w:rPr>
              <w:instrText xml:space="preserve"> PAGEREF _Toc127881391 \h </w:instrText>
            </w:r>
            <w:r>
              <w:rPr>
                <w:noProof/>
                <w:webHidden/>
              </w:rPr>
            </w:r>
            <w:r>
              <w:rPr>
                <w:noProof/>
                <w:webHidden/>
              </w:rPr>
              <w:fldChar w:fldCharType="separate"/>
            </w:r>
            <w:r>
              <w:rPr>
                <w:noProof/>
                <w:webHidden/>
              </w:rPr>
              <w:t>7</w:t>
            </w:r>
            <w:r>
              <w:rPr>
                <w:noProof/>
                <w:webHidden/>
              </w:rPr>
              <w:fldChar w:fldCharType="end"/>
            </w:r>
          </w:hyperlink>
        </w:p>
        <w:p w14:paraId="78ABB2BD" w14:textId="444546AE" w:rsidR="003947A4" w:rsidRDefault="003947A4">
          <w:pPr>
            <w:pStyle w:val="TOC2"/>
            <w:tabs>
              <w:tab w:val="right" w:leader="dot" w:pos="9016"/>
            </w:tabs>
            <w:rPr>
              <w:rFonts w:asciiTheme="minorHAnsi" w:eastAsiaTheme="minorEastAsia" w:hAnsiTheme="minorHAnsi"/>
              <w:noProof/>
              <w:sz w:val="22"/>
              <w:lang w:eastAsia="en-GB"/>
            </w:rPr>
          </w:pPr>
          <w:hyperlink w:anchor="_Toc127881392" w:history="1">
            <w:r w:rsidRPr="00F071AA">
              <w:rPr>
                <w:rStyle w:val="Hyperlink"/>
                <w:noProof/>
                <w:lang w:val="en-US"/>
              </w:rPr>
              <w:t>Discussion</w:t>
            </w:r>
            <w:r>
              <w:rPr>
                <w:noProof/>
                <w:webHidden/>
              </w:rPr>
              <w:tab/>
            </w:r>
            <w:r>
              <w:rPr>
                <w:noProof/>
                <w:webHidden/>
              </w:rPr>
              <w:fldChar w:fldCharType="begin"/>
            </w:r>
            <w:r>
              <w:rPr>
                <w:noProof/>
                <w:webHidden/>
              </w:rPr>
              <w:instrText xml:space="preserve"> PAGEREF _Toc127881392 \h </w:instrText>
            </w:r>
            <w:r>
              <w:rPr>
                <w:noProof/>
                <w:webHidden/>
              </w:rPr>
            </w:r>
            <w:r>
              <w:rPr>
                <w:noProof/>
                <w:webHidden/>
              </w:rPr>
              <w:fldChar w:fldCharType="separate"/>
            </w:r>
            <w:r>
              <w:rPr>
                <w:noProof/>
                <w:webHidden/>
              </w:rPr>
              <w:t>13</w:t>
            </w:r>
            <w:r>
              <w:rPr>
                <w:noProof/>
                <w:webHidden/>
              </w:rPr>
              <w:fldChar w:fldCharType="end"/>
            </w:r>
          </w:hyperlink>
        </w:p>
        <w:p w14:paraId="6DF4E5EF" w14:textId="2DD94F46" w:rsidR="003947A4" w:rsidRDefault="003947A4">
          <w:pPr>
            <w:pStyle w:val="TOC3"/>
            <w:tabs>
              <w:tab w:val="right" w:leader="dot" w:pos="9016"/>
            </w:tabs>
            <w:rPr>
              <w:rFonts w:asciiTheme="minorHAnsi" w:eastAsiaTheme="minorEastAsia" w:hAnsiTheme="minorHAnsi"/>
              <w:noProof/>
              <w:sz w:val="22"/>
              <w:lang w:eastAsia="en-GB"/>
            </w:rPr>
          </w:pPr>
          <w:hyperlink w:anchor="_Toc127881393" w:history="1">
            <w:r w:rsidRPr="00F071AA">
              <w:rPr>
                <w:rStyle w:val="Hyperlink"/>
                <w:noProof/>
                <w:lang w:val="en-US"/>
              </w:rPr>
              <w:t>Gaps in existing literature and evidence base</w:t>
            </w:r>
            <w:r>
              <w:rPr>
                <w:noProof/>
                <w:webHidden/>
              </w:rPr>
              <w:tab/>
            </w:r>
            <w:r>
              <w:rPr>
                <w:noProof/>
                <w:webHidden/>
              </w:rPr>
              <w:fldChar w:fldCharType="begin"/>
            </w:r>
            <w:r>
              <w:rPr>
                <w:noProof/>
                <w:webHidden/>
              </w:rPr>
              <w:instrText xml:space="preserve"> PAGEREF _Toc127881393 \h </w:instrText>
            </w:r>
            <w:r>
              <w:rPr>
                <w:noProof/>
                <w:webHidden/>
              </w:rPr>
            </w:r>
            <w:r>
              <w:rPr>
                <w:noProof/>
                <w:webHidden/>
              </w:rPr>
              <w:fldChar w:fldCharType="separate"/>
            </w:r>
            <w:r>
              <w:rPr>
                <w:noProof/>
                <w:webHidden/>
              </w:rPr>
              <w:t>17</w:t>
            </w:r>
            <w:r>
              <w:rPr>
                <w:noProof/>
                <w:webHidden/>
              </w:rPr>
              <w:fldChar w:fldCharType="end"/>
            </w:r>
          </w:hyperlink>
        </w:p>
        <w:p w14:paraId="6725E39B" w14:textId="5F1905EF" w:rsidR="003947A4" w:rsidRDefault="003947A4">
          <w:pPr>
            <w:pStyle w:val="TOC1"/>
            <w:tabs>
              <w:tab w:val="right" w:leader="dot" w:pos="9016"/>
            </w:tabs>
            <w:rPr>
              <w:rFonts w:asciiTheme="minorHAnsi" w:eastAsiaTheme="minorEastAsia" w:hAnsiTheme="minorHAnsi"/>
              <w:noProof/>
              <w:sz w:val="22"/>
              <w:lang w:eastAsia="en-GB"/>
            </w:rPr>
          </w:pPr>
          <w:hyperlink w:anchor="_Toc127881394" w:history="1">
            <w:r w:rsidRPr="00F071AA">
              <w:rPr>
                <w:rStyle w:val="Hyperlink"/>
                <w:noProof/>
                <w:lang w:val="en-US"/>
              </w:rPr>
              <w:t>Implementation Issues</w:t>
            </w:r>
            <w:r>
              <w:rPr>
                <w:noProof/>
                <w:webHidden/>
              </w:rPr>
              <w:tab/>
            </w:r>
            <w:r>
              <w:rPr>
                <w:noProof/>
                <w:webHidden/>
              </w:rPr>
              <w:fldChar w:fldCharType="begin"/>
            </w:r>
            <w:r>
              <w:rPr>
                <w:noProof/>
                <w:webHidden/>
              </w:rPr>
              <w:instrText xml:space="preserve"> PAGEREF _Toc127881394 \h </w:instrText>
            </w:r>
            <w:r>
              <w:rPr>
                <w:noProof/>
                <w:webHidden/>
              </w:rPr>
            </w:r>
            <w:r>
              <w:rPr>
                <w:noProof/>
                <w:webHidden/>
              </w:rPr>
              <w:fldChar w:fldCharType="separate"/>
            </w:r>
            <w:r>
              <w:rPr>
                <w:noProof/>
                <w:webHidden/>
              </w:rPr>
              <w:t>18</w:t>
            </w:r>
            <w:r>
              <w:rPr>
                <w:noProof/>
                <w:webHidden/>
              </w:rPr>
              <w:fldChar w:fldCharType="end"/>
            </w:r>
          </w:hyperlink>
        </w:p>
        <w:p w14:paraId="33998CCC" w14:textId="16A1F1C5" w:rsidR="003947A4" w:rsidRDefault="003947A4">
          <w:pPr>
            <w:pStyle w:val="TOC2"/>
            <w:tabs>
              <w:tab w:val="right" w:leader="dot" w:pos="9016"/>
            </w:tabs>
            <w:rPr>
              <w:rFonts w:asciiTheme="minorHAnsi" w:eastAsiaTheme="minorEastAsia" w:hAnsiTheme="minorHAnsi"/>
              <w:noProof/>
              <w:sz w:val="22"/>
              <w:lang w:eastAsia="en-GB"/>
            </w:rPr>
          </w:pPr>
          <w:hyperlink w:anchor="_Toc127881395" w:history="1">
            <w:r w:rsidRPr="00F071AA">
              <w:rPr>
                <w:rStyle w:val="Hyperlink"/>
                <w:rFonts w:eastAsia="Times New Roman"/>
                <w:noProof/>
                <w:lang w:val="en-US" w:eastAsia="en-GB"/>
              </w:rPr>
              <w:t>Implementation Risks and Constraints</w:t>
            </w:r>
            <w:r>
              <w:rPr>
                <w:noProof/>
                <w:webHidden/>
              </w:rPr>
              <w:tab/>
            </w:r>
            <w:r>
              <w:rPr>
                <w:noProof/>
                <w:webHidden/>
              </w:rPr>
              <w:fldChar w:fldCharType="begin"/>
            </w:r>
            <w:r>
              <w:rPr>
                <w:noProof/>
                <w:webHidden/>
              </w:rPr>
              <w:instrText xml:space="preserve"> PAGEREF _Toc127881395 \h </w:instrText>
            </w:r>
            <w:r>
              <w:rPr>
                <w:noProof/>
                <w:webHidden/>
              </w:rPr>
            </w:r>
            <w:r>
              <w:rPr>
                <w:noProof/>
                <w:webHidden/>
              </w:rPr>
              <w:fldChar w:fldCharType="separate"/>
            </w:r>
            <w:r>
              <w:rPr>
                <w:noProof/>
                <w:webHidden/>
              </w:rPr>
              <w:t>20</w:t>
            </w:r>
            <w:r>
              <w:rPr>
                <w:noProof/>
                <w:webHidden/>
              </w:rPr>
              <w:fldChar w:fldCharType="end"/>
            </w:r>
          </w:hyperlink>
        </w:p>
        <w:p w14:paraId="24BB3FA2" w14:textId="5445717E" w:rsidR="003947A4" w:rsidRDefault="003947A4">
          <w:pPr>
            <w:pStyle w:val="TOC3"/>
            <w:tabs>
              <w:tab w:val="right" w:leader="dot" w:pos="9016"/>
            </w:tabs>
            <w:rPr>
              <w:rFonts w:asciiTheme="minorHAnsi" w:eastAsiaTheme="minorEastAsia" w:hAnsiTheme="minorHAnsi"/>
              <w:noProof/>
              <w:sz w:val="22"/>
              <w:lang w:eastAsia="en-GB"/>
            </w:rPr>
          </w:pPr>
          <w:hyperlink w:anchor="_Toc127881396" w:history="1">
            <w:r w:rsidRPr="00F071AA">
              <w:rPr>
                <w:rStyle w:val="Hyperlink"/>
                <w:rFonts w:eastAsia="Times New Roman"/>
                <w:noProof/>
                <w:lang w:val="en-US" w:eastAsia="en-GB"/>
              </w:rPr>
              <w:t>Unintended Consequences, Automation Bias, and Variation.</w:t>
            </w:r>
            <w:r>
              <w:rPr>
                <w:noProof/>
                <w:webHidden/>
              </w:rPr>
              <w:tab/>
            </w:r>
            <w:r>
              <w:rPr>
                <w:noProof/>
                <w:webHidden/>
              </w:rPr>
              <w:fldChar w:fldCharType="begin"/>
            </w:r>
            <w:r>
              <w:rPr>
                <w:noProof/>
                <w:webHidden/>
              </w:rPr>
              <w:instrText xml:space="preserve"> PAGEREF _Toc127881396 \h </w:instrText>
            </w:r>
            <w:r>
              <w:rPr>
                <w:noProof/>
                <w:webHidden/>
              </w:rPr>
            </w:r>
            <w:r>
              <w:rPr>
                <w:noProof/>
                <w:webHidden/>
              </w:rPr>
              <w:fldChar w:fldCharType="separate"/>
            </w:r>
            <w:r>
              <w:rPr>
                <w:noProof/>
                <w:webHidden/>
              </w:rPr>
              <w:t>21</w:t>
            </w:r>
            <w:r>
              <w:rPr>
                <w:noProof/>
                <w:webHidden/>
              </w:rPr>
              <w:fldChar w:fldCharType="end"/>
            </w:r>
          </w:hyperlink>
        </w:p>
        <w:p w14:paraId="3E84F54E" w14:textId="08D90709" w:rsidR="003947A4" w:rsidRDefault="003947A4">
          <w:pPr>
            <w:pStyle w:val="TOC3"/>
            <w:tabs>
              <w:tab w:val="right" w:leader="dot" w:pos="9016"/>
            </w:tabs>
            <w:rPr>
              <w:rFonts w:asciiTheme="minorHAnsi" w:eastAsiaTheme="minorEastAsia" w:hAnsiTheme="minorHAnsi"/>
              <w:noProof/>
              <w:sz w:val="22"/>
              <w:lang w:eastAsia="en-GB"/>
            </w:rPr>
          </w:pPr>
          <w:hyperlink w:anchor="_Toc127881397" w:history="1">
            <w:r w:rsidRPr="00F071AA">
              <w:rPr>
                <w:rStyle w:val="Hyperlink"/>
                <w:rFonts w:eastAsia="Times New Roman"/>
                <w:noProof/>
                <w:lang w:val="en-US" w:eastAsia="en-GB"/>
              </w:rPr>
              <w:t>Summary of Risks and constraints:</w:t>
            </w:r>
            <w:r>
              <w:rPr>
                <w:noProof/>
                <w:webHidden/>
              </w:rPr>
              <w:tab/>
            </w:r>
            <w:r>
              <w:rPr>
                <w:noProof/>
                <w:webHidden/>
              </w:rPr>
              <w:fldChar w:fldCharType="begin"/>
            </w:r>
            <w:r>
              <w:rPr>
                <w:noProof/>
                <w:webHidden/>
              </w:rPr>
              <w:instrText xml:space="preserve"> PAGEREF _Toc127881397 \h </w:instrText>
            </w:r>
            <w:r>
              <w:rPr>
                <w:noProof/>
                <w:webHidden/>
              </w:rPr>
            </w:r>
            <w:r>
              <w:rPr>
                <w:noProof/>
                <w:webHidden/>
              </w:rPr>
              <w:fldChar w:fldCharType="separate"/>
            </w:r>
            <w:r>
              <w:rPr>
                <w:noProof/>
                <w:webHidden/>
              </w:rPr>
              <w:t>21</w:t>
            </w:r>
            <w:r>
              <w:rPr>
                <w:noProof/>
                <w:webHidden/>
              </w:rPr>
              <w:fldChar w:fldCharType="end"/>
            </w:r>
          </w:hyperlink>
        </w:p>
        <w:p w14:paraId="0DC387CE" w14:textId="2FB9EF0E" w:rsidR="003947A4" w:rsidRDefault="003947A4">
          <w:pPr>
            <w:pStyle w:val="TOC2"/>
            <w:tabs>
              <w:tab w:val="right" w:leader="dot" w:pos="9016"/>
            </w:tabs>
            <w:rPr>
              <w:rFonts w:asciiTheme="minorHAnsi" w:eastAsiaTheme="minorEastAsia" w:hAnsiTheme="minorHAnsi"/>
              <w:noProof/>
              <w:sz w:val="22"/>
              <w:lang w:eastAsia="en-GB"/>
            </w:rPr>
          </w:pPr>
          <w:hyperlink w:anchor="_Toc127881398" w:history="1">
            <w:r w:rsidRPr="00F071AA">
              <w:rPr>
                <w:rStyle w:val="Hyperlink"/>
                <w:rFonts w:eastAsia="Times New Roman"/>
                <w:noProof/>
                <w:lang w:val="en-US" w:eastAsia="en-GB"/>
              </w:rPr>
              <w:t>Managing Risks</w:t>
            </w:r>
            <w:r>
              <w:rPr>
                <w:noProof/>
                <w:webHidden/>
              </w:rPr>
              <w:tab/>
            </w:r>
            <w:r>
              <w:rPr>
                <w:noProof/>
                <w:webHidden/>
              </w:rPr>
              <w:fldChar w:fldCharType="begin"/>
            </w:r>
            <w:r>
              <w:rPr>
                <w:noProof/>
                <w:webHidden/>
              </w:rPr>
              <w:instrText xml:space="preserve"> PAGEREF _Toc127881398 \h </w:instrText>
            </w:r>
            <w:r>
              <w:rPr>
                <w:noProof/>
                <w:webHidden/>
              </w:rPr>
            </w:r>
            <w:r>
              <w:rPr>
                <w:noProof/>
                <w:webHidden/>
              </w:rPr>
              <w:fldChar w:fldCharType="separate"/>
            </w:r>
            <w:r>
              <w:rPr>
                <w:noProof/>
                <w:webHidden/>
              </w:rPr>
              <w:t>21</w:t>
            </w:r>
            <w:r>
              <w:rPr>
                <w:noProof/>
                <w:webHidden/>
              </w:rPr>
              <w:fldChar w:fldCharType="end"/>
            </w:r>
          </w:hyperlink>
        </w:p>
        <w:p w14:paraId="213DB4D7" w14:textId="757FBAFD" w:rsidR="003947A4" w:rsidRDefault="003947A4">
          <w:pPr>
            <w:pStyle w:val="TOC3"/>
            <w:tabs>
              <w:tab w:val="right" w:leader="dot" w:pos="9016"/>
            </w:tabs>
            <w:rPr>
              <w:rFonts w:asciiTheme="minorHAnsi" w:eastAsiaTheme="minorEastAsia" w:hAnsiTheme="minorHAnsi"/>
              <w:noProof/>
              <w:sz w:val="22"/>
              <w:lang w:eastAsia="en-GB"/>
            </w:rPr>
          </w:pPr>
          <w:hyperlink w:anchor="_Toc127881399" w:history="1">
            <w:r w:rsidRPr="00F071AA">
              <w:rPr>
                <w:rStyle w:val="Hyperlink"/>
                <w:noProof/>
                <w:lang w:val="en-US" w:eastAsia="en-GB"/>
              </w:rPr>
              <w:t>Summary of risk Management</w:t>
            </w:r>
            <w:r>
              <w:rPr>
                <w:noProof/>
                <w:webHidden/>
              </w:rPr>
              <w:tab/>
            </w:r>
            <w:r>
              <w:rPr>
                <w:noProof/>
                <w:webHidden/>
              </w:rPr>
              <w:fldChar w:fldCharType="begin"/>
            </w:r>
            <w:r>
              <w:rPr>
                <w:noProof/>
                <w:webHidden/>
              </w:rPr>
              <w:instrText xml:space="preserve"> PAGEREF _Toc127881399 \h </w:instrText>
            </w:r>
            <w:r>
              <w:rPr>
                <w:noProof/>
                <w:webHidden/>
              </w:rPr>
            </w:r>
            <w:r>
              <w:rPr>
                <w:noProof/>
                <w:webHidden/>
              </w:rPr>
              <w:fldChar w:fldCharType="separate"/>
            </w:r>
            <w:r>
              <w:rPr>
                <w:noProof/>
                <w:webHidden/>
              </w:rPr>
              <w:t>22</w:t>
            </w:r>
            <w:r>
              <w:rPr>
                <w:noProof/>
                <w:webHidden/>
              </w:rPr>
              <w:fldChar w:fldCharType="end"/>
            </w:r>
          </w:hyperlink>
        </w:p>
        <w:p w14:paraId="574F6F20" w14:textId="37FF89B3" w:rsidR="003947A4" w:rsidRDefault="003947A4">
          <w:pPr>
            <w:pStyle w:val="TOC1"/>
            <w:tabs>
              <w:tab w:val="right" w:leader="dot" w:pos="9016"/>
            </w:tabs>
            <w:rPr>
              <w:rFonts w:asciiTheme="minorHAnsi" w:eastAsiaTheme="minorEastAsia" w:hAnsiTheme="minorHAnsi"/>
              <w:noProof/>
              <w:sz w:val="22"/>
              <w:lang w:eastAsia="en-GB"/>
            </w:rPr>
          </w:pPr>
          <w:hyperlink w:anchor="_Toc127881400" w:history="1">
            <w:r w:rsidRPr="00F071AA">
              <w:rPr>
                <w:rStyle w:val="Hyperlink"/>
                <w:noProof/>
                <w:lang w:val="en-US"/>
              </w:rPr>
              <w:t>Evaluation</w:t>
            </w:r>
            <w:r>
              <w:rPr>
                <w:noProof/>
                <w:webHidden/>
              </w:rPr>
              <w:tab/>
            </w:r>
            <w:r>
              <w:rPr>
                <w:noProof/>
                <w:webHidden/>
              </w:rPr>
              <w:fldChar w:fldCharType="begin"/>
            </w:r>
            <w:r>
              <w:rPr>
                <w:noProof/>
                <w:webHidden/>
              </w:rPr>
              <w:instrText xml:space="preserve"> PAGEREF _Toc127881400 \h </w:instrText>
            </w:r>
            <w:r>
              <w:rPr>
                <w:noProof/>
                <w:webHidden/>
              </w:rPr>
            </w:r>
            <w:r>
              <w:rPr>
                <w:noProof/>
                <w:webHidden/>
              </w:rPr>
              <w:fldChar w:fldCharType="separate"/>
            </w:r>
            <w:r>
              <w:rPr>
                <w:noProof/>
                <w:webHidden/>
              </w:rPr>
              <w:t>22</w:t>
            </w:r>
            <w:r>
              <w:rPr>
                <w:noProof/>
                <w:webHidden/>
              </w:rPr>
              <w:fldChar w:fldCharType="end"/>
            </w:r>
          </w:hyperlink>
        </w:p>
        <w:p w14:paraId="1D67025B" w14:textId="13CE0B15" w:rsidR="003947A4" w:rsidRDefault="003947A4">
          <w:pPr>
            <w:pStyle w:val="TOC2"/>
            <w:tabs>
              <w:tab w:val="right" w:leader="dot" w:pos="9016"/>
            </w:tabs>
            <w:rPr>
              <w:rFonts w:asciiTheme="minorHAnsi" w:eastAsiaTheme="minorEastAsia" w:hAnsiTheme="minorHAnsi"/>
              <w:noProof/>
              <w:sz w:val="22"/>
              <w:lang w:eastAsia="en-GB"/>
            </w:rPr>
          </w:pPr>
          <w:hyperlink w:anchor="_Toc127881401" w:history="1">
            <w:r w:rsidRPr="00F071AA">
              <w:rPr>
                <w:rStyle w:val="Hyperlink"/>
                <w:noProof/>
                <w:lang w:val="en-US"/>
              </w:rPr>
              <w:t>Summary of Evaluation</w:t>
            </w:r>
            <w:r>
              <w:rPr>
                <w:noProof/>
                <w:webHidden/>
              </w:rPr>
              <w:tab/>
            </w:r>
            <w:r>
              <w:rPr>
                <w:noProof/>
                <w:webHidden/>
              </w:rPr>
              <w:fldChar w:fldCharType="begin"/>
            </w:r>
            <w:r>
              <w:rPr>
                <w:noProof/>
                <w:webHidden/>
              </w:rPr>
              <w:instrText xml:space="preserve"> PAGEREF _Toc127881401 \h </w:instrText>
            </w:r>
            <w:r>
              <w:rPr>
                <w:noProof/>
                <w:webHidden/>
              </w:rPr>
            </w:r>
            <w:r>
              <w:rPr>
                <w:noProof/>
                <w:webHidden/>
              </w:rPr>
              <w:fldChar w:fldCharType="separate"/>
            </w:r>
            <w:r>
              <w:rPr>
                <w:noProof/>
                <w:webHidden/>
              </w:rPr>
              <w:t>23</w:t>
            </w:r>
            <w:r>
              <w:rPr>
                <w:noProof/>
                <w:webHidden/>
              </w:rPr>
              <w:fldChar w:fldCharType="end"/>
            </w:r>
          </w:hyperlink>
        </w:p>
        <w:p w14:paraId="13D22DD6" w14:textId="660F9091" w:rsidR="003947A4" w:rsidRDefault="003947A4">
          <w:pPr>
            <w:pStyle w:val="TOC1"/>
            <w:tabs>
              <w:tab w:val="right" w:leader="dot" w:pos="9016"/>
            </w:tabs>
            <w:rPr>
              <w:rFonts w:asciiTheme="minorHAnsi" w:eastAsiaTheme="minorEastAsia" w:hAnsiTheme="minorHAnsi"/>
              <w:noProof/>
              <w:sz w:val="22"/>
              <w:lang w:eastAsia="en-GB"/>
            </w:rPr>
          </w:pPr>
          <w:hyperlink w:anchor="_Toc127881402" w:history="1">
            <w:r w:rsidRPr="00F071AA">
              <w:rPr>
                <w:rStyle w:val="Hyperlink"/>
                <w:noProof/>
              </w:rPr>
              <w:t>References</w:t>
            </w:r>
            <w:r>
              <w:rPr>
                <w:noProof/>
                <w:webHidden/>
              </w:rPr>
              <w:tab/>
            </w:r>
            <w:r>
              <w:rPr>
                <w:noProof/>
                <w:webHidden/>
              </w:rPr>
              <w:fldChar w:fldCharType="begin"/>
            </w:r>
            <w:r>
              <w:rPr>
                <w:noProof/>
                <w:webHidden/>
              </w:rPr>
              <w:instrText xml:space="preserve"> PAGEREF _Toc127881402 \h </w:instrText>
            </w:r>
            <w:r>
              <w:rPr>
                <w:noProof/>
                <w:webHidden/>
              </w:rPr>
            </w:r>
            <w:r>
              <w:rPr>
                <w:noProof/>
                <w:webHidden/>
              </w:rPr>
              <w:fldChar w:fldCharType="separate"/>
            </w:r>
            <w:r>
              <w:rPr>
                <w:noProof/>
                <w:webHidden/>
              </w:rPr>
              <w:t>24</w:t>
            </w:r>
            <w:r>
              <w:rPr>
                <w:noProof/>
                <w:webHidden/>
              </w:rPr>
              <w:fldChar w:fldCharType="end"/>
            </w:r>
          </w:hyperlink>
        </w:p>
        <w:p w14:paraId="3F5D4E54" w14:textId="013516E1" w:rsidR="007F70AB" w:rsidRDefault="007F70AB">
          <w:r>
            <w:rPr>
              <w:b/>
              <w:bCs/>
              <w:noProof/>
            </w:rPr>
            <w:fldChar w:fldCharType="end"/>
          </w:r>
        </w:p>
      </w:sdtContent>
    </w:sdt>
    <w:p w14:paraId="3605F90F" w14:textId="08756F9D" w:rsidR="00D27F57" w:rsidRDefault="00D27F57">
      <w:r>
        <w:br w:type="page"/>
      </w:r>
    </w:p>
    <w:p w14:paraId="29E5D7F7" w14:textId="7625847A" w:rsidR="0067693E" w:rsidRDefault="00D27F57" w:rsidP="0067693E">
      <w:pPr>
        <w:pStyle w:val="Heading1"/>
        <w:rPr>
          <w:lang w:val="en-US"/>
        </w:rPr>
      </w:pPr>
      <w:bookmarkStart w:id="0" w:name="_Toc127881385"/>
      <w:r>
        <w:rPr>
          <w:lang w:val="en-US"/>
        </w:rPr>
        <w:lastRenderedPageBreak/>
        <w:t>Introduction</w:t>
      </w:r>
      <w:bookmarkEnd w:id="0"/>
    </w:p>
    <w:p w14:paraId="1A38BEB6" w14:textId="77777777" w:rsidR="0067693E" w:rsidRDefault="0067693E" w:rsidP="0067693E">
      <w:pPr>
        <w:rPr>
          <w:lang w:val="en-US"/>
        </w:rPr>
      </w:pPr>
    </w:p>
    <w:p w14:paraId="02FCC75B" w14:textId="278C0C13" w:rsidR="00FF62AD" w:rsidRDefault="00513F2C" w:rsidP="00B67749">
      <w:pPr>
        <w:pStyle w:val="NormalWeb"/>
        <w:spacing w:before="0" w:beforeAutospacing="0" w:after="0" w:afterAutospacing="0"/>
        <w:rPr>
          <w:rFonts w:ascii="Arial" w:hAnsi="Arial" w:cs="Arial"/>
          <w:lang w:val="en-US"/>
        </w:rPr>
      </w:pPr>
      <w:r>
        <w:rPr>
          <w:rFonts w:ascii="Arial" w:hAnsi="Arial" w:cs="Arial"/>
          <w:lang w:val="en-US"/>
        </w:rPr>
        <w:t xml:space="preserve">The use of medicines as a treatment is the most common intervention in healthcare </w:t>
      </w:r>
      <w:r w:rsidR="00370B38">
        <w:rPr>
          <w:rFonts w:ascii="Arial" w:hAnsi="Arial" w:cs="Arial"/>
          <w:lang w:val="en-US"/>
        </w:rPr>
        <w:fldChar w:fldCharType="begin"/>
      </w:r>
      <w:r w:rsidR="00370B38">
        <w:rPr>
          <w:rFonts w:ascii="Arial" w:hAnsi="Arial" w:cs="Arial"/>
          <w:lang w:val="en-US"/>
        </w:rPr>
        <w:instrText xml:space="preserve"> ADDIN EN.CITE &lt;EndNote&gt;&lt;Cite&gt;&lt;Author&gt;NICE&lt;/Author&gt;&lt;Year&gt;2022&lt;/Year&gt;&lt;RecNum&gt;372&lt;/RecNum&gt;&lt;DisplayText&gt;(NICE, 2022)&lt;/DisplayText&gt;&lt;record&gt;&lt;rec-number&gt;372&lt;/rec-number&gt;&lt;foreign-keys&gt;&lt;key app="EN" db-id="wxra20f03dt20kepwrwvfa0mvpxxeeezfaaz" timestamp="1671793816"&gt;372&lt;/key&gt;&lt;/foreign-keys&gt;&lt;ref-type name="Web Page"&gt;12&lt;/ref-type&gt;&lt;contributors&gt;&lt;authors&gt;&lt;author&gt;NICE&lt;/author&gt;&lt;/authors&gt;&lt;/contributors&gt;&lt;titles&gt;&lt;title&gt;Medicines Optimisation&lt;/title&gt;&lt;/titles&gt;&lt;volume&gt;2022&lt;/volume&gt;&lt;number&gt;23.12.2022&lt;/number&gt;&lt;dates&gt;&lt;year&gt;2022&lt;/year&gt;&lt;/dates&gt;&lt;publisher&gt;National Institute for Health and Care Excellence&lt;/publisher&gt;&lt;urls&gt;&lt;related-urls&gt;&lt;url&gt;https://bnf.nice.org.uk/medicines-guidance/medicines-optimisation/&lt;/url&gt;&lt;/related-urls&gt;&lt;/urls&gt;&lt;access-date&gt;23.12.2022&lt;/access-date&gt;&lt;/record&gt;&lt;/Cite&gt;&lt;/EndNote&gt;</w:instrText>
      </w:r>
      <w:r w:rsidR="00370B38">
        <w:rPr>
          <w:rFonts w:ascii="Arial" w:hAnsi="Arial" w:cs="Arial"/>
          <w:lang w:val="en-US"/>
        </w:rPr>
        <w:fldChar w:fldCharType="separate"/>
      </w:r>
      <w:r w:rsidR="00370B38">
        <w:rPr>
          <w:rFonts w:ascii="Arial" w:hAnsi="Arial" w:cs="Arial"/>
          <w:noProof/>
          <w:lang w:val="en-US"/>
        </w:rPr>
        <w:t>(NICE, 2022)</w:t>
      </w:r>
      <w:r w:rsidR="00370B38">
        <w:rPr>
          <w:rFonts w:ascii="Arial" w:hAnsi="Arial" w:cs="Arial"/>
          <w:lang w:val="en-US"/>
        </w:rPr>
        <w:fldChar w:fldCharType="end"/>
      </w:r>
      <w:r w:rsidR="00370B38">
        <w:rPr>
          <w:rFonts w:ascii="Arial" w:hAnsi="Arial" w:cs="Arial"/>
          <w:lang w:val="en-US"/>
        </w:rPr>
        <w:t xml:space="preserve"> </w:t>
      </w:r>
      <w:r>
        <w:rPr>
          <w:rFonts w:ascii="Arial" w:hAnsi="Arial" w:cs="Arial"/>
          <w:lang w:val="en-US"/>
        </w:rPr>
        <w:t xml:space="preserve">and accounts for the second largest proportion of spend in the NHS Wales budget.  </w:t>
      </w:r>
      <w:r w:rsidR="006004CD">
        <w:rPr>
          <w:rFonts w:ascii="Arial" w:hAnsi="Arial" w:cs="Arial"/>
          <w:lang w:val="en-US"/>
        </w:rPr>
        <w:t>M</w:t>
      </w:r>
      <w:r>
        <w:rPr>
          <w:rFonts w:ascii="Arial" w:hAnsi="Arial" w:cs="Arial"/>
          <w:lang w:val="en-US"/>
        </w:rPr>
        <w:t>edicine</w:t>
      </w:r>
      <w:r w:rsidR="008C2124">
        <w:rPr>
          <w:rFonts w:ascii="Arial" w:hAnsi="Arial" w:cs="Arial"/>
          <w:lang w:val="en-US"/>
        </w:rPr>
        <w:t>s</w:t>
      </w:r>
      <w:r>
        <w:rPr>
          <w:rFonts w:ascii="Arial" w:hAnsi="Arial" w:cs="Arial"/>
          <w:lang w:val="en-US"/>
        </w:rPr>
        <w:t>, if used in an optimal way</w:t>
      </w:r>
      <w:r w:rsidR="006004CD">
        <w:rPr>
          <w:rFonts w:ascii="Arial" w:hAnsi="Arial" w:cs="Arial"/>
          <w:lang w:val="en-US"/>
        </w:rPr>
        <w:t>,</w:t>
      </w:r>
      <w:r>
        <w:rPr>
          <w:rFonts w:ascii="Arial" w:hAnsi="Arial" w:cs="Arial"/>
          <w:lang w:val="en-US"/>
        </w:rPr>
        <w:t xml:space="preserve"> can have a positive effect on an </w:t>
      </w:r>
      <w:r w:rsidR="006004CD">
        <w:rPr>
          <w:rFonts w:ascii="Arial" w:hAnsi="Arial" w:cs="Arial"/>
          <w:lang w:val="en-US"/>
        </w:rPr>
        <w:t>individual’s</w:t>
      </w:r>
      <w:r>
        <w:rPr>
          <w:rFonts w:ascii="Arial" w:hAnsi="Arial" w:cs="Arial"/>
          <w:lang w:val="en-US"/>
        </w:rPr>
        <w:t xml:space="preserve"> health, </w:t>
      </w:r>
      <w:r w:rsidR="006004CD">
        <w:rPr>
          <w:rFonts w:ascii="Arial" w:hAnsi="Arial" w:cs="Arial"/>
          <w:lang w:val="en-US"/>
        </w:rPr>
        <w:t xml:space="preserve">however </w:t>
      </w:r>
      <w:r>
        <w:rPr>
          <w:rFonts w:ascii="Arial" w:hAnsi="Arial" w:cs="Arial"/>
          <w:lang w:val="en-US"/>
        </w:rPr>
        <w:t xml:space="preserve">they </w:t>
      </w:r>
      <w:r w:rsidR="006004CD">
        <w:rPr>
          <w:rFonts w:ascii="Arial" w:hAnsi="Arial" w:cs="Arial"/>
          <w:lang w:val="en-US"/>
        </w:rPr>
        <w:t>can</w:t>
      </w:r>
      <w:r>
        <w:rPr>
          <w:rFonts w:ascii="Arial" w:hAnsi="Arial" w:cs="Arial"/>
          <w:lang w:val="en-US"/>
        </w:rPr>
        <w:t xml:space="preserve"> also</w:t>
      </w:r>
      <w:r w:rsidR="006004CD">
        <w:rPr>
          <w:rFonts w:ascii="Arial" w:hAnsi="Arial" w:cs="Arial"/>
          <w:lang w:val="en-US"/>
        </w:rPr>
        <w:t xml:space="preserve"> be</w:t>
      </w:r>
      <w:r>
        <w:rPr>
          <w:rFonts w:ascii="Arial" w:hAnsi="Arial" w:cs="Arial"/>
          <w:lang w:val="en-US"/>
        </w:rPr>
        <w:t xml:space="preserve"> associated with harm if used inappropriately or prescribed incorrectly </w:t>
      </w:r>
      <w:r w:rsidR="0057703D">
        <w:rPr>
          <w:rFonts w:ascii="Arial" w:hAnsi="Arial" w:cs="Arial"/>
          <w:lang w:val="en-US"/>
        </w:rPr>
        <w:t xml:space="preserve">and this risk increases when multiple medications are </w:t>
      </w:r>
      <w:r w:rsidR="006004CD">
        <w:rPr>
          <w:rFonts w:ascii="Arial" w:hAnsi="Arial" w:cs="Arial"/>
          <w:lang w:val="en-US"/>
        </w:rPr>
        <w:t xml:space="preserve">prescribed </w:t>
      </w:r>
      <w:r w:rsidR="006004CD">
        <w:rPr>
          <w:rFonts w:ascii="Arial" w:hAnsi="Arial" w:cs="Arial"/>
          <w:lang w:val="en-US"/>
        </w:rPr>
        <w:fldChar w:fldCharType="begin"/>
      </w:r>
      <w:r w:rsidR="006004CD">
        <w:rPr>
          <w:rFonts w:ascii="Arial" w:hAnsi="Arial" w:cs="Arial"/>
          <w:lang w:val="en-US"/>
        </w:rPr>
        <w:instrText xml:space="preserve"> ADDIN EN.CITE &lt;EndNote&gt;&lt;Cite&gt;&lt;Author&gt;NICE&lt;/Author&gt;&lt;Year&gt;2022&lt;/Year&gt;&lt;RecNum&gt;372&lt;/RecNum&gt;&lt;DisplayText&gt;(NICE, 2022)&lt;/DisplayText&gt;&lt;record&gt;&lt;rec-number&gt;372&lt;/rec-number&gt;&lt;foreign-keys&gt;&lt;key app="EN" db-id="wxra20f03dt20kepwrwvfa0mvpxxeeezfaaz" timestamp="1671793816"&gt;372&lt;/key&gt;&lt;/foreign-keys&gt;&lt;ref-type name="Web Page"&gt;12&lt;/ref-type&gt;&lt;contributors&gt;&lt;authors&gt;&lt;author&gt;NICE&lt;/author&gt;&lt;/authors&gt;&lt;/contributors&gt;&lt;titles&gt;&lt;title&gt;Medicines Optimisation&lt;/title&gt;&lt;/titles&gt;&lt;volume&gt;2022&lt;/volume&gt;&lt;number&gt;23.12.2022&lt;/number&gt;&lt;dates&gt;&lt;year&gt;2022&lt;/year&gt;&lt;/dates&gt;&lt;publisher&gt;National Institute for Health and Care Excellence&lt;/publisher&gt;&lt;urls&gt;&lt;related-urls&gt;&lt;url&gt;https://bnf.nice.org.uk/medicines-guidance/medicines-optimisation/&lt;/url&gt;&lt;/related-urls&gt;&lt;/urls&gt;&lt;access-date&gt;23.12.2022&lt;/access-date&gt;&lt;/record&gt;&lt;/Cite&gt;&lt;/EndNote&gt;</w:instrText>
      </w:r>
      <w:r w:rsidR="006004CD">
        <w:rPr>
          <w:rFonts w:ascii="Arial" w:hAnsi="Arial" w:cs="Arial"/>
          <w:lang w:val="en-US"/>
        </w:rPr>
        <w:fldChar w:fldCharType="separate"/>
      </w:r>
      <w:r w:rsidR="006004CD">
        <w:rPr>
          <w:rFonts w:ascii="Arial" w:hAnsi="Arial" w:cs="Arial"/>
          <w:noProof/>
          <w:lang w:val="en-US"/>
        </w:rPr>
        <w:t>(NICE, 2022)</w:t>
      </w:r>
      <w:r w:rsidR="006004CD">
        <w:rPr>
          <w:rFonts w:ascii="Arial" w:hAnsi="Arial" w:cs="Arial"/>
          <w:lang w:val="en-US"/>
        </w:rPr>
        <w:fldChar w:fldCharType="end"/>
      </w:r>
      <w:r>
        <w:rPr>
          <w:rFonts w:ascii="Arial" w:hAnsi="Arial" w:cs="Arial"/>
          <w:lang w:val="en-US"/>
        </w:rPr>
        <w:t>.</w:t>
      </w:r>
      <w:r w:rsidR="009E1CA9">
        <w:rPr>
          <w:rFonts w:ascii="Arial" w:hAnsi="Arial" w:cs="Arial"/>
          <w:lang w:val="en-US"/>
        </w:rPr>
        <w:t xml:space="preserve">  Decision support can therefore </w:t>
      </w:r>
      <w:r w:rsidR="00FA08F3">
        <w:rPr>
          <w:rFonts w:ascii="Arial" w:hAnsi="Arial" w:cs="Arial"/>
          <w:lang w:val="en-US"/>
        </w:rPr>
        <w:t xml:space="preserve">be an important tool to </w:t>
      </w:r>
      <w:r w:rsidR="000A165C">
        <w:rPr>
          <w:rFonts w:ascii="Arial" w:hAnsi="Arial" w:cs="Arial"/>
          <w:lang w:val="en-US"/>
        </w:rPr>
        <w:t xml:space="preserve">guide and </w:t>
      </w:r>
      <w:r w:rsidR="00FA08F3">
        <w:rPr>
          <w:rFonts w:ascii="Arial" w:hAnsi="Arial" w:cs="Arial"/>
          <w:lang w:val="en-US"/>
        </w:rPr>
        <w:t xml:space="preserve">support prescribers </w:t>
      </w:r>
      <w:r w:rsidR="000A165C">
        <w:rPr>
          <w:rFonts w:ascii="Arial" w:hAnsi="Arial" w:cs="Arial"/>
          <w:lang w:val="en-US"/>
        </w:rPr>
        <w:t>and potentially increase safety</w:t>
      </w:r>
      <w:r w:rsidR="00FD17A2">
        <w:rPr>
          <w:rFonts w:ascii="Arial" w:hAnsi="Arial" w:cs="Arial"/>
          <w:lang w:val="en-US"/>
        </w:rPr>
        <w:t xml:space="preserve">, </w:t>
      </w:r>
      <w:r w:rsidR="000A165C">
        <w:rPr>
          <w:rFonts w:ascii="Arial" w:hAnsi="Arial" w:cs="Arial"/>
          <w:lang w:val="en-US"/>
        </w:rPr>
        <w:t xml:space="preserve">improve </w:t>
      </w:r>
      <w:r w:rsidR="004C1F74">
        <w:rPr>
          <w:rFonts w:ascii="Arial" w:hAnsi="Arial" w:cs="Arial"/>
          <w:lang w:val="en-US"/>
        </w:rPr>
        <w:t>optimisation</w:t>
      </w:r>
      <w:r w:rsidR="00FD17A2">
        <w:rPr>
          <w:rFonts w:ascii="Arial" w:hAnsi="Arial" w:cs="Arial"/>
          <w:lang w:val="en-US"/>
        </w:rPr>
        <w:t xml:space="preserve"> and help to reduce medicines </w:t>
      </w:r>
      <w:r w:rsidR="009900F7">
        <w:rPr>
          <w:rFonts w:ascii="Arial" w:hAnsi="Arial" w:cs="Arial"/>
          <w:lang w:val="en-US"/>
        </w:rPr>
        <w:t>associated</w:t>
      </w:r>
      <w:r w:rsidR="00FD17A2">
        <w:rPr>
          <w:rFonts w:ascii="Arial" w:hAnsi="Arial" w:cs="Arial"/>
          <w:lang w:val="en-US"/>
        </w:rPr>
        <w:t xml:space="preserve"> </w:t>
      </w:r>
      <w:r w:rsidR="009900F7">
        <w:rPr>
          <w:rFonts w:ascii="Arial" w:hAnsi="Arial" w:cs="Arial"/>
          <w:lang w:val="en-US"/>
        </w:rPr>
        <w:t xml:space="preserve">costs </w:t>
      </w:r>
      <w:r w:rsidR="00054D46">
        <w:rPr>
          <w:rFonts w:ascii="Arial" w:hAnsi="Arial" w:cs="Arial"/>
          <w:lang w:val="en-US"/>
        </w:rPr>
        <w:fldChar w:fldCharType="begin"/>
      </w:r>
      <w:r w:rsidR="00054D46">
        <w:rPr>
          <w:rFonts w:ascii="Arial" w:hAnsi="Arial" w:cs="Arial"/>
          <w:lang w:val="en-US"/>
        </w:rPr>
        <w:instrText xml:space="preserve"> ADDIN EN.CITE &lt;EndNote&gt;&lt;Cite&gt;&lt;Author&gt;Kaushal&lt;/Author&gt;&lt;Year&gt;2003&lt;/Year&gt;&lt;RecNum&gt;374&lt;/RecNum&gt;&lt;DisplayText&gt;(Kaushal&lt;style face="italic"&gt; et al.&lt;/style&gt;, 2003)&lt;/DisplayText&gt;&lt;record&gt;&lt;rec-number&gt;374&lt;/rec-number&gt;&lt;foreign-keys&gt;&lt;key app="EN" db-id="wxra20f03dt20kepwrwvfa0mvpxxeeezfaaz" timestamp="1671802625"&gt;374&lt;/key&gt;&lt;/foreign-keys&gt;&lt;ref-type name="Journal Article"&gt;17&lt;/ref-type&gt;&lt;contributors&gt;&lt;authors&gt;&lt;author&gt;Kaushal, Rainu&lt;/author&gt;&lt;author&gt;Shojania, Kaveh G.&lt;/author&gt;&lt;author&gt;Bates, David W.&lt;/author&gt;&lt;/authors&gt;&lt;/contributors&gt;&lt;titles&gt;&lt;title&gt;Effects of Computerized Physician Order Entry and Clinical Decision Support Systems on Medication Safety&lt;/title&gt;&lt;secondary-title&gt;Archives of Internal Medicine&lt;/secondary-title&gt;&lt;/titles&gt;&lt;periodical&gt;&lt;full-title&gt;Archives of Internal Medicine&lt;/full-title&gt;&lt;/periodical&gt;&lt;pages&gt;1409&lt;/pages&gt;&lt;volume&gt;163&lt;/volume&gt;&lt;number&gt;12&lt;/number&gt;&lt;dates&gt;&lt;year&gt;2003&lt;/year&gt;&lt;/dates&gt;&lt;publisher&gt;American Medical Association (AMA)&lt;/publisher&gt;&lt;isbn&gt;0003-9926&lt;/isbn&gt;&lt;urls&gt;&lt;related-urls&gt;&lt;url&gt;https://dx.doi.org/10.1001/archinte.163.12.1409&lt;/url&gt;&lt;/related-urls&gt;&lt;/urls&gt;&lt;electronic-resource-num&gt;10.1001/archinte.163.12.1409&lt;/electronic-resource-num&gt;&lt;/record&gt;&lt;/Cite&gt;&lt;/EndNote&gt;</w:instrText>
      </w:r>
      <w:r w:rsidR="00054D46">
        <w:rPr>
          <w:rFonts w:ascii="Arial" w:hAnsi="Arial" w:cs="Arial"/>
          <w:lang w:val="en-US"/>
        </w:rPr>
        <w:fldChar w:fldCharType="separate"/>
      </w:r>
      <w:r w:rsidR="00054D46">
        <w:rPr>
          <w:rFonts w:ascii="Arial" w:hAnsi="Arial" w:cs="Arial"/>
          <w:noProof/>
          <w:lang w:val="en-US"/>
        </w:rPr>
        <w:t>(Kaushal</w:t>
      </w:r>
      <w:r w:rsidR="00054D46" w:rsidRPr="00054D46">
        <w:rPr>
          <w:rFonts w:ascii="Arial" w:hAnsi="Arial" w:cs="Arial"/>
          <w:i/>
          <w:noProof/>
          <w:lang w:val="en-US"/>
        </w:rPr>
        <w:t xml:space="preserve"> et al.</w:t>
      </w:r>
      <w:r w:rsidR="00054D46">
        <w:rPr>
          <w:rFonts w:ascii="Arial" w:hAnsi="Arial" w:cs="Arial"/>
          <w:noProof/>
          <w:lang w:val="en-US"/>
        </w:rPr>
        <w:t>, 2003)</w:t>
      </w:r>
      <w:r w:rsidR="00054D46">
        <w:rPr>
          <w:rFonts w:ascii="Arial" w:hAnsi="Arial" w:cs="Arial"/>
          <w:lang w:val="en-US"/>
        </w:rPr>
        <w:fldChar w:fldCharType="end"/>
      </w:r>
      <w:r w:rsidR="004C1F74">
        <w:rPr>
          <w:rFonts w:ascii="Arial" w:hAnsi="Arial" w:cs="Arial"/>
          <w:lang w:val="en-US"/>
        </w:rPr>
        <w:t xml:space="preserve">.  However, there </w:t>
      </w:r>
      <w:r w:rsidR="00054D46">
        <w:rPr>
          <w:rFonts w:ascii="Arial" w:hAnsi="Arial" w:cs="Arial"/>
          <w:lang w:val="en-US"/>
        </w:rPr>
        <w:t>are</w:t>
      </w:r>
      <w:r w:rsidR="00B046A5">
        <w:rPr>
          <w:rFonts w:ascii="Arial" w:hAnsi="Arial" w:cs="Arial"/>
          <w:lang w:val="en-US"/>
        </w:rPr>
        <w:t xml:space="preserve"> a variety of </w:t>
      </w:r>
      <w:r w:rsidR="00A24487">
        <w:rPr>
          <w:rFonts w:ascii="Arial" w:hAnsi="Arial" w:cs="Arial"/>
          <w:lang w:val="en-US"/>
        </w:rPr>
        <w:t xml:space="preserve">prescribing decision support </w:t>
      </w:r>
      <w:r w:rsidR="00B046A5">
        <w:rPr>
          <w:rFonts w:ascii="Arial" w:hAnsi="Arial" w:cs="Arial"/>
          <w:lang w:val="en-US"/>
        </w:rPr>
        <w:t xml:space="preserve">approaches, tools and techniques </w:t>
      </w:r>
      <w:r w:rsidR="00A24487">
        <w:rPr>
          <w:rFonts w:ascii="Arial" w:hAnsi="Arial" w:cs="Arial"/>
          <w:lang w:val="en-US"/>
        </w:rPr>
        <w:t>across healthcare organisations</w:t>
      </w:r>
      <w:r w:rsidR="00054D46">
        <w:rPr>
          <w:rFonts w:ascii="Arial" w:hAnsi="Arial" w:cs="Arial"/>
          <w:lang w:val="en-US"/>
        </w:rPr>
        <w:t xml:space="preserve"> and systems</w:t>
      </w:r>
      <w:r w:rsidR="00A24487">
        <w:rPr>
          <w:rFonts w:ascii="Arial" w:hAnsi="Arial" w:cs="Arial"/>
          <w:lang w:val="en-US"/>
        </w:rPr>
        <w:t xml:space="preserve">.  </w:t>
      </w:r>
      <w:r w:rsidR="00054D46">
        <w:rPr>
          <w:rFonts w:ascii="Arial" w:hAnsi="Arial" w:cs="Arial"/>
          <w:lang w:val="en-US"/>
        </w:rPr>
        <w:t>Each</w:t>
      </w:r>
      <w:r w:rsidR="00537F6C">
        <w:rPr>
          <w:rFonts w:ascii="Arial" w:hAnsi="Arial" w:cs="Arial"/>
          <w:lang w:val="en-US"/>
        </w:rPr>
        <w:t xml:space="preserve"> may be at varying degrees of implementation and have varying </w:t>
      </w:r>
      <w:r w:rsidR="00054D46">
        <w:rPr>
          <w:rFonts w:ascii="Arial" w:hAnsi="Arial" w:cs="Arial"/>
          <w:lang w:val="en-US"/>
        </w:rPr>
        <w:t xml:space="preserve">levels of support and </w:t>
      </w:r>
      <w:r w:rsidR="00537F6C">
        <w:rPr>
          <w:rFonts w:ascii="Arial" w:hAnsi="Arial" w:cs="Arial"/>
          <w:lang w:val="en-US"/>
        </w:rPr>
        <w:t xml:space="preserve">degrees of severity </w:t>
      </w:r>
      <w:r w:rsidR="005A4733">
        <w:rPr>
          <w:rFonts w:ascii="Arial" w:hAnsi="Arial" w:cs="Arial"/>
          <w:lang w:val="en-US"/>
        </w:rPr>
        <w:t xml:space="preserve">scorings and prompting mechanisms.  This </w:t>
      </w:r>
      <w:r w:rsidR="00363319">
        <w:rPr>
          <w:rFonts w:ascii="Arial" w:hAnsi="Arial" w:cs="Arial"/>
          <w:lang w:val="en-US"/>
        </w:rPr>
        <w:t xml:space="preserve">potentially </w:t>
      </w:r>
      <w:r w:rsidR="005A4733">
        <w:rPr>
          <w:rFonts w:ascii="Arial" w:hAnsi="Arial" w:cs="Arial"/>
          <w:lang w:val="en-US"/>
        </w:rPr>
        <w:t>make</w:t>
      </w:r>
      <w:r w:rsidR="00363319">
        <w:rPr>
          <w:rFonts w:ascii="Arial" w:hAnsi="Arial" w:cs="Arial"/>
          <w:lang w:val="en-US"/>
        </w:rPr>
        <w:t>s</w:t>
      </w:r>
      <w:r w:rsidR="005A4733">
        <w:rPr>
          <w:rFonts w:ascii="Arial" w:hAnsi="Arial" w:cs="Arial"/>
          <w:lang w:val="en-US"/>
        </w:rPr>
        <w:t xml:space="preserve"> the effectiveness and efficiency of such </w:t>
      </w:r>
      <w:r w:rsidR="00363319">
        <w:rPr>
          <w:rFonts w:ascii="Arial" w:hAnsi="Arial" w:cs="Arial"/>
          <w:lang w:val="en-US"/>
        </w:rPr>
        <w:t xml:space="preserve">systems </w:t>
      </w:r>
      <w:r w:rsidR="0081731C">
        <w:rPr>
          <w:rFonts w:ascii="Arial" w:hAnsi="Arial" w:cs="Arial"/>
          <w:lang w:val="en-US"/>
        </w:rPr>
        <w:t>inequitable and lacking in standardisation.</w:t>
      </w:r>
    </w:p>
    <w:p w14:paraId="4D9755F1" w14:textId="77777777" w:rsidR="00B67749" w:rsidRPr="00B67749" w:rsidRDefault="00B67749" w:rsidP="00B67749">
      <w:pPr>
        <w:pStyle w:val="NormalWeb"/>
        <w:spacing w:before="0" w:beforeAutospacing="0" w:after="0" w:afterAutospacing="0"/>
        <w:rPr>
          <w:rFonts w:ascii="Arial" w:hAnsi="Arial" w:cs="Arial"/>
          <w:lang w:val="en-US"/>
        </w:rPr>
      </w:pPr>
    </w:p>
    <w:p w14:paraId="7C17F390" w14:textId="0D92CA24" w:rsidR="00FF62AD" w:rsidRDefault="00FF62AD" w:rsidP="00FF62AD">
      <w:pPr>
        <w:rPr>
          <w:rFonts w:cs="Arial"/>
        </w:rPr>
      </w:pPr>
      <w:r>
        <w:rPr>
          <w:rFonts w:cs="Arial"/>
        </w:rPr>
        <w:fldChar w:fldCharType="begin"/>
      </w:r>
      <w:r>
        <w:rPr>
          <w:rFonts w:cs="Arial"/>
        </w:rPr>
        <w:instrText xml:space="preserve"> ADDIN EN.CITE &lt;EndNote&gt;&lt;Cite AuthorYear="1"&gt;&lt;Author&gt;Wasylewicz&lt;/Author&gt;&lt;Year&gt;2019&lt;/Year&gt;&lt;RecNum&gt;390&lt;/RecNum&gt;&lt;DisplayText&gt;Wasylewicz and Scheepers-Hoeks (2019)&lt;/DisplayText&gt;&lt;record&gt;&lt;rec-number&gt;390&lt;/rec-number&gt;&lt;foreign-keys&gt;&lt;key app="EN" db-id="wxra20f03dt20kepwrwvfa0mvpxxeeezfaaz" timestamp="1672742438"&gt;390&lt;/key&gt;&lt;/foreign-keys&gt;&lt;ref-type name="Book Section"&gt;5&lt;/ref-type&gt;&lt;contributors&gt;&lt;authors&gt;&lt;author&gt;Wasylewicz, A. T. M.&lt;/author&gt;&lt;author&gt;Scheepers-Hoeks, A. M. J. W.&lt;/author&gt;&lt;/authors&gt;&lt;/contributors&gt;&lt;titles&gt;&lt;title&gt;Clinical Decision Support Systems&lt;/title&gt;&lt;alt-title&gt;Fundamentals of Clinical Data Science&lt;/alt-title&gt;&lt;/titles&gt;&lt;pages&gt;153-169&lt;/pages&gt;&lt;dates&gt;&lt;year&gt;2019&lt;/year&gt;&lt;/dates&gt;&lt;publisher&gt;Springer International Publishing&lt;/publisher&gt;&lt;urls&gt;&lt;related-urls&gt;&lt;url&gt;https://dx.doi.org/10.1007/978-3-319-99713-1_11&lt;/url&gt;&lt;/related-urls&gt;&lt;/urls&gt;&lt;electronic-resource-num&gt;10.1007/978-3-319-99713-1_11&lt;/electronic-resource-num&gt;&lt;/record&gt;&lt;/Cite&gt;&lt;/EndNote&gt;</w:instrText>
      </w:r>
      <w:r>
        <w:rPr>
          <w:rFonts w:cs="Arial"/>
        </w:rPr>
        <w:fldChar w:fldCharType="separate"/>
      </w:r>
      <w:r>
        <w:rPr>
          <w:rFonts w:cs="Arial"/>
          <w:noProof/>
        </w:rPr>
        <w:t>Wasylewicz and Scheepers-Hoeks (2019)</w:t>
      </w:r>
      <w:r>
        <w:rPr>
          <w:rFonts w:cs="Arial"/>
        </w:rPr>
        <w:fldChar w:fldCharType="end"/>
      </w:r>
      <w:r>
        <w:rPr>
          <w:rFonts w:cs="Arial"/>
        </w:rPr>
        <w:t xml:space="preserve"> refer to clinical decision support (CDS) as tools that can be digitised or non-digitised</w:t>
      </w:r>
      <w:r w:rsidR="00DE78D1">
        <w:rPr>
          <w:rFonts w:cs="Arial"/>
        </w:rPr>
        <w:t xml:space="preserve"> that can be</w:t>
      </w:r>
      <w:r>
        <w:rPr>
          <w:rFonts w:cs="Arial"/>
        </w:rPr>
        <w:t xml:space="preserve"> simple, basic or advanced CDS.   </w:t>
      </w:r>
      <w:r w:rsidR="001C5981">
        <w:rPr>
          <w:rFonts w:cs="Arial"/>
        </w:rPr>
        <w:t>It considers</w:t>
      </w:r>
      <w:r>
        <w:rPr>
          <w:rFonts w:cs="Arial"/>
        </w:rPr>
        <w:t xml:space="preserve"> those that help focus attention, such as in the case of identifying drug-drug interactions</w:t>
      </w:r>
      <w:r w:rsidR="00C7233A">
        <w:rPr>
          <w:rFonts w:cs="Arial"/>
        </w:rPr>
        <w:t xml:space="preserve"> (DDIs)</w:t>
      </w:r>
      <w:r>
        <w:rPr>
          <w:rFonts w:cs="Arial"/>
        </w:rPr>
        <w:t xml:space="preserve">, seen as basic and those that are more patient specific, such as disease-drug interaction or recommending drug level monitoring during certain treatments, seen as more advanced.  Both require good information and knowledge management.  </w:t>
      </w:r>
      <w:r w:rsidR="00B06515">
        <w:rPr>
          <w:rFonts w:cs="Arial"/>
        </w:rPr>
        <w:t xml:space="preserve"> </w:t>
      </w:r>
    </w:p>
    <w:p w14:paraId="4592B326" w14:textId="77777777" w:rsidR="009E1CA9" w:rsidRDefault="009E1CA9" w:rsidP="00693EC8">
      <w:pPr>
        <w:pStyle w:val="NormalWeb"/>
        <w:spacing w:before="0" w:beforeAutospacing="0" w:after="0" w:afterAutospacing="0"/>
        <w:rPr>
          <w:rFonts w:ascii="Arial" w:hAnsi="Arial" w:cs="Arial"/>
          <w:lang w:val="en-US"/>
        </w:rPr>
      </w:pPr>
    </w:p>
    <w:p w14:paraId="24F955D0" w14:textId="1BBAFD1E" w:rsidR="0067693E" w:rsidRDefault="00606EF6" w:rsidP="0069683A">
      <w:pPr>
        <w:pStyle w:val="NormalWeb"/>
        <w:spacing w:before="0" w:beforeAutospacing="0" w:after="0" w:afterAutospacing="0"/>
        <w:rPr>
          <w:rFonts w:ascii="Arial" w:hAnsi="Arial" w:cs="Arial"/>
        </w:rPr>
      </w:pPr>
      <w:r>
        <w:rPr>
          <w:rFonts w:ascii="Arial" w:hAnsi="Arial" w:cs="Arial"/>
        </w:rPr>
        <w:t>Hospital prescribing</w:t>
      </w:r>
      <w:r w:rsidR="0088544A">
        <w:rPr>
          <w:rFonts w:ascii="Arial" w:hAnsi="Arial" w:cs="Arial"/>
        </w:rPr>
        <w:t>, particularly at the transitions into and out of</w:t>
      </w:r>
      <w:r w:rsidR="00C7233A">
        <w:rPr>
          <w:rFonts w:ascii="Arial" w:hAnsi="Arial" w:cs="Arial"/>
        </w:rPr>
        <w:t xml:space="preserve"> care</w:t>
      </w:r>
      <w:r w:rsidR="0088544A">
        <w:rPr>
          <w:rFonts w:ascii="Arial" w:hAnsi="Arial" w:cs="Arial"/>
        </w:rPr>
        <w:t xml:space="preserve">, </w:t>
      </w:r>
      <w:r w:rsidR="006321A3">
        <w:rPr>
          <w:rFonts w:ascii="Arial" w:hAnsi="Arial" w:cs="Arial"/>
        </w:rPr>
        <w:t xml:space="preserve">is a crucial area of </w:t>
      </w:r>
      <w:r w:rsidR="0088544A">
        <w:rPr>
          <w:rFonts w:ascii="Arial" w:hAnsi="Arial" w:cs="Arial"/>
        </w:rPr>
        <w:t>concern</w:t>
      </w:r>
      <w:r w:rsidR="0097364C">
        <w:rPr>
          <w:rFonts w:ascii="Arial" w:hAnsi="Arial" w:cs="Arial"/>
        </w:rPr>
        <w:t xml:space="preserve">.  </w:t>
      </w:r>
      <w:r w:rsidR="007056AB">
        <w:rPr>
          <w:rFonts w:ascii="Arial" w:hAnsi="Arial" w:cs="Arial"/>
        </w:rPr>
        <w:t xml:space="preserve">Studies by </w:t>
      </w:r>
      <w:r w:rsidR="007056AB">
        <w:rPr>
          <w:rFonts w:ascii="Arial" w:hAnsi="Arial" w:cs="Arial"/>
        </w:rPr>
        <w:fldChar w:fldCharType="begin"/>
      </w:r>
      <w:r w:rsidR="007056AB">
        <w:rPr>
          <w:rFonts w:ascii="Arial" w:hAnsi="Arial" w:cs="Arial"/>
        </w:rPr>
        <w:instrText xml:space="preserve"> ADDIN EN.CITE &lt;EndNote&gt;&lt;Cite AuthorYear="1"&gt;&lt;Author&gt;Kaushal&lt;/Author&gt;&lt;Year&gt;2003&lt;/Year&gt;&lt;RecNum&gt;374&lt;/RecNum&gt;&lt;DisplayText&gt;Kaushal&lt;style face="italic"&gt; et al.&lt;/style&gt; (2003)&lt;/DisplayText&gt;&lt;record&gt;&lt;rec-number&gt;374&lt;/rec-number&gt;&lt;foreign-keys&gt;&lt;key app="EN" db-id="wxra20f03dt20kepwrwvfa0mvpxxeeezfaaz" timestamp="1671802625"&gt;374&lt;/key&gt;&lt;/foreign-keys&gt;&lt;ref-type name="Journal Article"&gt;17&lt;/ref-type&gt;&lt;contributors&gt;&lt;authors&gt;&lt;author&gt;Kaushal, Rainu&lt;/author&gt;&lt;author&gt;Shojania, Kaveh G.&lt;/author&gt;&lt;author&gt;Bates, David W.&lt;/author&gt;&lt;/authors&gt;&lt;/contributors&gt;&lt;titles&gt;&lt;title&gt;Effects of Computerized Physician Order Entry and Clinical Decision Support Systems on Medication Safety&lt;/title&gt;&lt;secondary-title&gt;Archives of Internal Medicine&lt;/secondary-title&gt;&lt;/titles&gt;&lt;periodical&gt;&lt;full-title&gt;Archives of Internal Medicine&lt;/full-title&gt;&lt;/periodical&gt;&lt;pages&gt;1409&lt;/pages&gt;&lt;volume&gt;163&lt;/volume&gt;&lt;number&gt;12&lt;/number&gt;&lt;dates&gt;&lt;year&gt;2003&lt;/year&gt;&lt;/dates&gt;&lt;publisher&gt;American Medical Association (AMA)&lt;/publisher&gt;&lt;isbn&gt;0003-9926&lt;/isbn&gt;&lt;urls&gt;&lt;related-urls&gt;&lt;url&gt;https://dx.doi.org/10.1001/archinte.163.12.1409&lt;/url&gt;&lt;/related-urls&gt;&lt;/urls&gt;&lt;electronic-resource-num&gt;10.1001/archinte.163.12.1409&lt;/electronic-resource-num&gt;&lt;/record&gt;&lt;/Cite&gt;&lt;/EndNote&gt;</w:instrText>
      </w:r>
      <w:r w:rsidR="007056AB">
        <w:rPr>
          <w:rFonts w:ascii="Arial" w:hAnsi="Arial" w:cs="Arial"/>
        </w:rPr>
        <w:fldChar w:fldCharType="separate"/>
      </w:r>
      <w:r w:rsidR="007056AB">
        <w:rPr>
          <w:rFonts w:ascii="Arial" w:hAnsi="Arial" w:cs="Arial"/>
          <w:noProof/>
        </w:rPr>
        <w:t>Kaushal</w:t>
      </w:r>
      <w:r w:rsidR="007056AB" w:rsidRPr="007056AB">
        <w:rPr>
          <w:rFonts w:ascii="Arial" w:hAnsi="Arial" w:cs="Arial"/>
          <w:i/>
          <w:noProof/>
        </w:rPr>
        <w:t xml:space="preserve"> et al.</w:t>
      </w:r>
      <w:r w:rsidR="007056AB">
        <w:rPr>
          <w:rFonts w:ascii="Arial" w:hAnsi="Arial" w:cs="Arial"/>
          <w:noProof/>
        </w:rPr>
        <w:t xml:space="preserve"> (2003)</w:t>
      </w:r>
      <w:r w:rsidR="007056AB">
        <w:rPr>
          <w:rFonts w:ascii="Arial" w:hAnsi="Arial" w:cs="Arial"/>
        </w:rPr>
        <w:fldChar w:fldCharType="end"/>
      </w:r>
      <w:r w:rsidR="007056AB">
        <w:rPr>
          <w:rFonts w:ascii="Arial" w:hAnsi="Arial" w:cs="Arial"/>
        </w:rPr>
        <w:t xml:space="preserve"> and </w:t>
      </w:r>
      <w:r w:rsidR="007056AB">
        <w:rPr>
          <w:rFonts w:ascii="Arial" w:hAnsi="Arial" w:cs="Arial"/>
        </w:rPr>
        <w:fldChar w:fldCharType="begin"/>
      </w:r>
      <w:r w:rsidR="007056AB">
        <w:rPr>
          <w:rFonts w:ascii="Arial" w:hAnsi="Arial" w:cs="Arial"/>
        </w:rPr>
        <w:instrText xml:space="preserve"> ADDIN EN.CITE &lt;EndNote&gt;&lt;Cite AuthorYear="1"&gt;&lt;Author&gt;Bates&lt;/Author&gt;&lt;Year&gt;1995&lt;/Year&gt;&lt;RecNum&gt;375&lt;/RecNum&gt;&lt;DisplayText&gt;Bates&lt;style face="italic"&gt; et al.&lt;/style&gt; (1995)&lt;/DisplayText&gt;&lt;record&gt;&lt;rec-number&gt;375&lt;/rec-number&gt;&lt;foreign-keys&gt;&lt;key app="EN" db-id="wxra20f03dt20kepwrwvfa0mvpxxeeezfaaz" timestamp="1671803116"&gt;375&lt;/key&gt;&lt;/foreign-keys&gt;&lt;ref-type name="Journal Article"&gt;17&lt;/ref-type&gt;&lt;contributors&gt;&lt;authors&gt;&lt;author&gt;Bates, D. W.&lt;/author&gt;&lt;author&gt;Cullen, D. J.&lt;/author&gt;&lt;author&gt;Laird, N.&lt;/author&gt;&lt;author&gt;Petersen, L. A.&lt;/author&gt;&lt;author&gt;Small, S. D.&lt;/author&gt;&lt;author&gt;Servi, D.&lt;/author&gt;&lt;author&gt;Laffel, G.&lt;/author&gt;&lt;author&gt;Sweitzer, B. J.&lt;/author&gt;&lt;author&gt;Shea, B. F.&lt;/author&gt;&lt;author&gt;Hallisey, R.&lt;/author&gt;&lt;author&gt;et al.,&lt;/author&gt;&lt;/authors&gt;&lt;/contributors&gt;&lt;auth-address&gt;Department of Medicine, Brigham and Women&amp;apos;s Hospital, Boston, MA 02115, USA.&lt;/auth-address&gt;&lt;titles&gt;&lt;title&gt;Incidence of adverse drug events and potential adverse drug events. Implications for prevention. ADE Prevention Study Group&lt;/title&gt;&lt;secondary-title&gt;Jama&lt;/secondary-title&gt;&lt;/titles&gt;&lt;periodical&gt;&lt;full-title&gt;Jama&lt;/full-title&gt;&lt;/periodical&gt;&lt;pages&gt;29-34&lt;/pages&gt;&lt;volume&gt;274&lt;/volume&gt;&lt;number&gt;1&lt;/number&gt;&lt;keywords&gt;&lt;keyword&gt;Boston/epidemiology&lt;/keyword&gt;&lt;keyword&gt;Drug Therapy/statistics &amp;amp; numerical data&lt;/keyword&gt;&lt;keyword&gt;*Drug-Related Side Effects and Adverse Reactions&lt;/keyword&gt;&lt;keyword&gt;Humans&lt;/keyword&gt;&lt;keyword&gt;Iatrogenic Disease/epidemiology&lt;/keyword&gt;&lt;keyword&gt;Intensive Care Units/statistics &amp;amp; numerical data&lt;/keyword&gt;&lt;keyword&gt;Medication Errors/classification/*statistics &amp;amp; numerical data&lt;/keyword&gt;&lt;keyword&gt;Medication Systems, Hospital/*standards/statistics &amp;amp; numerical data&lt;/keyword&gt;&lt;keyword&gt;Prospective Studies&lt;/keyword&gt;&lt;keyword&gt;Risk Management&lt;/keyword&gt;&lt;/keywords&gt;&lt;dates&gt;&lt;year&gt;1995&lt;/year&gt;&lt;pub-dates&gt;&lt;date&gt;Jul 5&lt;/date&gt;&lt;/pub-dates&gt;&lt;/dates&gt;&lt;isbn&gt;0098-7484 (Print)&amp;#xD;0098-7484&lt;/isbn&gt;&lt;accession-num&gt;7791255&lt;/accession-num&gt;&lt;urls&gt;&lt;/urls&gt;&lt;remote-database-provider&gt;NLM&lt;/remote-database-provider&gt;&lt;language&gt;eng&lt;/language&gt;&lt;/record&gt;&lt;/Cite&gt;&lt;/EndNote&gt;</w:instrText>
      </w:r>
      <w:r w:rsidR="007056AB">
        <w:rPr>
          <w:rFonts w:ascii="Arial" w:hAnsi="Arial" w:cs="Arial"/>
        </w:rPr>
        <w:fldChar w:fldCharType="separate"/>
      </w:r>
      <w:r w:rsidR="007056AB">
        <w:rPr>
          <w:rFonts w:ascii="Arial" w:hAnsi="Arial" w:cs="Arial"/>
          <w:noProof/>
        </w:rPr>
        <w:t>Bates</w:t>
      </w:r>
      <w:r w:rsidR="007056AB" w:rsidRPr="007056AB">
        <w:rPr>
          <w:rFonts w:ascii="Arial" w:hAnsi="Arial" w:cs="Arial"/>
          <w:i/>
          <w:noProof/>
        </w:rPr>
        <w:t xml:space="preserve"> et al.</w:t>
      </w:r>
      <w:r w:rsidR="007056AB">
        <w:rPr>
          <w:rFonts w:ascii="Arial" w:hAnsi="Arial" w:cs="Arial"/>
          <w:noProof/>
        </w:rPr>
        <w:t xml:space="preserve"> (1995)</w:t>
      </w:r>
      <w:r w:rsidR="007056AB">
        <w:rPr>
          <w:rFonts w:ascii="Arial" w:hAnsi="Arial" w:cs="Arial"/>
        </w:rPr>
        <w:fldChar w:fldCharType="end"/>
      </w:r>
      <w:r w:rsidR="007056AB">
        <w:rPr>
          <w:rFonts w:ascii="Arial" w:hAnsi="Arial" w:cs="Arial"/>
        </w:rPr>
        <w:t xml:space="preserve"> </w:t>
      </w:r>
      <w:r w:rsidR="00011988">
        <w:rPr>
          <w:rFonts w:ascii="Arial" w:hAnsi="Arial" w:cs="Arial"/>
        </w:rPr>
        <w:t>have identified that medication error</w:t>
      </w:r>
      <w:r w:rsidR="00AF030C">
        <w:rPr>
          <w:rFonts w:ascii="Arial" w:hAnsi="Arial" w:cs="Arial"/>
        </w:rPr>
        <w:t xml:space="preserve"> rates are greater </w:t>
      </w:r>
      <w:r w:rsidR="00A06FD6">
        <w:rPr>
          <w:rFonts w:ascii="Arial" w:hAnsi="Arial" w:cs="Arial"/>
        </w:rPr>
        <w:t>than</w:t>
      </w:r>
      <w:r w:rsidR="00AF030C">
        <w:rPr>
          <w:rFonts w:ascii="Arial" w:hAnsi="Arial" w:cs="Arial"/>
        </w:rPr>
        <w:t xml:space="preserve"> 5% for inpatients</w:t>
      </w:r>
      <w:r w:rsidR="007056AB">
        <w:rPr>
          <w:rFonts w:ascii="Arial" w:hAnsi="Arial" w:cs="Arial"/>
        </w:rPr>
        <w:t xml:space="preserve"> (hospital patients)</w:t>
      </w:r>
      <w:r w:rsidR="00CA0A61">
        <w:rPr>
          <w:rFonts w:ascii="Arial" w:hAnsi="Arial" w:cs="Arial"/>
        </w:rPr>
        <w:t xml:space="preserve">, with 50% of these happening at prescribing, </w:t>
      </w:r>
      <w:r w:rsidR="00AF030C">
        <w:rPr>
          <w:rFonts w:ascii="Arial" w:hAnsi="Arial" w:cs="Arial"/>
        </w:rPr>
        <w:t xml:space="preserve">whilst </w:t>
      </w:r>
      <w:r w:rsidR="000B302E" w:rsidRPr="00693EC8">
        <w:rPr>
          <w:rFonts w:ascii="Arial" w:hAnsi="Arial" w:cs="Arial"/>
        </w:rPr>
        <w:fldChar w:fldCharType="begin"/>
      </w:r>
      <w:r w:rsidR="000B302E" w:rsidRPr="00693EC8">
        <w:rPr>
          <w:rFonts w:ascii="Arial" w:hAnsi="Arial" w:cs="Arial"/>
        </w:rPr>
        <w:instrText xml:space="preserve"> ADDIN EN.CITE &lt;EndNote&gt;&lt;Cite AuthorYear="1"&gt;&lt;Author&gt;Franklin&lt;/Author&gt;&lt;Year&gt;2011&lt;/Year&gt;&lt;RecNum&gt;132&lt;/RecNum&gt;&lt;DisplayText&gt;Franklin&lt;style face="italic"&gt; et al.&lt;/style&gt; (2011)&lt;/DisplayText&gt;&lt;record&gt;&lt;rec-number&gt;132&lt;/rec-number&gt;&lt;foreign-keys&gt;&lt;key app="EN" db-id="wxra20f03dt20kepwrwvfa0mvpxxeeezfaaz" timestamp="1635496690"&gt;132&lt;/key&gt;&lt;/foreign-keys&gt;&lt;ref-type name="Journal Article"&gt;17&lt;/ref-type&gt;&lt;contributors&gt;&lt;authors&gt;&lt;author&gt;Franklin, B. D.&lt;/author&gt;&lt;author&gt;Reynolds, M.&lt;/author&gt;&lt;author&gt;Shebl, N. A.&lt;/author&gt;&lt;author&gt;Burnett, S.&lt;/author&gt;&lt;author&gt;Jacklin, A.&lt;/author&gt;&lt;/authors&gt;&lt;/contributors&gt;&lt;titles&gt;&lt;title&gt;Prescribing errors in hospital inpatients: a three-centre study of their prevalence, types and causes&lt;/title&gt;&lt;secondary-title&gt;Postgraduate Medical Journal&lt;/secondary-title&gt;&lt;/titles&gt;&lt;periodical&gt;&lt;full-title&gt;Postgraduate Medical Journal&lt;/full-title&gt;&lt;/periodical&gt;&lt;pages&gt;739-745&lt;/pages&gt;&lt;volume&gt;87&lt;/volume&gt;&lt;number&gt;1033&lt;/number&gt;&lt;dates&gt;&lt;year&gt;2011&lt;/year&gt;&lt;/dates&gt;&lt;publisher&gt;BMJ&lt;/publisher&gt;&lt;isbn&gt;0032-5473&lt;/isbn&gt;&lt;urls&gt;&lt;related-urls&gt;&lt;url&gt;https://dx.doi.org/10.1136/pgmj.2011.117879&lt;/url&gt;&lt;/related-urls&gt;&lt;/urls&gt;&lt;electronic-resource-num&gt;10.1136/pgmj.2011.117879&lt;/electronic-resource-num&gt;&lt;/record&gt;&lt;/Cite&gt;&lt;/EndNote&gt;</w:instrText>
      </w:r>
      <w:r w:rsidR="000B302E" w:rsidRPr="00693EC8">
        <w:rPr>
          <w:rFonts w:ascii="Arial" w:hAnsi="Arial" w:cs="Arial"/>
        </w:rPr>
        <w:fldChar w:fldCharType="separate"/>
      </w:r>
      <w:r w:rsidR="000B302E" w:rsidRPr="00693EC8">
        <w:rPr>
          <w:rFonts w:ascii="Arial" w:hAnsi="Arial" w:cs="Arial"/>
          <w:noProof/>
        </w:rPr>
        <w:t>Franklin</w:t>
      </w:r>
      <w:r w:rsidR="000B302E" w:rsidRPr="00693EC8">
        <w:rPr>
          <w:rFonts w:ascii="Arial" w:hAnsi="Arial" w:cs="Arial"/>
          <w:i/>
          <w:noProof/>
        </w:rPr>
        <w:t xml:space="preserve"> et al.</w:t>
      </w:r>
      <w:r w:rsidR="000B302E" w:rsidRPr="00693EC8">
        <w:rPr>
          <w:rFonts w:ascii="Arial" w:hAnsi="Arial" w:cs="Arial"/>
          <w:noProof/>
        </w:rPr>
        <w:t xml:space="preserve"> (2011)</w:t>
      </w:r>
      <w:r w:rsidR="000B302E" w:rsidRPr="00693EC8">
        <w:rPr>
          <w:rFonts w:ascii="Arial" w:hAnsi="Arial" w:cs="Arial"/>
        </w:rPr>
        <w:fldChar w:fldCharType="end"/>
      </w:r>
      <w:r w:rsidR="000B302E" w:rsidRPr="00693EC8">
        <w:rPr>
          <w:rFonts w:ascii="Arial" w:hAnsi="Arial" w:cs="Arial"/>
        </w:rPr>
        <w:t xml:space="preserve"> identified that </w:t>
      </w:r>
      <w:r w:rsidR="00693EC8" w:rsidRPr="00693EC8">
        <w:rPr>
          <w:rFonts w:ascii="Arial" w:hAnsi="Arial" w:cs="Arial"/>
        </w:rPr>
        <w:t xml:space="preserve">in hospital care, </w:t>
      </w:r>
      <w:r w:rsidR="00CB488A" w:rsidRPr="00693EC8">
        <w:rPr>
          <w:rFonts w:ascii="Arial" w:hAnsi="Arial" w:cs="Arial"/>
        </w:rPr>
        <w:t xml:space="preserve">prescribing errors </w:t>
      </w:r>
      <w:r w:rsidR="00357B5F" w:rsidRPr="00693EC8">
        <w:rPr>
          <w:rFonts w:ascii="Arial" w:hAnsi="Arial" w:cs="Arial"/>
        </w:rPr>
        <w:t xml:space="preserve">arise </w:t>
      </w:r>
      <w:r w:rsidR="00693EC8" w:rsidRPr="00693EC8">
        <w:rPr>
          <w:rFonts w:ascii="Arial" w:hAnsi="Arial" w:cs="Arial"/>
        </w:rPr>
        <w:t>for</w:t>
      </w:r>
      <w:r w:rsidR="00CB488A" w:rsidRPr="00693EC8">
        <w:rPr>
          <w:rFonts w:ascii="Arial" w:hAnsi="Arial" w:cs="Arial"/>
        </w:rPr>
        <w:t xml:space="preserve"> </w:t>
      </w:r>
      <w:r w:rsidR="00357B5F" w:rsidRPr="00693EC8">
        <w:rPr>
          <w:rFonts w:ascii="Arial" w:hAnsi="Arial" w:cs="Arial"/>
        </w:rPr>
        <w:t>around</w:t>
      </w:r>
      <w:r w:rsidR="00CB488A" w:rsidRPr="00693EC8">
        <w:rPr>
          <w:rFonts w:ascii="Arial" w:hAnsi="Arial" w:cs="Arial"/>
        </w:rPr>
        <w:t xml:space="preserve"> 15% of newly </w:t>
      </w:r>
      <w:r w:rsidR="00357B5F" w:rsidRPr="00693EC8">
        <w:rPr>
          <w:rFonts w:ascii="Arial" w:hAnsi="Arial" w:cs="Arial"/>
        </w:rPr>
        <w:t>prescribed</w:t>
      </w:r>
      <w:r w:rsidR="00CB488A" w:rsidRPr="00693EC8">
        <w:rPr>
          <w:rFonts w:ascii="Arial" w:hAnsi="Arial" w:cs="Arial"/>
        </w:rPr>
        <w:t xml:space="preserve"> </w:t>
      </w:r>
      <w:r w:rsidR="00693EC8" w:rsidRPr="00693EC8">
        <w:rPr>
          <w:rFonts w:ascii="Arial" w:hAnsi="Arial" w:cs="Arial"/>
        </w:rPr>
        <w:t>medicines</w:t>
      </w:r>
      <w:r w:rsidR="006715C1">
        <w:rPr>
          <w:rFonts w:ascii="Arial" w:hAnsi="Arial" w:cs="Arial"/>
        </w:rPr>
        <w:t xml:space="preserve">.  </w:t>
      </w:r>
      <w:r w:rsidR="00437C6F">
        <w:rPr>
          <w:rFonts w:ascii="Arial" w:hAnsi="Arial" w:cs="Arial"/>
        </w:rPr>
        <w:t xml:space="preserve">It is well documented that </w:t>
      </w:r>
      <w:r w:rsidR="0063721D">
        <w:rPr>
          <w:rFonts w:ascii="Arial" w:hAnsi="Arial" w:cs="Arial"/>
        </w:rPr>
        <w:t xml:space="preserve">in any setting, </w:t>
      </w:r>
      <w:r w:rsidR="00437C6F">
        <w:rPr>
          <w:rFonts w:ascii="Arial" w:hAnsi="Arial" w:cs="Arial"/>
        </w:rPr>
        <w:t xml:space="preserve">a patient’s risk of harm increases with the </w:t>
      </w:r>
      <w:r w:rsidR="00F93B8D">
        <w:rPr>
          <w:rFonts w:ascii="Arial" w:hAnsi="Arial" w:cs="Arial"/>
        </w:rPr>
        <w:t xml:space="preserve">number of medicines that they are prescribed, </w:t>
      </w:r>
      <w:r w:rsidR="0063721D">
        <w:rPr>
          <w:rFonts w:ascii="Arial" w:hAnsi="Arial" w:cs="Arial"/>
        </w:rPr>
        <w:t xml:space="preserve">increased further </w:t>
      </w:r>
      <w:r w:rsidR="00F93B8D">
        <w:rPr>
          <w:rFonts w:ascii="Arial" w:hAnsi="Arial" w:cs="Arial"/>
        </w:rPr>
        <w:t>alongside other factors</w:t>
      </w:r>
      <w:r w:rsidR="001268E1">
        <w:rPr>
          <w:rFonts w:ascii="Arial" w:hAnsi="Arial" w:cs="Arial"/>
        </w:rPr>
        <w:t xml:space="preserve"> such as the type of medication (e.g. high-risk) </w:t>
      </w:r>
      <w:r w:rsidR="0069198E">
        <w:rPr>
          <w:rFonts w:ascii="Arial" w:hAnsi="Arial" w:cs="Arial"/>
        </w:rPr>
        <w:fldChar w:fldCharType="begin"/>
      </w:r>
      <w:r w:rsidR="0069198E">
        <w:rPr>
          <w:rFonts w:ascii="Arial" w:hAnsi="Arial" w:cs="Arial"/>
        </w:rPr>
        <w:instrText xml:space="preserve"> ADDIN EN.CITE &lt;EndNote&gt;&lt;Cite&gt;&lt;Author&gt;World Health Organization&lt;/Author&gt;&lt;Year&gt;2019&lt;/Year&gt;&lt;RecNum&gt;245&lt;/RecNum&gt;&lt;DisplayText&gt;(World Health Organization, 2019)&lt;/DisplayText&gt;&lt;record&gt;&lt;rec-number&gt;245&lt;/rec-number&gt;&lt;foreign-keys&gt;&lt;key app="EN" db-id="wxra20f03dt20kepwrwvfa0mvpxxeeezfaaz" timestamp="1649329746"&gt;245&lt;/key&gt;&lt;/foreign-keys&gt;&lt;ref-type name="Report"&gt;27&lt;/ref-type&gt;&lt;contributors&gt;&lt;authors&gt;&lt;author&gt;World Health Organization,&lt;/author&gt;&lt;/authors&gt;&lt;/contributors&gt;&lt;titles&gt;&lt;title&gt;Medication safety in transitions of care: technical report&lt;/title&gt;&lt;/titles&gt;&lt;dates&gt;&lt;year&gt;2019&lt;/year&gt;&lt;/dates&gt;&lt;publisher&gt;World Health Organization&lt;/publisher&gt;&lt;urls&gt;&lt;related-urls&gt;&lt;url&gt;https://www.who.int/initiatives/medication-without-harm&lt;/url&gt;&lt;/related-urls&gt;&lt;/urls&gt;&lt;access-date&gt;04/04/2022&lt;/access-date&gt;&lt;/record&gt;&lt;/Cite&gt;&lt;/EndNote&gt;</w:instrText>
      </w:r>
      <w:r w:rsidR="0069198E">
        <w:rPr>
          <w:rFonts w:ascii="Arial" w:hAnsi="Arial" w:cs="Arial"/>
        </w:rPr>
        <w:fldChar w:fldCharType="separate"/>
      </w:r>
      <w:r w:rsidR="0069198E">
        <w:rPr>
          <w:rFonts w:ascii="Arial" w:hAnsi="Arial" w:cs="Arial"/>
          <w:noProof/>
        </w:rPr>
        <w:t>(World Health Organization, 2019)</w:t>
      </w:r>
      <w:r w:rsidR="0069198E">
        <w:rPr>
          <w:rFonts w:ascii="Arial" w:hAnsi="Arial" w:cs="Arial"/>
        </w:rPr>
        <w:fldChar w:fldCharType="end"/>
      </w:r>
      <w:r w:rsidR="001268E1">
        <w:rPr>
          <w:rFonts w:ascii="Arial" w:hAnsi="Arial" w:cs="Arial"/>
        </w:rPr>
        <w:t xml:space="preserve">.  </w:t>
      </w:r>
      <w:r w:rsidR="002A7F80">
        <w:rPr>
          <w:rFonts w:ascii="Arial" w:hAnsi="Arial" w:cs="Arial"/>
        </w:rPr>
        <w:t xml:space="preserve"> It is not surprising</w:t>
      </w:r>
      <w:r w:rsidR="00B90E67">
        <w:rPr>
          <w:rFonts w:ascii="Arial" w:hAnsi="Arial" w:cs="Arial"/>
        </w:rPr>
        <w:t>, therefore</w:t>
      </w:r>
      <w:r w:rsidR="007378D9">
        <w:rPr>
          <w:rFonts w:ascii="Arial" w:hAnsi="Arial" w:cs="Arial"/>
        </w:rPr>
        <w:t>,</w:t>
      </w:r>
      <w:r w:rsidR="00CB58AE">
        <w:rPr>
          <w:rFonts w:ascii="Arial" w:hAnsi="Arial" w:cs="Arial"/>
        </w:rPr>
        <w:t xml:space="preserve"> that prescribing and administration related medication errors</w:t>
      </w:r>
      <w:r w:rsidR="00B90E67">
        <w:rPr>
          <w:rFonts w:ascii="Arial" w:hAnsi="Arial" w:cs="Arial"/>
        </w:rPr>
        <w:t xml:space="preserve"> are </w:t>
      </w:r>
      <w:r w:rsidR="00993EC9">
        <w:rPr>
          <w:rFonts w:ascii="Arial" w:hAnsi="Arial" w:cs="Arial"/>
        </w:rPr>
        <w:t xml:space="preserve">the most frequent </w:t>
      </w:r>
      <w:r w:rsidR="00CB58AE">
        <w:rPr>
          <w:rFonts w:ascii="Arial" w:hAnsi="Arial" w:cs="Arial"/>
        </w:rPr>
        <w:t>and</w:t>
      </w:r>
      <w:r w:rsidR="0051720D">
        <w:rPr>
          <w:rFonts w:ascii="Arial" w:hAnsi="Arial" w:cs="Arial"/>
        </w:rPr>
        <w:t xml:space="preserve"> </w:t>
      </w:r>
      <w:r w:rsidR="00112183">
        <w:rPr>
          <w:rFonts w:ascii="Arial" w:hAnsi="Arial" w:cs="Arial"/>
        </w:rPr>
        <w:t>avoidable</w:t>
      </w:r>
      <w:r w:rsidR="0051720D">
        <w:rPr>
          <w:rFonts w:ascii="Arial" w:hAnsi="Arial" w:cs="Arial"/>
        </w:rPr>
        <w:t xml:space="preserve"> </w:t>
      </w:r>
      <w:r w:rsidR="00112183">
        <w:rPr>
          <w:rFonts w:ascii="Arial" w:hAnsi="Arial" w:cs="Arial"/>
        </w:rPr>
        <w:t>source</w:t>
      </w:r>
      <w:r w:rsidR="0051720D">
        <w:rPr>
          <w:rFonts w:ascii="Arial" w:hAnsi="Arial" w:cs="Arial"/>
        </w:rPr>
        <w:t xml:space="preserve"> of harm</w:t>
      </w:r>
      <w:r w:rsidR="00112183">
        <w:rPr>
          <w:rFonts w:ascii="Arial" w:hAnsi="Arial" w:cs="Arial"/>
        </w:rPr>
        <w:t xml:space="preserve"> to a patient</w:t>
      </w:r>
      <w:r w:rsidR="00065F0F">
        <w:rPr>
          <w:rFonts w:ascii="Arial" w:hAnsi="Arial" w:cs="Arial"/>
        </w:rPr>
        <w:t xml:space="preserve">. </w:t>
      </w:r>
      <w:r w:rsidR="00777909">
        <w:rPr>
          <w:rFonts w:ascii="Arial" w:hAnsi="Arial" w:cs="Arial"/>
        </w:rPr>
        <w:fldChar w:fldCharType="begin"/>
      </w:r>
      <w:r w:rsidR="00777909">
        <w:rPr>
          <w:rFonts w:ascii="Arial" w:hAnsi="Arial" w:cs="Arial"/>
        </w:rPr>
        <w:instrText xml:space="preserve"> ADDIN EN.CITE &lt;EndNote&gt;&lt;Cite&gt;&lt;Author&gt;Lainer&lt;/Author&gt;&lt;Year&gt;2013&lt;/Year&gt;&lt;RecNum&gt;373&lt;/RecNum&gt;&lt;DisplayText&gt;(Lainer&lt;style face="italic"&gt; et al.&lt;/style&gt;, 2013)&lt;/DisplayText&gt;&lt;record&gt;&lt;rec-number&gt;373&lt;/rec-number&gt;&lt;foreign-keys&gt;&lt;key app="EN" db-id="wxra20f03dt20kepwrwvfa0mvpxxeeezfaaz" timestamp="1671796643"&gt;373&lt;/key&gt;&lt;/foreign-keys&gt;&lt;ref-type name="Journal Article"&gt;17&lt;/ref-type&gt;&lt;contributors&gt;&lt;authors&gt;&lt;author&gt;Lainer, Miriam&lt;/author&gt;&lt;author&gt;Mann, Eva&lt;/author&gt;&lt;author&gt;Sönnichsen, Andreas&lt;/author&gt;&lt;/authors&gt;&lt;/contributors&gt;&lt;titles&gt;&lt;title&gt;Information technology interventions to improve medication safety in primary care: a systematic review&lt;/title&gt;&lt;secondary-title&gt;International Journal for Quality in Health Care&lt;/secondary-title&gt;&lt;/titles&gt;&lt;periodical&gt;&lt;full-title&gt;International Journal for Quality in Health Care&lt;/full-title&gt;&lt;/periodical&gt;&lt;pages&gt;590-598&lt;/pages&gt;&lt;volume&gt;25&lt;/volume&gt;&lt;number&gt;5&lt;/number&gt;&lt;dates&gt;&lt;year&gt;2013&lt;/year&gt;&lt;/dates&gt;&lt;isbn&gt;1353-4505&lt;/isbn&gt;&lt;urls&gt;&lt;related-urls&gt;&lt;url&gt;https://doi.org/10.1093/intqhc/mzt043&lt;/url&gt;&lt;/related-urls&gt;&lt;/urls&gt;&lt;electronic-resource-num&gt;10.1093/intqhc/mzt043&lt;/electronic-resource-num&gt;&lt;access-date&gt;12/23/2022&lt;/access-date&gt;&lt;/record&gt;&lt;/Cite&gt;&lt;/EndNote&gt;</w:instrText>
      </w:r>
      <w:r w:rsidR="00777909">
        <w:rPr>
          <w:rFonts w:ascii="Arial" w:hAnsi="Arial" w:cs="Arial"/>
        </w:rPr>
        <w:fldChar w:fldCharType="separate"/>
      </w:r>
      <w:r w:rsidR="00777909">
        <w:rPr>
          <w:rFonts w:ascii="Arial" w:hAnsi="Arial" w:cs="Arial"/>
          <w:noProof/>
        </w:rPr>
        <w:t>(Lainer</w:t>
      </w:r>
      <w:r w:rsidR="00777909" w:rsidRPr="00777909">
        <w:rPr>
          <w:rFonts w:ascii="Arial" w:hAnsi="Arial" w:cs="Arial"/>
          <w:i/>
          <w:noProof/>
        </w:rPr>
        <w:t xml:space="preserve"> et al.</w:t>
      </w:r>
      <w:r w:rsidR="00777909">
        <w:rPr>
          <w:rFonts w:ascii="Arial" w:hAnsi="Arial" w:cs="Arial"/>
          <w:noProof/>
        </w:rPr>
        <w:t>, 2013)</w:t>
      </w:r>
      <w:r w:rsidR="00777909">
        <w:rPr>
          <w:rFonts w:ascii="Arial" w:hAnsi="Arial" w:cs="Arial"/>
        </w:rPr>
        <w:fldChar w:fldCharType="end"/>
      </w:r>
      <w:r w:rsidR="00710D71">
        <w:rPr>
          <w:rFonts w:ascii="Arial" w:hAnsi="Arial" w:cs="Arial"/>
        </w:rPr>
        <w:t xml:space="preserve"> </w:t>
      </w:r>
      <w:r w:rsidR="0087017B">
        <w:rPr>
          <w:rFonts w:ascii="Arial" w:hAnsi="Arial" w:cs="Arial"/>
        </w:rPr>
        <w:fldChar w:fldCharType="begin"/>
      </w:r>
      <w:r w:rsidR="0087017B">
        <w:rPr>
          <w:rFonts w:ascii="Arial" w:hAnsi="Arial" w:cs="Arial"/>
        </w:rPr>
        <w:instrText xml:space="preserve"> ADDIN EN.CITE &lt;EndNote&gt;&lt;Cite&gt;&lt;Author&gt;Bobb&lt;/Author&gt;&lt;Year&gt;2004&lt;/Year&gt;&lt;RecNum&gt;383&lt;/RecNum&gt;&lt;DisplayText&gt;(Bobb&lt;style face="italic"&gt; et al.&lt;/style&gt;, 2004)&lt;/DisplayText&gt;&lt;record&gt;&lt;rec-number&gt;383&lt;/rec-number&gt;&lt;foreign-keys&gt;&lt;key app="EN" db-id="wxra20f03dt20kepwrwvfa0mvpxxeeezfaaz" timestamp="1671809689"&gt;383&lt;/key&gt;&lt;/foreign-keys&gt;&lt;ref-type name="Journal Article"&gt;17&lt;/ref-type&gt;&lt;contributors&gt;&lt;authors&gt;&lt;author&gt;Bobb, Anne&lt;/author&gt;&lt;author&gt;Gleason, Kristine&lt;/author&gt;&lt;author&gt;Husch, Marla&lt;/author&gt;&lt;author&gt;Feinglass, Joe&lt;/author&gt;&lt;author&gt;Yarnold, Paul R&lt;/author&gt;&lt;author&gt;Noskin, Gary A&lt;/author&gt;&lt;/authors&gt;&lt;/contributors&gt;&lt;titles&gt;&lt;title&gt;The epidemiology of prescribing errors: the potential impact of computerized prescriber order entry&lt;/title&gt;&lt;secondary-title&gt;Archives of internal medicine&lt;/secondary-title&gt;&lt;/titles&gt;&lt;periodical&gt;&lt;full-title&gt;Archives of Internal Medicine&lt;/full-title&gt;&lt;/periodical&gt;&lt;pages&gt;785-792&lt;/pages&gt;&lt;volume&gt;164&lt;/volume&gt;&lt;number&gt;7&lt;/number&gt;&lt;dates&gt;&lt;year&gt;2004&lt;/year&gt;&lt;/dates&gt;&lt;isbn&gt;0003-9926&lt;/isbn&gt;&lt;urls&gt;&lt;/urls&gt;&lt;/record&gt;&lt;/Cite&gt;&lt;/EndNote&gt;</w:instrText>
      </w:r>
      <w:r w:rsidR="0087017B">
        <w:rPr>
          <w:rFonts w:ascii="Arial" w:hAnsi="Arial" w:cs="Arial"/>
        </w:rPr>
        <w:fldChar w:fldCharType="separate"/>
      </w:r>
      <w:r w:rsidR="0087017B">
        <w:rPr>
          <w:rFonts w:ascii="Arial" w:hAnsi="Arial" w:cs="Arial"/>
          <w:noProof/>
        </w:rPr>
        <w:t>(Bobb</w:t>
      </w:r>
      <w:r w:rsidR="0087017B" w:rsidRPr="0087017B">
        <w:rPr>
          <w:rFonts w:ascii="Arial" w:hAnsi="Arial" w:cs="Arial"/>
          <w:i/>
          <w:noProof/>
        </w:rPr>
        <w:t xml:space="preserve"> et al.</w:t>
      </w:r>
      <w:r w:rsidR="0087017B">
        <w:rPr>
          <w:rFonts w:ascii="Arial" w:hAnsi="Arial" w:cs="Arial"/>
          <w:noProof/>
        </w:rPr>
        <w:t>, 2004)</w:t>
      </w:r>
      <w:r w:rsidR="0087017B">
        <w:rPr>
          <w:rFonts w:ascii="Arial" w:hAnsi="Arial" w:cs="Arial"/>
        </w:rPr>
        <w:fldChar w:fldCharType="end"/>
      </w:r>
      <w:r w:rsidR="003C741B" w:rsidRPr="00AF06EC">
        <w:rPr>
          <w:rFonts w:ascii="Arial" w:hAnsi="Arial" w:cs="Arial"/>
          <w:lang w:val="en-US"/>
        </w:rPr>
        <w:t xml:space="preserve">.  </w:t>
      </w:r>
      <w:r w:rsidR="003C741B">
        <w:rPr>
          <w:rFonts w:ascii="Arial" w:hAnsi="Arial" w:cs="Arial"/>
        </w:rPr>
        <w:t>P</w:t>
      </w:r>
      <w:r w:rsidR="003C741B" w:rsidRPr="00AF06EC">
        <w:rPr>
          <w:rFonts w:ascii="Arial" w:hAnsi="Arial" w:cs="Arial"/>
        </w:rPr>
        <w:t xml:space="preserve">atient safety should be at the centre of any modern digital solution </w:t>
      </w:r>
      <w:r w:rsidR="003C741B" w:rsidRPr="00AF06EC">
        <w:rPr>
          <w:rFonts w:ascii="Arial" w:hAnsi="Arial" w:cs="Arial"/>
        </w:rPr>
        <w:fldChar w:fldCharType="begin"/>
      </w:r>
      <w:r w:rsidR="00ED6D0C">
        <w:rPr>
          <w:rFonts w:ascii="Arial" w:hAnsi="Arial" w:cs="Arial"/>
        </w:rPr>
        <w:instrText xml:space="preserve"> ADDIN EN.CITE &lt;EndNote&gt;&lt;Cite&gt;&lt;Author&gt;Topol&lt;/Author&gt;&lt;Year&gt;2019&lt;/Year&gt;&lt;RecNum&gt;136&lt;/RecNum&gt;&lt;Pages&gt;22&lt;/Pages&gt;&lt;DisplayText&gt;(Topol, 2019)&lt;/DisplayText&gt;&lt;record&gt;&lt;rec-number&gt;136&lt;/rec-number&gt;&lt;foreign-keys&gt;&lt;key app="EN" db-id="wxra20f03dt20kepwrwvfa0mvpxxeeezfaaz" timestamp="1636973853"&gt;136&lt;/key&gt;&lt;/foreign-keys&gt;&lt;ref-type name="Journal Article"&gt;17&lt;/ref-type&gt;&lt;contributors&gt;&lt;authors&gt;&lt;author&gt;Topol, Eric&lt;/author&gt;&lt;/authors&gt;&lt;/contributors&gt;&lt;titles&gt;&lt;title&gt;The Topol Review&lt;/title&gt;&lt;secondary-title&gt;Preparing the Healthcare Workforce to Deliver the Digital Future&lt;/secondary-title&gt;&lt;/titles&gt;&lt;periodical&gt;&lt;full-title&gt;Preparing the Healthcare Workforce to Deliver the Digital Future&lt;/full-title&gt;&lt;/periodical&gt;&lt;dates&gt;&lt;year&gt;2019&lt;/year&gt;&lt;/dates&gt;&lt;urls&gt;&lt;related-urls&gt;&lt;url&gt;https://topol.hee.nhs.uk/&lt;/url&gt;&lt;/related-urls&gt;&lt;/urls&gt;&lt;/record&gt;&lt;/Cite&gt;&lt;/EndNote&gt;</w:instrText>
      </w:r>
      <w:r w:rsidR="003C741B" w:rsidRPr="00AF06EC">
        <w:rPr>
          <w:rFonts w:ascii="Arial" w:hAnsi="Arial" w:cs="Arial"/>
        </w:rPr>
        <w:fldChar w:fldCharType="separate"/>
      </w:r>
      <w:r w:rsidR="003C741B" w:rsidRPr="00AF06EC">
        <w:rPr>
          <w:rFonts w:ascii="Arial" w:hAnsi="Arial" w:cs="Arial"/>
          <w:noProof/>
        </w:rPr>
        <w:t>(Topol, 2019)</w:t>
      </w:r>
      <w:r w:rsidR="003C741B" w:rsidRPr="00AF06EC">
        <w:rPr>
          <w:rFonts w:ascii="Arial" w:hAnsi="Arial" w:cs="Arial"/>
        </w:rPr>
        <w:fldChar w:fldCharType="end"/>
      </w:r>
      <w:r w:rsidR="003C741B">
        <w:rPr>
          <w:rFonts w:ascii="Arial" w:hAnsi="Arial" w:cs="Arial"/>
        </w:rPr>
        <w:t xml:space="preserve"> and therefore r</w:t>
      </w:r>
      <w:r w:rsidR="005074EA">
        <w:rPr>
          <w:rFonts w:ascii="Arial" w:hAnsi="Arial" w:cs="Arial"/>
        </w:rPr>
        <w:t xml:space="preserve">educing </w:t>
      </w:r>
      <w:r w:rsidR="008A5F79">
        <w:rPr>
          <w:rFonts w:ascii="Arial" w:hAnsi="Arial" w:cs="Arial"/>
        </w:rPr>
        <w:t>medication related errors</w:t>
      </w:r>
      <w:r w:rsidR="005074EA">
        <w:rPr>
          <w:rFonts w:ascii="Arial" w:hAnsi="Arial" w:cs="Arial"/>
        </w:rPr>
        <w:t xml:space="preserve"> is an important area to focus intervention.</w:t>
      </w:r>
    </w:p>
    <w:p w14:paraId="25957394" w14:textId="77777777" w:rsidR="0069683A" w:rsidRPr="0069683A" w:rsidRDefault="0069683A" w:rsidP="0069683A">
      <w:pPr>
        <w:pStyle w:val="NormalWeb"/>
        <w:spacing w:before="0" w:beforeAutospacing="0" w:after="0" w:afterAutospacing="0"/>
        <w:rPr>
          <w:rFonts w:ascii="Arial" w:hAnsi="Arial" w:cs="Arial"/>
        </w:rPr>
      </w:pPr>
    </w:p>
    <w:p w14:paraId="53EAC4A4" w14:textId="35C65364" w:rsidR="000B6FB7" w:rsidRDefault="00787308" w:rsidP="004C3800">
      <w:pPr>
        <w:pStyle w:val="NormalWeb"/>
        <w:spacing w:before="0" w:beforeAutospacing="0" w:after="0" w:afterAutospacing="0"/>
        <w:rPr>
          <w:rFonts w:ascii="Arial" w:hAnsi="Arial" w:cs="Arial"/>
          <w:lang w:val="en-US"/>
        </w:rPr>
      </w:pPr>
      <w:r w:rsidRPr="00AF06EC">
        <w:rPr>
          <w:rFonts w:ascii="Arial" w:hAnsi="Arial" w:cs="Arial"/>
          <w:lang w:val="en-US"/>
        </w:rPr>
        <w:t>Within</w:t>
      </w:r>
      <w:r w:rsidR="00580BD7" w:rsidRPr="00AF06EC">
        <w:rPr>
          <w:rFonts w:ascii="Arial" w:hAnsi="Arial" w:cs="Arial"/>
          <w:lang w:val="en-US"/>
        </w:rPr>
        <w:t xml:space="preserve"> secondary care</w:t>
      </w:r>
      <w:r w:rsidR="009223CA">
        <w:rPr>
          <w:rFonts w:ascii="Arial" w:hAnsi="Arial" w:cs="Arial"/>
          <w:lang w:val="en-US"/>
        </w:rPr>
        <w:t>,</w:t>
      </w:r>
      <w:r w:rsidR="00580BD7" w:rsidRPr="00AF06EC">
        <w:rPr>
          <w:rFonts w:ascii="Arial" w:hAnsi="Arial" w:cs="Arial"/>
          <w:lang w:val="en-US"/>
        </w:rPr>
        <w:t xml:space="preserve"> medicines prescribing has traditionally been paper based and </w:t>
      </w:r>
      <w:r w:rsidR="00274335" w:rsidRPr="00AF06EC">
        <w:rPr>
          <w:rFonts w:ascii="Arial" w:hAnsi="Arial" w:cs="Arial"/>
          <w:lang w:val="en-US"/>
        </w:rPr>
        <w:t xml:space="preserve">is in the process of </w:t>
      </w:r>
      <w:r w:rsidR="00094251" w:rsidRPr="00AF06EC">
        <w:rPr>
          <w:rFonts w:ascii="Arial" w:hAnsi="Arial" w:cs="Arial"/>
          <w:lang w:val="en-US"/>
        </w:rPr>
        <w:t>transforming</w:t>
      </w:r>
      <w:r w:rsidR="00274335" w:rsidRPr="00AF06EC">
        <w:rPr>
          <w:rFonts w:ascii="Arial" w:hAnsi="Arial" w:cs="Arial"/>
          <w:lang w:val="en-US"/>
        </w:rPr>
        <w:t xml:space="preserve"> over to a digital </w:t>
      </w:r>
      <w:r w:rsidR="00094251" w:rsidRPr="00AF06EC">
        <w:rPr>
          <w:rFonts w:ascii="Arial" w:hAnsi="Arial" w:cs="Arial"/>
          <w:lang w:val="en-US"/>
        </w:rPr>
        <w:t xml:space="preserve">solution, </w:t>
      </w:r>
      <w:r w:rsidR="006A0C27">
        <w:rPr>
          <w:rFonts w:ascii="Arial" w:hAnsi="Arial" w:cs="Arial"/>
          <w:lang w:val="en-US"/>
        </w:rPr>
        <w:t xml:space="preserve">namely, </w:t>
      </w:r>
      <w:r w:rsidR="00094251" w:rsidRPr="00AF06EC">
        <w:rPr>
          <w:rFonts w:ascii="Arial" w:hAnsi="Arial" w:cs="Arial"/>
          <w:lang w:val="en-US"/>
        </w:rPr>
        <w:t>electronic prescribing and medicines administration (ePMA)</w:t>
      </w:r>
      <w:r w:rsidR="00385BF1" w:rsidRPr="00AF06EC">
        <w:rPr>
          <w:rFonts w:ascii="Arial" w:hAnsi="Arial" w:cs="Arial"/>
          <w:lang w:val="en-US"/>
        </w:rPr>
        <w:t xml:space="preserve"> systems.  </w:t>
      </w:r>
      <w:r w:rsidR="00812E1F" w:rsidRPr="00AF06EC">
        <w:rPr>
          <w:rFonts w:ascii="Arial" w:hAnsi="Arial" w:cs="Arial"/>
          <w:lang w:val="en-US"/>
        </w:rPr>
        <w:t>These systems</w:t>
      </w:r>
      <w:r w:rsidR="00385BF1" w:rsidRPr="00AF06EC">
        <w:rPr>
          <w:rFonts w:ascii="Arial" w:hAnsi="Arial" w:cs="Arial"/>
          <w:lang w:val="en-US"/>
        </w:rPr>
        <w:t xml:space="preserve"> bring with them complete change in </w:t>
      </w:r>
      <w:r w:rsidR="003C36BA" w:rsidRPr="00AF06EC">
        <w:rPr>
          <w:rFonts w:ascii="Arial" w:hAnsi="Arial" w:cs="Arial"/>
          <w:lang w:val="en-US"/>
        </w:rPr>
        <w:t>the way prescribing and administration occurs in the hospital setting</w:t>
      </w:r>
      <w:r w:rsidR="004D7B32">
        <w:rPr>
          <w:rFonts w:ascii="Arial" w:hAnsi="Arial" w:cs="Arial"/>
          <w:lang w:val="en-US"/>
        </w:rPr>
        <w:t xml:space="preserve"> and </w:t>
      </w:r>
      <w:r w:rsidR="00BA5015">
        <w:rPr>
          <w:rFonts w:ascii="Arial" w:hAnsi="Arial" w:cs="Arial"/>
          <w:lang w:val="en-US"/>
        </w:rPr>
        <w:t xml:space="preserve">often combine prescribing electronically with </w:t>
      </w:r>
      <w:r w:rsidR="002916A3">
        <w:rPr>
          <w:rFonts w:ascii="Arial" w:hAnsi="Arial" w:cs="Arial"/>
          <w:lang w:val="en-US"/>
        </w:rPr>
        <w:t>basic medication related CDS</w:t>
      </w:r>
      <w:r w:rsidR="004A1518">
        <w:rPr>
          <w:rFonts w:ascii="Arial" w:hAnsi="Arial" w:cs="Arial"/>
          <w:lang w:val="en-US"/>
        </w:rPr>
        <w:t xml:space="preserve"> and the promise of safer prescribing </w:t>
      </w:r>
      <w:r w:rsidR="000B531A">
        <w:rPr>
          <w:rFonts w:ascii="Arial" w:hAnsi="Arial" w:cs="Arial"/>
          <w:lang w:val="en-US"/>
        </w:rPr>
        <w:fldChar w:fldCharType="begin"/>
      </w:r>
      <w:r w:rsidR="000B531A">
        <w:rPr>
          <w:rFonts w:ascii="Arial" w:hAnsi="Arial" w:cs="Arial"/>
          <w:lang w:val="en-US"/>
        </w:rPr>
        <w:instrText xml:space="preserve"> ADDIN EN.CITE &lt;EndNote&gt;&lt;Cite&gt;&lt;Author&gt;Nuckols&lt;/Author&gt;&lt;Year&gt;2014&lt;/Year&gt;&lt;RecNum&gt;391&lt;/RecNum&gt;&lt;DisplayText&gt;(Nuckols&lt;style face="italic"&gt; et al.&lt;/style&gt;, 2014)&lt;/DisplayText&gt;&lt;record&gt;&lt;rec-number&gt;391&lt;/rec-number&gt;&lt;foreign-keys&gt;&lt;key app="EN" db-id="wxra20f03dt20kepwrwvfa0mvpxxeeezfaaz" timestamp="1672743854"&gt;391&lt;/key&gt;&lt;/foreign-keys&gt;&lt;ref-type name="Journal Article"&gt;17&lt;/ref-type&gt;&lt;contributors&gt;&lt;authors&gt;&lt;author&gt;Nuckols, Teryl K.&lt;/author&gt;&lt;author&gt;Smith-Spangler, Crystal&lt;/author&gt;&lt;author&gt;Morton, Sally C.&lt;/author&gt;&lt;author&gt;Asch, Steven M.&lt;/author&gt;&lt;author&gt;Patel, Vaspaan M.&lt;/author&gt;&lt;author&gt;Anderson, Laura J.&lt;/author&gt;&lt;author&gt;Deichsel, Emily L.&lt;/author&gt;&lt;author&gt;Shekelle, Paul G.&lt;/author&gt;&lt;/authors&gt;&lt;/contributors&gt;&lt;titles&gt;&lt;title&gt;The effectiveness of computerized order entry at reducing preventable adverse drug events and medication errors in hospital settings: a systematic review and meta-analysis&lt;/title&gt;&lt;secondary-title&gt;Systematic Reviews&lt;/secondary-title&gt;&lt;/titles&gt;&lt;periodical&gt;&lt;full-title&gt;Systematic Reviews&lt;/full-title&gt;&lt;/periodical&gt;&lt;pages&gt;56&lt;/pages&gt;&lt;volume&gt;3&lt;/volume&gt;&lt;number&gt;1&lt;/number&gt;&lt;dates&gt;&lt;year&gt;2014&lt;/year&gt;&lt;/dates&gt;&lt;publisher&gt;Springer Science and Business Media LLC&lt;/publisher&gt;&lt;isbn&gt;2046-4053&lt;/isbn&gt;&lt;urls&gt;&lt;related-urls&gt;&lt;url&gt;https://dx.doi.org/10.1186/2046-4053-3-56&lt;/url&gt;&lt;/related-urls&gt;&lt;/urls&gt;&lt;electronic-resource-num&gt;10.1186/2046-4053-3-56&lt;/electronic-resource-num&gt;&lt;/record&gt;&lt;/Cite&gt;&lt;/EndNote&gt;</w:instrText>
      </w:r>
      <w:r w:rsidR="000B531A">
        <w:rPr>
          <w:rFonts w:ascii="Arial" w:hAnsi="Arial" w:cs="Arial"/>
          <w:lang w:val="en-US"/>
        </w:rPr>
        <w:fldChar w:fldCharType="separate"/>
      </w:r>
      <w:r w:rsidR="000B531A">
        <w:rPr>
          <w:rFonts w:ascii="Arial" w:hAnsi="Arial" w:cs="Arial"/>
          <w:noProof/>
          <w:lang w:val="en-US"/>
        </w:rPr>
        <w:t>(Nuckols</w:t>
      </w:r>
      <w:r w:rsidR="000B531A" w:rsidRPr="000B531A">
        <w:rPr>
          <w:rFonts w:ascii="Arial" w:hAnsi="Arial" w:cs="Arial"/>
          <w:i/>
          <w:noProof/>
          <w:lang w:val="en-US"/>
        </w:rPr>
        <w:t xml:space="preserve"> et al.</w:t>
      </w:r>
      <w:r w:rsidR="000B531A">
        <w:rPr>
          <w:rFonts w:ascii="Arial" w:hAnsi="Arial" w:cs="Arial"/>
          <w:noProof/>
          <w:lang w:val="en-US"/>
        </w:rPr>
        <w:t>, 2014)</w:t>
      </w:r>
      <w:r w:rsidR="000B531A">
        <w:rPr>
          <w:rFonts w:ascii="Arial" w:hAnsi="Arial" w:cs="Arial"/>
          <w:lang w:val="en-US"/>
        </w:rPr>
        <w:fldChar w:fldCharType="end"/>
      </w:r>
      <w:r w:rsidR="003C36BA" w:rsidRPr="00AF06EC">
        <w:rPr>
          <w:rFonts w:ascii="Arial" w:hAnsi="Arial" w:cs="Arial"/>
          <w:lang w:val="en-US"/>
        </w:rPr>
        <w:t xml:space="preserve">.   </w:t>
      </w:r>
      <w:r w:rsidR="00A31C52">
        <w:rPr>
          <w:rFonts w:ascii="Arial" w:hAnsi="Arial" w:cs="Arial"/>
          <w:lang w:val="en-US"/>
        </w:rPr>
        <w:t xml:space="preserve">However, </w:t>
      </w:r>
      <w:r w:rsidR="003C36BA" w:rsidRPr="00AF06EC">
        <w:rPr>
          <w:rFonts w:ascii="Arial" w:hAnsi="Arial" w:cs="Arial"/>
          <w:lang w:val="en-US"/>
        </w:rPr>
        <w:t>Whilst many ePMA systems include decision support modules to guide prescribing and help the prescriber in decision making, there is a distinction between the support em</w:t>
      </w:r>
      <w:r w:rsidR="00D17C34" w:rsidRPr="00AF06EC">
        <w:rPr>
          <w:rFonts w:ascii="Arial" w:hAnsi="Arial" w:cs="Arial"/>
          <w:lang w:val="en-US"/>
        </w:rPr>
        <w:t xml:space="preserve">bedded in the configuration of the system itself – i.e. legible and selectable drug </w:t>
      </w:r>
      <w:r w:rsidR="00D17C34" w:rsidRPr="00AF06EC">
        <w:rPr>
          <w:rFonts w:ascii="Arial" w:hAnsi="Arial" w:cs="Arial"/>
          <w:lang w:val="en-US"/>
        </w:rPr>
        <w:lastRenderedPageBreak/>
        <w:t xml:space="preserve">lists, order sets, dosing and frequency </w:t>
      </w:r>
      <w:r w:rsidR="00AF6F02" w:rsidRPr="00AF06EC">
        <w:rPr>
          <w:rFonts w:ascii="Arial" w:hAnsi="Arial" w:cs="Arial"/>
          <w:lang w:val="en-US"/>
        </w:rPr>
        <w:t>presets etc. and that</w:t>
      </w:r>
      <w:r w:rsidR="0027346F" w:rsidRPr="00AF06EC">
        <w:rPr>
          <w:rFonts w:ascii="Arial" w:hAnsi="Arial" w:cs="Arial"/>
          <w:lang w:val="en-US"/>
        </w:rPr>
        <w:t xml:space="preserve">, that warns or notifies the prescriber in some way about </w:t>
      </w:r>
      <w:r w:rsidR="009548A7" w:rsidRPr="00AF06EC">
        <w:rPr>
          <w:rFonts w:ascii="Arial" w:hAnsi="Arial" w:cs="Arial"/>
          <w:lang w:val="en-US"/>
        </w:rPr>
        <w:t>conflicts or optimisation related medicine issues that may have an implication of the effect of the patients treatment, safety or outcome</w:t>
      </w:r>
      <w:r w:rsidR="00882378">
        <w:rPr>
          <w:rFonts w:ascii="Arial" w:hAnsi="Arial" w:cs="Arial"/>
          <w:lang w:val="en-US"/>
        </w:rPr>
        <w:t>; such as a severe drug interaction</w:t>
      </w:r>
      <w:r w:rsidR="008A5F79">
        <w:rPr>
          <w:rFonts w:ascii="Arial" w:hAnsi="Arial" w:cs="Arial"/>
          <w:lang w:val="en-US"/>
        </w:rPr>
        <w:t>.</w:t>
      </w:r>
      <w:r w:rsidR="003C741B">
        <w:rPr>
          <w:rFonts w:ascii="Arial" w:hAnsi="Arial" w:cs="Arial"/>
          <w:lang w:val="en-US"/>
        </w:rPr>
        <w:t xml:space="preserve">  </w:t>
      </w:r>
      <w:r w:rsidR="00424E05">
        <w:rPr>
          <w:rFonts w:ascii="Arial" w:hAnsi="Arial" w:cs="Arial"/>
          <w:lang w:val="en-US"/>
        </w:rPr>
        <w:t>In the lat</w:t>
      </w:r>
      <w:r w:rsidR="00C01D2A">
        <w:rPr>
          <w:rFonts w:ascii="Arial" w:hAnsi="Arial" w:cs="Arial"/>
          <w:lang w:val="en-US"/>
        </w:rPr>
        <w:t>t</w:t>
      </w:r>
      <w:r w:rsidR="00424E05">
        <w:rPr>
          <w:rFonts w:ascii="Arial" w:hAnsi="Arial" w:cs="Arial"/>
          <w:lang w:val="en-US"/>
        </w:rPr>
        <w:t xml:space="preserve">er there is furthermore an important distinction between </w:t>
      </w:r>
      <w:r w:rsidR="004319C1">
        <w:rPr>
          <w:rFonts w:ascii="Arial" w:hAnsi="Arial" w:cs="Arial"/>
          <w:lang w:val="en-US"/>
        </w:rPr>
        <w:t>following simple logic based “if</w:t>
      </w:r>
      <w:r w:rsidR="003C4A0E">
        <w:rPr>
          <w:rFonts w:ascii="Arial" w:hAnsi="Arial" w:cs="Arial"/>
          <w:lang w:val="en-US"/>
        </w:rPr>
        <w:t>/</w:t>
      </w:r>
      <w:r w:rsidR="004319C1">
        <w:rPr>
          <w:rFonts w:ascii="Arial" w:hAnsi="Arial" w:cs="Arial"/>
          <w:lang w:val="en-US"/>
        </w:rPr>
        <w:t>then”</w:t>
      </w:r>
      <w:r w:rsidR="003C4A0E">
        <w:rPr>
          <w:rFonts w:ascii="Arial" w:hAnsi="Arial" w:cs="Arial"/>
          <w:lang w:val="en-US"/>
        </w:rPr>
        <w:t xml:space="preserve"> </w:t>
      </w:r>
      <w:r w:rsidR="007A459F">
        <w:rPr>
          <w:rFonts w:ascii="Arial" w:hAnsi="Arial" w:cs="Arial"/>
          <w:lang w:val="en-US"/>
        </w:rPr>
        <w:t xml:space="preserve">rules to produce alerts or </w:t>
      </w:r>
      <w:r w:rsidR="00E76C06">
        <w:rPr>
          <w:rFonts w:ascii="Arial" w:hAnsi="Arial" w:cs="Arial"/>
          <w:lang w:val="en-US"/>
        </w:rPr>
        <w:t xml:space="preserve">focus attention </w:t>
      </w:r>
      <w:r w:rsidR="003C4A0E">
        <w:rPr>
          <w:rFonts w:ascii="Arial" w:hAnsi="Arial" w:cs="Arial"/>
          <w:lang w:val="en-US"/>
        </w:rPr>
        <w:t>and the more advanced</w:t>
      </w:r>
      <w:r w:rsidR="009915A2">
        <w:rPr>
          <w:rFonts w:ascii="Arial" w:hAnsi="Arial" w:cs="Arial"/>
          <w:lang w:val="en-US"/>
        </w:rPr>
        <w:t xml:space="preserve"> </w:t>
      </w:r>
      <w:r w:rsidR="003C4A0E">
        <w:rPr>
          <w:rFonts w:ascii="Arial" w:hAnsi="Arial" w:cs="Arial"/>
          <w:lang w:val="en-US"/>
        </w:rPr>
        <w:t xml:space="preserve">combination of </w:t>
      </w:r>
      <w:r w:rsidR="00E76C06">
        <w:rPr>
          <w:rFonts w:ascii="Arial" w:hAnsi="Arial" w:cs="Arial"/>
          <w:lang w:val="en-US"/>
        </w:rPr>
        <w:t xml:space="preserve">incorporating patient and disease related characteristics to recommend </w:t>
      </w:r>
      <w:r w:rsidR="00DC3A78">
        <w:rPr>
          <w:rFonts w:ascii="Arial" w:hAnsi="Arial" w:cs="Arial"/>
          <w:lang w:val="en-US"/>
        </w:rPr>
        <w:t>or avoid treatments</w:t>
      </w:r>
      <w:r w:rsidR="00A3112B">
        <w:rPr>
          <w:rFonts w:ascii="Arial" w:hAnsi="Arial" w:cs="Arial"/>
          <w:lang w:val="en-US"/>
        </w:rPr>
        <w:t xml:space="preserve"> based on parameters within decision trees  </w:t>
      </w:r>
      <w:r w:rsidR="004F5D76">
        <w:rPr>
          <w:rFonts w:ascii="Arial" w:hAnsi="Arial" w:cs="Arial"/>
          <w:lang w:val="en-US"/>
        </w:rPr>
        <w:fldChar w:fldCharType="begin"/>
      </w:r>
      <w:r w:rsidR="004F5D76">
        <w:rPr>
          <w:rFonts w:ascii="Arial" w:hAnsi="Arial" w:cs="Arial"/>
          <w:lang w:val="en-US"/>
        </w:rPr>
        <w:instrText xml:space="preserve"> ADDIN EN.CITE &lt;EndNote&gt;&lt;Cite&gt;&lt;Author&gt;Eppenga&lt;/Author&gt;&lt;Year&gt;2011&lt;/Year&gt;&lt;RecNum&gt;393&lt;/RecNum&gt;&lt;DisplayText&gt;(Eppenga&lt;style face="italic"&gt; et al.&lt;/style&gt;, 2011)&lt;/DisplayText&gt;&lt;record&gt;&lt;rec-number&gt;393&lt;/rec-number&gt;&lt;foreign-keys&gt;&lt;key app="EN" db-id="wxra20f03dt20kepwrwvfa0mvpxxeeezfaaz" timestamp="1672744787"&gt;393&lt;/key&gt;&lt;/foreign-keys&gt;&lt;ref-type name="Journal Article"&gt;17&lt;/ref-type&gt;&lt;contributors&gt;&lt;authors&gt;&lt;author&gt;Eppenga, Willemijn L&lt;/author&gt;&lt;author&gt;Derijks, Hieronymus J&lt;/author&gt;&lt;author&gt;Conemans, Jean M H&lt;/author&gt;&lt;author&gt;Hermens, Walter A J J&lt;/author&gt;&lt;author&gt;Wensing, Michel&lt;/author&gt;&lt;author&gt;De Smet, Peter A G M&lt;/author&gt;&lt;/authors&gt;&lt;/contributors&gt;&lt;titles&gt;&lt;title&gt;Comparison of a basic and an advanced pharmacotherapy-related clinical decision support system in a hospital care setting in the Netherlands&lt;/title&gt;&lt;secondary-title&gt;Journal of the American Medical Informatics Association&lt;/secondary-title&gt;&lt;/titles&gt;&lt;periodical&gt;&lt;full-title&gt;Journal of the American Medical Informatics Association&lt;/full-title&gt;&lt;/periodical&gt;&lt;pages&gt;66-71&lt;/pages&gt;&lt;volume&gt;19&lt;/volume&gt;&lt;number&gt;1&lt;/number&gt;&lt;dates&gt;&lt;year&gt;2011&lt;/year&gt;&lt;/dates&gt;&lt;isbn&gt;1067-5027&lt;/isbn&gt;&lt;urls&gt;&lt;related-urls&gt;&lt;url&gt;https://doi.org/10.1136/amiajnl-2011-000360&lt;/url&gt;&lt;/related-urls&gt;&lt;/urls&gt;&lt;electronic-resource-num&gt;10.1136/amiajnl-2011-000360&lt;/electronic-resource-num&gt;&lt;access-date&gt;1/3/2023&lt;/access-date&gt;&lt;/record&gt;&lt;/Cite&gt;&lt;/EndNote&gt;</w:instrText>
      </w:r>
      <w:r w:rsidR="004F5D76">
        <w:rPr>
          <w:rFonts w:ascii="Arial" w:hAnsi="Arial" w:cs="Arial"/>
          <w:lang w:val="en-US"/>
        </w:rPr>
        <w:fldChar w:fldCharType="separate"/>
      </w:r>
      <w:r w:rsidR="004F5D76">
        <w:rPr>
          <w:rFonts w:ascii="Arial" w:hAnsi="Arial" w:cs="Arial"/>
          <w:noProof/>
          <w:lang w:val="en-US"/>
        </w:rPr>
        <w:t>(Eppenga</w:t>
      </w:r>
      <w:r w:rsidR="004F5D76" w:rsidRPr="004F5D76">
        <w:rPr>
          <w:rFonts w:ascii="Arial" w:hAnsi="Arial" w:cs="Arial"/>
          <w:i/>
          <w:noProof/>
          <w:lang w:val="en-US"/>
        </w:rPr>
        <w:t xml:space="preserve"> et al.</w:t>
      </w:r>
      <w:r w:rsidR="004F5D76">
        <w:rPr>
          <w:rFonts w:ascii="Arial" w:hAnsi="Arial" w:cs="Arial"/>
          <w:noProof/>
          <w:lang w:val="en-US"/>
        </w:rPr>
        <w:t>, 2011)</w:t>
      </w:r>
      <w:r w:rsidR="004F5D76">
        <w:rPr>
          <w:rFonts w:ascii="Arial" w:hAnsi="Arial" w:cs="Arial"/>
          <w:lang w:val="en-US"/>
        </w:rPr>
        <w:fldChar w:fldCharType="end"/>
      </w:r>
      <w:r w:rsidR="00DC3A78">
        <w:rPr>
          <w:rFonts w:ascii="Arial" w:hAnsi="Arial" w:cs="Arial"/>
          <w:lang w:val="en-US"/>
        </w:rPr>
        <w:t xml:space="preserve">.  </w:t>
      </w:r>
      <w:r w:rsidR="00971697">
        <w:rPr>
          <w:rFonts w:ascii="Arial" w:hAnsi="Arial" w:cs="Arial"/>
          <w:lang w:val="en-US"/>
        </w:rPr>
        <w:t xml:space="preserve">  </w:t>
      </w:r>
      <w:r w:rsidR="00F71B08">
        <w:rPr>
          <w:rFonts w:ascii="Arial" w:hAnsi="Arial" w:cs="Arial"/>
          <w:lang w:val="en-US"/>
        </w:rPr>
        <w:t xml:space="preserve">Basic level CDS should be able to offer </w:t>
      </w:r>
      <w:r w:rsidR="006D62D3">
        <w:rPr>
          <w:rFonts w:ascii="Arial" w:hAnsi="Arial" w:cs="Arial"/>
          <w:lang w:val="en-US"/>
        </w:rPr>
        <w:t xml:space="preserve">drug-drug interaction checking (DDI), </w:t>
      </w:r>
      <w:r w:rsidR="00F73E32">
        <w:rPr>
          <w:rFonts w:ascii="Arial" w:hAnsi="Arial" w:cs="Arial"/>
          <w:lang w:val="en-US"/>
        </w:rPr>
        <w:t>dose guidance, duplication checking</w:t>
      </w:r>
      <w:r w:rsidR="00C318D7">
        <w:rPr>
          <w:rFonts w:ascii="Arial" w:hAnsi="Arial" w:cs="Arial"/>
          <w:lang w:val="en-US"/>
        </w:rPr>
        <w:t xml:space="preserve">, dose reference and formulary (drug choice) </w:t>
      </w:r>
      <w:r w:rsidR="006E7903">
        <w:rPr>
          <w:rFonts w:ascii="Arial" w:hAnsi="Arial" w:cs="Arial"/>
          <w:lang w:val="en-US"/>
        </w:rPr>
        <w:t xml:space="preserve">support </w:t>
      </w:r>
      <w:r w:rsidR="006E7903">
        <w:rPr>
          <w:rFonts w:ascii="Arial" w:hAnsi="Arial" w:cs="Arial"/>
          <w:lang w:val="en-US"/>
        </w:rPr>
        <w:fldChar w:fldCharType="begin">
          <w:fldData xml:space="preserve">PEVuZE5vdGU+PENpdGU+PEF1dGhvcj5LdXBlcm1hbjwvQXV0aG9yPjxZZWFyPjIwMDc8L1llYXI+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</w:fldData>
        </w:fldChar>
      </w:r>
      <w:r w:rsidR="006E7903">
        <w:rPr>
          <w:rFonts w:ascii="Arial" w:hAnsi="Arial" w:cs="Arial"/>
          <w:lang w:val="en-US"/>
        </w:rPr>
        <w:instrText xml:space="preserve"> ADDIN EN.CITE </w:instrText>
      </w:r>
      <w:r w:rsidR="006E7903">
        <w:rPr>
          <w:rFonts w:ascii="Arial" w:hAnsi="Arial" w:cs="Arial"/>
          <w:lang w:val="en-US"/>
        </w:rPr>
        <w:fldChar w:fldCharType="begin">
          <w:fldData xml:space="preserve">PEVuZE5vdGU+PENpdGU+PEF1dGhvcj5LdXBlcm1hbjwvQXV0aG9yPjxZZWFyPjIwMDc8L1llYXI+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</w:fldData>
        </w:fldChar>
      </w:r>
      <w:r w:rsidR="006E7903">
        <w:rPr>
          <w:rFonts w:ascii="Arial" w:hAnsi="Arial" w:cs="Arial"/>
          <w:lang w:val="en-US"/>
        </w:rPr>
        <w:instrText xml:space="preserve"> ADDIN EN.CITE.DATA </w:instrText>
      </w:r>
      <w:r w:rsidR="006E7903">
        <w:rPr>
          <w:rFonts w:ascii="Arial" w:hAnsi="Arial" w:cs="Arial"/>
          <w:lang w:val="en-US"/>
        </w:rPr>
      </w:r>
      <w:r w:rsidR="006E7903">
        <w:rPr>
          <w:rFonts w:ascii="Arial" w:hAnsi="Arial" w:cs="Arial"/>
          <w:lang w:val="en-US"/>
        </w:rPr>
        <w:fldChar w:fldCharType="end"/>
      </w:r>
      <w:r w:rsidR="006E7903">
        <w:rPr>
          <w:rFonts w:ascii="Arial" w:hAnsi="Arial" w:cs="Arial"/>
          <w:lang w:val="en-US"/>
        </w:rPr>
      </w:r>
      <w:r w:rsidR="006E7903">
        <w:rPr>
          <w:rFonts w:ascii="Arial" w:hAnsi="Arial" w:cs="Arial"/>
          <w:lang w:val="en-US"/>
        </w:rPr>
        <w:fldChar w:fldCharType="separate"/>
      </w:r>
      <w:r w:rsidR="006E7903">
        <w:rPr>
          <w:rFonts w:ascii="Arial" w:hAnsi="Arial" w:cs="Arial"/>
          <w:noProof/>
          <w:lang w:val="en-US"/>
        </w:rPr>
        <w:t>(Kuperman</w:t>
      </w:r>
      <w:r w:rsidR="006E7903" w:rsidRPr="006E7903">
        <w:rPr>
          <w:rFonts w:ascii="Arial" w:hAnsi="Arial" w:cs="Arial"/>
          <w:i/>
          <w:noProof/>
          <w:lang w:val="en-US"/>
        </w:rPr>
        <w:t xml:space="preserve"> et al.</w:t>
      </w:r>
      <w:r w:rsidR="006E7903">
        <w:rPr>
          <w:rFonts w:ascii="Arial" w:hAnsi="Arial" w:cs="Arial"/>
          <w:noProof/>
          <w:lang w:val="en-US"/>
        </w:rPr>
        <w:t>, 2007)</w:t>
      </w:r>
      <w:r w:rsidR="006E7903">
        <w:rPr>
          <w:rFonts w:ascii="Arial" w:hAnsi="Arial" w:cs="Arial"/>
          <w:lang w:val="en-US"/>
        </w:rPr>
        <w:fldChar w:fldCharType="end"/>
      </w:r>
      <w:r w:rsidR="006E7903">
        <w:rPr>
          <w:rFonts w:ascii="Arial" w:hAnsi="Arial" w:cs="Arial"/>
          <w:lang w:val="en-US"/>
        </w:rPr>
        <w:t xml:space="preserve">.  </w:t>
      </w:r>
      <w:r w:rsidR="00DF42AE">
        <w:rPr>
          <w:rFonts w:ascii="Arial" w:hAnsi="Arial" w:cs="Arial"/>
          <w:lang w:val="en-US"/>
        </w:rPr>
        <w:t>Whereas advanced</w:t>
      </w:r>
      <w:r w:rsidR="00361C0B">
        <w:rPr>
          <w:rFonts w:ascii="Arial" w:hAnsi="Arial" w:cs="Arial"/>
          <w:lang w:val="en-US"/>
        </w:rPr>
        <w:t xml:space="preserve"> level CDS should be able to utilise characteristics such as certain disease states such as renal impairment</w:t>
      </w:r>
      <w:r w:rsidR="00BF2915">
        <w:rPr>
          <w:rFonts w:ascii="Arial" w:hAnsi="Arial" w:cs="Arial"/>
          <w:lang w:val="en-US"/>
        </w:rPr>
        <w:t xml:space="preserve"> or certain electrolyte blood levels</w:t>
      </w:r>
      <w:r w:rsidR="00361C0B">
        <w:rPr>
          <w:rFonts w:ascii="Arial" w:hAnsi="Arial" w:cs="Arial"/>
          <w:lang w:val="en-US"/>
        </w:rPr>
        <w:t xml:space="preserve"> that may </w:t>
      </w:r>
      <w:r w:rsidR="00BF2915">
        <w:rPr>
          <w:rFonts w:ascii="Arial" w:hAnsi="Arial" w:cs="Arial"/>
          <w:lang w:val="en-US"/>
        </w:rPr>
        <w:t xml:space="preserve">increase the toxicity of medicines, to genetic </w:t>
      </w:r>
      <w:r w:rsidR="000B6FB7">
        <w:rPr>
          <w:rFonts w:ascii="Arial" w:hAnsi="Arial" w:cs="Arial"/>
          <w:lang w:val="en-US"/>
        </w:rPr>
        <w:t>indicators that may pre-dispose a patient to either a positive or negative effect of medication (pharmacogenomics).</w:t>
      </w:r>
    </w:p>
    <w:p w14:paraId="2E68F3D8" w14:textId="77777777" w:rsidR="00A31C52" w:rsidRDefault="00A31C52" w:rsidP="004C3800">
      <w:pPr>
        <w:pStyle w:val="NormalWeb"/>
        <w:spacing w:before="0" w:beforeAutospacing="0" w:after="0" w:afterAutospacing="0"/>
        <w:rPr>
          <w:rFonts w:ascii="Arial" w:hAnsi="Arial" w:cs="Arial"/>
          <w:lang w:val="en-US"/>
        </w:rPr>
      </w:pPr>
    </w:p>
    <w:p w14:paraId="475799B3" w14:textId="431936C7" w:rsidR="005C272E" w:rsidRPr="00E93290" w:rsidRDefault="00C01D2A" w:rsidP="00E93290">
      <w:pPr>
        <w:pStyle w:val="NormalWeb"/>
        <w:spacing w:before="0" w:beforeAutospacing="0" w:after="0" w:afterAutospacing="0"/>
        <w:rPr>
          <w:rFonts w:ascii="Arial" w:hAnsi="Arial" w:cs="Arial"/>
          <w:lang w:val="en-US"/>
        </w:rPr>
      </w:pPr>
      <w:r>
        <w:rPr>
          <w:rFonts w:ascii="Arial" w:hAnsi="Arial" w:cs="Arial"/>
        </w:rPr>
        <w:t xml:space="preserve">This paper will </w:t>
      </w:r>
      <w:r w:rsidR="00CC3608">
        <w:rPr>
          <w:rFonts w:ascii="Arial" w:hAnsi="Arial" w:cs="Arial"/>
          <w:lang w:val="en-US"/>
        </w:rPr>
        <w:t>focus</w:t>
      </w:r>
      <w:r>
        <w:rPr>
          <w:rFonts w:ascii="Arial" w:hAnsi="Arial" w:cs="Arial"/>
          <w:lang w:val="en-US"/>
        </w:rPr>
        <w:t xml:space="preserve"> on </w:t>
      </w:r>
      <w:r w:rsidR="00130C9A">
        <w:rPr>
          <w:rFonts w:ascii="Arial" w:hAnsi="Arial" w:cs="Arial"/>
          <w:lang w:val="en-US"/>
        </w:rPr>
        <w:t xml:space="preserve">the use of decision </w:t>
      </w:r>
      <w:r w:rsidR="00130C9A" w:rsidRPr="00693EC8">
        <w:rPr>
          <w:rFonts w:ascii="Arial" w:hAnsi="Arial" w:cs="Arial"/>
          <w:lang w:val="en-US"/>
        </w:rPr>
        <w:t>support in the prescribing workflow within secondary care</w:t>
      </w:r>
      <w:r>
        <w:rPr>
          <w:rFonts w:ascii="Arial" w:hAnsi="Arial" w:cs="Arial"/>
          <w:lang w:val="en-US"/>
        </w:rPr>
        <w:t xml:space="preserve"> ePMA systems</w:t>
      </w:r>
      <w:r w:rsidR="0014675B">
        <w:rPr>
          <w:rFonts w:ascii="Arial" w:hAnsi="Arial" w:cs="Arial"/>
          <w:lang w:val="en-US"/>
        </w:rPr>
        <w:t xml:space="preserve">, which </w:t>
      </w:r>
      <w:r w:rsidR="002727A6">
        <w:rPr>
          <w:rFonts w:ascii="Arial" w:hAnsi="Arial" w:cs="Arial"/>
          <w:lang w:val="en-US"/>
        </w:rPr>
        <w:t xml:space="preserve">is </w:t>
      </w:r>
      <w:r w:rsidR="00F756EA">
        <w:rPr>
          <w:rFonts w:ascii="Arial" w:hAnsi="Arial" w:cs="Arial"/>
          <w:lang w:val="en-US"/>
        </w:rPr>
        <w:t xml:space="preserve">far from being perfected </w:t>
      </w:r>
      <w:r w:rsidR="002727A6">
        <w:rPr>
          <w:rFonts w:ascii="Arial" w:hAnsi="Arial" w:cs="Arial"/>
          <w:lang w:val="en-US"/>
        </w:rPr>
        <w:fldChar w:fldCharType="begin"/>
      </w:r>
      <w:r w:rsidR="002727A6">
        <w:rPr>
          <w:rFonts w:ascii="Arial" w:hAnsi="Arial" w:cs="Arial"/>
          <w:lang w:val="en-US"/>
        </w:rPr>
        <w:instrText xml:space="preserve"> ADDIN EN.CITE &lt;EndNote&gt;&lt;Cite&gt;&lt;Author&gt;Hussain&lt;/Author&gt;&lt;Year&gt;2019&lt;/Year&gt;&lt;RecNum&gt;514&lt;/RecNum&gt;&lt;DisplayText&gt;(Hussain&lt;style face="italic"&gt; et al.&lt;/style&gt;, 2019)&lt;/DisplayText&gt;&lt;record&gt;&lt;rec-number&gt;514&lt;/rec-number&gt;&lt;foreign-keys&gt;&lt;key app="EN" db-id="wxra20f03dt20kepwrwvfa0mvpxxeeezfaaz" timestamp="1674829033"&gt;514&lt;/key&gt;&lt;/foreign-keys&gt;&lt;ref-type name="Journal Article"&gt;17&lt;/ref-type&gt;&lt;contributors&gt;&lt;authors&gt;&lt;author&gt;Hussain, Mustafa I&lt;/author&gt;&lt;author&gt;Reynolds, Tera L&lt;/author&gt;&lt;author&gt;Zheng, Kai&lt;/author&gt;&lt;/authors&gt;&lt;/contributors&gt;&lt;titles&gt;&lt;title&gt;Medication safety alert fatigue may be reduced via interaction design and clinical role tailoring: a systematic review&lt;/title&gt;&lt;secondary-title&gt;Journal of the American Medical Informatics Association&lt;/secondary-title&gt;&lt;/titles&gt;&lt;periodical&gt;&lt;full-title&gt;Journal of the American Medical Informatics Association&lt;/full-title&gt;&lt;/periodical&gt;&lt;pages&gt;1141-1149&lt;/pages&gt;&lt;volume&gt;26&lt;/volume&gt;&lt;number&gt;10&lt;/number&gt;&lt;dates&gt;&lt;year&gt;2019&lt;/year&gt;&lt;/dates&gt;&lt;isbn&gt;1527-974X&lt;/isbn&gt;&lt;urls&gt;&lt;related-urls&gt;&lt;url&gt;https://doi.org/10.1093/jamia/ocz095&lt;/url&gt;&lt;/related-urls&gt;&lt;/urls&gt;&lt;electronic-resource-num&gt;10.1093/jamia/ocz095&lt;/electronic-resource-num&gt;&lt;access-date&gt;1/27/2023&lt;/access-date&gt;&lt;/record&gt;&lt;/Cite&gt;&lt;/EndNote&gt;</w:instrText>
      </w:r>
      <w:r w:rsidR="002727A6">
        <w:rPr>
          <w:rFonts w:ascii="Arial" w:hAnsi="Arial" w:cs="Arial"/>
          <w:lang w:val="en-US"/>
        </w:rPr>
        <w:fldChar w:fldCharType="separate"/>
      </w:r>
      <w:r w:rsidR="002727A6">
        <w:rPr>
          <w:rFonts w:ascii="Arial" w:hAnsi="Arial" w:cs="Arial"/>
          <w:noProof/>
          <w:lang w:val="en-US"/>
        </w:rPr>
        <w:t>(Hussain</w:t>
      </w:r>
      <w:r w:rsidR="002727A6" w:rsidRPr="002727A6">
        <w:rPr>
          <w:rFonts w:ascii="Arial" w:hAnsi="Arial" w:cs="Arial"/>
          <w:i/>
          <w:noProof/>
          <w:lang w:val="en-US"/>
        </w:rPr>
        <w:t xml:space="preserve"> et al.</w:t>
      </w:r>
      <w:r w:rsidR="002727A6">
        <w:rPr>
          <w:rFonts w:ascii="Arial" w:hAnsi="Arial" w:cs="Arial"/>
          <w:noProof/>
          <w:lang w:val="en-US"/>
        </w:rPr>
        <w:t>, 2019)</w:t>
      </w:r>
      <w:r w:rsidR="002727A6">
        <w:rPr>
          <w:rFonts w:ascii="Arial" w:hAnsi="Arial" w:cs="Arial"/>
          <w:lang w:val="en-US"/>
        </w:rPr>
        <w:fldChar w:fldCharType="end"/>
      </w:r>
      <w:r w:rsidR="00E93290" w:rsidRPr="00E93290">
        <w:rPr>
          <w:rFonts w:ascii="Arial" w:hAnsi="Arial" w:cs="Arial"/>
          <w:lang w:val="en-US"/>
        </w:rPr>
        <w:t xml:space="preserve">.  </w:t>
      </w:r>
      <w:r w:rsidR="00FF7115" w:rsidRPr="00E93290">
        <w:rPr>
          <w:rFonts w:ascii="Arial" w:hAnsi="Arial" w:cs="Arial"/>
        </w:rPr>
        <w:t xml:space="preserve">Decision support has the promise of being </w:t>
      </w:r>
      <w:r w:rsidR="000838D7" w:rsidRPr="00E93290">
        <w:rPr>
          <w:rFonts w:ascii="Arial" w:hAnsi="Arial" w:cs="Arial"/>
        </w:rPr>
        <w:t>able to improve medication safety</w:t>
      </w:r>
      <w:r w:rsidR="001A05B0">
        <w:rPr>
          <w:rFonts w:ascii="Arial" w:hAnsi="Arial" w:cs="Arial"/>
        </w:rPr>
        <w:t xml:space="preserve"> by helping to prevent </w:t>
      </w:r>
      <w:r w:rsidR="00480B0C">
        <w:rPr>
          <w:rFonts w:ascii="Arial" w:hAnsi="Arial" w:cs="Arial"/>
        </w:rPr>
        <w:t>medication related adverse drug events (ADRs),</w:t>
      </w:r>
      <w:r w:rsidR="000838D7" w:rsidRPr="00E93290">
        <w:rPr>
          <w:rFonts w:ascii="Arial" w:hAnsi="Arial" w:cs="Arial"/>
        </w:rPr>
        <w:t xml:space="preserve"> but there needs to be clear understanding on the outcome</w:t>
      </w:r>
      <w:r w:rsidR="00D4087C" w:rsidRPr="00E93290">
        <w:rPr>
          <w:rFonts w:ascii="Arial" w:hAnsi="Arial" w:cs="Arial"/>
        </w:rPr>
        <w:t xml:space="preserve"> and effect of the interposition imposed by </w:t>
      </w:r>
      <w:r w:rsidR="004C3800" w:rsidRPr="00E93290">
        <w:rPr>
          <w:rFonts w:ascii="Arial" w:hAnsi="Arial" w:cs="Arial"/>
        </w:rPr>
        <w:t>such systems in this area</w:t>
      </w:r>
      <w:r w:rsidR="002E4F0A">
        <w:rPr>
          <w:rFonts w:ascii="Arial" w:hAnsi="Arial" w:cs="Arial"/>
        </w:rPr>
        <w:t xml:space="preserve">.  </w:t>
      </w:r>
      <w:r w:rsidR="001A3942">
        <w:rPr>
          <w:rFonts w:ascii="Arial" w:hAnsi="Arial" w:cs="Arial"/>
        </w:rPr>
        <w:t xml:space="preserve">It will focus initially on </w:t>
      </w:r>
      <w:r w:rsidR="00B27D98">
        <w:rPr>
          <w:rFonts w:ascii="Arial" w:hAnsi="Arial" w:cs="Arial"/>
        </w:rPr>
        <w:t>an area of ePMA based decision support that is still being developed, namely cumulative dose checking</w:t>
      </w:r>
      <w:r w:rsidR="00135E5C">
        <w:rPr>
          <w:rFonts w:ascii="Arial" w:hAnsi="Arial" w:cs="Arial"/>
        </w:rPr>
        <w:t xml:space="preserve"> and </w:t>
      </w:r>
      <w:r w:rsidR="00B2796A">
        <w:rPr>
          <w:rFonts w:ascii="Arial" w:hAnsi="Arial" w:cs="Arial"/>
        </w:rPr>
        <w:t xml:space="preserve">as there is a limited amount </w:t>
      </w:r>
      <w:r w:rsidR="00E632A4">
        <w:rPr>
          <w:rFonts w:ascii="Arial" w:hAnsi="Arial" w:cs="Arial"/>
        </w:rPr>
        <w:t xml:space="preserve">of specific research in this area </w:t>
      </w:r>
      <w:r w:rsidR="001651FE">
        <w:rPr>
          <w:rFonts w:ascii="Arial" w:hAnsi="Arial" w:cs="Arial"/>
        </w:rPr>
        <w:t>will then</w:t>
      </w:r>
      <w:r w:rsidR="00135E5C">
        <w:rPr>
          <w:rFonts w:ascii="Arial" w:hAnsi="Arial" w:cs="Arial"/>
        </w:rPr>
        <w:t xml:space="preserve"> review the broader literature in relation to outcomes</w:t>
      </w:r>
      <w:r w:rsidR="001651FE">
        <w:rPr>
          <w:rFonts w:ascii="Arial" w:hAnsi="Arial" w:cs="Arial"/>
        </w:rPr>
        <w:t>.</w:t>
      </w:r>
      <w:r w:rsidR="0096603C">
        <w:rPr>
          <w:rFonts w:ascii="Arial" w:hAnsi="Arial" w:cs="Arial"/>
        </w:rPr>
        <w:t xml:space="preserve">  </w:t>
      </w:r>
    </w:p>
    <w:p w14:paraId="1C9E55C1" w14:textId="77777777" w:rsidR="00A2415A" w:rsidRDefault="00A2415A" w:rsidP="00787308">
      <w:pPr>
        <w:rPr>
          <w:rFonts w:cs="Arial"/>
        </w:rPr>
      </w:pPr>
    </w:p>
    <w:p w14:paraId="1F4F0CE2" w14:textId="0EB7B9B9" w:rsidR="006A21F1" w:rsidRDefault="006A21F1" w:rsidP="00787308">
      <w:pPr>
        <w:rPr>
          <w:rFonts w:cs="Arial"/>
        </w:rPr>
      </w:pPr>
    </w:p>
    <w:p w14:paraId="089EFFC9" w14:textId="25C17AAB" w:rsidR="000A0EE2" w:rsidRDefault="000A0EE2">
      <w:pPr>
        <w:rPr>
          <w:rFonts w:cs="Arial"/>
        </w:rPr>
      </w:pPr>
      <w:r>
        <w:rPr>
          <w:rFonts w:cs="Arial"/>
        </w:rPr>
        <w:br w:type="page"/>
      </w:r>
    </w:p>
    <w:p w14:paraId="0A8BAD51" w14:textId="77777777" w:rsidR="00204456" w:rsidRDefault="00204456" w:rsidP="00787308">
      <w:pPr>
        <w:rPr>
          <w:rFonts w:cs="Arial"/>
        </w:rPr>
      </w:pPr>
    </w:p>
    <w:p w14:paraId="0903B31A" w14:textId="4373B126" w:rsidR="0067693E" w:rsidRDefault="0067693E" w:rsidP="0067693E">
      <w:pPr>
        <w:pStyle w:val="Heading1"/>
        <w:rPr>
          <w:lang w:val="en-US"/>
        </w:rPr>
      </w:pPr>
      <w:bookmarkStart w:id="1" w:name="_Toc127881386"/>
      <w:r>
        <w:rPr>
          <w:lang w:val="en-US"/>
        </w:rPr>
        <w:t>Evidence Review</w:t>
      </w:r>
      <w:bookmarkEnd w:id="1"/>
    </w:p>
    <w:p w14:paraId="3771148B" w14:textId="7CB3C364" w:rsidR="00A42376" w:rsidRDefault="007C27E9" w:rsidP="0067693E">
      <w:pPr>
        <w:rPr>
          <w:lang w:val="en-US"/>
        </w:rPr>
      </w:pPr>
      <w:r>
        <w:rPr>
          <w:lang w:val="en-US"/>
        </w:rPr>
        <w:t xml:space="preserve">The </w:t>
      </w:r>
      <w:r w:rsidR="00A42376">
        <w:rPr>
          <w:lang w:val="en-US"/>
        </w:rPr>
        <w:t xml:space="preserve">evidence review </w:t>
      </w:r>
      <w:r w:rsidR="00EC51A4">
        <w:rPr>
          <w:lang w:val="en-US"/>
        </w:rPr>
        <w:t xml:space="preserve">sought to undertake </w:t>
      </w:r>
      <w:r w:rsidR="005C567E">
        <w:rPr>
          <w:rFonts w:cs="Arial"/>
          <w:lang w:val="en-US"/>
        </w:rPr>
        <w:t xml:space="preserve">a critical literature review covering </w:t>
      </w:r>
      <w:r w:rsidR="00EC51A4">
        <w:rPr>
          <w:rFonts w:cs="Arial"/>
          <w:lang w:val="en-US"/>
        </w:rPr>
        <w:t xml:space="preserve">the </w:t>
      </w:r>
      <w:r w:rsidR="005C567E">
        <w:rPr>
          <w:rFonts w:cs="Arial"/>
          <w:lang w:val="en-US"/>
        </w:rPr>
        <w:t>application of</w:t>
      </w:r>
      <w:r w:rsidR="00AB4AA0">
        <w:rPr>
          <w:rFonts w:cs="Arial"/>
          <w:lang w:val="en-US"/>
        </w:rPr>
        <w:t xml:space="preserve"> medicines related</w:t>
      </w:r>
      <w:r w:rsidR="005C567E">
        <w:rPr>
          <w:rFonts w:cs="Arial"/>
          <w:lang w:val="en-US"/>
        </w:rPr>
        <w:t xml:space="preserve"> decision support in </w:t>
      </w:r>
      <w:r w:rsidR="00EC51A4">
        <w:rPr>
          <w:rFonts w:cs="Arial"/>
          <w:lang w:val="en-US"/>
        </w:rPr>
        <w:t>e</w:t>
      </w:r>
      <w:r w:rsidR="00AB4AA0">
        <w:rPr>
          <w:rFonts w:cs="Arial"/>
          <w:lang w:val="en-US"/>
        </w:rPr>
        <w:t>lectronic prescribing and medicines administration (ePMA)</w:t>
      </w:r>
      <w:r w:rsidR="000E701D">
        <w:rPr>
          <w:rFonts w:cs="Arial"/>
          <w:lang w:val="en-US"/>
        </w:rPr>
        <w:t>, initially</w:t>
      </w:r>
      <w:r w:rsidR="001651FE">
        <w:rPr>
          <w:rFonts w:cs="Arial"/>
          <w:lang w:val="en-US"/>
        </w:rPr>
        <w:t xml:space="preserve"> focusing in on dose cum</w:t>
      </w:r>
      <w:r w:rsidR="006029C5">
        <w:rPr>
          <w:rFonts w:cs="Arial"/>
          <w:lang w:val="en-US"/>
        </w:rPr>
        <w:t>ulation support and then expanding to explore outcomes related data.</w:t>
      </w:r>
    </w:p>
    <w:p w14:paraId="1F3721BE" w14:textId="77777777" w:rsidR="000A0EE2" w:rsidRDefault="000A0EE2" w:rsidP="006B57E1">
      <w:pPr>
        <w:pStyle w:val="Heading2"/>
        <w:rPr>
          <w:lang w:val="en-US"/>
        </w:rPr>
      </w:pPr>
    </w:p>
    <w:p w14:paraId="27E921E5" w14:textId="2B84C2EF" w:rsidR="008C2696" w:rsidRDefault="008C2696" w:rsidP="006B57E1">
      <w:pPr>
        <w:pStyle w:val="Heading2"/>
        <w:rPr>
          <w:lang w:val="en-US"/>
        </w:rPr>
      </w:pPr>
      <w:bookmarkStart w:id="2" w:name="_Toc127881387"/>
      <w:r>
        <w:rPr>
          <w:lang w:val="en-US"/>
        </w:rPr>
        <w:t>Methods</w:t>
      </w:r>
      <w:bookmarkEnd w:id="2"/>
    </w:p>
    <w:p w14:paraId="0E004C53" w14:textId="77777777" w:rsidR="008C2696" w:rsidRPr="008C2696" w:rsidRDefault="008C2696" w:rsidP="008C2696">
      <w:pPr>
        <w:rPr>
          <w:lang w:val="en-US"/>
        </w:rPr>
      </w:pPr>
    </w:p>
    <w:p w14:paraId="067C5EDD" w14:textId="0DB6604B" w:rsidR="006029C5" w:rsidRPr="006029C5" w:rsidRDefault="00FD634B" w:rsidP="006029C5">
      <w:pPr>
        <w:pStyle w:val="Heading3"/>
        <w:rPr>
          <w:lang w:val="en-US"/>
        </w:rPr>
      </w:pPr>
      <w:bookmarkStart w:id="3" w:name="_Toc127881388"/>
      <w:r>
        <w:rPr>
          <w:lang w:val="en-US"/>
        </w:rPr>
        <w:t>Search Strategy</w:t>
      </w:r>
      <w:bookmarkEnd w:id="3"/>
    </w:p>
    <w:p w14:paraId="674C415A" w14:textId="25A137CD" w:rsidR="001C71F5" w:rsidRDefault="00DD0E8C" w:rsidP="006B57E1">
      <w:pPr>
        <w:pStyle w:val="NormalWeb"/>
        <w:spacing w:before="0" w:beforeAutospacing="0" w:after="0" w:afterAutospacing="0"/>
        <w:rPr>
          <w:rFonts w:ascii="Arial" w:hAnsi="Arial" w:cs="Arial"/>
          <w:lang w:val="en-US"/>
        </w:rPr>
      </w:pPr>
      <w:r>
        <w:rPr>
          <w:rFonts w:ascii="Arial" w:hAnsi="Arial" w:cs="Arial"/>
          <w:lang w:val="en-US"/>
        </w:rPr>
        <w:t>A</w:t>
      </w:r>
      <w:r w:rsidR="006B57E1">
        <w:rPr>
          <w:rFonts w:ascii="Arial" w:hAnsi="Arial" w:cs="Arial"/>
          <w:lang w:val="en-US"/>
        </w:rPr>
        <w:t xml:space="preserve"> search strategy was developed for the Ovid </w:t>
      </w:r>
      <w:r w:rsidR="00895F4C">
        <w:rPr>
          <w:rFonts w:ascii="Arial" w:hAnsi="Arial" w:cs="Arial"/>
          <w:lang w:val="en-US"/>
        </w:rPr>
        <w:t>Journals Database</w:t>
      </w:r>
      <w:r w:rsidR="006B57E1">
        <w:rPr>
          <w:rFonts w:ascii="Arial" w:hAnsi="Arial" w:cs="Arial"/>
          <w:lang w:val="en-US"/>
        </w:rPr>
        <w:t>, Medline, Embase</w:t>
      </w:r>
      <w:r w:rsidR="00895F4C">
        <w:rPr>
          <w:rFonts w:ascii="Arial" w:hAnsi="Arial" w:cs="Arial"/>
          <w:lang w:val="en-US"/>
        </w:rPr>
        <w:t xml:space="preserve"> and</w:t>
      </w:r>
      <w:r w:rsidR="006B57E1">
        <w:rPr>
          <w:rFonts w:ascii="Arial" w:hAnsi="Arial" w:cs="Arial"/>
          <w:lang w:val="en-US"/>
        </w:rPr>
        <w:t xml:space="preserve"> NHS Wales Full Text Journals</w:t>
      </w:r>
      <w:r w:rsidR="002A2846">
        <w:rPr>
          <w:rFonts w:ascii="Arial" w:hAnsi="Arial" w:cs="Arial"/>
          <w:lang w:val="en-US"/>
        </w:rPr>
        <w:t xml:space="preserve">, using the search terms in </w:t>
      </w:r>
      <w:r w:rsidR="002E0119">
        <w:rPr>
          <w:rFonts w:ascii="Arial" w:hAnsi="Arial" w:cs="Arial"/>
          <w:lang w:val="en-US"/>
        </w:rPr>
        <w:t>T</w:t>
      </w:r>
      <w:r w:rsidR="002A2846">
        <w:rPr>
          <w:rFonts w:ascii="Arial" w:hAnsi="Arial" w:cs="Arial"/>
          <w:lang w:val="en-US"/>
        </w:rPr>
        <w:t>able 1.</w:t>
      </w:r>
      <w:r w:rsidR="00A81059">
        <w:rPr>
          <w:rFonts w:ascii="Arial" w:hAnsi="Arial" w:cs="Arial"/>
          <w:lang w:val="en-US"/>
        </w:rPr>
        <w:t xml:space="preserve">  For cumulative dose functionality these terms were then combined in strategies outlined in Table 2 and a similar approach was taken to explore outcomes related data</w:t>
      </w:r>
      <w:r w:rsidR="00642350">
        <w:rPr>
          <w:rFonts w:ascii="Arial" w:hAnsi="Arial" w:cs="Arial"/>
          <w:lang w:val="en-US"/>
        </w:rPr>
        <w:t xml:space="preserve"> see Figure 1.</w:t>
      </w:r>
    </w:p>
    <w:p w14:paraId="4F3CFADA" w14:textId="0D6D48A4" w:rsidR="00A42376" w:rsidRDefault="00A42376" w:rsidP="00A42376">
      <w:pPr>
        <w:pStyle w:val="NormalWeb"/>
        <w:spacing w:before="0" w:beforeAutospacing="0" w:after="0" w:afterAutospacing="0"/>
        <w:rPr>
          <w:rFonts w:ascii="Arial" w:hAnsi="Arial" w:cs="Arial"/>
          <w:lang w:val="en-US"/>
        </w:rPr>
      </w:pPr>
    </w:p>
    <w:p w14:paraId="1EA2D165" w14:textId="28E090BB" w:rsidR="00A42376" w:rsidRDefault="00A42376" w:rsidP="00A42376">
      <w:pPr>
        <w:pStyle w:val="NormalWeb"/>
        <w:spacing w:before="0" w:beforeAutospacing="0" w:after="0" w:afterAutospacing="0"/>
        <w:rPr>
          <w:rFonts w:ascii="Arial" w:hAnsi="Arial" w:cs="Arial"/>
          <w:lang w:val="en-US"/>
        </w:rPr>
      </w:pPr>
    </w:p>
    <w:tbl>
      <w:tblPr>
        <w:tblStyle w:val="TableGrid"/>
        <w:tblW w:w="0" w:type="auto"/>
        <w:tblLook w:val="04A0" w:firstRow="1" w:lastRow="0" w:firstColumn="1" w:lastColumn="0" w:noHBand="0" w:noVBand="1"/>
      </w:tblPr>
      <w:tblGrid>
        <w:gridCol w:w="3184"/>
        <w:gridCol w:w="3249"/>
        <w:gridCol w:w="2583"/>
      </w:tblGrid>
      <w:tr w:rsidR="00851CDC" w14:paraId="0AE5DB9F" w14:textId="106A980A" w:rsidTr="003A6883">
        <w:tc>
          <w:tcPr>
            <w:tcW w:w="9016" w:type="dxa"/>
            <w:gridSpan w:val="3"/>
            <w:shd w:val="clear" w:color="auto" w:fill="D9D9D9" w:themeFill="background1" w:themeFillShade="D9"/>
          </w:tcPr>
          <w:p w14:paraId="418BC890" w14:textId="77777777"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Keywords and MeSH terms used in search methodology:</w:t>
            </w:r>
          </w:p>
          <w:p w14:paraId="6457743F" w14:textId="77777777" w:rsidR="00851CDC" w:rsidRDefault="00851CDC" w:rsidP="00490F7C">
            <w:pPr>
              <w:pStyle w:val="NormalWeb"/>
              <w:spacing w:before="0" w:beforeAutospacing="0" w:after="0" w:afterAutospacing="0"/>
              <w:rPr>
                <w:rFonts w:ascii="Arial" w:hAnsi="Arial" w:cs="Arial"/>
                <w:lang w:val="en-US"/>
              </w:rPr>
            </w:pPr>
          </w:p>
        </w:tc>
      </w:tr>
      <w:tr w:rsidR="00851CDC" w14:paraId="52C76A12" w14:textId="42026BE2" w:rsidTr="00851CDC">
        <w:tc>
          <w:tcPr>
            <w:tcW w:w="3184" w:type="dxa"/>
          </w:tcPr>
          <w:p w14:paraId="430F3D89" w14:textId="6DF2C502"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Systems:</w:t>
            </w:r>
          </w:p>
        </w:tc>
        <w:tc>
          <w:tcPr>
            <w:tcW w:w="3249" w:type="dxa"/>
          </w:tcPr>
          <w:p w14:paraId="3AB87E05" w14:textId="08BCA5ED" w:rsidR="00851CDC" w:rsidRDefault="00851CDC" w:rsidP="006B57E1">
            <w:pPr>
              <w:rPr>
                <w:lang w:val="en-US"/>
              </w:rPr>
            </w:pPr>
            <w:r>
              <w:rPr>
                <w:lang w:val="en-US"/>
              </w:rPr>
              <w:t>Function:</w:t>
            </w:r>
          </w:p>
        </w:tc>
        <w:tc>
          <w:tcPr>
            <w:tcW w:w="2583" w:type="dxa"/>
          </w:tcPr>
          <w:p w14:paraId="71F1A792" w14:textId="1FDB529B" w:rsidR="00851CDC" w:rsidRDefault="00851CDC" w:rsidP="006B57E1">
            <w:pPr>
              <w:rPr>
                <w:lang w:val="en-US"/>
              </w:rPr>
            </w:pPr>
            <w:r>
              <w:rPr>
                <w:lang w:val="en-US"/>
              </w:rPr>
              <w:t>Outcome Type:</w:t>
            </w:r>
          </w:p>
        </w:tc>
      </w:tr>
      <w:tr w:rsidR="00851CDC" w14:paraId="05A42C64" w14:textId="5EA20352" w:rsidTr="00851CDC">
        <w:tc>
          <w:tcPr>
            <w:tcW w:w="3184" w:type="dxa"/>
          </w:tcPr>
          <w:p w14:paraId="0A8A15E7" w14:textId="77777777"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Electronic Prescribing</w:t>
            </w:r>
          </w:p>
          <w:p w14:paraId="2F270ADA" w14:textId="77777777" w:rsidR="00851CDC" w:rsidRDefault="00851CDC" w:rsidP="006B57E1">
            <w:pPr>
              <w:rPr>
                <w:lang w:val="en-US"/>
              </w:rPr>
            </w:pPr>
          </w:p>
        </w:tc>
        <w:tc>
          <w:tcPr>
            <w:tcW w:w="3249" w:type="dxa"/>
          </w:tcPr>
          <w:p w14:paraId="07D8077E" w14:textId="3B68E884" w:rsidR="00851CDC" w:rsidRDefault="00851CDC" w:rsidP="006B57E1">
            <w:pPr>
              <w:rPr>
                <w:lang w:val="en-US"/>
              </w:rPr>
            </w:pPr>
            <w:r>
              <w:rPr>
                <w:lang w:val="en-US"/>
              </w:rPr>
              <w:t xml:space="preserve">Accumulation </w:t>
            </w:r>
          </w:p>
        </w:tc>
        <w:tc>
          <w:tcPr>
            <w:tcW w:w="2583" w:type="dxa"/>
          </w:tcPr>
          <w:p w14:paraId="0866445F" w14:textId="6F25AADD" w:rsidR="00851CDC" w:rsidRDefault="00851CDC" w:rsidP="006B57E1">
            <w:pPr>
              <w:rPr>
                <w:lang w:val="en-US"/>
              </w:rPr>
            </w:pPr>
            <w:r>
              <w:rPr>
                <w:lang w:val="en-US"/>
              </w:rPr>
              <w:t>Adverse Drug Reactions</w:t>
            </w:r>
          </w:p>
        </w:tc>
      </w:tr>
      <w:tr w:rsidR="00851CDC" w14:paraId="569E9DB2" w14:textId="696DE31A" w:rsidTr="00851CDC">
        <w:tc>
          <w:tcPr>
            <w:tcW w:w="3184" w:type="dxa"/>
          </w:tcPr>
          <w:p w14:paraId="0E95F857" w14:textId="77777777"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Electronic Prescribing and Medicines Administration</w:t>
            </w:r>
          </w:p>
          <w:p w14:paraId="0647B3FA" w14:textId="77777777" w:rsidR="00851CDC" w:rsidRDefault="00851CDC" w:rsidP="006B57E1">
            <w:pPr>
              <w:rPr>
                <w:lang w:val="en-US"/>
              </w:rPr>
            </w:pPr>
          </w:p>
        </w:tc>
        <w:tc>
          <w:tcPr>
            <w:tcW w:w="3249" w:type="dxa"/>
          </w:tcPr>
          <w:p w14:paraId="07D0216A" w14:textId="69DC54FB" w:rsidR="00851CDC" w:rsidRDefault="00851CDC" w:rsidP="006B57E1">
            <w:pPr>
              <w:rPr>
                <w:lang w:val="en-US"/>
              </w:rPr>
            </w:pPr>
            <w:r>
              <w:rPr>
                <w:lang w:val="en-US"/>
              </w:rPr>
              <w:t>Cumulative</w:t>
            </w:r>
          </w:p>
        </w:tc>
        <w:tc>
          <w:tcPr>
            <w:tcW w:w="2583" w:type="dxa"/>
          </w:tcPr>
          <w:p w14:paraId="37AE511C" w14:textId="5D68648E" w:rsidR="00851CDC" w:rsidRDefault="00851CDC" w:rsidP="006B57E1">
            <w:pPr>
              <w:rPr>
                <w:lang w:val="en-US"/>
              </w:rPr>
            </w:pPr>
            <w:r>
              <w:rPr>
                <w:lang w:val="en-US"/>
              </w:rPr>
              <w:t>ADR</w:t>
            </w:r>
          </w:p>
        </w:tc>
      </w:tr>
      <w:tr w:rsidR="00851CDC" w14:paraId="376FC785" w14:textId="4DE07B9E" w:rsidTr="00851CDC">
        <w:tc>
          <w:tcPr>
            <w:tcW w:w="3184" w:type="dxa"/>
          </w:tcPr>
          <w:p w14:paraId="06E94F92" w14:textId="77777777"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EPMA</w:t>
            </w:r>
          </w:p>
          <w:p w14:paraId="1E14ACBA" w14:textId="77777777" w:rsidR="00851CDC" w:rsidRDefault="00851CDC" w:rsidP="006B57E1">
            <w:pPr>
              <w:rPr>
                <w:lang w:val="en-US"/>
              </w:rPr>
            </w:pPr>
          </w:p>
        </w:tc>
        <w:tc>
          <w:tcPr>
            <w:tcW w:w="3249" w:type="dxa"/>
          </w:tcPr>
          <w:p w14:paraId="1A33271A" w14:textId="51FADFF8" w:rsidR="00851CDC" w:rsidRDefault="00851CDC" w:rsidP="006B57E1">
            <w:pPr>
              <w:rPr>
                <w:lang w:val="en-US"/>
              </w:rPr>
            </w:pPr>
            <w:r>
              <w:rPr>
                <w:lang w:val="en-US"/>
              </w:rPr>
              <w:t>Range</w:t>
            </w:r>
          </w:p>
        </w:tc>
        <w:tc>
          <w:tcPr>
            <w:tcW w:w="2583" w:type="dxa"/>
          </w:tcPr>
          <w:p w14:paraId="37F32D66" w14:textId="46732DE2" w:rsidR="00851CDC" w:rsidRDefault="00851CDC" w:rsidP="006B57E1">
            <w:pPr>
              <w:rPr>
                <w:lang w:val="en-US"/>
              </w:rPr>
            </w:pPr>
            <w:r>
              <w:rPr>
                <w:lang w:val="en-US"/>
              </w:rPr>
              <w:t>Medication Error</w:t>
            </w:r>
          </w:p>
        </w:tc>
      </w:tr>
      <w:tr w:rsidR="00851CDC" w14:paraId="663F78F1" w14:textId="7B66FADD" w:rsidTr="00851CDC">
        <w:tc>
          <w:tcPr>
            <w:tcW w:w="3184" w:type="dxa"/>
          </w:tcPr>
          <w:p w14:paraId="01660F8F" w14:textId="77777777"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Computer Order Entry</w:t>
            </w:r>
          </w:p>
          <w:p w14:paraId="56460033" w14:textId="77777777" w:rsidR="00851CDC" w:rsidRDefault="00851CDC" w:rsidP="006B57E1">
            <w:pPr>
              <w:rPr>
                <w:lang w:val="en-US"/>
              </w:rPr>
            </w:pPr>
          </w:p>
        </w:tc>
        <w:tc>
          <w:tcPr>
            <w:tcW w:w="3249" w:type="dxa"/>
          </w:tcPr>
          <w:p w14:paraId="568277EC" w14:textId="6562729E" w:rsidR="00851CDC" w:rsidRDefault="00851CDC" w:rsidP="006B57E1">
            <w:pPr>
              <w:rPr>
                <w:lang w:val="en-US"/>
              </w:rPr>
            </w:pPr>
            <w:r>
              <w:rPr>
                <w:lang w:val="en-US"/>
              </w:rPr>
              <w:t>Dose</w:t>
            </w:r>
          </w:p>
        </w:tc>
        <w:tc>
          <w:tcPr>
            <w:tcW w:w="2583" w:type="dxa"/>
          </w:tcPr>
          <w:p w14:paraId="38B2DBF5" w14:textId="77777777" w:rsidR="00851CDC" w:rsidRDefault="00851CDC" w:rsidP="006B57E1">
            <w:pPr>
              <w:rPr>
                <w:lang w:val="en-US"/>
              </w:rPr>
            </w:pPr>
          </w:p>
        </w:tc>
      </w:tr>
      <w:tr w:rsidR="00851CDC" w14:paraId="526CF1B5" w14:textId="372D2860" w:rsidTr="00851CDC">
        <w:tc>
          <w:tcPr>
            <w:tcW w:w="3184" w:type="dxa"/>
          </w:tcPr>
          <w:p w14:paraId="50D0594F" w14:textId="77777777"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CPOE (Computerised Physician Order Entry)</w:t>
            </w:r>
          </w:p>
          <w:p w14:paraId="2C0F9815" w14:textId="77777777" w:rsidR="00851CDC" w:rsidRDefault="00851CDC" w:rsidP="006B57E1">
            <w:pPr>
              <w:rPr>
                <w:lang w:val="en-US"/>
              </w:rPr>
            </w:pPr>
          </w:p>
        </w:tc>
        <w:tc>
          <w:tcPr>
            <w:tcW w:w="3249" w:type="dxa"/>
          </w:tcPr>
          <w:p w14:paraId="6D4A31FF" w14:textId="77777777" w:rsidR="00851CDC" w:rsidRDefault="00851CDC" w:rsidP="006B57E1">
            <w:pPr>
              <w:rPr>
                <w:lang w:val="en-US"/>
              </w:rPr>
            </w:pPr>
          </w:p>
        </w:tc>
        <w:tc>
          <w:tcPr>
            <w:tcW w:w="2583" w:type="dxa"/>
          </w:tcPr>
          <w:p w14:paraId="5A72BCD8" w14:textId="77777777" w:rsidR="00851CDC" w:rsidRDefault="00851CDC" w:rsidP="006B57E1">
            <w:pPr>
              <w:rPr>
                <w:lang w:val="en-US"/>
              </w:rPr>
            </w:pPr>
          </w:p>
        </w:tc>
      </w:tr>
      <w:tr w:rsidR="00851CDC" w14:paraId="2BA5DF9F" w14:textId="20A225E3" w:rsidTr="00851CDC">
        <w:tc>
          <w:tcPr>
            <w:tcW w:w="3184" w:type="dxa"/>
          </w:tcPr>
          <w:p w14:paraId="5B21018C" w14:textId="266AD906" w:rsidR="00851CDC" w:rsidRDefault="00851CDC" w:rsidP="00490F7C">
            <w:pPr>
              <w:pStyle w:val="NormalWeb"/>
              <w:spacing w:before="0" w:beforeAutospacing="0" w:after="0" w:afterAutospacing="0"/>
              <w:rPr>
                <w:rFonts w:ascii="Arial" w:hAnsi="Arial" w:cs="Arial"/>
                <w:lang w:val="en-US"/>
              </w:rPr>
            </w:pPr>
            <w:r>
              <w:rPr>
                <w:rFonts w:ascii="Arial" w:hAnsi="Arial" w:cs="Arial"/>
                <w:lang w:val="en-US"/>
              </w:rPr>
              <w:t xml:space="preserve">Decision Support Systems </w:t>
            </w:r>
          </w:p>
          <w:p w14:paraId="38818026" w14:textId="77777777" w:rsidR="00851CDC" w:rsidRDefault="00851CDC" w:rsidP="006B57E1">
            <w:pPr>
              <w:rPr>
                <w:lang w:val="en-US"/>
              </w:rPr>
            </w:pPr>
          </w:p>
        </w:tc>
        <w:tc>
          <w:tcPr>
            <w:tcW w:w="3249" w:type="dxa"/>
          </w:tcPr>
          <w:p w14:paraId="5B1E1203" w14:textId="77777777" w:rsidR="00851CDC" w:rsidRDefault="00851CDC" w:rsidP="006B57E1">
            <w:pPr>
              <w:rPr>
                <w:lang w:val="en-US"/>
              </w:rPr>
            </w:pPr>
          </w:p>
        </w:tc>
        <w:tc>
          <w:tcPr>
            <w:tcW w:w="2583" w:type="dxa"/>
          </w:tcPr>
          <w:p w14:paraId="0794335C" w14:textId="77777777" w:rsidR="00851CDC" w:rsidRDefault="00851CDC" w:rsidP="006B57E1">
            <w:pPr>
              <w:rPr>
                <w:lang w:val="en-US"/>
              </w:rPr>
            </w:pPr>
          </w:p>
        </w:tc>
      </w:tr>
      <w:tr w:rsidR="00851CDC" w14:paraId="0D12B5C6" w14:textId="1120DC7F" w:rsidTr="00851CDC">
        <w:tc>
          <w:tcPr>
            <w:tcW w:w="3184" w:type="dxa"/>
          </w:tcPr>
          <w:p w14:paraId="1580AB22" w14:textId="4A1D1134" w:rsidR="00851CDC" w:rsidRDefault="00851CDC" w:rsidP="006B57E1">
            <w:pPr>
              <w:rPr>
                <w:lang w:val="en-US"/>
              </w:rPr>
            </w:pPr>
            <w:r>
              <w:rPr>
                <w:rFonts w:cs="Arial"/>
                <w:lang w:val="en-US"/>
              </w:rPr>
              <w:t>Clinical Decision Support Systems</w:t>
            </w:r>
          </w:p>
        </w:tc>
        <w:tc>
          <w:tcPr>
            <w:tcW w:w="3249" w:type="dxa"/>
          </w:tcPr>
          <w:p w14:paraId="0431FF10" w14:textId="77777777" w:rsidR="00851CDC" w:rsidRDefault="00851CDC" w:rsidP="002A2846">
            <w:pPr>
              <w:keepNext/>
              <w:rPr>
                <w:lang w:val="en-US"/>
              </w:rPr>
            </w:pPr>
          </w:p>
        </w:tc>
        <w:tc>
          <w:tcPr>
            <w:tcW w:w="2583" w:type="dxa"/>
          </w:tcPr>
          <w:p w14:paraId="34B7A2BE" w14:textId="77777777" w:rsidR="00851CDC" w:rsidRDefault="00851CDC" w:rsidP="002A2846">
            <w:pPr>
              <w:keepNext/>
              <w:rPr>
                <w:lang w:val="en-US"/>
              </w:rPr>
            </w:pPr>
          </w:p>
        </w:tc>
      </w:tr>
    </w:tbl>
    <w:p w14:paraId="5CCDED49" w14:textId="52EDAAD3" w:rsidR="00A42376" w:rsidRDefault="002A2846" w:rsidP="002A2846">
      <w:pPr>
        <w:pStyle w:val="Caption"/>
      </w:pPr>
      <w:r>
        <w:t xml:space="preserve">Table </w:t>
      </w:r>
      <w:fldSimple w:instr=" SEQ Table \* ARABIC ">
        <w:r w:rsidR="00F07BA4">
          <w:rPr>
            <w:noProof/>
          </w:rPr>
          <w:t>1</w:t>
        </w:r>
      </w:fldSimple>
      <w:r w:rsidRPr="003F4492">
        <w:t xml:space="preserve"> Search terms and Keywords and MeSH terms used in search methodolo</w:t>
      </w:r>
      <w:r w:rsidR="0034678C">
        <w:t>gies</w:t>
      </w:r>
    </w:p>
    <w:p w14:paraId="2F239B6E" w14:textId="3CFB2A81" w:rsidR="004E0B18" w:rsidRDefault="004E0B18" w:rsidP="004E0B18"/>
    <w:p w14:paraId="2CB072D1" w14:textId="77777777" w:rsidR="00B619EC" w:rsidRDefault="00B619EC">
      <w:r>
        <w:br w:type="page"/>
      </w:r>
    </w:p>
    <w:p w14:paraId="6F436DE1" w14:textId="48923963" w:rsidR="004E0B18" w:rsidRDefault="00B449F0" w:rsidP="004E0B18">
      <w:r>
        <w:lastRenderedPageBreak/>
        <w:t xml:space="preserve">To identify </w:t>
      </w:r>
      <w:r w:rsidR="00B619EC">
        <w:t xml:space="preserve">dose cumulation </w:t>
      </w:r>
      <w:r>
        <w:t>literature the following search criteria was applied</w:t>
      </w:r>
      <w:r w:rsidR="0034678C">
        <w:t xml:space="preserve"> (Table 2)</w:t>
      </w:r>
      <w:r>
        <w:t>:</w:t>
      </w:r>
    </w:p>
    <w:tbl>
      <w:tblPr>
        <w:tblStyle w:val="TableGrid"/>
        <w:tblW w:w="0" w:type="auto"/>
        <w:tblLook w:val="04A0" w:firstRow="1" w:lastRow="0" w:firstColumn="1" w:lastColumn="0" w:noHBand="0" w:noVBand="1"/>
      </w:tblPr>
      <w:tblGrid>
        <w:gridCol w:w="421"/>
        <w:gridCol w:w="4087"/>
        <w:gridCol w:w="2254"/>
      </w:tblGrid>
      <w:tr w:rsidR="0034678C" w14:paraId="5ABB5A2F" w14:textId="77777777" w:rsidTr="0034678C">
        <w:tc>
          <w:tcPr>
            <w:tcW w:w="421" w:type="dxa"/>
            <w:shd w:val="clear" w:color="auto" w:fill="E7E6E6" w:themeFill="background2"/>
          </w:tcPr>
          <w:p w14:paraId="556F7AD8" w14:textId="77777777" w:rsidR="0034678C" w:rsidRPr="0034678C" w:rsidRDefault="0034678C" w:rsidP="004E0B18">
            <w:pPr>
              <w:rPr>
                <w:b/>
                <w:bCs/>
              </w:rPr>
            </w:pPr>
          </w:p>
        </w:tc>
        <w:tc>
          <w:tcPr>
            <w:tcW w:w="4087" w:type="dxa"/>
            <w:shd w:val="clear" w:color="auto" w:fill="E7E6E6" w:themeFill="background2"/>
          </w:tcPr>
          <w:p w14:paraId="30C88B6F" w14:textId="2430ECC8" w:rsidR="0034678C" w:rsidRPr="0034678C" w:rsidRDefault="0034678C" w:rsidP="004E0B18">
            <w:pPr>
              <w:rPr>
                <w:b/>
                <w:bCs/>
              </w:rPr>
            </w:pPr>
            <w:r w:rsidRPr="0034678C">
              <w:rPr>
                <w:b/>
                <w:bCs/>
              </w:rPr>
              <w:t>Search Terms</w:t>
            </w:r>
          </w:p>
        </w:tc>
        <w:tc>
          <w:tcPr>
            <w:tcW w:w="2254" w:type="dxa"/>
            <w:shd w:val="clear" w:color="auto" w:fill="E7E6E6" w:themeFill="background2"/>
          </w:tcPr>
          <w:p w14:paraId="1899E86F" w14:textId="22402456" w:rsidR="0034678C" w:rsidRPr="0034678C" w:rsidRDefault="0034678C" w:rsidP="004E0B18">
            <w:pPr>
              <w:rPr>
                <w:b/>
                <w:bCs/>
              </w:rPr>
            </w:pPr>
            <w:r w:rsidRPr="0034678C">
              <w:rPr>
                <w:b/>
                <w:bCs/>
              </w:rPr>
              <w:t>Result</w:t>
            </w:r>
          </w:p>
        </w:tc>
      </w:tr>
      <w:tr w:rsidR="0034678C" w14:paraId="542EB2A4" w14:textId="340B2368" w:rsidTr="000955AD">
        <w:tc>
          <w:tcPr>
            <w:tcW w:w="421" w:type="dxa"/>
          </w:tcPr>
          <w:p w14:paraId="7D8E4711" w14:textId="224E73E7" w:rsidR="0034678C" w:rsidRDefault="0034678C" w:rsidP="004E0B18">
            <w:r>
              <w:t>1.</w:t>
            </w:r>
          </w:p>
        </w:tc>
        <w:tc>
          <w:tcPr>
            <w:tcW w:w="4087" w:type="dxa"/>
          </w:tcPr>
          <w:p w14:paraId="564946D1" w14:textId="36F2D9F2" w:rsidR="0034678C" w:rsidRDefault="0034678C" w:rsidP="004E0B18">
            <w:r>
              <w:t>Dose + Accumulation</w:t>
            </w:r>
          </w:p>
        </w:tc>
        <w:tc>
          <w:tcPr>
            <w:tcW w:w="2254" w:type="dxa"/>
          </w:tcPr>
          <w:p w14:paraId="2A5A0C2C" w14:textId="6035CB99" w:rsidR="0034678C" w:rsidRDefault="0034678C" w:rsidP="004E0B18">
            <w:r>
              <w:t>350451</w:t>
            </w:r>
          </w:p>
        </w:tc>
      </w:tr>
      <w:tr w:rsidR="0034678C" w14:paraId="16BB5FC0" w14:textId="610ED640" w:rsidTr="000955AD">
        <w:tc>
          <w:tcPr>
            <w:tcW w:w="421" w:type="dxa"/>
          </w:tcPr>
          <w:p w14:paraId="1E881AF1" w14:textId="2CD0FE53" w:rsidR="0034678C" w:rsidRDefault="0034678C" w:rsidP="004E0B18">
            <w:r>
              <w:t>2.</w:t>
            </w:r>
          </w:p>
        </w:tc>
        <w:tc>
          <w:tcPr>
            <w:tcW w:w="4087" w:type="dxa"/>
          </w:tcPr>
          <w:p w14:paraId="667E4F76" w14:textId="7262AF82" w:rsidR="0034678C" w:rsidRDefault="0034678C" w:rsidP="004E0B18">
            <w:r>
              <w:t>Dose + Cumulative</w:t>
            </w:r>
          </w:p>
        </w:tc>
        <w:tc>
          <w:tcPr>
            <w:tcW w:w="2254" w:type="dxa"/>
          </w:tcPr>
          <w:p w14:paraId="113E43B3" w14:textId="2818FACE" w:rsidR="0034678C" w:rsidRDefault="0034678C" w:rsidP="004E0B18">
            <w:r>
              <w:t>292293</w:t>
            </w:r>
          </w:p>
        </w:tc>
      </w:tr>
      <w:tr w:rsidR="0034678C" w14:paraId="730C7FAA" w14:textId="6E325BF2" w:rsidTr="000955AD">
        <w:tc>
          <w:tcPr>
            <w:tcW w:w="421" w:type="dxa"/>
          </w:tcPr>
          <w:p w14:paraId="2D550239" w14:textId="306025C2" w:rsidR="0034678C" w:rsidRDefault="0034678C" w:rsidP="004E0B18">
            <w:r>
              <w:t>3.</w:t>
            </w:r>
          </w:p>
        </w:tc>
        <w:tc>
          <w:tcPr>
            <w:tcW w:w="4087" w:type="dxa"/>
          </w:tcPr>
          <w:p w14:paraId="31430466" w14:textId="190068E5" w:rsidR="0034678C" w:rsidRDefault="0034678C" w:rsidP="004E0B18">
            <w:r>
              <w:t>Either 1 or 2 + ePMA</w:t>
            </w:r>
          </w:p>
        </w:tc>
        <w:tc>
          <w:tcPr>
            <w:tcW w:w="2254" w:type="dxa"/>
          </w:tcPr>
          <w:p w14:paraId="1CFE5092" w14:textId="444E7E21" w:rsidR="0034678C" w:rsidRDefault="0034678C" w:rsidP="004E0B18">
            <w:r>
              <w:t>92</w:t>
            </w:r>
          </w:p>
        </w:tc>
      </w:tr>
      <w:tr w:rsidR="0034678C" w14:paraId="07A4F738" w14:textId="0416F1DA" w:rsidTr="000955AD">
        <w:tc>
          <w:tcPr>
            <w:tcW w:w="421" w:type="dxa"/>
          </w:tcPr>
          <w:p w14:paraId="418A88F4" w14:textId="43E4C134" w:rsidR="0034678C" w:rsidRDefault="0034678C" w:rsidP="004E0B18">
            <w:r>
              <w:t>4.</w:t>
            </w:r>
          </w:p>
        </w:tc>
        <w:tc>
          <w:tcPr>
            <w:tcW w:w="4087" w:type="dxa"/>
          </w:tcPr>
          <w:p w14:paraId="7AB4DD91" w14:textId="652BCEE7" w:rsidR="0034678C" w:rsidRDefault="0034678C" w:rsidP="004E0B18">
            <w:r>
              <w:t>Either 1 or 2 + CPOE</w:t>
            </w:r>
          </w:p>
        </w:tc>
        <w:tc>
          <w:tcPr>
            <w:tcW w:w="2254" w:type="dxa"/>
          </w:tcPr>
          <w:p w14:paraId="7F48E479" w14:textId="6CC48826" w:rsidR="0034678C" w:rsidRDefault="0034678C" w:rsidP="004E0B18">
            <w:r>
              <w:t>189</w:t>
            </w:r>
          </w:p>
        </w:tc>
      </w:tr>
      <w:tr w:rsidR="0034678C" w14:paraId="550CF882" w14:textId="2D6AFAA1" w:rsidTr="000955AD">
        <w:tc>
          <w:tcPr>
            <w:tcW w:w="421" w:type="dxa"/>
          </w:tcPr>
          <w:p w14:paraId="5EACD66A" w14:textId="50DA620A" w:rsidR="0034678C" w:rsidRDefault="0034678C" w:rsidP="004E0B18">
            <w:r>
              <w:t>5.</w:t>
            </w:r>
          </w:p>
        </w:tc>
        <w:tc>
          <w:tcPr>
            <w:tcW w:w="4087" w:type="dxa"/>
          </w:tcPr>
          <w:p w14:paraId="27AA8DC1" w14:textId="396059E1" w:rsidR="0034678C" w:rsidRDefault="0034678C" w:rsidP="004E0B18">
            <w:r>
              <w:t>Either 1 or 2 + Decision Support Terms</w:t>
            </w:r>
          </w:p>
        </w:tc>
        <w:tc>
          <w:tcPr>
            <w:tcW w:w="2254" w:type="dxa"/>
          </w:tcPr>
          <w:p w14:paraId="7C1DBC5D" w14:textId="0B1C9884" w:rsidR="0034678C" w:rsidRDefault="0034678C" w:rsidP="004E0B18">
            <w:r>
              <w:t>682</w:t>
            </w:r>
          </w:p>
        </w:tc>
      </w:tr>
      <w:tr w:rsidR="0034678C" w14:paraId="321E41D9" w14:textId="77777777" w:rsidTr="000955AD">
        <w:tc>
          <w:tcPr>
            <w:tcW w:w="421" w:type="dxa"/>
          </w:tcPr>
          <w:p w14:paraId="1BB14E3D" w14:textId="77777777" w:rsidR="0034678C" w:rsidRDefault="0034678C" w:rsidP="004E0B18"/>
        </w:tc>
        <w:tc>
          <w:tcPr>
            <w:tcW w:w="4087" w:type="dxa"/>
          </w:tcPr>
          <w:p w14:paraId="16DA7067" w14:textId="169CF315" w:rsidR="0034678C" w:rsidRPr="00DD769B" w:rsidRDefault="0034678C" w:rsidP="004E0B18">
            <w:pPr>
              <w:rPr>
                <w:b/>
                <w:bCs/>
              </w:rPr>
            </w:pPr>
            <w:r w:rsidRPr="00DD769B">
              <w:rPr>
                <w:b/>
                <w:bCs/>
              </w:rPr>
              <w:t>Screening setting:</w:t>
            </w:r>
          </w:p>
          <w:p w14:paraId="778B8903" w14:textId="77777777" w:rsidR="0034678C" w:rsidRDefault="0034678C" w:rsidP="004E0B18">
            <w:r>
              <w:t>Inpatient, Hospital Setting, General, ePMA based</w:t>
            </w:r>
          </w:p>
          <w:p w14:paraId="6295AE48" w14:textId="77777777" w:rsidR="0034678C" w:rsidRPr="00DD769B" w:rsidRDefault="0034678C" w:rsidP="004E0B18">
            <w:pPr>
              <w:rPr>
                <w:b/>
                <w:bCs/>
              </w:rPr>
            </w:pPr>
            <w:r w:rsidRPr="00DD769B">
              <w:rPr>
                <w:b/>
                <w:bCs/>
              </w:rPr>
              <w:t>Screening Exclusion:</w:t>
            </w:r>
          </w:p>
          <w:p w14:paraId="20F5FDCC" w14:textId="77777777" w:rsidR="0034678C" w:rsidRDefault="0034678C" w:rsidP="004E0B18">
            <w:r>
              <w:t>Chemotherapy</w:t>
            </w:r>
          </w:p>
          <w:p w14:paraId="0EE2BFDE" w14:textId="77777777" w:rsidR="0034678C" w:rsidRDefault="0034678C" w:rsidP="004E0B18">
            <w:r>
              <w:t>Paediatrics</w:t>
            </w:r>
          </w:p>
          <w:p w14:paraId="7C134323" w14:textId="041403CF" w:rsidR="0034678C" w:rsidRDefault="0034678C" w:rsidP="004E0B18"/>
        </w:tc>
        <w:tc>
          <w:tcPr>
            <w:tcW w:w="2254" w:type="dxa"/>
          </w:tcPr>
          <w:p w14:paraId="0A0392C6" w14:textId="43448708" w:rsidR="0034678C" w:rsidRDefault="00202B46" w:rsidP="0034678C">
            <w:pPr>
              <w:keepNext/>
            </w:pPr>
            <w:r>
              <w:t>3</w:t>
            </w:r>
          </w:p>
        </w:tc>
      </w:tr>
    </w:tbl>
    <w:p w14:paraId="7FC070B9" w14:textId="09B178E9" w:rsidR="00B449F0" w:rsidRPr="004E0B18" w:rsidRDefault="0034678C" w:rsidP="0034678C">
      <w:pPr>
        <w:pStyle w:val="Caption"/>
      </w:pPr>
      <w:r>
        <w:t xml:space="preserve">Table </w:t>
      </w:r>
      <w:fldSimple w:instr=" SEQ Table \* ARABIC ">
        <w:r w:rsidR="00F07BA4">
          <w:rPr>
            <w:noProof/>
          </w:rPr>
          <w:t>2</w:t>
        </w:r>
      </w:fldSimple>
      <w:r>
        <w:t xml:space="preserve"> Cumulative Dose Search Criteria and Results</w:t>
      </w:r>
    </w:p>
    <w:p w14:paraId="35D5B5E7" w14:textId="3883DF7F" w:rsidR="00A42376" w:rsidRPr="006B57E1" w:rsidRDefault="00A42376" w:rsidP="006B57E1">
      <w:pPr>
        <w:rPr>
          <w:lang w:val="en-US"/>
        </w:rPr>
      </w:pPr>
    </w:p>
    <w:p w14:paraId="6324FD55" w14:textId="1E9D51C6" w:rsidR="00FD634B" w:rsidRDefault="00FD634B" w:rsidP="008C2696">
      <w:pPr>
        <w:pStyle w:val="Heading3"/>
        <w:rPr>
          <w:lang w:val="en-US"/>
        </w:rPr>
      </w:pPr>
      <w:bookmarkStart w:id="4" w:name="_Toc127881389"/>
      <w:r>
        <w:rPr>
          <w:lang w:val="en-US"/>
        </w:rPr>
        <w:t>Study Selection</w:t>
      </w:r>
      <w:bookmarkEnd w:id="4"/>
    </w:p>
    <w:p w14:paraId="3438686D" w14:textId="486412C7" w:rsidR="007D5AFB" w:rsidRDefault="0000557C" w:rsidP="00895F4C">
      <w:pPr>
        <w:rPr>
          <w:lang w:val="en-US"/>
        </w:rPr>
      </w:pPr>
      <w:r>
        <w:rPr>
          <w:lang w:val="en-US"/>
        </w:rPr>
        <w:t>T</w:t>
      </w:r>
      <w:r w:rsidR="00E84D11">
        <w:rPr>
          <w:lang w:val="en-US"/>
        </w:rPr>
        <w:t>o determine whether the discovered literature was relevant and to assess this, the following inclusion and exclusion criteria was adopted:</w:t>
      </w:r>
      <w:r w:rsidR="00813C8C">
        <w:rPr>
          <w:lang w:val="en-US"/>
        </w:rPr>
        <w:t xml:space="preserve"> </w:t>
      </w:r>
      <w:r w:rsidR="00E84D11">
        <w:rPr>
          <w:lang w:val="en-US"/>
        </w:rPr>
        <w:t xml:space="preserve">the intervention, the context, and outcomes.  </w:t>
      </w:r>
      <w:r w:rsidR="007513D5">
        <w:rPr>
          <w:lang w:val="en-US"/>
        </w:rPr>
        <w:t>Peer-reviewed p</w:t>
      </w:r>
      <w:r w:rsidR="00DD5916">
        <w:rPr>
          <w:lang w:val="en-US"/>
        </w:rPr>
        <w:t xml:space="preserve">ublications and studies that </w:t>
      </w:r>
      <w:r w:rsidR="00FF62FF">
        <w:rPr>
          <w:lang w:val="en-US"/>
        </w:rPr>
        <w:t xml:space="preserve">were available in </w:t>
      </w:r>
      <w:r w:rsidR="00B64591">
        <w:rPr>
          <w:lang w:val="en-US"/>
        </w:rPr>
        <w:t xml:space="preserve">the </w:t>
      </w:r>
      <w:r w:rsidR="00FF62FF">
        <w:rPr>
          <w:lang w:val="en-US"/>
        </w:rPr>
        <w:t>English</w:t>
      </w:r>
      <w:r w:rsidR="00B64591">
        <w:rPr>
          <w:lang w:val="en-US"/>
        </w:rPr>
        <w:t xml:space="preserve"> language</w:t>
      </w:r>
      <w:r w:rsidR="00FF62FF">
        <w:rPr>
          <w:lang w:val="en-US"/>
        </w:rPr>
        <w:t>,</w:t>
      </w:r>
      <w:r w:rsidR="007513D5">
        <w:rPr>
          <w:lang w:val="en-US"/>
        </w:rPr>
        <w:t xml:space="preserve"> </w:t>
      </w:r>
      <w:r w:rsidR="00BC19A6">
        <w:rPr>
          <w:lang w:val="en-US"/>
        </w:rPr>
        <w:t>that examined outcomes on ADRs and medication errors</w:t>
      </w:r>
      <w:r w:rsidR="00813C8C">
        <w:rPr>
          <w:lang w:val="en-US"/>
        </w:rPr>
        <w:t xml:space="preserve"> as a result of CDS within ePMA,</w:t>
      </w:r>
      <w:r w:rsidR="00CA76AC">
        <w:rPr>
          <w:lang w:val="en-US"/>
        </w:rPr>
        <w:t xml:space="preserve"> were included, </w:t>
      </w:r>
      <w:r w:rsidR="007513D5">
        <w:rPr>
          <w:lang w:val="en-US"/>
        </w:rPr>
        <w:t>irrespective of design</w:t>
      </w:r>
      <w:r w:rsidR="00CA76AC">
        <w:rPr>
          <w:lang w:val="en-US"/>
        </w:rPr>
        <w:t>.</w:t>
      </w:r>
      <w:r w:rsidR="00B64591">
        <w:rPr>
          <w:lang w:val="en-US"/>
        </w:rPr>
        <w:t xml:space="preserve"> </w:t>
      </w:r>
      <w:r w:rsidR="00FF62FF">
        <w:rPr>
          <w:lang w:val="en-US"/>
        </w:rPr>
        <w:t xml:space="preserve"> </w:t>
      </w:r>
      <w:r w:rsidR="005F4AC6">
        <w:rPr>
          <w:lang w:val="en-US"/>
        </w:rPr>
        <w:t xml:space="preserve">Studies </w:t>
      </w:r>
      <w:r w:rsidR="00EB744C">
        <w:rPr>
          <w:lang w:val="en-US"/>
        </w:rPr>
        <w:t xml:space="preserve">that were not </w:t>
      </w:r>
      <w:r w:rsidR="005F4AC6">
        <w:rPr>
          <w:lang w:val="en-US"/>
        </w:rPr>
        <w:t xml:space="preserve">applicable to hospital inpatient </w:t>
      </w:r>
      <w:r w:rsidR="00EB744C">
        <w:rPr>
          <w:lang w:val="en-US"/>
        </w:rPr>
        <w:t>setting were excluded</w:t>
      </w:r>
      <w:r w:rsidR="006C15A6">
        <w:rPr>
          <w:lang w:val="en-US"/>
        </w:rPr>
        <w:t xml:space="preserve">.  </w:t>
      </w:r>
      <w:r w:rsidR="00E2264A">
        <w:rPr>
          <w:lang w:val="en-US"/>
        </w:rPr>
        <w:t>Lower consideration was attributed to p</w:t>
      </w:r>
      <w:r w:rsidR="00545D7C">
        <w:rPr>
          <w:lang w:val="en-US"/>
        </w:rPr>
        <w:t xml:space="preserve">ublications that were not able to describe methodology for how they </w:t>
      </w:r>
      <w:r w:rsidR="00367582">
        <w:rPr>
          <w:lang w:val="en-US"/>
        </w:rPr>
        <w:t>determined medication events or ADRs</w:t>
      </w:r>
      <w:r w:rsidR="005B5754">
        <w:rPr>
          <w:lang w:val="en-US"/>
        </w:rPr>
        <w:t xml:space="preserve">.  </w:t>
      </w:r>
      <w:r w:rsidR="00E2264A">
        <w:rPr>
          <w:lang w:val="en-US"/>
        </w:rPr>
        <w:t>Any studies that were specific to p</w:t>
      </w:r>
      <w:r w:rsidR="00116F39">
        <w:rPr>
          <w:lang w:val="en-US"/>
        </w:rPr>
        <w:t xml:space="preserve">aediatrics </w:t>
      </w:r>
      <w:r w:rsidR="00E2264A">
        <w:rPr>
          <w:lang w:val="en-US"/>
        </w:rPr>
        <w:t>or</w:t>
      </w:r>
      <w:r w:rsidR="00116F39">
        <w:rPr>
          <w:lang w:val="en-US"/>
        </w:rPr>
        <w:t xml:space="preserve"> </w:t>
      </w:r>
      <w:r w:rsidR="00E2264A">
        <w:rPr>
          <w:lang w:val="en-US"/>
        </w:rPr>
        <w:t>c</w:t>
      </w:r>
      <w:r w:rsidR="00116F39">
        <w:rPr>
          <w:lang w:val="en-US"/>
        </w:rPr>
        <w:t xml:space="preserve">hemotherapy </w:t>
      </w:r>
      <w:r w:rsidR="00E2264A">
        <w:rPr>
          <w:lang w:val="en-US"/>
        </w:rPr>
        <w:t>were excluded due to their highly specific nature.</w:t>
      </w:r>
    </w:p>
    <w:p w14:paraId="61907CFF" w14:textId="3DD98906" w:rsidR="007D5AFB" w:rsidRDefault="007D5AFB" w:rsidP="008C2696">
      <w:pPr>
        <w:pStyle w:val="Heading4"/>
        <w:rPr>
          <w:lang w:val="en-US"/>
        </w:rPr>
      </w:pPr>
      <w:r>
        <w:rPr>
          <w:lang w:val="en-US"/>
        </w:rPr>
        <w:t>Study/Literature Type</w:t>
      </w:r>
    </w:p>
    <w:p w14:paraId="42247EE8" w14:textId="1165FDB2" w:rsidR="00286A5A" w:rsidRDefault="00EB744C" w:rsidP="00286A5A">
      <w:pPr>
        <w:rPr>
          <w:lang w:val="en-US"/>
        </w:rPr>
      </w:pPr>
      <w:r>
        <w:rPr>
          <w:lang w:val="en-US"/>
        </w:rPr>
        <w:t>R</w:t>
      </w:r>
      <w:r w:rsidR="00AD14FD">
        <w:rPr>
          <w:lang w:val="en-US"/>
        </w:rPr>
        <w:t xml:space="preserve">esults were still screened for </w:t>
      </w:r>
      <w:r w:rsidR="00026162">
        <w:rPr>
          <w:lang w:val="en-US"/>
        </w:rPr>
        <w:t>relevance and appropriateness.</w:t>
      </w:r>
      <w:r w:rsidR="00286A5A">
        <w:rPr>
          <w:lang w:val="en-US"/>
        </w:rPr>
        <w:t xml:space="preserve">  Studies that actively examined pre and post CDS implementation were also considered to be far more substantial considering that retrospective review of trigger events identify a lower proportion of actual harms that might be related to errors than pre-prescription review </w:t>
      </w:r>
      <w:r w:rsidR="00286A5A">
        <w:rPr>
          <w:lang w:val="en-US"/>
        </w:rPr>
        <w:fldChar w:fldCharType="begin"/>
      </w:r>
      <w:r w:rsidR="00286A5A">
        <w:rPr>
          <w:lang w:val="en-US"/>
        </w:rPr>
        <w:instrText xml:space="preserve"> ADDIN EN.CITE &lt;EndNote&gt;&lt;Cite&gt;&lt;Author&gt;Franklin&lt;/Author&gt;&lt;Year&gt;2009&lt;/Year&gt;&lt;RecNum&gt;505&lt;/RecNum&gt;&lt;DisplayText&gt;(Franklin&lt;style face="italic"&gt; et al.&lt;/style&gt;, 2009)&lt;/DisplayText&gt;&lt;record&gt;&lt;rec-number&gt;505&lt;/rec-number&gt;&lt;foreign-keys&gt;&lt;key app="EN" db-id="wxra20f03dt20kepwrwvfa0mvpxxeeezfaaz" timestamp="1673540197"&gt;505&lt;/key&gt;&lt;/foreign-keys&gt;&lt;ref-type name="Journal Article"&gt;17&lt;/ref-type&gt;&lt;contributors&gt;&lt;authors&gt;&lt;author&gt;Franklin, B. D.&lt;/author&gt;&lt;author&gt;Birch, S.&lt;/author&gt;&lt;author&gt;Savage, I.&lt;/author&gt;&lt;author&gt;Wong, I.&lt;/author&gt;&lt;author&gt;Woloshynowych, M.&lt;/author&gt;&lt;author&gt;Jacklin, A.&lt;/author&gt;&lt;author&gt;Barber, N.&lt;/author&gt;&lt;/authors&gt;&lt;/contributors&gt;&lt;auth-address&gt;Centre for Medication Safety and Service Quality, Imperial College Healthcare NHS Trust, London, UK.&lt;/auth-address&gt;&lt;titles&gt;&lt;title&gt;Methodological variability in detecting prescribing errors and consequences for the evaluation of interventions&lt;/title&gt;&lt;secondary-title&gt;Pharmacoepidemiol Drug Saf&lt;/secondary-title&gt;&lt;/titles&gt;&lt;periodical&gt;&lt;full-title&gt;Pharmacoepidemiol Drug Saf&lt;/full-title&gt;&lt;/periodical&gt;&lt;pages&gt;992-9&lt;/pages&gt;&lt;volume&gt;18&lt;/volume&gt;&lt;number&gt;11&lt;/number&gt;&lt;keywords&gt;&lt;keyword&gt;Drug Prescriptions/*standards&lt;/keyword&gt;&lt;keyword&gt;Efficiency, Organizational&lt;/keyword&gt;&lt;keyword&gt;Hospitals, Teaching&lt;/keyword&gt;&lt;keyword&gt;Humans&lt;/keyword&gt;&lt;keyword&gt;London&lt;/keyword&gt;&lt;keyword&gt;Medical Order Entry Systems/*organization &amp;amp; administration/standards/statistics &amp;amp;&lt;/keyword&gt;&lt;keyword&gt;numerical data&lt;/keyword&gt;&lt;keyword&gt;Medication Errors/*prevention &amp;amp; control/*statistics &amp;amp; numerical data&lt;/keyword&gt;&lt;keyword&gt;Medication Systems, Hospital/*organization &amp;amp; administration/standards/statistics&lt;/keyword&gt;&lt;keyword&gt;&amp;amp; numerical data&lt;/keyword&gt;&lt;keyword&gt;Prospective Studies&lt;/keyword&gt;&lt;keyword&gt;Retrospective Studies&lt;/keyword&gt;&lt;/keywords&gt;&lt;dates&gt;&lt;year&gt;2009&lt;/year&gt;&lt;pub-dates&gt;&lt;date&gt;Nov&lt;/date&gt;&lt;/pub-dates&gt;&lt;/dates&gt;&lt;isbn&gt;1053-8569&lt;/isbn&gt;&lt;accession-num&gt;19634116&lt;/accession-num&gt;&lt;urls&gt;&lt;/urls&gt;&lt;electronic-resource-num&gt;10.1002/pds.1811&lt;/electronic-resource-num&gt;&lt;remote-database-provider&gt;NLM&lt;/remote-database-provider&gt;&lt;language&gt;eng&lt;/language&gt;&lt;/record&gt;&lt;/Cite&gt;&lt;/EndNote&gt;</w:instrText>
      </w:r>
      <w:r w:rsidR="00286A5A">
        <w:rPr>
          <w:lang w:val="en-US"/>
        </w:rPr>
        <w:fldChar w:fldCharType="separate"/>
      </w:r>
      <w:r w:rsidR="00286A5A">
        <w:rPr>
          <w:noProof/>
          <w:lang w:val="en-US"/>
        </w:rPr>
        <w:t>(Franklin</w:t>
      </w:r>
      <w:r w:rsidR="00286A5A" w:rsidRPr="00CA4078">
        <w:rPr>
          <w:i/>
          <w:noProof/>
          <w:lang w:val="en-US"/>
        </w:rPr>
        <w:t xml:space="preserve"> et al.</w:t>
      </w:r>
      <w:r w:rsidR="00286A5A">
        <w:rPr>
          <w:noProof/>
          <w:lang w:val="en-US"/>
        </w:rPr>
        <w:t>, 2009)</w:t>
      </w:r>
      <w:r w:rsidR="00286A5A">
        <w:rPr>
          <w:lang w:val="en-US"/>
        </w:rPr>
        <w:fldChar w:fldCharType="end"/>
      </w:r>
      <w:r w:rsidR="00286A5A">
        <w:rPr>
          <w:lang w:val="en-US"/>
        </w:rPr>
        <w:t>.</w:t>
      </w:r>
    </w:p>
    <w:p w14:paraId="5B38BA15" w14:textId="0D25525E" w:rsidR="007D5AFB" w:rsidRDefault="007D5AFB" w:rsidP="00895F4C">
      <w:pPr>
        <w:rPr>
          <w:lang w:val="en-US"/>
        </w:rPr>
      </w:pPr>
    </w:p>
    <w:p w14:paraId="62EFBC67" w14:textId="7E941A29" w:rsidR="008C2C2D" w:rsidRDefault="008C2C2D" w:rsidP="008C2696">
      <w:pPr>
        <w:pStyle w:val="Heading4"/>
        <w:rPr>
          <w:lang w:val="en-US"/>
        </w:rPr>
      </w:pPr>
      <w:r>
        <w:rPr>
          <w:lang w:val="en-US"/>
        </w:rPr>
        <w:t>Intervention</w:t>
      </w:r>
    </w:p>
    <w:p w14:paraId="65C4456F" w14:textId="19244854" w:rsidR="008C2C2D" w:rsidRDefault="00D45604" w:rsidP="00895F4C">
      <w:pPr>
        <w:rPr>
          <w:lang w:val="en-US"/>
        </w:rPr>
      </w:pPr>
      <w:r>
        <w:rPr>
          <w:lang w:val="en-US"/>
        </w:rPr>
        <w:t>The intervention s</w:t>
      </w:r>
      <w:r w:rsidR="00AE4CC7">
        <w:rPr>
          <w:lang w:val="en-US"/>
        </w:rPr>
        <w:t xml:space="preserve">hould </w:t>
      </w:r>
      <w:r w:rsidR="00B607FF">
        <w:rPr>
          <w:lang w:val="en-US"/>
        </w:rPr>
        <w:t xml:space="preserve">be </w:t>
      </w:r>
      <w:r>
        <w:rPr>
          <w:lang w:val="en-US"/>
        </w:rPr>
        <w:t xml:space="preserve">an </w:t>
      </w:r>
      <w:r w:rsidR="00A80390">
        <w:rPr>
          <w:lang w:val="en-US"/>
        </w:rPr>
        <w:t>e</w:t>
      </w:r>
      <w:r w:rsidR="00B607FF">
        <w:rPr>
          <w:lang w:val="en-US"/>
        </w:rPr>
        <w:t xml:space="preserve">PMA </w:t>
      </w:r>
      <w:r>
        <w:rPr>
          <w:lang w:val="en-US"/>
        </w:rPr>
        <w:t xml:space="preserve">system that </w:t>
      </w:r>
      <w:r w:rsidR="001B5A8E">
        <w:rPr>
          <w:lang w:val="en-US"/>
        </w:rPr>
        <w:t>contain</w:t>
      </w:r>
      <w:r>
        <w:rPr>
          <w:lang w:val="en-US"/>
        </w:rPr>
        <w:t>s</w:t>
      </w:r>
      <w:r w:rsidR="001B5A8E">
        <w:rPr>
          <w:lang w:val="en-US"/>
        </w:rPr>
        <w:t xml:space="preserve"> decision support (DS) </w:t>
      </w:r>
      <w:r w:rsidR="0089785A">
        <w:rPr>
          <w:lang w:val="en-US"/>
        </w:rPr>
        <w:t xml:space="preserve">that combines prescribed or attempted prescribing </w:t>
      </w:r>
      <w:r w:rsidR="00577D9D">
        <w:rPr>
          <w:lang w:val="en-US"/>
        </w:rPr>
        <w:t xml:space="preserve">with </w:t>
      </w:r>
      <w:r w:rsidR="00D67EDF">
        <w:rPr>
          <w:lang w:val="en-US"/>
        </w:rPr>
        <w:t xml:space="preserve">dose cumulation and </w:t>
      </w:r>
      <w:r w:rsidR="00577D9D">
        <w:rPr>
          <w:lang w:val="en-US"/>
        </w:rPr>
        <w:t>medicines related interactions</w:t>
      </w:r>
      <w:r w:rsidR="00D67EDF">
        <w:rPr>
          <w:lang w:val="en-US"/>
        </w:rPr>
        <w:t xml:space="preserve"> (DDIs)</w:t>
      </w:r>
      <w:r w:rsidR="00577D9D">
        <w:rPr>
          <w:lang w:val="en-US"/>
        </w:rPr>
        <w:t xml:space="preserve">.  </w:t>
      </w:r>
      <w:r w:rsidR="0068268B">
        <w:rPr>
          <w:lang w:val="en-US"/>
        </w:rPr>
        <w:t xml:space="preserve">The selection did not attempt to specifically search for any </w:t>
      </w:r>
      <w:r w:rsidR="00A80390">
        <w:rPr>
          <w:lang w:val="en-US"/>
        </w:rPr>
        <w:t>C</w:t>
      </w:r>
      <w:r w:rsidR="0068268B">
        <w:rPr>
          <w:lang w:val="en-US"/>
        </w:rPr>
        <w:t xml:space="preserve">DS that may combine </w:t>
      </w:r>
      <w:r w:rsidR="004411C4">
        <w:rPr>
          <w:lang w:val="en-US"/>
        </w:rPr>
        <w:t>prescribing and patient characteristics</w:t>
      </w:r>
      <w:r w:rsidR="00A80390">
        <w:rPr>
          <w:lang w:val="en-US"/>
        </w:rPr>
        <w:t>, however thi</w:t>
      </w:r>
      <w:r w:rsidR="00C507A9">
        <w:rPr>
          <w:lang w:val="en-US"/>
        </w:rPr>
        <w:t>s was not excluded as the search was based on outcomes.</w:t>
      </w:r>
    </w:p>
    <w:p w14:paraId="0B09BAD7" w14:textId="77777777" w:rsidR="00EE491C" w:rsidRDefault="00EE491C" w:rsidP="00895F4C">
      <w:pPr>
        <w:rPr>
          <w:lang w:val="en-US"/>
        </w:rPr>
      </w:pPr>
    </w:p>
    <w:p w14:paraId="447F4C79" w14:textId="3C959F7F" w:rsidR="00EE491C" w:rsidRDefault="00EE491C" w:rsidP="008C2696">
      <w:pPr>
        <w:pStyle w:val="Heading4"/>
        <w:rPr>
          <w:lang w:val="en-US"/>
        </w:rPr>
      </w:pPr>
      <w:r>
        <w:rPr>
          <w:lang w:val="en-US"/>
        </w:rPr>
        <w:lastRenderedPageBreak/>
        <w:t>Context</w:t>
      </w:r>
    </w:p>
    <w:p w14:paraId="57CAF65B" w14:textId="3236A5BC" w:rsidR="00EE491C" w:rsidRDefault="000740CA" w:rsidP="00895F4C">
      <w:pPr>
        <w:rPr>
          <w:lang w:val="en-US"/>
        </w:rPr>
      </w:pPr>
      <w:r>
        <w:rPr>
          <w:lang w:val="en-US"/>
        </w:rPr>
        <w:t xml:space="preserve">The study selection </w:t>
      </w:r>
      <w:r w:rsidR="00C92B2D">
        <w:rPr>
          <w:lang w:val="en-US"/>
        </w:rPr>
        <w:t>reviewed decision support and prescribing within the s</w:t>
      </w:r>
      <w:r w:rsidR="009E1C43">
        <w:rPr>
          <w:lang w:val="en-US"/>
        </w:rPr>
        <w:t xml:space="preserve">econdary care </w:t>
      </w:r>
      <w:r w:rsidR="00C92B2D">
        <w:rPr>
          <w:lang w:val="en-US"/>
        </w:rPr>
        <w:t>sector</w:t>
      </w:r>
      <w:r w:rsidR="00D57258">
        <w:rPr>
          <w:lang w:val="en-US"/>
        </w:rPr>
        <w:t xml:space="preserve"> as context</w:t>
      </w:r>
      <w:r w:rsidR="003F5BA0">
        <w:rPr>
          <w:lang w:val="en-US"/>
        </w:rPr>
        <w:t xml:space="preserve">, workflows and </w:t>
      </w:r>
      <w:r w:rsidR="00561BB2">
        <w:rPr>
          <w:lang w:val="en-US"/>
        </w:rPr>
        <w:t>consequent outcomes may be very different.</w:t>
      </w:r>
    </w:p>
    <w:p w14:paraId="2D5DB71E" w14:textId="77777777" w:rsidR="008C5BDE" w:rsidRDefault="008C5BDE" w:rsidP="00895F4C">
      <w:pPr>
        <w:rPr>
          <w:lang w:val="en-US"/>
        </w:rPr>
      </w:pPr>
    </w:p>
    <w:p w14:paraId="5BBA0562" w14:textId="706CC142" w:rsidR="008C5BDE" w:rsidRDefault="008C5BDE" w:rsidP="008C2696">
      <w:pPr>
        <w:pStyle w:val="Heading4"/>
        <w:rPr>
          <w:lang w:val="en-US"/>
        </w:rPr>
      </w:pPr>
      <w:r>
        <w:rPr>
          <w:lang w:val="en-US"/>
        </w:rPr>
        <w:t>Outcomes</w:t>
      </w:r>
    </w:p>
    <w:p w14:paraId="52695E4C" w14:textId="0B0C3C13" w:rsidR="00253120" w:rsidRDefault="002C5D2B" w:rsidP="00895F4C">
      <w:pPr>
        <w:rPr>
          <w:lang w:val="en-US"/>
        </w:rPr>
      </w:pPr>
      <w:r>
        <w:rPr>
          <w:lang w:val="en-US"/>
        </w:rPr>
        <w:t xml:space="preserve">The following outcomes were considered when searching and selecting </w:t>
      </w:r>
      <w:r w:rsidR="00A06031">
        <w:rPr>
          <w:lang w:val="en-US"/>
        </w:rPr>
        <w:t>publications</w:t>
      </w:r>
      <w:r w:rsidR="001A3A39">
        <w:rPr>
          <w:lang w:val="en-US"/>
        </w:rPr>
        <w:t xml:space="preserve"> related to CDS in ePMA </w:t>
      </w:r>
      <w:r w:rsidR="00DC451A">
        <w:rPr>
          <w:lang w:val="en-US"/>
        </w:rPr>
        <w:t xml:space="preserve">based </w:t>
      </w:r>
      <w:r w:rsidR="001A3A39">
        <w:rPr>
          <w:lang w:val="en-US"/>
        </w:rPr>
        <w:t>outcomes</w:t>
      </w:r>
      <w:r w:rsidR="00DC451A">
        <w:rPr>
          <w:lang w:val="en-US"/>
        </w:rPr>
        <w:t>, irrespective of dose cumulation checking</w:t>
      </w:r>
      <w:r w:rsidR="00A06031">
        <w:rPr>
          <w:lang w:val="en-US"/>
        </w:rPr>
        <w:t xml:space="preserve">, </w:t>
      </w:r>
      <w:r w:rsidR="00017B5B">
        <w:rPr>
          <w:lang w:val="en-US"/>
        </w:rPr>
        <w:t>T</w:t>
      </w:r>
      <w:r w:rsidR="00A06031">
        <w:rPr>
          <w:lang w:val="en-US"/>
        </w:rPr>
        <w:t xml:space="preserve">able </w:t>
      </w:r>
      <w:r w:rsidR="0034678C">
        <w:rPr>
          <w:lang w:val="en-US"/>
        </w:rPr>
        <w:t>3</w:t>
      </w:r>
      <w:r w:rsidR="00A06031">
        <w:rPr>
          <w:lang w:val="en-US"/>
        </w:rPr>
        <w:t>:</w:t>
      </w:r>
    </w:p>
    <w:tbl>
      <w:tblPr>
        <w:tblStyle w:val="TableGrid"/>
        <w:tblW w:w="0" w:type="auto"/>
        <w:tblLook w:val="04A0" w:firstRow="1" w:lastRow="0" w:firstColumn="1" w:lastColumn="0" w:noHBand="0" w:noVBand="1"/>
      </w:tblPr>
      <w:tblGrid>
        <w:gridCol w:w="4508"/>
        <w:gridCol w:w="4508"/>
      </w:tblGrid>
      <w:tr w:rsidR="00E841DC" w14:paraId="1066AABE" w14:textId="77777777" w:rsidTr="00A06031">
        <w:tc>
          <w:tcPr>
            <w:tcW w:w="4508" w:type="dxa"/>
            <w:shd w:val="clear" w:color="auto" w:fill="D9D9D9" w:themeFill="background1" w:themeFillShade="D9"/>
          </w:tcPr>
          <w:p w14:paraId="7F2686F3" w14:textId="756045CB" w:rsidR="00E841DC" w:rsidRPr="00A06031" w:rsidRDefault="00E841DC" w:rsidP="00895F4C">
            <w:pPr>
              <w:rPr>
                <w:b/>
                <w:bCs/>
                <w:lang w:val="en-US"/>
              </w:rPr>
            </w:pPr>
            <w:r w:rsidRPr="00A06031">
              <w:rPr>
                <w:b/>
                <w:bCs/>
                <w:lang w:val="en-US"/>
              </w:rPr>
              <w:t>Outc</w:t>
            </w:r>
            <w:r w:rsidR="0071328F" w:rsidRPr="00A06031">
              <w:rPr>
                <w:b/>
                <w:bCs/>
                <w:lang w:val="en-US"/>
              </w:rPr>
              <w:t>ome Type</w:t>
            </w:r>
          </w:p>
        </w:tc>
        <w:tc>
          <w:tcPr>
            <w:tcW w:w="4508" w:type="dxa"/>
            <w:shd w:val="clear" w:color="auto" w:fill="D9D9D9" w:themeFill="background1" w:themeFillShade="D9"/>
          </w:tcPr>
          <w:p w14:paraId="04140DEB" w14:textId="32374EDC" w:rsidR="00E841DC" w:rsidRPr="00A06031" w:rsidRDefault="0071328F" w:rsidP="00895F4C">
            <w:pPr>
              <w:rPr>
                <w:b/>
                <w:bCs/>
                <w:lang w:val="en-US"/>
              </w:rPr>
            </w:pPr>
            <w:r w:rsidRPr="00A06031">
              <w:rPr>
                <w:b/>
                <w:bCs/>
                <w:lang w:val="en-US"/>
              </w:rPr>
              <w:t xml:space="preserve">Summary </w:t>
            </w:r>
          </w:p>
        </w:tc>
      </w:tr>
      <w:tr w:rsidR="008C3BC3" w14:paraId="3F77C97E" w14:textId="77777777" w:rsidTr="00E841DC">
        <w:tc>
          <w:tcPr>
            <w:tcW w:w="4508" w:type="dxa"/>
            <w:vMerge w:val="restart"/>
          </w:tcPr>
          <w:p w14:paraId="4DB1019B" w14:textId="5C1454FF" w:rsidR="008C3BC3" w:rsidRDefault="008C3BC3" w:rsidP="00895F4C">
            <w:pPr>
              <w:rPr>
                <w:lang w:val="en-US"/>
              </w:rPr>
            </w:pPr>
            <w:r>
              <w:rPr>
                <w:lang w:val="en-US"/>
              </w:rPr>
              <w:t>Care Process Outcome</w:t>
            </w:r>
          </w:p>
        </w:tc>
        <w:tc>
          <w:tcPr>
            <w:tcW w:w="4508" w:type="dxa"/>
          </w:tcPr>
          <w:p w14:paraId="1A977532" w14:textId="6B1DA39C" w:rsidR="008C3BC3" w:rsidRPr="0071328F" w:rsidRDefault="00B30B36" w:rsidP="0071328F">
            <w:pPr>
              <w:pStyle w:val="ListParagraph"/>
              <w:numPr>
                <w:ilvl w:val="0"/>
                <w:numId w:val="2"/>
              </w:numPr>
              <w:rPr>
                <w:lang w:val="en-US"/>
              </w:rPr>
            </w:pPr>
            <w:r w:rsidRPr="00164D1B">
              <w:rPr>
                <w:b/>
                <w:bCs/>
                <w:lang w:val="en-US"/>
              </w:rPr>
              <w:t>Medication Related Adverse Drug Events (ADRs)</w:t>
            </w:r>
            <w:r w:rsidR="008C3BC3">
              <w:rPr>
                <w:lang w:val="en-US"/>
              </w:rPr>
              <w:t xml:space="preserve"> </w:t>
            </w:r>
            <w:r w:rsidR="00164D1B">
              <w:rPr>
                <w:lang w:val="en-US"/>
              </w:rPr>
              <w:t>– Injuries to patients due to medication errors.</w:t>
            </w:r>
          </w:p>
        </w:tc>
      </w:tr>
      <w:tr w:rsidR="00BC5846" w14:paraId="18E63D17" w14:textId="77777777" w:rsidTr="00A511AE">
        <w:trPr>
          <w:trHeight w:val="2770"/>
        </w:trPr>
        <w:tc>
          <w:tcPr>
            <w:tcW w:w="4508" w:type="dxa"/>
            <w:vMerge/>
          </w:tcPr>
          <w:p w14:paraId="22815C01" w14:textId="77777777" w:rsidR="00BC5846" w:rsidRDefault="00BC5846" w:rsidP="00895F4C">
            <w:pPr>
              <w:rPr>
                <w:lang w:val="en-US"/>
              </w:rPr>
            </w:pPr>
          </w:p>
        </w:tc>
        <w:tc>
          <w:tcPr>
            <w:tcW w:w="4508" w:type="dxa"/>
          </w:tcPr>
          <w:p w14:paraId="57B36994" w14:textId="6EE8CEE2" w:rsidR="00BC5846" w:rsidRDefault="00BC5846" w:rsidP="0071328F">
            <w:pPr>
              <w:pStyle w:val="ListParagraph"/>
              <w:numPr>
                <w:ilvl w:val="0"/>
                <w:numId w:val="2"/>
              </w:numPr>
              <w:rPr>
                <w:lang w:val="en-US"/>
              </w:rPr>
            </w:pPr>
            <w:r w:rsidRPr="00164D1B">
              <w:rPr>
                <w:b/>
                <w:bCs/>
                <w:lang w:val="en-US"/>
              </w:rPr>
              <w:t>Medication Errors</w:t>
            </w:r>
            <w:r>
              <w:rPr>
                <w:lang w:val="en-US"/>
              </w:rPr>
              <w:t xml:space="preserve"> -  these include: Prescribing related errors, transcribing, medication administration. (which may or may not have caused harm).  Note: Dispensing related errors were not included as these are outside of the scope of an ePMA system.</w:t>
            </w:r>
          </w:p>
        </w:tc>
      </w:tr>
    </w:tbl>
    <w:p w14:paraId="72FF4198" w14:textId="5F67E8E3" w:rsidR="00767CA5" w:rsidRDefault="002C5D2B" w:rsidP="002C5D2B">
      <w:pPr>
        <w:pStyle w:val="Caption"/>
        <w:rPr>
          <w:lang w:val="en-US"/>
        </w:rPr>
      </w:pPr>
      <w:r>
        <w:t xml:space="preserve">Table </w:t>
      </w:r>
      <w:r w:rsidR="0034678C">
        <w:t>3</w:t>
      </w:r>
      <w:r>
        <w:t xml:space="preserve"> Outcome Types</w:t>
      </w:r>
    </w:p>
    <w:p w14:paraId="7CBDAF06" w14:textId="54EC4387" w:rsidR="00A4660A" w:rsidRDefault="00A4660A" w:rsidP="00C907EC">
      <w:pPr>
        <w:pStyle w:val="Heading3"/>
        <w:rPr>
          <w:lang w:val="en-US"/>
        </w:rPr>
      </w:pPr>
      <w:bookmarkStart w:id="5" w:name="_Toc127881390"/>
      <w:r>
        <w:rPr>
          <w:lang w:val="en-US"/>
        </w:rPr>
        <w:t>Grading</w:t>
      </w:r>
      <w:bookmarkEnd w:id="5"/>
    </w:p>
    <w:p w14:paraId="7A082D67" w14:textId="7E540571" w:rsidR="00A4660A" w:rsidRDefault="00A4660A" w:rsidP="00895F4C">
      <w:pPr>
        <w:rPr>
          <w:lang w:val="en-US"/>
        </w:rPr>
      </w:pPr>
      <w:r>
        <w:rPr>
          <w:lang w:val="en-US"/>
        </w:rPr>
        <w:t xml:space="preserve">The literature was graded </w:t>
      </w:r>
      <w:r w:rsidR="0015150C">
        <w:rPr>
          <w:lang w:val="en-US"/>
        </w:rPr>
        <w:t>and</w:t>
      </w:r>
      <w:r w:rsidR="00AA466A">
        <w:rPr>
          <w:lang w:val="en-US"/>
        </w:rPr>
        <w:t xml:space="preserve"> assessed against the following criteria:</w:t>
      </w:r>
    </w:p>
    <w:p w14:paraId="15D6D4BC" w14:textId="3EF1AB63" w:rsidR="00AA466A" w:rsidRDefault="00AA466A" w:rsidP="00895F4C">
      <w:pPr>
        <w:rPr>
          <w:lang w:val="en-US"/>
        </w:rPr>
      </w:pPr>
      <w:r w:rsidRPr="00F024BF">
        <w:rPr>
          <w:b/>
          <w:bCs/>
          <w:lang w:val="en-US"/>
        </w:rPr>
        <w:t xml:space="preserve">Strong </w:t>
      </w:r>
      <w:r w:rsidR="001C4E97" w:rsidRPr="00F024BF">
        <w:rPr>
          <w:b/>
          <w:bCs/>
          <w:lang w:val="en-US"/>
        </w:rPr>
        <w:t>Evidence</w:t>
      </w:r>
      <w:r w:rsidR="001C4E97">
        <w:rPr>
          <w:lang w:val="en-US"/>
        </w:rPr>
        <w:t>:</w:t>
      </w:r>
      <w:r>
        <w:rPr>
          <w:lang w:val="en-US"/>
        </w:rPr>
        <w:t xml:space="preserve"> </w:t>
      </w:r>
      <w:r w:rsidR="006A3BE7">
        <w:rPr>
          <w:lang w:val="en-US"/>
        </w:rPr>
        <w:t xml:space="preserve">RCT – </w:t>
      </w:r>
      <w:r w:rsidR="00D0025C">
        <w:rPr>
          <w:lang w:val="en-US"/>
        </w:rPr>
        <w:t xml:space="preserve">statistically </w:t>
      </w:r>
      <w:r w:rsidR="006A3BE7">
        <w:rPr>
          <w:lang w:val="en-US"/>
        </w:rPr>
        <w:t xml:space="preserve">significant </w:t>
      </w:r>
      <w:r w:rsidR="00BC5846">
        <w:rPr>
          <w:lang w:val="en-US"/>
        </w:rPr>
        <w:t>- 1</w:t>
      </w:r>
    </w:p>
    <w:p w14:paraId="1BBE0150" w14:textId="4A60BEE7" w:rsidR="00AA466A" w:rsidRDefault="00AA466A" w:rsidP="00895F4C">
      <w:pPr>
        <w:rPr>
          <w:lang w:val="en-US"/>
        </w:rPr>
      </w:pPr>
      <w:r w:rsidRPr="00F024BF">
        <w:rPr>
          <w:b/>
          <w:bCs/>
          <w:lang w:val="en-US"/>
        </w:rPr>
        <w:t>Limited Evidence</w:t>
      </w:r>
      <w:r w:rsidR="006A3BE7">
        <w:rPr>
          <w:lang w:val="en-US"/>
        </w:rPr>
        <w:t>: Qualitative</w:t>
      </w:r>
      <w:r w:rsidR="00D0025C">
        <w:rPr>
          <w:lang w:val="en-US"/>
        </w:rPr>
        <w:t xml:space="preserve"> – no statistical significance</w:t>
      </w:r>
      <w:r w:rsidR="00BC5846">
        <w:rPr>
          <w:lang w:val="en-US"/>
        </w:rPr>
        <w:t xml:space="preserve"> - 2</w:t>
      </w:r>
    </w:p>
    <w:p w14:paraId="5AB193EC" w14:textId="462FD1B7" w:rsidR="0015150C" w:rsidRDefault="00AA466A" w:rsidP="00895F4C">
      <w:pPr>
        <w:rPr>
          <w:lang w:val="en-US"/>
        </w:rPr>
      </w:pPr>
      <w:r w:rsidRPr="00F024BF">
        <w:rPr>
          <w:b/>
          <w:bCs/>
          <w:lang w:val="en-US"/>
        </w:rPr>
        <w:t>Insufficient Evidence</w:t>
      </w:r>
      <w:r w:rsidR="00D0025C">
        <w:rPr>
          <w:lang w:val="en-US"/>
        </w:rPr>
        <w:t xml:space="preserve"> </w:t>
      </w:r>
      <w:r w:rsidR="00C907EC">
        <w:rPr>
          <w:lang w:val="en-US"/>
        </w:rPr>
        <w:t>–</w:t>
      </w:r>
      <w:r w:rsidR="00D0025C">
        <w:rPr>
          <w:lang w:val="en-US"/>
        </w:rPr>
        <w:t xml:space="preserve"> </w:t>
      </w:r>
      <w:r w:rsidR="00C907EC">
        <w:rPr>
          <w:lang w:val="en-US"/>
        </w:rPr>
        <w:t>report/commentary/observational</w:t>
      </w:r>
      <w:r w:rsidR="00BC5846">
        <w:rPr>
          <w:lang w:val="en-US"/>
        </w:rPr>
        <w:t xml:space="preserve"> - 3</w:t>
      </w:r>
    </w:p>
    <w:p w14:paraId="22A41DF8" w14:textId="77777777" w:rsidR="0015150C" w:rsidRDefault="0015150C" w:rsidP="00895F4C">
      <w:pPr>
        <w:rPr>
          <w:lang w:val="en-US"/>
        </w:rPr>
      </w:pPr>
    </w:p>
    <w:p w14:paraId="082986C4" w14:textId="77777777" w:rsidR="001D096A" w:rsidRDefault="001D096A">
      <w:pPr>
        <w:rPr>
          <w:rFonts w:asciiTheme="majorHAnsi" w:eastAsiaTheme="majorEastAsia" w:hAnsiTheme="majorHAnsi" w:cstheme="majorBidi"/>
          <w:b/>
          <w:color w:val="2F5496" w:themeColor="accent1" w:themeShade="BF"/>
          <w:sz w:val="26"/>
          <w:szCs w:val="26"/>
          <w:lang w:val="en-US"/>
        </w:rPr>
      </w:pPr>
      <w:r>
        <w:rPr>
          <w:lang w:val="en-US"/>
        </w:rPr>
        <w:br w:type="page"/>
      </w:r>
    </w:p>
    <w:p w14:paraId="20786F9F" w14:textId="55E9DF54" w:rsidR="008C5BDE" w:rsidRDefault="008C2696" w:rsidP="008C2696">
      <w:pPr>
        <w:pStyle w:val="Heading2"/>
        <w:rPr>
          <w:lang w:val="en-US"/>
        </w:rPr>
      </w:pPr>
      <w:bookmarkStart w:id="6" w:name="_Toc127881391"/>
      <w:r>
        <w:rPr>
          <w:lang w:val="en-US"/>
        </w:rPr>
        <w:lastRenderedPageBreak/>
        <w:t>Results</w:t>
      </w:r>
      <w:bookmarkEnd w:id="6"/>
    </w:p>
    <w:p w14:paraId="2BEF6ED5" w14:textId="7C6C5AF2" w:rsidR="00467BAB" w:rsidRDefault="00E014AC" w:rsidP="00A411C4">
      <w:pPr>
        <w:rPr>
          <w:lang w:val="en-US"/>
        </w:rPr>
      </w:pPr>
      <w:r>
        <w:rPr>
          <w:lang w:val="en-US"/>
        </w:rPr>
        <w:t xml:space="preserve">The search and screening for dose cumulation based decisions in ePMA didn’t yield any specific outcomes related </w:t>
      </w:r>
      <w:r w:rsidR="007813B2">
        <w:rPr>
          <w:lang w:val="en-US"/>
        </w:rPr>
        <w:t xml:space="preserve">results, however it did identify papers that would be relevant to </w:t>
      </w:r>
      <w:r w:rsidR="0065248B">
        <w:rPr>
          <w:lang w:val="en-US"/>
        </w:rPr>
        <w:t xml:space="preserve">discussion.  In total </w:t>
      </w:r>
      <w:r w:rsidR="00927817">
        <w:rPr>
          <w:lang w:val="en-US"/>
        </w:rPr>
        <w:t xml:space="preserve">963 papers </w:t>
      </w:r>
      <w:r w:rsidR="00D51A47">
        <w:rPr>
          <w:lang w:val="en-US"/>
        </w:rPr>
        <w:t xml:space="preserve">relevant to the dose cumulation criteria </w:t>
      </w:r>
      <w:r w:rsidR="00927817">
        <w:rPr>
          <w:lang w:val="en-US"/>
        </w:rPr>
        <w:t>were screened</w:t>
      </w:r>
      <w:r w:rsidR="00D51A47">
        <w:rPr>
          <w:lang w:val="en-US"/>
        </w:rPr>
        <w:t xml:space="preserve"> and narrowed down to </w:t>
      </w:r>
      <w:r w:rsidR="00202B46">
        <w:rPr>
          <w:lang w:val="en-US"/>
        </w:rPr>
        <w:t>3</w:t>
      </w:r>
      <w:r w:rsidR="00D51A47">
        <w:rPr>
          <w:lang w:val="en-US"/>
        </w:rPr>
        <w:t xml:space="preserve"> pieces of literature</w:t>
      </w:r>
      <w:r w:rsidR="00A411C4">
        <w:rPr>
          <w:lang w:val="en-US"/>
        </w:rPr>
        <w:t xml:space="preserve"> that would be deemed suitable for </w:t>
      </w:r>
      <w:r w:rsidR="00B33899">
        <w:rPr>
          <w:lang w:val="en-US"/>
        </w:rPr>
        <w:t>discussion</w:t>
      </w:r>
      <w:r w:rsidR="0080562B">
        <w:rPr>
          <w:lang w:val="en-US"/>
        </w:rPr>
        <w:t xml:space="preserve"> (Table 4.)</w:t>
      </w:r>
    </w:p>
    <w:tbl>
      <w:tblPr>
        <w:tblW w:w="9918" w:type="dxa"/>
        <w:tblLayout w:type="fixed"/>
        <w:tblCellMar>
          <w:left w:w="0" w:type="dxa"/>
          <w:right w:w="0" w:type="dxa"/>
        </w:tblCellMar>
        <w:tblLook w:val="04A0" w:firstRow="1" w:lastRow="0" w:firstColumn="1" w:lastColumn="0" w:noHBand="0" w:noVBand="1"/>
      </w:tblPr>
      <w:tblGrid>
        <w:gridCol w:w="1555"/>
        <w:gridCol w:w="1275"/>
        <w:gridCol w:w="1342"/>
        <w:gridCol w:w="1210"/>
        <w:gridCol w:w="3544"/>
        <w:gridCol w:w="992"/>
      </w:tblGrid>
      <w:tr w:rsidR="009A63A5" w14:paraId="66288125" w14:textId="77777777" w:rsidTr="00346D41">
        <w:trPr>
          <w:trHeight w:val="315"/>
        </w:trPr>
        <w:tc>
          <w:tcPr>
            <w:tcW w:w="1555" w:type="dxa"/>
            <w:tcBorders>
              <w:top w:val="single" w:sz="4" w:space="0" w:color="auto"/>
              <w:left w:val="single" w:sz="4" w:space="0" w:color="auto"/>
              <w:bottom w:val="single" w:sz="4" w:space="0" w:color="auto"/>
              <w:right w:val="single" w:sz="4" w:space="0" w:color="auto"/>
            </w:tcBorders>
            <w:shd w:val="clear" w:color="000000" w:fill="E7E6E6"/>
            <w:tcMar>
              <w:top w:w="15" w:type="dxa"/>
              <w:left w:w="15" w:type="dxa"/>
              <w:bottom w:w="0" w:type="dxa"/>
              <w:right w:w="15" w:type="dxa"/>
            </w:tcMar>
            <w:hideMark/>
          </w:tcPr>
          <w:p w14:paraId="611788FD" w14:textId="77777777" w:rsidR="009A63A5" w:rsidRDefault="009A63A5" w:rsidP="00346D41">
            <w:pPr>
              <w:rPr>
                <w:rFonts w:ascii="Calibri" w:hAnsi="Calibri" w:cs="Calibri"/>
                <w:b/>
                <w:bCs/>
                <w:color w:val="000000"/>
                <w:sz w:val="22"/>
              </w:rPr>
            </w:pPr>
            <w:r>
              <w:rPr>
                <w:rFonts w:ascii="Calibri" w:hAnsi="Calibri" w:cs="Calibri"/>
                <w:b/>
                <w:bCs/>
                <w:color w:val="000000"/>
                <w:sz w:val="22"/>
              </w:rPr>
              <w:t>Study</w:t>
            </w:r>
          </w:p>
        </w:tc>
        <w:tc>
          <w:tcPr>
            <w:tcW w:w="1275"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5EEF32A4" w14:textId="77777777" w:rsidR="009A63A5" w:rsidRDefault="009A63A5" w:rsidP="00346D41">
            <w:pPr>
              <w:rPr>
                <w:rFonts w:ascii="Calibri" w:hAnsi="Calibri" w:cs="Calibri"/>
                <w:b/>
                <w:bCs/>
                <w:color w:val="000000"/>
                <w:sz w:val="22"/>
              </w:rPr>
            </w:pPr>
            <w:r>
              <w:rPr>
                <w:rFonts w:ascii="Calibri" w:hAnsi="Calibri" w:cs="Calibri"/>
                <w:b/>
                <w:bCs/>
                <w:color w:val="000000"/>
                <w:sz w:val="22"/>
              </w:rPr>
              <w:t>Country</w:t>
            </w:r>
          </w:p>
        </w:tc>
        <w:tc>
          <w:tcPr>
            <w:tcW w:w="1342"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1976AA87" w14:textId="77777777" w:rsidR="009A63A5" w:rsidRDefault="009A63A5" w:rsidP="00346D41">
            <w:pPr>
              <w:rPr>
                <w:rFonts w:ascii="Calibri" w:hAnsi="Calibri" w:cs="Calibri"/>
                <w:b/>
                <w:bCs/>
                <w:color w:val="000000"/>
                <w:sz w:val="22"/>
              </w:rPr>
            </w:pPr>
            <w:r>
              <w:rPr>
                <w:rFonts w:ascii="Calibri" w:hAnsi="Calibri" w:cs="Calibri"/>
                <w:b/>
                <w:bCs/>
                <w:color w:val="000000"/>
                <w:sz w:val="22"/>
              </w:rPr>
              <w:t>Context</w:t>
            </w:r>
          </w:p>
        </w:tc>
        <w:tc>
          <w:tcPr>
            <w:tcW w:w="1210"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7878B490" w14:textId="77777777" w:rsidR="009A63A5" w:rsidRDefault="009A63A5" w:rsidP="00346D41">
            <w:pPr>
              <w:rPr>
                <w:rFonts w:ascii="Calibri" w:hAnsi="Calibri" w:cs="Calibri"/>
                <w:b/>
                <w:bCs/>
                <w:color w:val="000000"/>
                <w:sz w:val="22"/>
              </w:rPr>
            </w:pPr>
            <w:r>
              <w:rPr>
                <w:rFonts w:ascii="Calibri" w:hAnsi="Calibri" w:cs="Calibri"/>
                <w:b/>
                <w:bCs/>
                <w:color w:val="000000"/>
                <w:sz w:val="22"/>
              </w:rPr>
              <w:t>Study Design</w:t>
            </w:r>
          </w:p>
        </w:tc>
        <w:tc>
          <w:tcPr>
            <w:tcW w:w="3544"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49B3E901" w14:textId="77777777" w:rsidR="009A63A5" w:rsidRDefault="009A63A5" w:rsidP="00346D41">
            <w:pPr>
              <w:rPr>
                <w:rFonts w:ascii="Calibri" w:hAnsi="Calibri" w:cs="Calibri"/>
                <w:b/>
                <w:bCs/>
                <w:color w:val="000000"/>
                <w:sz w:val="22"/>
              </w:rPr>
            </w:pPr>
            <w:r>
              <w:rPr>
                <w:rFonts w:ascii="Calibri" w:hAnsi="Calibri" w:cs="Calibri"/>
                <w:b/>
                <w:bCs/>
                <w:color w:val="000000"/>
                <w:sz w:val="22"/>
              </w:rPr>
              <w:t>Summary</w:t>
            </w:r>
          </w:p>
        </w:tc>
        <w:tc>
          <w:tcPr>
            <w:tcW w:w="992"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15FEAC66" w14:textId="77777777" w:rsidR="009A63A5" w:rsidRDefault="009A63A5" w:rsidP="00346D41">
            <w:pPr>
              <w:rPr>
                <w:rFonts w:ascii="Calibri" w:hAnsi="Calibri" w:cs="Calibri"/>
                <w:b/>
                <w:bCs/>
                <w:color w:val="000000"/>
                <w:sz w:val="22"/>
              </w:rPr>
            </w:pPr>
            <w:r w:rsidRPr="00BD0672">
              <w:rPr>
                <w:rFonts w:ascii="Calibri" w:hAnsi="Calibri" w:cs="Calibri"/>
                <w:b/>
                <w:bCs/>
                <w:color w:val="000000"/>
                <w:sz w:val="16"/>
                <w:szCs w:val="16"/>
              </w:rPr>
              <w:t>Inclusion- Grading</w:t>
            </w:r>
          </w:p>
        </w:tc>
      </w:tr>
      <w:tr w:rsidR="009A63A5" w14:paraId="7C7EB6B7" w14:textId="77777777" w:rsidTr="00346D41">
        <w:trPr>
          <w:trHeight w:val="315"/>
        </w:trPr>
        <w:tc>
          <w:tcPr>
            <w:tcW w:w="1555" w:type="dxa"/>
            <w:tcBorders>
              <w:top w:val="nil"/>
              <w:left w:val="single" w:sz="4" w:space="0" w:color="auto"/>
              <w:bottom w:val="single" w:sz="4" w:space="0" w:color="auto"/>
              <w:right w:val="single" w:sz="4" w:space="0" w:color="auto"/>
            </w:tcBorders>
            <w:shd w:val="clear" w:color="000000" w:fill="E7E6E6"/>
            <w:tcMar>
              <w:top w:w="15" w:type="dxa"/>
              <w:left w:w="15" w:type="dxa"/>
              <w:bottom w:w="0" w:type="dxa"/>
              <w:right w:w="15" w:type="dxa"/>
            </w:tcMar>
            <w:hideMark/>
          </w:tcPr>
          <w:p w14:paraId="3AEF5C35" w14:textId="77777777" w:rsidR="009A63A5" w:rsidRDefault="009A63A5" w:rsidP="00346D41">
            <w:pPr>
              <w:rPr>
                <w:rFonts w:ascii="Calibri" w:hAnsi="Calibri" w:cs="Calibri"/>
                <w:b/>
                <w:bCs/>
                <w:color w:val="000000"/>
                <w:sz w:val="22"/>
              </w:rPr>
            </w:pPr>
            <w:r>
              <w:rPr>
                <w:rFonts w:ascii="Calibri" w:hAnsi="Calibri" w:cs="Calibri"/>
                <w:b/>
                <w:bCs/>
                <w:color w:val="000000"/>
                <w:sz w:val="22"/>
              </w:rPr>
              <w:t>First Author</w:t>
            </w:r>
          </w:p>
        </w:tc>
        <w:tc>
          <w:tcPr>
            <w:tcW w:w="1275"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0BB12916" w14:textId="77777777" w:rsidR="009A63A5" w:rsidRDefault="009A63A5" w:rsidP="00346D41">
            <w:pPr>
              <w:rPr>
                <w:rFonts w:ascii="Calibri" w:hAnsi="Calibri" w:cs="Calibri"/>
                <w:b/>
                <w:bCs/>
                <w:color w:val="000000"/>
                <w:sz w:val="22"/>
              </w:rPr>
            </w:pPr>
            <w:r>
              <w:rPr>
                <w:rFonts w:ascii="Calibri" w:hAnsi="Calibri" w:cs="Calibri"/>
                <w:b/>
                <w:bCs/>
                <w:color w:val="000000"/>
                <w:sz w:val="22"/>
              </w:rPr>
              <w:t> </w:t>
            </w:r>
          </w:p>
        </w:tc>
        <w:tc>
          <w:tcPr>
            <w:tcW w:w="1342"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2681DD94" w14:textId="77777777" w:rsidR="009A63A5" w:rsidRDefault="009A63A5" w:rsidP="00346D41">
            <w:pPr>
              <w:rPr>
                <w:rFonts w:ascii="Calibri" w:hAnsi="Calibri" w:cs="Calibri"/>
                <w:b/>
                <w:bCs/>
                <w:color w:val="000000"/>
                <w:sz w:val="22"/>
              </w:rPr>
            </w:pPr>
            <w:r>
              <w:rPr>
                <w:rFonts w:ascii="Calibri" w:hAnsi="Calibri" w:cs="Calibri"/>
                <w:b/>
                <w:bCs/>
                <w:color w:val="000000"/>
                <w:sz w:val="22"/>
              </w:rPr>
              <w:t> </w:t>
            </w:r>
          </w:p>
        </w:tc>
        <w:tc>
          <w:tcPr>
            <w:tcW w:w="1210"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5F1E2D29" w14:textId="77777777" w:rsidR="009A63A5" w:rsidRDefault="009A63A5" w:rsidP="00346D41">
            <w:pPr>
              <w:rPr>
                <w:rFonts w:ascii="Calibri" w:hAnsi="Calibri" w:cs="Calibri"/>
                <w:b/>
                <w:bCs/>
                <w:color w:val="000000"/>
                <w:sz w:val="22"/>
              </w:rPr>
            </w:pPr>
            <w:r>
              <w:rPr>
                <w:rFonts w:ascii="Calibri" w:hAnsi="Calibri" w:cs="Calibri"/>
                <w:b/>
                <w:bCs/>
                <w:color w:val="000000"/>
                <w:sz w:val="22"/>
              </w:rPr>
              <w:t> </w:t>
            </w:r>
          </w:p>
        </w:tc>
        <w:tc>
          <w:tcPr>
            <w:tcW w:w="3544"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23B77927" w14:textId="77777777" w:rsidR="009A63A5" w:rsidRDefault="009A63A5" w:rsidP="00346D41">
            <w:pPr>
              <w:rPr>
                <w:rFonts w:ascii="Calibri" w:hAnsi="Calibri" w:cs="Calibri"/>
                <w:b/>
                <w:bCs/>
                <w:color w:val="000000"/>
                <w:sz w:val="22"/>
              </w:rPr>
            </w:pPr>
            <w:r>
              <w:rPr>
                <w:rFonts w:ascii="Calibri" w:hAnsi="Calibri" w:cs="Calibri"/>
                <w:b/>
                <w:bCs/>
                <w:color w:val="000000"/>
                <w:sz w:val="22"/>
              </w:rPr>
              <w:t> </w:t>
            </w:r>
          </w:p>
        </w:tc>
        <w:tc>
          <w:tcPr>
            <w:tcW w:w="992"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50AF9F4A" w14:textId="77777777" w:rsidR="009A63A5" w:rsidRDefault="009A63A5" w:rsidP="00346D41">
            <w:pPr>
              <w:rPr>
                <w:rFonts w:ascii="Calibri" w:hAnsi="Calibri" w:cs="Calibri"/>
                <w:b/>
                <w:bCs/>
                <w:color w:val="000000"/>
                <w:sz w:val="22"/>
              </w:rPr>
            </w:pPr>
            <w:r>
              <w:rPr>
                <w:rFonts w:ascii="Calibri" w:hAnsi="Calibri" w:cs="Calibri"/>
                <w:b/>
                <w:bCs/>
                <w:color w:val="000000"/>
                <w:sz w:val="22"/>
              </w:rPr>
              <w:t> </w:t>
            </w:r>
          </w:p>
        </w:tc>
      </w:tr>
      <w:tr w:rsidR="009A63A5" w14:paraId="728A8D51" w14:textId="77777777" w:rsidTr="00676E7A">
        <w:trPr>
          <w:trHeight w:val="465"/>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tcPr>
          <w:p w14:paraId="24348CB5" w14:textId="0E2F877D" w:rsidR="0061603E" w:rsidRPr="00470657" w:rsidRDefault="00BA25EC" w:rsidP="00346D41">
            <w:pPr>
              <w:rPr>
                <w:rFonts w:ascii="Calibri" w:hAnsi="Calibri" w:cs="Calibri"/>
                <w:color w:val="000000"/>
                <w:sz w:val="22"/>
              </w:rPr>
            </w:pPr>
            <w:r>
              <w:rPr>
                <w:rFonts w:ascii="Calibri" w:hAnsi="Calibri" w:cs="Calibri"/>
                <w:color w:val="000000"/>
                <w:sz w:val="22"/>
              </w:rPr>
              <w:fldChar w:fldCharType="begin"/>
            </w:r>
            <w:r w:rsidR="0080562B">
              <w:rPr>
                <w:rFonts w:ascii="Calibri" w:hAnsi="Calibri" w:cs="Calibri"/>
                <w:color w:val="000000"/>
                <w:sz w:val="22"/>
              </w:rPr>
              <w:instrText xml:space="preserve"> ADDIN EN.CITE &lt;EndNote&gt;&lt;Cite AuthorYear="1"&gt;&lt;Author&gt;NCPDP&lt;/Author&gt;&lt;Year&gt;2016&lt;/Year&gt;&lt;RecNum&gt;516&lt;/RecNum&gt;&lt;DisplayText&gt;NCPDP (2016)&lt;/DisplayText&gt;&lt;record&gt;&lt;rec-number&gt;516&lt;/rec-number&gt;&lt;foreign-keys&gt;&lt;key app="EN" db-id="wxra20f03dt20kepwrwvfa0mvpxxeeezfaaz" timestamp="1675417565"&gt;516&lt;/key&gt;&lt;/foreign-keys&gt;&lt;ref-type name="Report"&gt;27&lt;/ref-type&gt;&lt;contributors&gt;&lt;authors&gt;&lt;author&gt;NCPDP&lt;/author&gt;&lt;/authors&gt;&lt;/contributors&gt;&lt;titles&gt;&lt;title&gt;NCPDP recommendations for dose accumulation monitoring in the inpatient setting: Acetaminophen case model, version 1.0&lt;/title&gt;&lt;secondary-title&gt;American Journal of Health-System Pharmacy&lt;/secondary-title&gt;&lt;/titles&gt;&lt;pages&gt;1144-1165&lt;/pages&gt;&lt;volume&gt;73&lt;/volume&gt;&lt;number&gt;15&lt;/number&gt;&lt;dates&gt;&lt;year&gt;2016&lt;/year&gt;&lt;/dates&gt;&lt;isbn&gt;1079-2082&lt;/isbn&gt;&lt;urls&gt;&lt;related-urls&gt;&lt;url&gt;https://doi.org/10.2146/ajhp160215&lt;/url&gt;&lt;/related-urls&gt;&lt;/urls&gt;&lt;electronic-resource-num&gt;10.2146/ajhp160215&lt;/electronic-resource-num&gt;&lt;access-date&gt;2/3/2023&lt;/access-date&gt;&lt;/record&gt;&lt;/Cite&gt;&lt;/EndNote&gt;</w:instrText>
            </w:r>
            <w:r>
              <w:rPr>
                <w:rFonts w:ascii="Calibri" w:hAnsi="Calibri" w:cs="Calibri"/>
                <w:color w:val="000000"/>
                <w:sz w:val="22"/>
              </w:rPr>
              <w:fldChar w:fldCharType="separate"/>
            </w:r>
            <w:r w:rsidR="0080562B">
              <w:rPr>
                <w:rFonts w:ascii="Calibri" w:hAnsi="Calibri" w:cs="Calibri"/>
                <w:noProof/>
                <w:color w:val="000000"/>
                <w:sz w:val="22"/>
              </w:rPr>
              <w:t>NCPDP (2016)</w:t>
            </w:r>
            <w:r>
              <w:rPr>
                <w:rFonts w:ascii="Calibri" w:hAnsi="Calibri" w:cs="Calibri"/>
                <w:color w:val="000000"/>
                <w:sz w:val="22"/>
              </w:rPr>
              <w:fldChar w:fldCharType="end"/>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0F06C9E8" w14:textId="56F3650B" w:rsidR="009A63A5" w:rsidRDefault="00B4446D" w:rsidP="00346D41">
            <w:pPr>
              <w:rPr>
                <w:rFonts w:ascii="Calibri" w:hAnsi="Calibri" w:cs="Calibri"/>
                <w:color w:val="000000"/>
                <w:sz w:val="22"/>
              </w:rPr>
            </w:pPr>
            <w:r>
              <w:rPr>
                <w:rFonts w:ascii="Calibri" w:hAnsi="Calibri" w:cs="Calibri"/>
                <w:color w:val="000000"/>
                <w:sz w:val="22"/>
              </w:rPr>
              <w:t>US</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127C8E12" w14:textId="77777777" w:rsidR="009A63A5" w:rsidRDefault="009A63A5" w:rsidP="00346D41">
            <w:pPr>
              <w:rPr>
                <w:rFonts w:ascii="Calibri" w:hAnsi="Calibri" w:cs="Calibri"/>
                <w:color w:val="000000"/>
                <w:sz w:val="22"/>
              </w:rPr>
            </w:pPr>
            <w:r>
              <w:rPr>
                <w:rFonts w:ascii="Calibri" w:hAnsi="Calibri" w:cs="Calibri"/>
                <w:color w:val="000000"/>
                <w:sz w:val="22"/>
              </w:rPr>
              <w:t>Hospital and Primary</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4F62F246" w14:textId="14915E8C" w:rsidR="009A63A5" w:rsidRDefault="00B4446D" w:rsidP="00346D41">
            <w:pPr>
              <w:rPr>
                <w:rFonts w:ascii="Calibri" w:hAnsi="Calibri" w:cs="Calibri"/>
                <w:color w:val="000000"/>
                <w:sz w:val="22"/>
              </w:rPr>
            </w:pPr>
            <w:r>
              <w:rPr>
                <w:rFonts w:ascii="Calibri" w:hAnsi="Calibri" w:cs="Calibri"/>
                <w:color w:val="000000"/>
                <w:sz w:val="22"/>
              </w:rPr>
              <w:t>Guidance</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21F547F1" w14:textId="6D872044" w:rsidR="009A63A5" w:rsidRDefault="00B4446D" w:rsidP="00346D41">
            <w:pPr>
              <w:rPr>
                <w:rFonts w:ascii="Calibri" w:hAnsi="Calibri" w:cs="Calibri"/>
                <w:color w:val="000000"/>
                <w:sz w:val="22"/>
              </w:rPr>
            </w:pPr>
            <w:r>
              <w:rPr>
                <w:rFonts w:ascii="Calibri" w:hAnsi="Calibri" w:cs="Calibri"/>
                <w:color w:val="000000"/>
                <w:sz w:val="22"/>
              </w:rPr>
              <w:t>Was not a study – however established some useful concepts and guidance relating to dose cumulation for paracetamol in particular</w:t>
            </w:r>
            <w:r w:rsidR="00676E7A">
              <w:rPr>
                <w:rFonts w:ascii="Calibri" w:hAnsi="Calibri" w:cs="Calibri"/>
                <w:color w:val="000000"/>
                <w:sz w:val="22"/>
              </w:rPr>
              <w:t xml:space="preserve"> – the concepts of which are generalisable.</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59D59A3A" w14:textId="77777777" w:rsidR="009A63A5" w:rsidRDefault="009A63A5" w:rsidP="00346D41">
            <w:pPr>
              <w:rPr>
                <w:rFonts w:ascii="Calibri" w:hAnsi="Calibri" w:cs="Calibri"/>
                <w:color w:val="000000"/>
                <w:sz w:val="22"/>
              </w:rPr>
            </w:pPr>
            <w:r>
              <w:rPr>
                <w:rFonts w:ascii="Calibri" w:hAnsi="Calibri" w:cs="Calibri"/>
                <w:color w:val="000000"/>
                <w:sz w:val="22"/>
              </w:rPr>
              <w:t>3</w:t>
            </w:r>
          </w:p>
        </w:tc>
      </w:tr>
      <w:tr w:rsidR="00676E7A" w14:paraId="4A3A0913" w14:textId="77777777" w:rsidTr="00676E7A">
        <w:trPr>
          <w:trHeight w:val="465"/>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tcPr>
          <w:p w14:paraId="34358704" w14:textId="3E5A5BCE" w:rsidR="00BA25EC" w:rsidRPr="00273132" w:rsidRDefault="00300633" w:rsidP="00346D41">
            <w:pPr>
              <w:rPr>
                <w:rFonts w:ascii="Calibri" w:hAnsi="Calibri" w:cs="Calibri"/>
                <w:color w:val="000000"/>
                <w:sz w:val="22"/>
              </w:rPr>
            </w:pPr>
            <w:r>
              <w:rPr>
                <w:rFonts w:ascii="Calibri" w:hAnsi="Calibri" w:cs="Calibri"/>
                <w:color w:val="000000"/>
                <w:sz w:val="22"/>
              </w:rPr>
              <w:fldChar w:fldCharType="begin"/>
            </w:r>
            <w:r w:rsidR="0080562B">
              <w:rPr>
                <w:rFonts w:ascii="Calibri" w:hAnsi="Calibri" w:cs="Calibri"/>
                <w:color w:val="000000"/>
                <w:sz w:val="22"/>
              </w:rPr>
              <w:instrText xml:space="preserve"> ADDIN EN.CITE &lt;EndNote&gt;&lt;Cite AuthorYear="1"&gt;&lt;Author&gt;Maxwell&lt;/Author&gt;&lt;Year&gt;2012&lt;/Year&gt;&lt;RecNum&gt;517&lt;/RecNum&gt;&lt;DisplayText&gt;Maxwell&lt;style face="italic"&gt; et al.&lt;/style&gt; (2012)&lt;/DisplayText&gt;&lt;record&gt;&lt;rec-number&gt;517&lt;/rec-number&gt;&lt;foreign-keys&gt;&lt;key app="EN" db-id="wxra20f03dt20kepwrwvfa0mvpxxeeezfaaz" timestamp="1675417759"&gt;517&lt;/key&gt;&lt;/foreign-keys&gt;&lt;ref-type name="Journal Article"&gt;17&lt;/ref-type&gt;&lt;contributors&gt;&lt;authors&gt;&lt;author&gt;Maxwell, Simon&lt;/author&gt;&lt;author&gt;Eichler, Hans-Georg&lt;/author&gt;&lt;author&gt;Bucsics, Anna&lt;/author&gt;&lt;author&gt;Haefeli, Walter E.&lt;/author&gt;&lt;author&gt;Gustafsson, Lars L.&lt;/author&gt;&lt;/authors&gt;&lt;/contributors&gt;&lt;titles&gt;&lt;title&gt;e-SPC: new approaches to delivering drug information&lt;/title&gt;&lt;secondary-title&gt;Future Prescriber&lt;/secondary-title&gt;&lt;/titles&gt;&lt;periodical&gt;&lt;full-title&gt;Future Prescriber&lt;/full-title&gt;&lt;/periodical&gt;&lt;pages&gt;17-19&lt;/pages&gt;&lt;volume&gt;13&lt;/volume&gt;&lt;number&gt;2&lt;/number&gt;&lt;dates&gt;&lt;year&gt;2012&lt;/year&gt;&lt;/dates&gt;&lt;publisher&gt;Wiley&lt;/publisher&gt;&lt;isbn&gt;1468-9871&lt;/isbn&gt;&lt;urls&gt;&lt;related-urls&gt;&lt;url&gt;https://dx.doi.org/10.1002/fps.94&lt;/url&gt;&lt;/related-urls&gt;&lt;/urls&gt;&lt;electronic-resource-num&gt;10.1002/fps.94&lt;/electronic-resource-num&gt;&lt;/record&gt;&lt;/Cite&gt;&lt;/EndNote&gt;</w:instrText>
            </w:r>
            <w:r>
              <w:rPr>
                <w:rFonts w:ascii="Calibri" w:hAnsi="Calibri" w:cs="Calibri"/>
                <w:color w:val="000000"/>
                <w:sz w:val="22"/>
              </w:rPr>
              <w:fldChar w:fldCharType="separate"/>
            </w:r>
            <w:r w:rsidR="0080562B">
              <w:rPr>
                <w:rFonts w:ascii="Calibri" w:hAnsi="Calibri" w:cs="Calibri"/>
                <w:noProof/>
                <w:color w:val="000000"/>
                <w:sz w:val="22"/>
              </w:rPr>
              <w:t>Maxwell</w:t>
            </w:r>
            <w:r w:rsidR="0080562B" w:rsidRPr="0080562B">
              <w:rPr>
                <w:rFonts w:ascii="Calibri" w:hAnsi="Calibri" w:cs="Calibri"/>
                <w:i/>
                <w:noProof/>
                <w:color w:val="000000"/>
                <w:sz w:val="22"/>
              </w:rPr>
              <w:t xml:space="preserve"> et al.</w:t>
            </w:r>
            <w:r w:rsidR="0080562B">
              <w:rPr>
                <w:rFonts w:ascii="Calibri" w:hAnsi="Calibri" w:cs="Calibri"/>
                <w:noProof/>
                <w:color w:val="000000"/>
                <w:sz w:val="22"/>
              </w:rPr>
              <w:t xml:space="preserve"> (2012)</w:t>
            </w:r>
            <w:r>
              <w:rPr>
                <w:rFonts w:ascii="Calibri" w:hAnsi="Calibri" w:cs="Calibri"/>
                <w:color w:val="000000"/>
                <w:sz w:val="22"/>
              </w:rPr>
              <w:fldChar w:fldCharType="end"/>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04897694" w14:textId="263FDFE6" w:rsidR="00676E7A" w:rsidRDefault="00273132" w:rsidP="00346D41">
            <w:pPr>
              <w:rPr>
                <w:rFonts w:ascii="Calibri" w:hAnsi="Calibri" w:cs="Calibri"/>
                <w:color w:val="000000"/>
                <w:sz w:val="22"/>
              </w:rPr>
            </w:pPr>
            <w:r>
              <w:rPr>
                <w:rFonts w:ascii="Calibri" w:hAnsi="Calibri" w:cs="Calibri"/>
                <w:color w:val="000000"/>
                <w:sz w:val="22"/>
              </w:rPr>
              <w:t>UK</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2896C23E" w14:textId="0AD62F50" w:rsidR="00676E7A" w:rsidRDefault="00273132" w:rsidP="00346D41">
            <w:pPr>
              <w:rPr>
                <w:rFonts w:ascii="Calibri" w:hAnsi="Calibri" w:cs="Calibri"/>
                <w:color w:val="000000"/>
                <w:sz w:val="22"/>
              </w:rPr>
            </w:pPr>
            <w:r>
              <w:rPr>
                <w:rFonts w:ascii="Calibri" w:hAnsi="Calibri" w:cs="Calibri"/>
                <w:color w:val="000000"/>
                <w:sz w:val="22"/>
              </w:rPr>
              <w:t>Hospital and Primary</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3AA67A06" w14:textId="709ED376" w:rsidR="00676E7A" w:rsidRDefault="00EE5692" w:rsidP="00346D41">
            <w:pPr>
              <w:rPr>
                <w:rFonts w:ascii="Calibri" w:hAnsi="Calibri" w:cs="Calibri"/>
                <w:color w:val="000000"/>
                <w:sz w:val="22"/>
              </w:rPr>
            </w:pPr>
            <w:r>
              <w:rPr>
                <w:rFonts w:ascii="Calibri" w:hAnsi="Calibri" w:cs="Calibri"/>
                <w:color w:val="000000"/>
                <w:sz w:val="22"/>
              </w:rPr>
              <w:t>Report</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1FA4062F" w14:textId="1F3CAD27" w:rsidR="00676E7A" w:rsidRDefault="00EE5692" w:rsidP="00346D41">
            <w:pPr>
              <w:rPr>
                <w:rFonts w:ascii="Calibri" w:hAnsi="Calibri" w:cs="Calibri"/>
                <w:color w:val="000000"/>
                <w:sz w:val="22"/>
              </w:rPr>
            </w:pPr>
            <w:r>
              <w:rPr>
                <w:rFonts w:ascii="Calibri" w:hAnsi="Calibri" w:cs="Calibri"/>
                <w:color w:val="000000"/>
                <w:sz w:val="22"/>
              </w:rPr>
              <w:t xml:space="preserve">Was not a study </w:t>
            </w:r>
            <w:r w:rsidR="00A4551A">
              <w:rPr>
                <w:rFonts w:ascii="Calibri" w:hAnsi="Calibri" w:cs="Calibri"/>
                <w:color w:val="000000"/>
                <w:sz w:val="22"/>
              </w:rPr>
              <w:t xml:space="preserve">but made recommendations for the future. Recommending that medicines information related directly to the product license should be digitised and integrated into </w:t>
            </w:r>
            <w:r w:rsidR="002D6A6F">
              <w:rPr>
                <w:rFonts w:ascii="Calibri" w:hAnsi="Calibri" w:cs="Calibri"/>
                <w:color w:val="000000"/>
                <w:sz w:val="22"/>
              </w:rPr>
              <w:t>systems such as ePMA and CDS.</w:t>
            </w:r>
            <w:r w:rsidR="00A4551A">
              <w:rPr>
                <w:rFonts w:ascii="Calibri" w:hAnsi="Calibri" w:cs="Calibri"/>
                <w:color w:val="000000"/>
                <w:sz w:val="22"/>
              </w:rPr>
              <w:t xml:space="preserve"> </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728DEFEB" w14:textId="75CB86E2" w:rsidR="00676E7A" w:rsidRDefault="002D6A6F" w:rsidP="00346D41">
            <w:pPr>
              <w:rPr>
                <w:rFonts w:ascii="Calibri" w:hAnsi="Calibri" w:cs="Calibri"/>
                <w:color w:val="000000"/>
                <w:sz w:val="22"/>
              </w:rPr>
            </w:pPr>
            <w:r>
              <w:rPr>
                <w:rFonts w:ascii="Calibri" w:hAnsi="Calibri" w:cs="Calibri"/>
                <w:color w:val="000000"/>
                <w:sz w:val="22"/>
              </w:rPr>
              <w:t>3</w:t>
            </w:r>
          </w:p>
        </w:tc>
      </w:tr>
      <w:tr w:rsidR="002D6A6F" w14:paraId="238A3991" w14:textId="77777777" w:rsidTr="00676E7A">
        <w:trPr>
          <w:trHeight w:val="465"/>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tcPr>
          <w:p w14:paraId="4E904EB5" w14:textId="6E7F5A61" w:rsidR="00300633" w:rsidRPr="002D6A6F" w:rsidRDefault="0080562B" w:rsidP="00346D41">
            <w:pPr>
              <w:rPr>
                <w:rFonts w:ascii="Calibri" w:hAnsi="Calibri" w:cs="Calibri"/>
                <w:color w:val="000000"/>
                <w:sz w:val="22"/>
              </w:rPr>
            </w:pPr>
            <w:r>
              <w:rPr>
                <w:rFonts w:ascii="Calibri" w:hAnsi="Calibri" w:cs="Calibri"/>
                <w:color w:val="000000"/>
                <w:sz w:val="22"/>
              </w:rPr>
              <w:fldChar w:fldCharType="begin"/>
            </w:r>
            <w:r>
              <w:rPr>
                <w:rFonts w:ascii="Calibri" w:hAnsi="Calibri" w:cs="Calibri"/>
                <w:color w:val="000000"/>
                <w:sz w:val="22"/>
              </w:rPr>
              <w:instrText xml:space="preserve"> ADDIN EN.CITE &lt;EndNote&gt;&lt;Cite AuthorYear="1"&gt;&lt;Author&gt;Coleman&lt;/Author&gt;&lt;Year&gt;2012&lt;/Year&gt;&lt;RecNum&gt;518&lt;/RecNum&gt;&lt;DisplayText&gt;Coleman&lt;style face="italic"&gt; et al.&lt;/style&gt; (2012)&lt;/DisplayText&gt;&lt;record&gt;&lt;rec-number&gt;518&lt;/rec-number&gt;&lt;foreign-keys&gt;&lt;key app="EN" db-id="wxra20f03dt20kepwrwvfa0mvpxxeeezfaaz" timestamp="1675418144"&gt;518&lt;/key&gt;&lt;/foreign-keys&gt;&lt;ref-type name="Journal Article"&gt;17&lt;/ref-type&gt;&lt;contributors&gt;&lt;authors&gt;&lt;author&gt;Coleman, J. J.&lt;/author&gt;&lt;author&gt;Nwulu, U.&lt;/author&gt;&lt;author&gt;Ferner, R. E.&lt;/author&gt;&lt;/authors&gt;&lt;/contributors&gt;&lt;auth-address&gt;University Hospitals Birmingham NHS Foundation Trust, Birmingham, UK. j.j.coleman@bham.ac.uk&lt;/auth-address&gt;&lt;titles&gt;&lt;title&gt;Decision support for sensible dosing in electronic prescribing systems&lt;/title&gt;&lt;secondary-title&gt;J Clin Pharm Ther&lt;/secondary-title&gt;&lt;/titles&gt;&lt;periodical&gt;&lt;full-title&gt;J Clin Pharm Ther&lt;/full-title&gt;&lt;/periodical&gt;&lt;pages&gt;415-9&lt;/pages&gt;&lt;volume&gt;37&lt;/volume&gt;&lt;number&gt;4&lt;/number&gt;&lt;edition&gt;20111020&lt;/edition&gt;&lt;keywords&gt;&lt;keyword&gt;Algorithms&lt;/keyword&gt;&lt;keyword&gt;*Decision Support Systems, Clinical&lt;/keyword&gt;&lt;keyword&gt;Dose-Response Relationship, Drug&lt;/keyword&gt;&lt;keyword&gt;Drug Therapy, Computer-Assisted/*methods&lt;/keyword&gt;&lt;keyword&gt;Electronic Prescribing/*standards&lt;/keyword&gt;&lt;keyword&gt;Humans&lt;/keyword&gt;&lt;keyword&gt;Medical Order Entry Systems/*standards&lt;/keyword&gt;&lt;keyword&gt;Medication Errors/prevention &amp;amp; control&lt;/keyword&gt;&lt;keyword&gt;Prescription Drugs/administration &amp;amp; dosage/adverse effects&lt;/keyword&gt;&lt;/keywords&gt;&lt;dates&gt;&lt;year&gt;2012&lt;/year&gt;&lt;pub-dates&gt;&lt;date&gt;Aug&lt;/date&gt;&lt;/pub-dates&gt;&lt;/dates&gt;&lt;isbn&gt;0269-4727&lt;/isbn&gt;&lt;accession-num&gt;22017267&lt;/accession-num&gt;&lt;urls&gt;&lt;/urls&gt;&lt;electronic-resource-num&gt;10.1111/j.1365-2710.2011.01310.x&lt;/electronic-resource-num&gt;&lt;remote-database-provider&gt;NLM&lt;/remote-database-provider&gt;&lt;language&gt;eng&lt;/language&gt;&lt;/record&gt;&lt;/Cite&gt;&lt;/EndNote&gt;</w:instrText>
            </w:r>
            <w:r>
              <w:rPr>
                <w:rFonts w:ascii="Calibri" w:hAnsi="Calibri" w:cs="Calibri"/>
                <w:color w:val="000000"/>
                <w:sz w:val="22"/>
              </w:rPr>
              <w:fldChar w:fldCharType="separate"/>
            </w:r>
            <w:r>
              <w:rPr>
                <w:rFonts w:ascii="Calibri" w:hAnsi="Calibri" w:cs="Calibri"/>
                <w:noProof/>
                <w:color w:val="000000"/>
                <w:sz w:val="22"/>
              </w:rPr>
              <w:t>Coleman</w:t>
            </w:r>
            <w:r w:rsidRPr="0080562B">
              <w:rPr>
                <w:rFonts w:ascii="Calibri" w:hAnsi="Calibri" w:cs="Calibri"/>
                <w:i/>
                <w:noProof/>
                <w:color w:val="000000"/>
                <w:sz w:val="22"/>
              </w:rPr>
              <w:t xml:space="preserve"> et al.</w:t>
            </w:r>
            <w:r>
              <w:rPr>
                <w:rFonts w:ascii="Calibri" w:hAnsi="Calibri" w:cs="Calibri"/>
                <w:noProof/>
                <w:color w:val="000000"/>
                <w:sz w:val="22"/>
              </w:rPr>
              <w:t xml:space="preserve"> (2012)</w:t>
            </w:r>
            <w:r>
              <w:rPr>
                <w:rFonts w:ascii="Calibri" w:hAnsi="Calibri" w:cs="Calibri"/>
                <w:color w:val="000000"/>
                <w:sz w:val="22"/>
              </w:rPr>
              <w:fldChar w:fldCharType="end"/>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1128421C" w14:textId="20C92830" w:rsidR="002D6A6F" w:rsidRDefault="00362988" w:rsidP="00346D41">
            <w:pPr>
              <w:rPr>
                <w:rFonts w:ascii="Calibri" w:hAnsi="Calibri" w:cs="Calibri"/>
                <w:color w:val="000000"/>
                <w:sz w:val="22"/>
              </w:rPr>
            </w:pPr>
            <w:r>
              <w:rPr>
                <w:rFonts w:ascii="Calibri" w:hAnsi="Calibri" w:cs="Calibri"/>
                <w:color w:val="000000"/>
                <w:sz w:val="22"/>
              </w:rPr>
              <w:t>UK</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507CE32B" w14:textId="550DB4B2" w:rsidR="002D6A6F" w:rsidRDefault="00362988" w:rsidP="00346D41">
            <w:pPr>
              <w:rPr>
                <w:rFonts w:ascii="Calibri" w:hAnsi="Calibri" w:cs="Calibri"/>
                <w:color w:val="000000"/>
                <w:sz w:val="22"/>
              </w:rPr>
            </w:pPr>
            <w:r>
              <w:rPr>
                <w:rFonts w:ascii="Calibri" w:hAnsi="Calibri" w:cs="Calibri"/>
                <w:color w:val="000000"/>
                <w:sz w:val="22"/>
              </w:rPr>
              <w:t>Hospital and Primary</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6223CEE5" w14:textId="5BABBE01" w:rsidR="002D6A6F" w:rsidRDefault="006C224A" w:rsidP="00346D41">
            <w:pPr>
              <w:rPr>
                <w:rFonts w:ascii="Calibri" w:hAnsi="Calibri" w:cs="Calibri"/>
                <w:color w:val="000000"/>
                <w:sz w:val="22"/>
              </w:rPr>
            </w:pPr>
            <w:r>
              <w:rPr>
                <w:rFonts w:ascii="Calibri" w:hAnsi="Calibri" w:cs="Calibri"/>
                <w:color w:val="000000"/>
                <w:sz w:val="22"/>
              </w:rPr>
              <w:t>Report</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12C52513" w14:textId="1B5D7EBB" w:rsidR="002D6A6F" w:rsidRDefault="00B73DFC" w:rsidP="00346D41">
            <w:pPr>
              <w:rPr>
                <w:rFonts w:ascii="Calibri" w:hAnsi="Calibri" w:cs="Calibri"/>
                <w:color w:val="000000"/>
                <w:sz w:val="22"/>
              </w:rPr>
            </w:pPr>
            <w:r>
              <w:rPr>
                <w:rFonts w:ascii="Segoe UI" w:hAnsi="Segoe UI" w:cs="Segoe UI"/>
                <w:sz w:val="22"/>
              </w:rPr>
              <w:t xml:space="preserve">A report on a study that derived and tested dose range algorithms </w:t>
            </w:r>
            <w:r w:rsidR="0061603E">
              <w:rPr>
                <w:rFonts w:ascii="Segoe UI" w:hAnsi="Segoe UI" w:cs="Segoe UI"/>
                <w:sz w:val="22"/>
              </w:rPr>
              <w:t>against 30 drug-route-form combinations and derived principles that could be adopted.</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302C0360" w14:textId="6CD388A0" w:rsidR="002D6A6F" w:rsidRDefault="0061603E" w:rsidP="00F07BA4">
            <w:pPr>
              <w:keepNext/>
              <w:rPr>
                <w:rFonts w:ascii="Calibri" w:hAnsi="Calibri" w:cs="Calibri"/>
                <w:color w:val="000000"/>
                <w:sz w:val="22"/>
              </w:rPr>
            </w:pPr>
            <w:r>
              <w:rPr>
                <w:rFonts w:ascii="Calibri" w:hAnsi="Calibri" w:cs="Calibri"/>
                <w:color w:val="000000"/>
                <w:sz w:val="22"/>
              </w:rPr>
              <w:t>3</w:t>
            </w:r>
          </w:p>
        </w:tc>
      </w:tr>
    </w:tbl>
    <w:p w14:paraId="3D08E557" w14:textId="70DFBDA7" w:rsidR="009A63A5" w:rsidRPr="00A411C4" w:rsidRDefault="00F07BA4" w:rsidP="00F07BA4">
      <w:pPr>
        <w:pStyle w:val="Caption"/>
        <w:rPr>
          <w:lang w:val="en-US"/>
        </w:rPr>
      </w:pPr>
      <w:r>
        <w:t>Table 4 Summary of Cumulative Dose CDS Related Studies</w:t>
      </w:r>
    </w:p>
    <w:p w14:paraId="4D9935A5" w14:textId="1A5C9FCD" w:rsidR="008C2696" w:rsidRDefault="0082667E" w:rsidP="008C2696">
      <w:pPr>
        <w:rPr>
          <w:lang w:val="en-US"/>
        </w:rPr>
      </w:pPr>
      <w:r>
        <w:rPr>
          <w:lang w:val="en-US"/>
        </w:rPr>
        <w:t>In t</w:t>
      </w:r>
      <w:r w:rsidR="00D51A47">
        <w:rPr>
          <w:lang w:val="en-US"/>
        </w:rPr>
        <w:t xml:space="preserve">he expanded search on </w:t>
      </w:r>
      <w:r>
        <w:rPr>
          <w:lang w:val="en-US"/>
        </w:rPr>
        <w:t xml:space="preserve">general medicines related ePMA CDS </w:t>
      </w:r>
      <w:r w:rsidR="00D51A47">
        <w:rPr>
          <w:lang w:val="en-US"/>
        </w:rPr>
        <w:t xml:space="preserve">outcomes </w:t>
      </w:r>
      <w:r>
        <w:rPr>
          <w:lang w:val="en-US"/>
        </w:rPr>
        <w:t>a</w:t>
      </w:r>
      <w:r w:rsidR="003D61CA">
        <w:rPr>
          <w:lang w:val="en-US"/>
        </w:rPr>
        <w:t xml:space="preserve"> total </w:t>
      </w:r>
      <w:r w:rsidR="00CF712E">
        <w:rPr>
          <w:lang w:val="en-US"/>
        </w:rPr>
        <w:t>4</w:t>
      </w:r>
      <w:r w:rsidR="00C549FC">
        <w:rPr>
          <w:lang w:val="en-US"/>
        </w:rPr>
        <w:t>,573</w:t>
      </w:r>
      <w:r w:rsidR="003D61CA">
        <w:rPr>
          <w:lang w:val="en-US"/>
        </w:rPr>
        <w:t xml:space="preserve"> </w:t>
      </w:r>
      <w:r w:rsidR="00B358B4">
        <w:rPr>
          <w:lang w:val="en-US"/>
        </w:rPr>
        <w:t xml:space="preserve">potential publications were screened, </w:t>
      </w:r>
      <w:r w:rsidR="00DA6F81">
        <w:rPr>
          <w:lang w:val="en-US"/>
        </w:rPr>
        <w:t>which reference</w:t>
      </w:r>
      <w:r w:rsidR="003D7254">
        <w:rPr>
          <w:lang w:val="en-US"/>
        </w:rPr>
        <w:t>d another</w:t>
      </w:r>
      <w:r w:rsidR="00DA6F81">
        <w:rPr>
          <w:lang w:val="en-US"/>
        </w:rPr>
        <w:t xml:space="preserve"> </w:t>
      </w:r>
      <w:r w:rsidR="00C549FC">
        <w:rPr>
          <w:lang w:val="en-US"/>
        </w:rPr>
        <w:t>24</w:t>
      </w:r>
      <w:r w:rsidR="00DA6F81">
        <w:rPr>
          <w:lang w:val="en-US"/>
        </w:rPr>
        <w:t xml:space="preserve"> reviews.  </w:t>
      </w:r>
      <w:r w:rsidR="00C549FC">
        <w:rPr>
          <w:lang w:val="en-US"/>
        </w:rPr>
        <w:t>1174</w:t>
      </w:r>
      <w:r w:rsidR="006875DA">
        <w:rPr>
          <w:lang w:val="en-US"/>
        </w:rPr>
        <w:t xml:space="preserve"> of these publications were then examined and </w:t>
      </w:r>
      <w:r w:rsidR="00C549FC">
        <w:rPr>
          <w:lang w:val="en-US"/>
        </w:rPr>
        <w:t xml:space="preserve">450 </w:t>
      </w:r>
      <w:r w:rsidR="006875DA">
        <w:rPr>
          <w:lang w:val="en-US"/>
        </w:rPr>
        <w:t>were excluded</w:t>
      </w:r>
      <w:r w:rsidR="00C549FC">
        <w:rPr>
          <w:lang w:val="en-US"/>
        </w:rPr>
        <w:t xml:space="preserve"> as they</w:t>
      </w:r>
      <w:r w:rsidR="003A2838">
        <w:rPr>
          <w:lang w:val="en-US"/>
        </w:rPr>
        <w:t xml:space="preserve"> were not hospital based</w:t>
      </w:r>
      <w:r w:rsidR="00C549FC">
        <w:rPr>
          <w:lang w:val="en-US"/>
        </w:rPr>
        <w:t>,</w:t>
      </w:r>
      <w:r w:rsidR="003A2838">
        <w:rPr>
          <w:lang w:val="en-US"/>
        </w:rPr>
        <w:t xml:space="preserve"> did not </w:t>
      </w:r>
      <w:r w:rsidR="00122A33">
        <w:rPr>
          <w:lang w:val="en-US"/>
        </w:rPr>
        <w:t>describe how they determined the outcomes,</w:t>
      </w:r>
      <w:r w:rsidR="00C549FC">
        <w:rPr>
          <w:lang w:val="en-US"/>
        </w:rPr>
        <w:t xml:space="preserve"> </w:t>
      </w:r>
      <w:r w:rsidR="00122A33">
        <w:rPr>
          <w:lang w:val="en-US"/>
        </w:rPr>
        <w:t>did not test the effectiveness of ePMA</w:t>
      </w:r>
      <w:r w:rsidR="00C549FC">
        <w:rPr>
          <w:lang w:val="en-US"/>
        </w:rPr>
        <w:t xml:space="preserve">, or </w:t>
      </w:r>
      <w:r w:rsidR="00122A33">
        <w:rPr>
          <w:lang w:val="en-US"/>
        </w:rPr>
        <w:t>described completely different outcomes.</w:t>
      </w:r>
      <w:r w:rsidR="001253EE">
        <w:rPr>
          <w:lang w:val="en-US"/>
        </w:rPr>
        <w:t xml:space="preserve">  The remaining </w:t>
      </w:r>
      <w:r w:rsidR="00797A79">
        <w:rPr>
          <w:lang w:val="en-US"/>
        </w:rPr>
        <w:t>724</w:t>
      </w:r>
      <w:r w:rsidR="001B3199">
        <w:rPr>
          <w:lang w:val="en-US"/>
        </w:rPr>
        <w:t xml:space="preserve"> publications </w:t>
      </w:r>
      <w:r w:rsidR="00797A79">
        <w:rPr>
          <w:lang w:val="en-US"/>
        </w:rPr>
        <w:t>were assessed for further eligibility</w:t>
      </w:r>
      <w:r w:rsidR="00D214CC">
        <w:rPr>
          <w:lang w:val="en-US"/>
        </w:rPr>
        <w:t xml:space="preserve"> and </w:t>
      </w:r>
      <w:r w:rsidR="00797A79">
        <w:rPr>
          <w:lang w:val="en-US"/>
        </w:rPr>
        <w:t xml:space="preserve">settings that </w:t>
      </w:r>
      <w:r w:rsidR="00E37EAD">
        <w:rPr>
          <w:lang w:val="en-US"/>
        </w:rPr>
        <w:t>could potentially skew results such as chemotherapy and paediatrics were removed.</w:t>
      </w:r>
      <w:r w:rsidR="0002474B">
        <w:rPr>
          <w:lang w:val="en-US"/>
        </w:rPr>
        <w:t xml:space="preserve">  There were, therefore 22 publications included in th</w:t>
      </w:r>
      <w:r w:rsidR="005F792E">
        <w:rPr>
          <w:lang w:val="en-US"/>
        </w:rPr>
        <w:t xml:space="preserve">e outcome-based </w:t>
      </w:r>
      <w:r w:rsidR="0002474B">
        <w:rPr>
          <w:lang w:val="en-US"/>
        </w:rPr>
        <w:t xml:space="preserve">review, summarised in Table </w:t>
      </w:r>
      <w:r w:rsidR="0080562B">
        <w:rPr>
          <w:lang w:val="en-US"/>
        </w:rPr>
        <w:t>5</w:t>
      </w:r>
      <w:r w:rsidR="00467BAB">
        <w:rPr>
          <w:lang w:val="en-US"/>
        </w:rPr>
        <w:t xml:space="preserve"> and the process is represented in Figure 1.</w:t>
      </w:r>
    </w:p>
    <w:p w14:paraId="46A7CF2E" w14:textId="36C64240" w:rsidR="00DC308D" w:rsidRDefault="00CF2DA5" w:rsidP="0067693E">
      <w:pPr>
        <w:rPr>
          <w:lang w:val="en-US"/>
        </w:rPr>
      </w:pPr>
      <w:r>
        <w:rPr>
          <w:lang w:val="en-US"/>
        </w:rPr>
        <w:t xml:space="preserve">Review of the literature found </w:t>
      </w:r>
      <w:r w:rsidR="005D3218">
        <w:rPr>
          <w:lang w:val="en-US"/>
        </w:rPr>
        <w:t xml:space="preserve">a variation in </w:t>
      </w:r>
      <w:r w:rsidR="00B615DF">
        <w:rPr>
          <w:lang w:val="en-US"/>
        </w:rPr>
        <w:t xml:space="preserve">the </w:t>
      </w:r>
      <w:r w:rsidR="006D7C13">
        <w:rPr>
          <w:lang w:val="en-US"/>
        </w:rPr>
        <w:t xml:space="preserve">publications and </w:t>
      </w:r>
      <w:r w:rsidR="005D3218">
        <w:rPr>
          <w:lang w:val="en-US"/>
        </w:rPr>
        <w:t xml:space="preserve">approaches used in study designs and </w:t>
      </w:r>
      <w:r w:rsidR="003E638F">
        <w:rPr>
          <w:lang w:val="en-US"/>
        </w:rPr>
        <w:t>systematic reviews.</w:t>
      </w:r>
      <w:r w:rsidR="006D7C13">
        <w:rPr>
          <w:lang w:val="en-US"/>
        </w:rPr>
        <w:t xml:space="preserve"> </w:t>
      </w:r>
      <w:r w:rsidR="0003264A">
        <w:rPr>
          <w:lang w:val="en-US"/>
        </w:rPr>
        <w:t xml:space="preserve"> </w:t>
      </w:r>
      <w:r w:rsidR="00C55025">
        <w:rPr>
          <w:lang w:val="en-US"/>
        </w:rPr>
        <w:t xml:space="preserve">Not one of the publications was able to </w:t>
      </w:r>
      <w:r w:rsidR="00E84C27">
        <w:rPr>
          <w:lang w:val="en-US"/>
        </w:rPr>
        <w:t xml:space="preserve">give details into how the CDS was actually configured or compare different </w:t>
      </w:r>
      <w:r w:rsidR="002A4529">
        <w:rPr>
          <w:lang w:val="en-US"/>
        </w:rPr>
        <w:t xml:space="preserve">configurations within the same system, other than </w:t>
      </w:r>
      <w:r w:rsidR="009D7326">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9D7326">
        <w:rPr>
          <w:lang w:val="en-US"/>
        </w:rPr>
        <w:instrText xml:space="preserve"> ADDIN EN.CITE </w:instrText>
      </w:r>
      <w:r w:rsidR="009D7326">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9D7326">
        <w:rPr>
          <w:lang w:val="en-US"/>
        </w:rPr>
        <w:instrText xml:space="preserve"> ADDIN EN.CITE.DATA </w:instrText>
      </w:r>
      <w:r w:rsidR="009D7326">
        <w:rPr>
          <w:lang w:val="en-US"/>
        </w:rPr>
      </w:r>
      <w:r w:rsidR="009D7326">
        <w:rPr>
          <w:lang w:val="en-US"/>
        </w:rPr>
        <w:fldChar w:fldCharType="end"/>
      </w:r>
      <w:r w:rsidR="009D7326">
        <w:rPr>
          <w:lang w:val="en-US"/>
        </w:rPr>
      </w:r>
      <w:r w:rsidR="009D7326">
        <w:rPr>
          <w:lang w:val="en-US"/>
        </w:rPr>
        <w:fldChar w:fldCharType="separate"/>
      </w:r>
      <w:r w:rsidR="009D7326">
        <w:rPr>
          <w:noProof/>
          <w:lang w:val="en-US"/>
        </w:rPr>
        <w:t>Pontefract</w:t>
      </w:r>
      <w:r w:rsidR="009D7326" w:rsidRPr="009D7326">
        <w:rPr>
          <w:i/>
          <w:noProof/>
          <w:lang w:val="en-US"/>
        </w:rPr>
        <w:t xml:space="preserve"> et al.</w:t>
      </w:r>
      <w:r w:rsidR="009D7326">
        <w:rPr>
          <w:noProof/>
          <w:lang w:val="en-US"/>
        </w:rPr>
        <w:t xml:space="preserve"> (2018)</w:t>
      </w:r>
      <w:r w:rsidR="009D7326">
        <w:rPr>
          <w:lang w:val="en-US"/>
        </w:rPr>
        <w:fldChar w:fldCharType="end"/>
      </w:r>
      <w:r w:rsidR="009D7326">
        <w:rPr>
          <w:lang w:val="en-US"/>
        </w:rPr>
        <w:t xml:space="preserve"> </w:t>
      </w:r>
      <w:r w:rsidR="002A4529">
        <w:rPr>
          <w:lang w:val="en-US"/>
        </w:rPr>
        <w:t xml:space="preserve">study which was able to make comparisons between the same ePMA system and </w:t>
      </w:r>
      <w:r w:rsidR="002B03E9">
        <w:rPr>
          <w:lang w:val="en-US"/>
        </w:rPr>
        <w:t xml:space="preserve">three different </w:t>
      </w:r>
      <w:r w:rsidR="00B80BB4">
        <w:rPr>
          <w:lang w:val="en-US"/>
        </w:rPr>
        <w:t>configurations</w:t>
      </w:r>
      <w:r w:rsidR="00B46C5F">
        <w:rPr>
          <w:lang w:val="en-US"/>
        </w:rPr>
        <w:t>,</w:t>
      </w:r>
      <w:r w:rsidR="00B80BB4">
        <w:rPr>
          <w:lang w:val="en-US"/>
        </w:rPr>
        <w:t xml:space="preserve"> at three different </w:t>
      </w:r>
      <w:r w:rsidR="002B03E9">
        <w:rPr>
          <w:lang w:val="en-US"/>
        </w:rPr>
        <w:t>hospital sites</w:t>
      </w:r>
      <w:r w:rsidR="00B46C5F">
        <w:rPr>
          <w:lang w:val="en-US"/>
        </w:rPr>
        <w:t>,</w:t>
      </w:r>
      <w:r w:rsidR="009D7326">
        <w:rPr>
          <w:lang w:val="en-US"/>
        </w:rPr>
        <w:t xml:space="preserve"> assessing </w:t>
      </w:r>
      <w:r w:rsidR="00B80BB4">
        <w:rPr>
          <w:lang w:val="en-US"/>
        </w:rPr>
        <w:t xml:space="preserve">the outcome on 78 defined </w:t>
      </w:r>
      <w:r w:rsidR="00B80BB4">
        <w:rPr>
          <w:lang w:val="en-US"/>
        </w:rPr>
        <w:lastRenderedPageBreak/>
        <w:t>high risk medication errors</w:t>
      </w:r>
      <w:r w:rsidR="002B03E9">
        <w:rPr>
          <w:lang w:val="en-US"/>
        </w:rPr>
        <w:t xml:space="preserve">.   The results </w:t>
      </w:r>
      <w:r w:rsidR="008A64B8">
        <w:rPr>
          <w:lang w:val="en-US"/>
        </w:rPr>
        <w:t>indicated clearly that</w:t>
      </w:r>
      <w:r w:rsidR="00026ADA">
        <w:rPr>
          <w:lang w:val="en-US"/>
        </w:rPr>
        <w:t xml:space="preserve"> although there was an overall significant reduction in the error rate (</w:t>
      </w:r>
      <w:r w:rsidR="000308EB">
        <w:rPr>
          <w:lang w:val="en-US"/>
        </w:rPr>
        <w:t>5.0% to 4.0% (p&lt;0.001),</w:t>
      </w:r>
      <w:r w:rsidR="008A64B8">
        <w:rPr>
          <w:lang w:val="en-US"/>
        </w:rPr>
        <w:t xml:space="preserve"> </w:t>
      </w:r>
      <w:r w:rsidR="00E05D12">
        <w:rPr>
          <w:lang w:val="en-US"/>
        </w:rPr>
        <w:t>different configurations of the same ePMA system can produce very different results.</w:t>
      </w:r>
    </w:p>
    <w:p w14:paraId="464BBAD7" w14:textId="77777777" w:rsidR="00F237EE" w:rsidRDefault="00082030" w:rsidP="00F237EE">
      <w:pPr>
        <w:keepNext/>
      </w:pPr>
      <w:r w:rsidRPr="002E0119">
        <w:rPr>
          <w:noProof/>
          <w:lang w:val="en-US"/>
        </w:rPr>
        <w:drawing>
          <wp:inline distT="0" distB="0" distL="0" distR="0" wp14:anchorId="503EC028" wp14:editId="03778296">
            <wp:extent cx="5731510" cy="498094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stretch>
                      <a:fillRect/>
                    </a:stretch>
                  </pic:blipFill>
                  <pic:spPr>
                    <a:xfrm>
                      <a:off x="0" y="0"/>
                      <a:ext cx="5731510" cy="4980940"/>
                    </a:xfrm>
                    <a:prstGeom prst="rect">
                      <a:avLst/>
                    </a:prstGeom>
                  </pic:spPr>
                </pic:pic>
              </a:graphicData>
            </a:graphic>
          </wp:inline>
        </w:drawing>
      </w:r>
    </w:p>
    <w:p w14:paraId="49A8670A" w14:textId="02A5852F" w:rsidR="00082030" w:rsidRDefault="00F237EE" w:rsidP="00F237EE">
      <w:pPr>
        <w:pStyle w:val="Caption"/>
        <w:rPr>
          <w:lang w:val="en-US"/>
        </w:rPr>
      </w:pPr>
      <w:r>
        <w:t xml:space="preserve">Figure </w:t>
      </w:r>
      <w:fldSimple w:instr=" SEQ Figure \* ARABIC ">
        <w:r w:rsidR="00FF2453">
          <w:rPr>
            <w:noProof/>
          </w:rPr>
          <w:t>1</w:t>
        </w:r>
      </w:fldSimple>
      <w:r>
        <w:t xml:space="preserve"> Representation of steps involved in the outcomes based literature </w:t>
      </w:r>
      <w:r w:rsidR="00112E78">
        <w:t>search.</w:t>
      </w:r>
    </w:p>
    <w:p w14:paraId="6F648C3A" w14:textId="77777777" w:rsidR="00082030" w:rsidRDefault="00082030" w:rsidP="0067693E">
      <w:pPr>
        <w:rPr>
          <w:lang w:val="en-US"/>
        </w:rPr>
      </w:pPr>
    </w:p>
    <w:p w14:paraId="549D94B8" w14:textId="77777777" w:rsidR="00467BAB" w:rsidRDefault="00467BAB">
      <w:pPr>
        <w:rPr>
          <w:b/>
          <w:bCs/>
          <w:lang w:val="en-US"/>
        </w:rPr>
      </w:pPr>
      <w:r>
        <w:rPr>
          <w:b/>
          <w:bCs/>
          <w:lang w:val="en-US"/>
        </w:rPr>
        <w:br w:type="page"/>
      </w:r>
    </w:p>
    <w:p w14:paraId="59A63C37" w14:textId="4A032957" w:rsidR="00665DA0" w:rsidRPr="008A24A9" w:rsidRDefault="002F55DA" w:rsidP="0067693E">
      <w:pPr>
        <w:rPr>
          <w:b/>
          <w:bCs/>
          <w:lang w:val="en-US"/>
        </w:rPr>
      </w:pPr>
      <w:r w:rsidRPr="008A24A9">
        <w:rPr>
          <w:b/>
          <w:bCs/>
          <w:lang w:val="en-US"/>
        </w:rPr>
        <w:lastRenderedPageBreak/>
        <w:t xml:space="preserve">Table </w:t>
      </w:r>
      <w:r w:rsidR="0080562B">
        <w:rPr>
          <w:b/>
          <w:bCs/>
          <w:lang w:val="en-US"/>
        </w:rPr>
        <w:t>5</w:t>
      </w:r>
      <w:r w:rsidR="00112E78" w:rsidRPr="008A24A9">
        <w:rPr>
          <w:b/>
          <w:bCs/>
          <w:lang w:val="en-US"/>
        </w:rPr>
        <w:t xml:space="preserve">.  </w:t>
      </w:r>
      <w:r w:rsidRPr="008A24A9">
        <w:rPr>
          <w:b/>
          <w:bCs/>
          <w:lang w:val="en-US"/>
        </w:rPr>
        <w:t xml:space="preserve">Summary of Studies and </w:t>
      </w:r>
      <w:r w:rsidR="008A24A9" w:rsidRPr="008A24A9">
        <w:rPr>
          <w:b/>
          <w:bCs/>
          <w:lang w:val="en-US"/>
        </w:rPr>
        <w:t>Abstract Grading.</w:t>
      </w:r>
    </w:p>
    <w:tbl>
      <w:tblPr>
        <w:tblW w:w="9918" w:type="dxa"/>
        <w:tblLayout w:type="fixed"/>
        <w:tblCellMar>
          <w:left w:w="0" w:type="dxa"/>
          <w:right w:w="0" w:type="dxa"/>
        </w:tblCellMar>
        <w:tblLook w:val="04A0" w:firstRow="1" w:lastRow="0" w:firstColumn="1" w:lastColumn="0" w:noHBand="0" w:noVBand="1"/>
      </w:tblPr>
      <w:tblGrid>
        <w:gridCol w:w="1555"/>
        <w:gridCol w:w="1275"/>
        <w:gridCol w:w="1342"/>
        <w:gridCol w:w="1210"/>
        <w:gridCol w:w="3544"/>
        <w:gridCol w:w="992"/>
      </w:tblGrid>
      <w:tr w:rsidR="000F0ED9" w14:paraId="067E8A4C" w14:textId="77777777" w:rsidTr="00BD0672">
        <w:trPr>
          <w:trHeight w:val="315"/>
        </w:trPr>
        <w:tc>
          <w:tcPr>
            <w:tcW w:w="1555" w:type="dxa"/>
            <w:tcBorders>
              <w:top w:val="single" w:sz="4" w:space="0" w:color="auto"/>
              <w:left w:val="single" w:sz="4" w:space="0" w:color="auto"/>
              <w:bottom w:val="single" w:sz="4" w:space="0" w:color="auto"/>
              <w:right w:val="single" w:sz="4" w:space="0" w:color="auto"/>
            </w:tcBorders>
            <w:shd w:val="clear" w:color="000000" w:fill="E7E6E6"/>
            <w:tcMar>
              <w:top w:w="15" w:type="dxa"/>
              <w:left w:w="15" w:type="dxa"/>
              <w:bottom w:w="0" w:type="dxa"/>
              <w:right w:w="15" w:type="dxa"/>
            </w:tcMar>
            <w:hideMark/>
          </w:tcPr>
          <w:p w14:paraId="3606E9E9" w14:textId="77777777" w:rsidR="000F0ED9" w:rsidRDefault="000F0ED9">
            <w:pPr>
              <w:rPr>
                <w:rFonts w:ascii="Calibri" w:hAnsi="Calibri" w:cs="Calibri"/>
                <w:b/>
                <w:bCs/>
                <w:color w:val="000000"/>
                <w:sz w:val="22"/>
              </w:rPr>
            </w:pPr>
            <w:r>
              <w:rPr>
                <w:rFonts w:ascii="Calibri" w:hAnsi="Calibri" w:cs="Calibri"/>
                <w:b/>
                <w:bCs/>
                <w:color w:val="000000"/>
                <w:sz w:val="22"/>
              </w:rPr>
              <w:t>Study</w:t>
            </w:r>
          </w:p>
        </w:tc>
        <w:tc>
          <w:tcPr>
            <w:tcW w:w="1275"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42484DAF" w14:textId="77777777" w:rsidR="000F0ED9" w:rsidRDefault="000F0ED9">
            <w:pPr>
              <w:rPr>
                <w:rFonts w:ascii="Calibri" w:hAnsi="Calibri" w:cs="Calibri"/>
                <w:b/>
                <w:bCs/>
                <w:color w:val="000000"/>
                <w:sz w:val="22"/>
              </w:rPr>
            </w:pPr>
            <w:r>
              <w:rPr>
                <w:rFonts w:ascii="Calibri" w:hAnsi="Calibri" w:cs="Calibri"/>
                <w:b/>
                <w:bCs/>
                <w:color w:val="000000"/>
                <w:sz w:val="22"/>
              </w:rPr>
              <w:t>Country</w:t>
            </w:r>
          </w:p>
        </w:tc>
        <w:tc>
          <w:tcPr>
            <w:tcW w:w="1342"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6AD91BB2" w14:textId="77777777" w:rsidR="000F0ED9" w:rsidRDefault="000F0ED9">
            <w:pPr>
              <w:rPr>
                <w:rFonts w:ascii="Calibri" w:hAnsi="Calibri" w:cs="Calibri"/>
                <w:b/>
                <w:bCs/>
                <w:color w:val="000000"/>
                <w:sz w:val="22"/>
              </w:rPr>
            </w:pPr>
            <w:r>
              <w:rPr>
                <w:rFonts w:ascii="Calibri" w:hAnsi="Calibri" w:cs="Calibri"/>
                <w:b/>
                <w:bCs/>
                <w:color w:val="000000"/>
                <w:sz w:val="22"/>
              </w:rPr>
              <w:t>Context</w:t>
            </w:r>
          </w:p>
        </w:tc>
        <w:tc>
          <w:tcPr>
            <w:tcW w:w="1210"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260875CD" w14:textId="77777777" w:rsidR="000F0ED9" w:rsidRDefault="000F0ED9">
            <w:pPr>
              <w:rPr>
                <w:rFonts w:ascii="Calibri" w:hAnsi="Calibri" w:cs="Calibri"/>
                <w:b/>
                <w:bCs/>
                <w:color w:val="000000"/>
                <w:sz w:val="22"/>
              </w:rPr>
            </w:pPr>
            <w:r>
              <w:rPr>
                <w:rFonts w:ascii="Calibri" w:hAnsi="Calibri" w:cs="Calibri"/>
                <w:b/>
                <w:bCs/>
                <w:color w:val="000000"/>
                <w:sz w:val="22"/>
              </w:rPr>
              <w:t>Study Design</w:t>
            </w:r>
          </w:p>
        </w:tc>
        <w:tc>
          <w:tcPr>
            <w:tcW w:w="3544"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2D9BEFF2" w14:textId="77777777" w:rsidR="000F0ED9" w:rsidRDefault="000F0ED9">
            <w:pPr>
              <w:rPr>
                <w:rFonts w:ascii="Calibri" w:hAnsi="Calibri" w:cs="Calibri"/>
                <w:b/>
                <w:bCs/>
                <w:color w:val="000000"/>
                <w:sz w:val="22"/>
              </w:rPr>
            </w:pPr>
            <w:r>
              <w:rPr>
                <w:rFonts w:ascii="Calibri" w:hAnsi="Calibri" w:cs="Calibri"/>
                <w:b/>
                <w:bCs/>
                <w:color w:val="000000"/>
                <w:sz w:val="22"/>
              </w:rPr>
              <w:t>Summary</w:t>
            </w:r>
          </w:p>
        </w:tc>
        <w:tc>
          <w:tcPr>
            <w:tcW w:w="992" w:type="dxa"/>
            <w:tcBorders>
              <w:top w:val="single" w:sz="4" w:space="0" w:color="auto"/>
              <w:left w:val="nil"/>
              <w:bottom w:val="single" w:sz="4" w:space="0" w:color="auto"/>
              <w:right w:val="single" w:sz="4" w:space="0" w:color="auto"/>
            </w:tcBorders>
            <w:shd w:val="clear" w:color="000000" w:fill="E7E6E6"/>
            <w:tcMar>
              <w:top w:w="15" w:type="dxa"/>
              <w:left w:w="15" w:type="dxa"/>
              <w:bottom w:w="0" w:type="dxa"/>
              <w:right w:w="15" w:type="dxa"/>
            </w:tcMar>
            <w:hideMark/>
          </w:tcPr>
          <w:p w14:paraId="5250F2C6" w14:textId="7B809A97" w:rsidR="000F0ED9" w:rsidRDefault="007A6629">
            <w:pPr>
              <w:rPr>
                <w:rFonts w:ascii="Calibri" w:hAnsi="Calibri" w:cs="Calibri"/>
                <w:b/>
                <w:bCs/>
                <w:color w:val="000000"/>
                <w:sz w:val="22"/>
              </w:rPr>
            </w:pPr>
            <w:r w:rsidRPr="00BD0672">
              <w:rPr>
                <w:rFonts w:ascii="Calibri" w:hAnsi="Calibri" w:cs="Calibri"/>
                <w:b/>
                <w:bCs/>
                <w:color w:val="000000"/>
                <w:sz w:val="16"/>
                <w:szCs w:val="16"/>
              </w:rPr>
              <w:t xml:space="preserve">Inclusion- </w:t>
            </w:r>
            <w:r w:rsidR="000F0ED9" w:rsidRPr="00BD0672">
              <w:rPr>
                <w:rFonts w:ascii="Calibri" w:hAnsi="Calibri" w:cs="Calibri"/>
                <w:b/>
                <w:bCs/>
                <w:color w:val="000000"/>
                <w:sz w:val="16"/>
                <w:szCs w:val="16"/>
              </w:rPr>
              <w:t>Grading</w:t>
            </w:r>
          </w:p>
        </w:tc>
      </w:tr>
      <w:tr w:rsidR="000F0ED9" w14:paraId="606B3EC7" w14:textId="77777777" w:rsidTr="00BD0672">
        <w:trPr>
          <w:trHeight w:val="315"/>
        </w:trPr>
        <w:tc>
          <w:tcPr>
            <w:tcW w:w="1555" w:type="dxa"/>
            <w:tcBorders>
              <w:top w:val="nil"/>
              <w:left w:val="single" w:sz="4" w:space="0" w:color="auto"/>
              <w:bottom w:val="single" w:sz="4" w:space="0" w:color="auto"/>
              <w:right w:val="single" w:sz="4" w:space="0" w:color="auto"/>
            </w:tcBorders>
            <w:shd w:val="clear" w:color="000000" w:fill="E7E6E6"/>
            <w:tcMar>
              <w:top w:w="15" w:type="dxa"/>
              <w:left w:w="15" w:type="dxa"/>
              <w:bottom w:w="0" w:type="dxa"/>
              <w:right w:w="15" w:type="dxa"/>
            </w:tcMar>
            <w:hideMark/>
          </w:tcPr>
          <w:p w14:paraId="3F8C3C75" w14:textId="77777777" w:rsidR="000F0ED9" w:rsidRDefault="000F0ED9">
            <w:pPr>
              <w:rPr>
                <w:rFonts w:ascii="Calibri" w:hAnsi="Calibri" w:cs="Calibri"/>
                <w:b/>
                <w:bCs/>
                <w:color w:val="000000"/>
                <w:sz w:val="22"/>
              </w:rPr>
            </w:pPr>
            <w:r>
              <w:rPr>
                <w:rFonts w:ascii="Calibri" w:hAnsi="Calibri" w:cs="Calibri"/>
                <w:b/>
                <w:bCs/>
                <w:color w:val="000000"/>
                <w:sz w:val="22"/>
              </w:rPr>
              <w:t>First Author</w:t>
            </w:r>
          </w:p>
        </w:tc>
        <w:tc>
          <w:tcPr>
            <w:tcW w:w="1275"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01F82CD9" w14:textId="77777777" w:rsidR="000F0ED9" w:rsidRDefault="000F0ED9">
            <w:pPr>
              <w:rPr>
                <w:rFonts w:ascii="Calibri" w:hAnsi="Calibri" w:cs="Calibri"/>
                <w:b/>
                <w:bCs/>
                <w:color w:val="000000"/>
                <w:sz w:val="22"/>
              </w:rPr>
            </w:pPr>
            <w:r>
              <w:rPr>
                <w:rFonts w:ascii="Calibri" w:hAnsi="Calibri" w:cs="Calibri"/>
                <w:b/>
                <w:bCs/>
                <w:color w:val="000000"/>
                <w:sz w:val="22"/>
              </w:rPr>
              <w:t> </w:t>
            </w:r>
          </w:p>
        </w:tc>
        <w:tc>
          <w:tcPr>
            <w:tcW w:w="1342"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28DD3A3B" w14:textId="77777777" w:rsidR="000F0ED9" w:rsidRDefault="000F0ED9">
            <w:pPr>
              <w:rPr>
                <w:rFonts w:ascii="Calibri" w:hAnsi="Calibri" w:cs="Calibri"/>
                <w:b/>
                <w:bCs/>
                <w:color w:val="000000"/>
                <w:sz w:val="22"/>
              </w:rPr>
            </w:pPr>
            <w:r>
              <w:rPr>
                <w:rFonts w:ascii="Calibri" w:hAnsi="Calibri" w:cs="Calibri"/>
                <w:b/>
                <w:bCs/>
                <w:color w:val="000000"/>
                <w:sz w:val="22"/>
              </w:rPr>
              <w:t> </w:t>
            </w:r>
          </w:p>
        </w:tc>
        <w:tc>
          <w:tcPr>
            <w:tcW w:w="1210"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4A0FA228" w14:textId="77777777" w:rsidR="000F0ED9" w:rsidRDefault="000F0ED9">
            <w:pPr>
              <w:rPr>
                <w:rFonts w:ascii="Calibri" w:hAnsi="Calibri" w:cs="Calibri"/>
                <w:b/>
                <w:bCs/>
                <w:color w:val="000000"/>
                <w:sz w:val="22"/>
              </w:rPr>
            </w:pPr>
            <w:r>
              <w:rPr>
                <w:rFonts w:ascii="Calibri" w:hAnsi="Calibri" w:cs="Calibri"/>
                <w:b/>
                <w:bCs/>
                <w:color w:val="000000"/>
                <w:sz w:val="22"/>
              </w:rPr>
              <w:t> </w:t>
            </w:r>
          </w:p>
        </w:tc>
        <w:tc>
          <w:tcPr>
            <w:tcW w:w="3544"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54CCB644" w14:textId="77777777" w:rsidR="000F0ED9" w:rsidRDefault="000F0ED9">
            <w:pPr>
              <w:rPr>
                <w:rFonts w:ascii="Calibri" w:hAnsi="Calibri" w:cs="Calibri"/>
                <w:b/>
                <w:bCs/>
                <w:color w:val="000000"/>
                <w:sz w:val="22"/>
              </w:rPr>
            </w:pPr>
            <w:r>
              <w:rPr>
                <w:rFonts w:ascii="Calibri" w:hAnsi="Calibri" w:cs="Calibri"/>
                <w:b/>
                <w:bCs/>
                <w:color w:val="000000"/>
                <w:sz w:val="22"/>
              </w:rPr>
              <w:t> </w:t>
            </w:r>
          </w:p>
        </w:tc>
        <w:tc>
          <w:tcPr>
            <w:tcW w:w="992" w:type="dxa"/>
            <w:tcBorders>
              <w:top w:val="nil"/>
              <w:left w:val="nil"/>
              <w:bottom w:val="single" w:sz="4" w:space="0" w:color="auto"/>
              <w:right w:val="single" w:sz="4" w:space="0" w:color="auto"/>
            </w:tcBorders>
            <w:shd w:val="clear" w:color="000000" w:fill="E7E6E6"/>
            <w:tcMar>
              <w:top w:w="15" w:type="dxa"/>
              <w:left w:w="15" w:type="dxa"/>
              <w:bottom w:w="0" w:type="dxa"/>
              <w:right w:w="15" w:type="dxa"/>
            </w:tcMar>
            <w:hideMark/>
          </w:tcPr>
          <w:p w14:paraId="4C793175" w14:textId="77777777" w:rsidR="000F0ED9" w:rsidRDefault="000F0ED9">
            <w:pPr>
              <w:rPr>
                <w:rFonts w:ascii="Calibri" w:hAnsi="Calibri" w:cs="Calibri"/>
                <w:b/>
                <w:bCs/>
                <w:color w:val="000000"/>
                <w:sz w:val="22"/>
              </w:rPr>
            </w:pPr>
            <w:r>
              <w:rPr>
                <w:rFonts w:ascii="Calibri" w:hAnsi="Calibri" w:cs="Calibri"/>
                <w:b/>
                <w:bCs/>
                <w:color w:val="000000"/>
                <w:sz w:val="22"/>
              </w:rPr>
              <w:t> </w:t>
            </w:r>
          </w:p>
        </w:tc>
      </w:tr>
      <w:tr w:rsidR="00D45883" w14:paraId="457AAF9C" w14:textId="77777777" w:rsidTr="00BD0672">
        <w:trPr>
          <w:trHeight w:val="465"/>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tcPr>
          <w:p w14:paraId="34672F6B" w14:textId="7D52C82A" w:rsidR="00D45883" w:rsidRPr="00470657" w:rsidRDefault="00D45883" w:rsidP="00101BEB">
            <w:pPr>
              <w:rPr>
                <w:rFonts w:ascii="Calibri" w:hAnsi="Calibri" w:cs="Calibri"/>
                <w:color w:val="000000"/>
                <w:sz w:val="22"/>
              </w:rPr>
            </w:pPr>
            <w:r>
              <w:rPr>
                <w:rFonts w:ascii="Calibri" w:hAnsi="Calibri" w:cs="Calibri"/>
                <w:color w:val="000000"/>
                <w:sz w:val="22"/>
              </w:rPr>
              <w:t>Moxey</w:t>
            </w:r>
            <w:r w:rsidR="00470657">
              <w:rPr>
                <w:rFonts w:ascii="Calibri" w:hAnsi="Calibri" w:cs="Calibri"/>
                <w:color w:val="000000"/>
                <w:sz w:val="22"/>
              </w:rPr>
              <w:t xml:space="preserve"> A, </w:t>
            </w:r>
            <w:r w:rsidR="00470657">
              <w:rPr>
                <w:rFonts w:ascii="Calibri" w:hAnsi="Calibri" w:cs="Calibri"/>
                <w:i/>
                <w:iCs/>
                <w:color w:val="000000"/>
                <w:sz w:val="22"/>
              </w:rPr>
              <w:t>et al</w:t>
            </w:r>
            <w:r w:rsidR="00470657">
              <w:rPr>
                <w:rFonts w:ascii="Calibri" w:hAnsi="Calibri" w:cs="Calibri"/>
                <w:color w:val="000000"/>
                <w:sz w:val="22"/>
              </w:rPr>
              <w:t>, (2010)</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7592F2A3" w14:textId="2F5AB8EB" w:rsidR="00A2779F" w:rsidRDefault="00A2779F" w:rsidP="00101BEB">
            <w:pPr>
              <w:rPr>
                <w:rFonts w:ascii="Calibri" w:hAnsi="Calibri" w:cs="Calibri"/>
                <w:color w:val="000000"/>
                <w:sz w:val="22"/>
              </w:rPr>
            </w:pPr>
            <w:r>
              <w:rPr>
                <w:rFonts w:ascii="Calibri" w:hAnsi="Calibri" w:cs="Calibri"/>
                <w:color w:val="000000"/>
                <w:sz w:val="22"/>
              </w:rPr>
              <w:t>US, Europe, Australia, Australasia</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21733E18" w14:textId="4E62F37A" w:rsidR="00D45883" w:rsidRDefault="008666BE" w:rsidP="00101BEB">
            <w:pPr>
              <w:rPr>
                <w:rFonts w:ascii="Calibri" w:hAnsi="Calibri" w:cs="Calibri"/>
                <w:color w:val="000000"/>
                <w:sz w:val="22"/>
              </w:rPr>
            </w:pPr>
            <w:r>
              <w:rPr>
                <w:rFonts w:ascii="Calibri" w:hAnsi="Calibri" w:cs="Calibri"/>
                <w:color w:val="000000"/>
                <w:sz w:val="22"/>
              </w:rPr>
              <w:t>Hospital</w:t>
            </w:r>
            <w:r w:rsidR="00BC1112">
              <w:rPr>
                <w:rFonts w:ascii="Calibri" w:hAnsi="Calibri" w:cs="Calibri"/>
                <w:color w:val="000000"/>
                <w:sz w:val="22"/>
              </w:rPr>
              <w:t xml:space="preserve"> and Primary</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5D21E154" w14:textId="408B7D1F" w:rsidR="00D45883" w:rsidRDefault="00470657" w:rsidP="00101BEB">
            <w:pPr>
              <w:rPr>
                <w:rFonts w:ascii="Calibri" w:hAnsi="Calibri" w:cs="Calibri"/>
                <w:color w:val="000000"/>
                <w:sz w:val="22"/>
              </w:rPr>
            </w:pPr>
            <w:r>
              <w:rPr>
                <w:rFonts w:ascii="Calibri" w:hAnsi="Calibri" w:cs="Calibri"/>
                <w:color w:val="000000"/>
                <w:sz w:val="22"/>
              </w:rPr>
              <w:t>Systematic Review</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77CE3FB6" w14:textId="7C3AA190" w:rsidR="00D45883" w:rsidRDefault="00581718" w:rsidP="00101BEB">
            <w:pPr>
              <w:rPr>
                <w:rFonts w:ascii="Calibri" w:hAnsi="Calibri" w:cs="Calibri"/>
                <w:color w:val="000000"/>
                <w:sz w:val="22"/>
              </w:rPr>
            </w:pPr>
            <w:r>
              <w:rPr>
                <w:rFonts w:ascii="Calibri" w:hAnsi="Calibri" w:cs="Calibri"/>
                <w:color w:val="000000"/>
                <w:sz w:val="22"/>
              </w:rPr>
              <w:t xml:space="preserve">Systematic review of factors impacting CDS. </w:t>
            </w:r>
            <w:r w:rsidR="00AD7D89">
              <w:rPr>
                <w:rFonts w:ascii="Calibri" w:hAnsi="Calibri" w:cs="Calibri"/>
                <w:color w:val="000000"/>
                <w:sz w:val="22"/>
              </w:rPr>
              <w:t xml:space="preserve"> Assessed barriers and impacts.  Was not looking at outcome data specifically although </w:t>
            </w:r>
            <w:r w:rsidR="008666BE">
              <w:rPr>
                <w:rFonts w:ascii="Calibri" w:hAnsi="Calibri" w:cs="Calibri"/>
                <w:color w:val="000000"/>
                <w:sz w:val="22"/>
              </w:rPr>
              <w:t>included studies that did.</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tcPr>
          <w:p w14:paraId="3E6F0E0C" w14:textId="4674CCD0" w:rsidR="00D45883" w:rsidRDefault="00A2779F" w:rsidP="00101BEB">
            <w:pPr>
              <w:rPr>
                <w:rFonts w:ascii="Calibri" w:hAnsi="Calibri" w:cs="Calibri"/>
                <w:color w:val="000000"/>
                <w:sz w:val="22"/>
              </w:rPr>
            </w:pPr>
            <w:r>
              <w:rPr>
                <w:rFonts w:ascii="Calibri" w:hAnsi="Calibri" w:cs="Calibri"/>
                <w:color w:val="000000"/>
                <w:sz w:val="22"/>
              </w:rPr>
              <w:t>3</w:t>
            </w:r>
          </w:p>
        </w:tc>
      </w:tr>
      <w:tr w:rsidR="00101BEB" w14:paraId="078CFE31" w14:textId="77777777" w:rsidTr="00BD0672">
        <w:trPr>
          <w:trHeight w:val="465"/>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0D543A01" w14:textId="5688B1D7" w:rsidR="00101BEB" w:rsidRDefault="00101BEB" w:rsidP="00101BEB">
            <w:pPr>
              <w:rPr>
                <w:rFonts w:ascii="Calibri" w:hAnsi="Calibri" w:cs="Calibri"/>
                <w:color w:val="000000"/>
                <w:sz w:val="22"/>
              </w:rPr>
            </w:pPr>
            <w:r>
              <w:rPr>
                <w:rFonts w:ascii="Calibri" w:hAnsi="Calibri" w:cs="Calibri"/>
                <w:color w:val="000000"/>
                <w:sz w:val="22"/>
              </w:rPr>
              <w:t xml:space="preserve">Prgomet M, </w:t>
            </w:r>
            <w:r>
              <w:rPr>
                <w:rFonts w:ascii="Calibri" w:hAnsi="Calibri" w:cs="Calibri"/>
                <w:i/>
                <w:iCs/>
                <w:color w:val="000000"/>
                <w:sz w:val="22"/>
              </w:rPr>
              <w:t>et al</w:t>
            </w:r>
            <w:r>
              <w:rPr>
                <w:rFonts w:ascii="Calibri" w:hAnsi="Calibri" w:cs="Calibri"/>
                <w:color w:val="000000"/>
                <w:sz w:val="22"/>
              </w:rPr>
              <w:t>, 2017</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341E671" w14:textId="1A4C2B17" w:rsidR="00101BEB" w:rsidRDefault="00101BEB" w:rsidP="00101BEB">
            <w:pPr>
              <w:rPr>
                <w:rFonts w:ascii="Calibri" w:hAnsi="Calibri" w:cs="Calibri"/>
                <w:color w:val="000000"/>
                <w:sz w:val="22"/>
              </w:rPr>
            </w:pPr>
            <w:r>
              <w:rPr>
                <w:rFonts w:ascii="Calibri" w:hAnsi="Calibri" w:cs="Calibri"/>
                <w:color w:val="000000"/>
                <w:sz w:val="22"/>
              </w:rPr>
              <w:t>Global</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42327217" w14:textId="5022A25D" w:rsidR="00101BEB" w:rsidRDefault="00101BEB" w:rsidP="00101BEB">
            <w:pPr>
              <w:rPr>
                <w:rFonts w:ascii="Calibri" w:hAnsi="Calibri" w:cs="Calibri"/>
                <w:color w:val="000000"/>
                <w:sz w:val="22"/>
              </w:rPr>
            </w:pPr>
            <w:r>
              <w:rPr>
                <w:rFonts w:ascii="Calibri" w:hAnsi="Calibri" w:cs="Calibri"/>
                <w:color w:val="000000"/>
                <w:sz w:val="22"/>
              </w:rPr>
              <w:t>Hospital and Inpatient, ICUs</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44FABB5" w14:textId="49B774D4" w:rsidR="00101BEB" w:rsidRDefault="00101BEB" w:rsidP="00101BEB">
            <w:pPr>
              <w:rPr>
                <w:rFonts w:ascii="Calibri" w:hAnsi="Calibri" w:cs="Calibri"/>
                <w:color w:val="000000"/>
                <w:sz w:val="22"/>
              </w:rPr>
            </w:pPr>
            <w:r>
              <w:rPr>
                <w:rFonts w:ascii="Calibri" w:hAnsi="Calibri" w:cs="Calibri"/>
                <w:color w:val="000000"/>
                <w:sz w:val="22"/>
              </w:rPr>
              <w:t xml:space="preserve">Systematic Review - 20 </w:t>
            </w:r>
            <w:r>
              <w:rPr>
                <w:rFonts w:ascii="Calibri" w:hAnsi="Calibri" w:cs="Calibri"/>
                <w:color w:val="000000"/>
                <w:sz w:val="22"/>
              </w:rPr>
              <w:br/>
              <w:t>Pre/Post</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857CF3D" w14:textId="77777777" w:rsidR="00101BEB" w:rsidRDefault="00101BEB" w:rsidP="00101BEB">
            <w:pPr>
              <w:rPr>
                <w:rFonts w:ascii="Calibri" w:hAnsi="Calibri" w:cs="Calibri"/>
                <w:color w:val="000000"/>
                <w:sz w:val="22"/>
              </w:rPr>
            </w:pPr>
            <w:r>
              <w:rPr>
                <w:rFonts w:ascii="Calibri" w:hAnsi="Calibri" w:cs="Calibri"/>
                <w:color w:val="000000"/>
                <w:sz w:val="22"/>
              </w:rPr>
              <w:t>Systematic review of CDS on length of stay and medication errors within ICU.</w:t>
            </w:r>
          </w:p>
          <w:p w14:paraId="1F7AFFF2" w14:textId="5375881C" w:rsidR="00101BEB" w:rsidRDefault="00675B5B" w:rsidP="00101BEB">
            <w:pPr>
              <w:rPr>
                <w:rFonts w:ascii="Calibri" w:hAnsi="Calibri" w:cs="Calibri"/>
                <w:color w:val="000000"/>
                <w:sz w:val="22"/>
              </w:rPr>
            </w:pPr>
            <w:r>
              <w:rPr>
                <w:rFonts w:ascii="Calibri" w:hAnsi="Calibri" w:cs="Calibri"/>
                <w:color w:val="000000"/>
                <w:sz w:val="22"/>
              </w:rPr>
              <w:t>Would be excluded from outcome comparison as ICU.  But informative.</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4CB99B70" w14:textId="74C898CA" w:rsidR="00101BEB" w:rsidRDefault="00101BEB" w:rsidP="00101BEB">
            <w:pPr>
              <w:rPr>
                <w:rFonts w:ascii="Calibri" w:hAnsi="Calibri" w:cs="Calibri"/>
                <w:color w:val="000000"/>
                <w:sz w:val="22"/>
              </w:rPr>
            </w:pPr>
            <w:r>
              <w:rPr>
                <w:rFonts w:ascii="Calibri" w:hAnsi="Calibri" w:cs="Calibri"/>
                <w:color w:val="000000"/>
                <w:sz w:val="22"/>
              </w:rPr>
              <w:t> 1</w:t>
            </w:r>
          </w:p>
        </w:tc>
      </w:tr>
      <w:tr w:rsidR="000F0ED9" w14:paraId="6A2E1EAF" w14:textId="77777777" w:rsidTr="00BD0672">
        <w:trPr>
          <w:trHeight w:val="18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470063DC" w14:textId="77777777" w:rsidR="000F0ED9" w:rsidRDefault="000F0ED9">
            <w:pPr>
              <w:rPr>
                <w:rFonts w:ascii="Calibri" w:hAnsi="Calibri" w:cs="Calibri"/>
                <w:color w:val="000000"/>
                <w:sz w:val="22"/>
              </w:rPr>
            </w:pPr>
            <w:r>
              <w:rPr>
                <w:rFonts w:ascii="Calibri" w:hAnsi="Calibri" w:cs="Calibri"/>
                <w:color w:val="000000"/>
                <w:sz w:val="22"/>
              </w:rPr>
              <w:t xml:space="preserve">Bayoumi I, </w:t>
            </w:r>
            <w:r>
              <w:rPr>
                <w:rFonts w:ascii="Calibri" w:hAnsi="Calibri" w:cs="Calibri"/>
                <w:i/>
                <w:iCs/>
                <w:color w:val="000000"/>
                <w:sz w:val="22"/>
              </w:rPr>
              <w:t xml:space="preserve">et al, </w:t>
            </w:r>
            <w:r>
              <w:rPr>
                <w:rFonts w:ascii="Calibri" w:hAnsi="Calibri" w:cs="Calibri"/>
                <w:color w:val="000000"/>
                <w:sz w:val="22"/>
              </w:rPr>
              <w:t>2014</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503C264" w14:textId="77777777" w:rsidR="000F0ED9" w:rsidRDefault="000F0ED9">
            <w:pPr>
              <w:rPr>
                <w:rFonts w:ascii="Calibri" w:hAnsi="Calibri" w:cs="Calibri"/>
                <w:color w:val="000000"/>
                <w:sz w:val="22"/>
              </w:rPr>
            </w:pPr>
            <w:r>
              <w:rPr>
                <w:rFonts w:ascii="Calibri" w:hAnsi="Calibri" w:cs="Calibri"/>
                <w:color w:val="000000"/>
                <w:sz w:val="22"/>
              </w:rPr>
              <w:t>Canada</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C455D82" w14:textId="77777777" w:rsidR="000F0ED9" w:rsidRDefault="000F0ED9">
            <w:pPr>
              <w:rPr>
                <w:rFonts w:ascii="Calibri" w:hAnsi="Calibri" w:cs="Calibri"/>
                <w:color w:val="000000"/>
                <w:sz w:val="22"/>
              </w:rPr>
            </w:pPr>
            <w:r>
              <w:rPr>
                <w:rFonts w:ascii="Calibri" w:hAnsi="Calibri" w:cs="Calibri"/>
                <w:color w:val="000000"/>
                <w:sz w:val="22"/>
              </w:rPr>
              <w:t>Hospital and Inpatient and Emergency Care</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C20FC58" w14:textId="2A5F11E7" w:rsidR="000F0ED9" w:rsidRDefault="000F0ED9">
            <w:pPr>
              <w:rPr>
                <w:rFonts w:ascii="Calibri" w:hAnsi="Calibri" w:cs="Calibri"/>
                <w:color w:val="000000"/>
                <w:sz w:val="22"/>
              </w:rPr>
            </w:pPr>
            <w:r>
              <w:rPr>
                <w:rFonts w:ascii="Calibri" w:hAnsi="Calibri" w:cs="Calibri"/>
                <w:color w:val="000000"/>
                <w:sz w:val="22"/>
              </w:rPr>
              <w:t xml:space="preserve">Systematic Review - 36 RCTs </w:t>
            </w:r>
            <w:r>
              <w:rPr>
                <w:rFonts w:ascii="Calibri" w:hAnsi="Calibri" w:cs="Calibri"/>
                <w:color w:val="000000"/>
                <w:sz w:val="22"/>
              </w:rPr>
              <w:br/>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ECEFA79" w14:textId="77777777" w:rsidR="000F0ED9" w:rsidRDefault="000F0ED9">
            <w:pPr>
              <w:rPr>
                <w:rFonts w:ascii="Calibri" w:hAnsi="Calibri" w:cs="Calibri"/>
                <w:color w:val="000000"/>
                <w:sz w:val="22"/>
              </w:rPr>
            </w:pPr>
            <w:r>
              <w:rPr>
                <w:rFonts w:ascii="Calibri" w:hAnsi="Calibri" w:cs="Calibri"/>
                <w:color w:val="000000"/>
                <w:sz w:val="22"/>
              </w:rPr>
              <w:t>Evidence of change in process outcome</w:t>
            </w:r>
            <w:r w:rsidR="00675B5B">
              <w:rPr>
                <w:rFonts w:ascii="Calibri" w:hAnsi="Calibri" w:cs="Calibri"/>
                <w:color w:val="000000"/>
                <w:sz w:val="22"/>
              </w:rPr>
              <w:t>s.</w:t>
            </w:r>
          </w:p>
          <w:p w14:paraId="28A2AAE7" w14:textId="77777777" w:rsidR="00675B5B" w:rsidRDefault="00675B5B">
            <w:pPr>
              <w:rPr>
                <w:rFonts w:ascii="Calibri" w:hAnsi="Calibri" w:cs="Calibri"/>
                <w:color w:val="000000"/>
                <w:sz w:val="22"/>
              </w:rPr>
            </w:pPr>
            <w:r>
              <w:rPr>
                <w:rFonts w:ascii="Calibri" w:hAnsi="Calibri" w:cs="Calibri"/>
                <w:color w:val="000000"/>
                <w:sz w:val="22"/>
              </w:rPr>
              <w:t>Informati</w:t>
            </w:r>
            <w:r w:rsidR="00A84794">
              <w:rPr>
                <w:rFonts w:ascii="Calibri" w:hAnsi="Calibri" w:cs="Calibri"/>
                <w:color w:val="000000"/>
                <w:sz w:val="22"/>
              </w:rPr>
              <w:t>ve</w:t>
            </w:r>
          </w:p>
          <w:p w14:paraId="187DBE0C" w14:textId="0383290D" w:rsidR="00A84794" w:rsidRDefault="00A84794">
            <w:pPr>
              <w:rPr>
                <w:rFonts w:ascii="Calibri" w:hAnsi="Calibri" w:cs="Calibri"/>
                <w:color w:val="000000"/>
                <w:sz w:val="22"/>
              </w:rPr>
            </w:pPr>
            <w:r>
              <w:rPr>
                <w:rFonts w:ascii="Calibri" w:hAnsi="Calibri" w:cs="Calibri"/>
                <w:color w:val="000000"/>
                <w:sz w:val="22"/>
              </w:rPr>
              <w:t>(Some paper based - so not excluded)</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AF0926D" w14:textId="77777777" w:rsidR="000F0ED9" w:rsidRDefault="000F0ED9">
            <w:pPr>
              <w:rPr>
                <w:rFonts w:ascii="Calibri" w:hAnsi="Calibri" w:cs="Calibri"/>
                <w:color w:val="000000"/>
                <w:sz w:val="22"/>
              </w:rPr>
            </w:pPr>
            <w:r>
              <w:rPr>
                <w:rFonts w:ascii="Calibri" w:hAnsi="Calibri" w:cs="Calibri"/>
                <w:color w:val="000000"/>
                <w:sz w:val="22"/>
              </w:rPr>
              <w:t>1</w:t>
            </w:r>
          </w:p>
        </w:tc>
      </w:tr>
      <w:tr w:rsidR="000F0ED9" w14:paraId="4E984E0B" w14:textId="77777777" w:rsidTr="00BD0672">
        <w:trPr>
          <w:trHeight w:val="12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065C1D88" w14:textId="77777777" w:rsidR="000F0ED9" w:rsidRDefault="000F0ED9">
            <w:pPr>
              <w:rPr>
                <w:rFonts w:ascii="Calibri" w:hAnsi="Calibri" w:cs="Calibri"/>
                <w:color w:val="000000"/>
                <w:sz w:val="22"/>
              </w:rPr>
            </w:pPr>
            <w:r>
              <w:rPr>
                <w:rFonts w:ascii="Calibri" w:hAnsi="Calibri" w:cs="Calibri"/>
                <w:color w:val="000000"/>
                <w:sz w:val="22"/>
              </w:rPr>
              <w:t xml:space="preserve">Robertson J, </w:t>
            </w:r>
            <w:r>
              <w:rPr>
                <w:rFonts w:ascii="Calibri" w:hAnsi="Calibri" w:cs="Calibri"/>
                <w:i/>
                <w:iCs/>
                <w:color w:val="000000"/>
                <w:sz w:val="22"/>
              </w:rPr>
              <w:t xml:space="preserve">et al, </w:t>
            </w:r>
            <w:r>
              <w:rPr>
                <w:rFonts w:ascii="Calibri" w:hAnsi="Calibri" w:cs="Calibri"/>
                <w:color w:val="000000"/>
                <w:sz w:val="22"/>
              </w:rPr>
              <w:t>2010</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6E5AAD9" w14:textId="77777777" w:rsidR="000F0ED9" w:rsidRDefault="000F0ED9">
            <w:pPr>
              <w:rPr>
                <w:rFonts w:ascii="Calibri" w:hAnsi="Calibri" w:cs="Calibri"/>
                <w:color w:val="000000"/>
                <w:sz w:val="22"/>
              </w:rPr>
            </w:pPr>
            <w:r>
              <w:rPr>
                <w:rFonts w:ascii="Calibri" w:hAnsi="Calibri" w:cs="Calibri"/>
                <w:color w:val="000000"/>
                <w:sz w:val="22"/>
              </w:rPr>
              <w:t>Australia</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3D80267" w14:textId="77777777" w:rsidR="000F0ED9" w:rsidRDefault="000F0ED9">
            <w:pPr>
              <w:rPr>
                <w:rFonts w:ascii="Calibri" w:hAnsi="Calibri" w:cs="Calibri"/>
                <w:color w:val="000000"/>
                <w:sz w:val="22"/>
              </w:rPr>
            </w:pPr>
            <w:r>
              <w:rPr>
                <w:rFonts w:ascii="Calibri" w:hAnsi="Calibri" w:cs="Calibri"/>
                <w:color w:val="000000"/>
                <w:sz w:val="22"/>
              </w:rPr>
              <w:t xml:space="preserve">Hospital and Inpatient </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0E0EC68" w14:textId="59CA95FD" w:rsidR="000F0ED9" w:rsidRDefault="000F0ED9">
            <w:pPr>
              <w:rPr>
                <w:rFonts w:ascii="Calibri" w:hAnsi="Calibri" w:cs="Calibri"/>
                <w:color w:val="000000"/>
                <w:sz w:val="22"/>
              </w:rPr>
            </w:pPr>
            <w:r>
              <w:rPr>
                <w:rFonts w:ascii="Calibri" w:hAnsi="Calibri" w:cs="Calibri"/>
                <w:color w:val="000000"/>
                <w:sz w:val="22"/>
              </w:rPr>
              <w:t xml:space="preserve">Systematic Review - 36 RCTs </w:t>
            </w:r>
            <w:r>
              <w:rPr>
                <w:rFonts w:ascii="Calibri" w:hAnsi="Calibri" w:cs="Calibri"/>
                <w:color w:val="000000"/>
                <w:sz w:val="22"/>
              </w:rPr>
              <w:br/>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40490F2C" w14:textId="77777777" w:rsidR="000F0ED9" w:rsidRDefault="000F0ED9">
            <w:pPr>
              <w:rPr>
                <w:rFonts w:ascii="Calibri" w:hAnsi="Calibri" w:cs="Calibri"/>
                <w:color w:val="000000"/>
                <w:sz w:val="22"/>
              </w:rPr>
            </w:pPr>
            <w:r>
              <w:rPr>
                <w:rFonts w:ascii="Calibri" w:hAnsi="Calibri" w:cs="Calibri"/>
                <w:color w:val="000000"/>
                <w:sz w:val="22"/>
              </w:rPr>
              <w:t>Evidence of more effect of DS on prescribing process outcomes than clinical outcomes.</w:t>
            </w:r>
          </w:p>
          <w:p w14:paraId="1FDA1418" w14:textId="4DD7E8CB" w:rsidR="00A84794" w:rsidRDefault="00A84794">
            <w:pPr>
              <w:rPr>
                <w:rFonts w:ascii="Calibri" w:hAnsi="Calibri" w:cs="Calibri"/>
                <w:color w:val="000000"/>
                <w:sz w:val="22"/>
              </w:rPr>
            </w:pPr>
            <w:r>
              <w:rPr>
                <w:rFonts w:ascii="Calibri" w:hAnsi="Calibri" w:cs="Calibri"/>
                <w:color w:val="000000"/>
                <w:sz w:val="22"/>
              </w:rPr>
              <w:t>(Some paper based - so not excluded)</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C41AD0C" w14:textId="77777777" w:rsidR="000F0ED9" w:rsidRDefault="000F0ED9">
            <w:pPr>
              <w:rPr>
                <w:rFonts w:ascii="Calibri" w:hAnsi="Calibri" w:cs="Calibri"/>
                <w:color w:val="000000"/>
                <w:sz w:val="22"/>
              </w:rPr>
            </w:pPr>
            <w:r>
              <w:rPr>
                <w:rFonts w:ascii="Calibri" w:hAnsi="Calibri" w:cs="Calibri"/>
                <w:color w:val="000000"/>
                <w:sz w:val="22"/>
              </w:rPr>
              <w:t>1</w:t>
            </w:r>
          </w:p>
        </w:tc>
      </w:tr>
      <w:tr w:rsidR="000F0ED9" w14:paraId="480DFBDA" w14:textId="77777777" w:rsidTr="00BD0672">
        <w:trPr>
          <w:trHeight w:val="9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43F6EE09" w14:textId="77777777" w:rsidR="000F0ED9" w:rsidRDefault="000F0ED9">
            <w:pPr>
              <w:rPr>
                <w:rFonts w:ascii="Calibri" w:hAnsi="Calibri" w:cs="Calibri"/>
                <w:color w:val="000000"/>
                <w:sz w:val="22"/>
              </w:rPr>
            </w:pPr>
            <w:proofErr w:type="spellStart"/>
            <w:r>
              <w:rPr>
                <w:rFonts w:ascii="Calibri" w:hAnsi="Calibri" w:cs="Calibri"/>
                <w:color w:val="000000"/>
                <w:sz w:val="22"/>
              </w:rPr>
              <w:t>Weigal</w:t>
            </w:r>
            <w:proofErr w:type="spellEnd"/>
            <w:r>
              <w:rPr>
                <w:rFonts w:ascii="Calibri" w:hAnsi="Calibri" w:cs="Calibri"/>
                <w:color w:val="000000"/>
                <w:sz w:val="22"/>
              </w:rPr>
              <w:t xml:space="preserve"> V, </w:t>
            </w:r>
            <w:r>
              <w:rPr>
                <w:rFonts w:ascii="Calibri" w:hAnsi="Calibri" w:cs="Calibri"/>
                <w:i/>
                <w:iCs/>
                <w:color w:val="000000"/>
                <w:sz w:val="22"/>
              </w:rPr>
              <w:t xml:space="preserve">et al, </w:t>
            </w:r>
            <w:r>
              <w:rPr>
                <w:rFonts w:ascii="Calibri" w:hAnsi="Calibri" w:cs="Calibri"/>
                <w:color w:val="000000"/>
                <w:sz w:val="22"/>
              </w:rPr>
              <w:t>2020</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316BAA4" w14:textId="77777777" w:rsidR="000F0ED9" w:rsidRDefault="000F0ED9">
            <w:pPr>
              <w:rPr>
                <w:rFonts w:ascii="Calibri" w:hAnsi="Calibri" w:cs="Calibri"/>
                <w:color w:val="000000"/>
                <w:sz w:val="22"/>
              </w:rPr>
            </w:pPr>
            <w:r>
              <w:rPr>
                <w:rFonts w:ascii="Calibri" w:hAnsi="Calibri" w:cs="Calibri"/>
                <w:color w:val="000000"/>
                <w:sz w:val="22"/>
              </w:rPr>
              <w:t>England</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4A030A95"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1B9CA45" w14:textId="309F0D50" w:rsidR="000F0ED9" w:rsidRDefault="000F0ED9">
            <w:pPr>
              <w:rPr>
                <w:rFonts w:ascii="Calibri" w:hAnsi="Calibri" w:cs="Calibri"/>
                <w:color w:val="000000"/>
                <w:sz w:val="22"/>
              </w:rPr>
            </w:pPr>
            <w:r>
              <w:rPr>
                <w:rFonts w:ascii="Calibri" w:hAnsi="Calibri" w:cs="Calibri"/>
                <w:color w:val="000000"/>
                <w:sz w:val="22"/>
              </w:rPr>
              <w:t xml:space="preserve">Multi-site </w:t>
            </w:r>
            <w:r w:rsidR="00083E45">
              <w:rPr>
                <w:rFonts w:ascii="Calibri" w:hAnsi="Calibri" w:cs="Calibri"/>
                <w:color w:val="000000"/>
                <w:sz w:val="22"/>
              </w:rPr>
              <w:t>Longitudinal</w:t>
            </w:r>
            <w:r>
              <w:rPr>
                <w:rFonts w:ascii="Calibri" w:hAnsi="Calibri" w:cs="Calibri"/>
                <w:color w:val="000000"/>
                <w:sz w:val="22"/>
              </w:rPr>
              <w:t xml:space="preserve"> Qualitative Evaluation.</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F91B897" w14:textId="77777777" w:rsidR="000F0ED9" w:rsidRDefault="000F0ED9">
            <w:pPr>
              <w:rPr>
                <w:rFonts w:ascii="Calibri" w:hAnsi="Calibri" w:cs="Calibri"/>
                <w:color w:val="000000"/>
                <w:sz w:val="22"/>
              </w:rPr>
            </w:pPr>
            <w:r>
              <w:rPr>
                <w:rFonts w:ascii="Calibri" w:hAnsi="Calibri" w:cs="Calibri"/>
                <w:color w:val="000000"/>
                <w:sz w:val="22"/>
              </w:rPr>
              <w:t>System optimisation and recognition of different outcomes across multiple systems</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4637F0E" w14:textId="77777777" w:rsidR="000F0ED9" w:rsidRDefault="000F0ED9">
            <w:pPr>
              <w:rPr>
                <w:rFonts w:ascii="Calibri" w:hAnsi="Calibri" w:cs="Calibri"/>
                <w:color w:val="000000"/>
                <w:sz w:val="22"/>
              </w:rPr>
            </w:pPr>
            <w:r>
              <w:rPr>
                <w:rFonts w:ascii="Calibri" w:hAnsi="Calibri" w:cs="Calibri"/>
                <w:color w:val="000000"/>
                <w:sz w:val="22"/>
              </w:rPr>
              <w:t>2</w:t>
            </w:r>
          </w:p>
        </w:tc>
      </w:tr>
      <w:tr w:rsidR="000F0ED9" w14:paraId="6C53757F" w14:textId="77777777" w:rsidTr="00BD0672">
        <w:trPr>
          <w:trHeight w:val="15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5B83A3C6" w14:textId="77777777" w:rsidR="000F0ED9" w:rsidRDefault="000F0ED9">
            <w:pPr>
              <w:rPr>
                <w:rFonts w:ascii="Calibri" w:hAnsi="Calibri" w:cs="Calibri"/>
                <w:color w:val="000000"/>
                <w:sz w:val="22"/>
              </w:rPr>
            </w:pPr>
            <w:r>
              <w:rPr>
                <w:rFonts w:ascii="Calibri" w:hAnsi="Calibri" w:cs="Calibri"/>
                <w:color w:val="000000"/>
                <w:sz w:val="22"/>
              </w:rPr>
              <w:t xml:space="preserve">Chin P, </w:t>
            </w:r>
            <w:r>
              <w:rPr>
                <w:rFonts w:ascii="Calibri" w:hAnsi="Calibri" w:cs="Calibri"/>
                <w:i/>
                <w:iCs/>
                <w:color w:val="000000"/>
                <w:sz w:val="22"/>
              </w:rPr>
              <w:t xml:space="preserve">et al, </w:t>
            </w:r>
            <w:r>
              <w:rPr>
                <w:rFonts w:ascii="Calibri" w:hAnsi="Calibri" w:cs="Calibri"/>
                <w:color w:val="000000"/>
                <w:sz w:val="22"/>
              </w:rPr>
              <w:t>2020</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42ECB01" w14:textId="77777777" w:rsidR="000F0ED9" w:rsidRDefault="000F0ED9">
            <w:pPr>
              <w:rPr>
                <w:rFonts w:ascii="Calibri" w:hAnsi="Calibri" w:cs="Calibri"/>
                <w:color w:val="000000"/>
                <w:sz w:val="22"/>
              </w:rPr>
            </w:pPr>
            <w:r>
              <w:rPr>
                <w:rFonts w:ascii="Calibri" w:hAnsi="Calibri" w:cs="Calibri"/>
                <w:color w:val="000000"/>
                <w:sz w:val="22"/>
              </w:rPr>
              <w:t>New Zealand</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22ECAAA"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821CBC8" w14:textId="77777777" w:rsidR="000F0ED9" w:rsidRDefault="000F0ED9">
            <w:pPr>
              <w:rPr>
                <w:rFonts w:ascii="Calibri" w:hAnsi="Calibri" w:cs="Calibri"/>
                <w:color w:val="000000"/>
                <w:sz w:val="22"/>
              </w:rPr>
            </w:pPr>
            <w:r>
              <w:rPr>
                <w:rFonts w:ascii="Calibri" w:hAnsi="Calibri" w:cs="Calibri"/>
                <w:color w:val="000000"/>
                <w:sz w:val="22"/>
              </w:rPr>
              <w:t xml:space="preserve">Non-RCT, ITS, Data Analysis, </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3935A0D" w14:textId="61FDE841" w:rsidR="000F0ED9" w:rsidRDefault="000F0ED9">
            <w:pPr>
              <w:rPr>
                <w:rFonts w:ascii="Calibri" w:hAnsi="Calibri" w:cs="Calibri"/>
                <w:color w:val="000000"/>
                <w:sz w:val="22"/>
              </w:rPr>
            </w:pPr>
            <w:r>
              <w:rPr>
                <w:rFonts w:ascii="Calibri" w:hAnsi="Calibri" w:cs="Calibri"/>
                <w:color w:val="000000"/>
                <w:sz w:val="22"/>
              </w:rPr>
              <w:t>Using evidence from local dat</w:t>
            </w:r>
            <w:r w:rsidR="008A7E11">
              <w:rPr>
                <w:rFonts w:ascii="Calibri" w:hAnsi="Calibri" w:cs="Calibri"/>
                <w:color w:val="000000"/>
                <w:sz w:val="22"/>
              </w:rPr>
              <w:t>a</w:t>
            </w:r>
            <w:r>
              <w:rPr>
                <w:rFonts w:ascii="Calibri" w:hAnsi="Calibri" w:cs="Calibri"/>
                <w:color w:val="000000"/>
                <w:sz w:val="22"/>
              </w:rPr>
              <w:t xml:space="preserve"> extracts to inform configuration of software.</w:t>
            </w:r>
            <w:r w:rsidR="00A159BF">
              <w:rPr>
                <w:rFonts w:ascii="Calibri" w:hAnsi="Calibri" w:cs="Calibri"/>
                <w:color w:val="000000"/>
                <w:sz w:val="22"/>
              </w:rPr>
              <w:t xml:space="preserve"> </w:t>
            </w:r>
            <w:r>
              <w:rPr>
                <w:rFonts w:ascii="Calibri" w:hAnsi="Calibri" w:cs="Calibri"/>
                <w:color w:val="000000"/>
                <w:sz w:val="22"/>
              </w:rPr>
              <w:t>Revising configuration in the DS alerts for one drug significantly reduced false positives.  However no advise on how to configure or on the optimal way of doing so.</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6F26683" w14:textId="77777777" w:rsidR="000F0ED9" w:rsidRDefault="000F0ED9">
            <w:pPr>
              <w:rPr>
                <w:rFonts w:ascii="Calibri" w:hAnsi="Calibri" w:cs="Calibri"/>
                <w:color w:val="000000"/>
                <w:sz w:val="22"/>
              </w:rPr>
            </w:pPr>
            <w:r>
              <w:rPr>
                <w:rFonts w:ascii="Calibri" w:hAnsi="Calibri" w:cs="Calibri"/>
                <w:color w:val="000000"/>
                <w:sz w:val="22"/>
              </w:rPr>
              <w:t>2</w:t>
            </w:r>
          </w:p>
        </w:tc>
      </w:tr>
      <w:tr w:rsidR="000F0ED9" w14:paraId="5AE9B7E2" w14:textId="77777777" w:rsidTr="00BD0672">
        <w:trPr>
          <w:trHeight w:val="18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58CF7508" w14:textId="77777777" w:rsidR="000F0ED9" w:rsidRDefault="000F0ED9">
            <w:pPr>
              <w:rPr>
                <w:rFonts w:ascii="Calibri" w:hAnsi="Calibri" w:cs="Calibri"/>
                <w:color w:val="000000"/>
                <w:sz w:val="22"/>
              </w:rPr>
            </w:pPr>
            <w:r>
              <w:rPr>
                <w:rFonts w:ascii="Calibri" w:hAnsi="Calibri" w:cs="Calibri"/>
                <w:color w:val="000000"/>
                <w:sz w:val="22"/>
              </w:rPr>
              <w:t xml:space="preserve">Edrees H, </w:t>
            </w:r>
            <w:r>
              <w:rPr>
                <w:rFonts w:ascii="Calibri" w:hAnsi="Calibri" w:cs="Calibri"/>
                <w:i/>
                <w:iCs/>
                <w:color w:val="000000"/>
                <w:sz w:val="22"/>
              </w:rPr>
              <w:t xml:space="preserve">et al, </w:t>
            </w:r>
            <w:r>
              <w:rPr>
                <w:rFonts w:ascii="Calibri" w:hAnsi="Calibri" w:cs="Calibri"/>
                <w:color w:val="000000"/>
                <w:sz w:val="22"/>
              </w:rPr>
              <w:t>2020</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9C9A354" w14:textId="77777777" w:rsidR="000F0ED9" w:rsidRDefault="000F0ED9">
            <w:pPr>
              <w:rPr>
                <w:rFonts w:ascii="Calibri" w:hAnsi="Calibri" w:cs="Calibri"/>
                <w:color w:val="000000"/>
                <w:sz w:val="22"/>
              </w:rPr>
            </w:pPr>
            <w:r>
              <w:rPr>
                <w:rFonts w:ascii="Calibri" w:hAnsi="Calibri" w:cs="Calibri"/>
                <w:color w:val="000000"/>
                <w:sz w:val="22"/>
              </w:rPr>
              <w:t>US</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378B84D0"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E72FB59" w14:textId="77777777" w:rsidR="000F0ED9" w:rsidRDefault="000F0ED9">
            <w:pPr>
              <w:rPr>
                <w:rFonts w:ascii="Calibri" w:hAnsi="Calibri" w:cs="Calibri"/>
                <w:color w:val="000000"/>
                <w:sz w:val="22"/>
              </w:rPr>
            </w:pPr>
            <w:r>
              <w:rPr>
                <w:rFonts w:ascii="Calibri" w:hAnsi="Calibri" w:cs="Calibri"/>
                <w:color w:val="000000"/>
                <w:sz w:val="22"/>
              </w:rPr>
              <w:t>Retrospective, Observational Study</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C2172BB" w14:textId="7209DFDE" w:rsidR="000F0ED9" w:rsidRDefault="000F0ED9">
            <w:pPr>
              <w:rPr>
                <w:rFonts w:ascii="Calibri" w:hAnsi="Calibri" w:cs="Calibri"/>
                <w:color w:val="000000"/>
                <w:sz w:val="22"/>
              </w:rPr>
            </w:pPr>
            <w:r>
              <w:rPr>
                <w:rFonts w:ascii="Calibri" w:hAnsi="Calibri" w:cs="Calibri"/>
                <w:color w:val="000000"/>
                <w:sz w:val="22"/>
              </w:rPr>
              <w:t xml:space="preserve">Examined the frequency and appropriateness of </w:t>
            </w:r>
            <w:r w:rsidR="00083E45">
              <w:rPr>
                <w:rFonts w:ascii="Calibri" w:hAnsi="Calibri" w:cs="Calibri"/>
                <w:color w:val="000000"/>
                <w:sz w:val="22"/>
              </w:rPr>
              <w:t>overrides</w:t>
            </w:r>
            <w:r>
              <w:rPr>
                <w:rFonts w:ascii="Calibri" w:hAnsi="Calibri" w:cs="Calibri"/>
                <w:color w:val="000000"/>
                <w:sz w:val="22"/>
              </w:rPr>
              <w:t xml:space="preserve"> of high risk drug interaction alerts and any association with sub-sequent side-effects.  Showed higher proportion of </w:t>
            </w:r>
            <w:r w:rsidR="00083E45">
              <w:rPr>
                <w:rFonts w:ascii="Calibri" w:hAnsi="Calibri" w:cs="Calibri"/>
                <w:color w:val="000000"/>
                <w:sz w:val="22"/>
              </w:rPr>
              <w:t>inappropriate</w:t>
            </w:r>
            <w:r>
              <w:rPr>
                <w:rFonts w:ascii="Calibri" w:hAnsi="Calibri" w:cs="Calibri"/>
                <w:color w:val="000000"/>
                <w:sz w:val="22"/>
              </w:rPr>
              <w:t xml:space="preserve"> </w:t>
            </w:r>
            <w:r w:rsidR="00443B37">
              <w:rPr>
                <w:rFonts w:ascii="Calibri" w:hAnsi="Calibri" w:cs="Calibri"/>
                <w:color w:val="000000"/>
                <w:sz w:val="22"/>
              </w:rPr>
              <w:t>overrides</w:t>
            </w:r>
            <w:r>
              <w:rPr>
                <w:rFonts w:ascii="Calibri" w:hAnsi="Calibri" w:cs="Calibri"/>
                <w:color w:val="000000"/>
                <w:sz w:val="22"/>
              </w:rPr>
              <w:t xml:space="preserve"> which was associated with higher adverse drug </w:t>
            </w:r>
            <w:r>
              <w:rPr>
                <w:rFonts w:ascii="Calibri" w:hAnsi="Calibri" w:cs="Calibri"/>
                <w:color w:val="000000"/>
                <w:sz w:val="22"/>
              </w:rPr>
              <w:lastRenderedPageBreak/>
              <w:t xml:space="preserve">reactions compared to appropriate </w:t>
            </w:r>
            <w:r w:rsidR="00083E45">
              <w:rPr>
                <w:rFonts w:ascii="Calibri" w:hAnsi="Calibri" w:cs="Calibri"/>
                <w:color w:val="000000"/>
                <w:sz w:val="22"/>
              </w:rPr>
              <w:t>overrides</w:t>
            </w:r>
            <w:r>
              <w:rPr>
                <w:rFonts w:ascii="Calibri" w:hAnsi="Calibri" w:cs="Calibri"/>
                <w:color w:val="000000"/>
                <w:sz w:val="22"/>
              </w:rPr>
              <w:t>.  No statistical significance.</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4A3B2AE7" w14:textId="77777777" w:rsidR="000F0ED9" w:rsidRDefault="000F0ED9">
            <w:pPr>
              <w:rPr>
                <w:rFonts w:ascii="Calibri" w:hAnsi="Calibri" w:cs="Calibri"/>
                <w:color w:val="000000"/>
                <w:sz w:val="22"/>
              </w:rPr>
            </w:pPr>
            <w:r>
              <w:rPr>
                <w:rFonts w:ascii="Calibri" w:hAnsi="Calibri" w:cs="Calibri"/>
                <w:color w:val="000000"/>
                <w:sz w:val="22"/>
              </w:rPr>
              <w:lastRenderedPageBreak/>
              <w:t>3</w:t>
            </w:r>
          </w:p>
        </w:tc>
      </w:tr>
      <w:tr w:rsidR="000F0ED9" w14:paraId="0DE7653F" w14:textId="77777777" w:rsidTr="00BD0672">
        <w:trPr>
          <w:trHeight w:val="12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53403C61" w14:textId="77777777" w:rsidR="000F0ED9" w:rsidRDefault="000F0ED9">
            <w:pPr>
              <w:rPr>
                <w:rFonts w:ascii="Calibri" w:hAnsi="Calibri" w:cs="Calibri"/>
                <w:color w:val="000000"/>
                <w:sz w:val="22"/>
              </w:rPr>
            </w:pPr>
            <w:r>
              <w:rPr>
                <w:rFonts w:ascii="Calibri" w:hAnsi="Calibri" w:cs="Calibri"/>
                <w:color w:val="000000"/>
                <w:sz w:val="22"/>
              </w:rPr>
              <w:t xml:space="preserve">Sako N, </w:t>
            </w:r>
            <w:r>
              <w:rPr>
                <w:rFonts w:ascii="Calibri" w:hAnsi="Calibri" w:cs="Calibri"/>
                <w:i/>
                <w:iCs/>
                <w:color w:val="000000"/>
                <w:sz w:val="22"/>
              </w:rPr>
              <w:t>et al</w:t>
            </w:r>
            <w:r>
              <w:rPr>
                <w:rFonts w:ascii="Calibri" w:hAnsi="Calibri" w:cs="Calibri"/>
                <w:color w:val="000000"/>
                <w:sz w:val="22"/>
              </w:rPr>
              <w:t>, 2020</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25948ED" w14:textId="77777777" w:rsidR="000F0ED9" w:rsidRDefault="000F0ED9">
            <w:pPr>
              <w:rPr>
                <w:rFonts w:ascii="Calibri" w:hAnsi="Calibri" w:cs="Calibri"/>
                <w:color w:val="000000"/>
                <w:sz w:val="22"/>
              </w:rPr>
            </w:pPr>
            <w:r>
              <w:rPr>
                <w:rFonts w:ascii="Calibri" w:hAnsi="Calibri" w:cs="Calibri"/>
                <w:color w:val="000000"/>
                <w:sz w:val="22"/>
              </w:rPr>
              <w:t>Ireland</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64F9753"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66CFBDC" w14:textId="77777777" w:rsidR="000F0ED9" w:rsidRDefault="000F0ED9">
            <w:pPr>
              <w:rPr>
                <w:rFonts w:ascii="Calibri" w:hAnsi="Calibri" w:cs="Calibri"/>
                <w:color w:val="000000"/>
                <w:sz w:val="22"/>
              </w:rPr>
            </w:pPr>
            <w:r>
              <w:rPr>
                <w:rFonts w:ascii="Calibri" w:hAnsi="Calibri" w:cs="Calibri"/>
                <w:color w:val="000000"/>
                <w:sz w:val="22"/>
              </w:rPr>
              <w:t>Retrospective analysis of drug-drug interaction alerts</w:t>
            </w:r>
            <w:r>
              <w:rPr>
                <w:rFonts w:ascii="Calibri" w:hAnsi="Calibri" w:cs="Calibri"/>
                <w:color w:val="000000"/>
                <w:sz w:val="22"/>
              </w:rPr>
              <w:br/>
              <w:t>(Conference Abstract)</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E06DCF3" w14:textId="3851CE8A" w:rsidR="000F0ED9" w:rsidRDefault="000F0ED9">
            <w:pPr>
              <w:rPr>
                <w:rFonts w:ascii="Calibri" w:hAnsi="Calibri" w:cs="Calibri"/>
                <w:color w:val="000000"/>
                <w:sz w:val="22"/>
              </w:rPr>
            </w:pPr>
            <w:r>
              <w:rPr>
                <w:rFonts w:ascii="Calibri" w:hAnsi="Calibri" w:cs="Calibri"/>
                <w:color w:val="000000"/>
                <w:sz w:val="22"/>
              </w:rPr>
              <w:t>Grey - Abstract only - conference proceedings.</w:t>
            </w:r>
            <w:r>
              <w:rPr>
                <w:rFonts w:ascii="Calibri" w:hAnsi="Calibri" w:cs="Calibri"/>
                <w:color w:val="000000"/>
                <w:sz w:val="22"/>
              </w:rPr>
              <w:br/>
              <w:t>Consistent findings with literature.</w:t>
            </w:r>
            <w:r>
              <w:rPr>
                <w:rFonts w:ascii="Calibri" w:hAnsi="Calibri" w:cs="Calibri"/>
                <w:color w:val="000000"/>
                <w:sz w:val="22"/>
              </w:rPr>
              <w:br/>
              <w:t xml:space="preserve">Changes to </w:t>
            </w:r>
            <w:r w:rsidR="00083E45">
              <w:rPr>
                <w:rFonts w:ascii="Calibri" w:hAnsi="Calibri" w:cs="Calibri"/>
                <w:color w:val="000000"/>
                <w:sz w:val="22"/>
              </w:rPr>
              <w:t>Configuration</w:t>
            </w:r>
            <w:r>
              <w:rPr>
                <w:rFonts w:ascii="Calibri" w:hAnsi="Calibri" w:cs="Calibri"/>
                <w:color w:val="000000"/>
                <w:sz w:val="22"/>
              </w:rPr>
              <w:t xml:space="preserve"> recommended - but no advise or evidence on the optimal configuration.</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8570855" w14:textId="77777777" w:rsidR="000F0ED9" w:rsidRDefault="000F0ED9">
            <w:pPr>
              <w:rPr>
                <w:rFonts w:ascii="Calibri" w:hAnsi="Calibri" w:cs="Calibri"/>
                <w:color w:val="000000"/>
                <w:sz w:val="22"/>
              </w:rPr>
            </w:pPr>
            <w:r>
              <w:rPr>
                <w:rFonts w:ascii="Calibri" w:hAnsi="Calibri" w:cs="Calibri"/>
                <w:color w:val="000000"/>
                <w:sz w:val="22"/>
              </w:rPr>
              <w:t>3</w:t>
            </w:r>
          </w:p>
        </w:tc>
      </w:tr>
      <w:tr w:rsidR="000F0ED9" w14:paraId="09D29FD2" w14:textId="77777777" w:rsidTr="00BD0672">
        <w:trPr>
          <w:trHeight w:val="6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0123D67E" w14:textId="77777777" w:rsidR="000F0ED9" w:rsidRDefault="000F0ED9">
            <w:pPr>
              <w:rPr>
                <w:rFonts w:ascii="Calibri" w:hAnsi="Calibri" w:cs="Calibri"/>
                <w:color w:val="000000"/>
                <w:sz w:val="22"/>
              </w:rPr>
            </w:pPr>
            <w:r>
              <w:rPr>
                <w:rFonts w:ascii="Calibri" w:hAnsi="Calibri" w:cs="Calibri"/>
                <w:color w:val="000000"/>
                <w:sz w:val="22"/>
              </w:rPr>
              <w:t xml:space="preserve">Corny J, </w:t>
            </w:r>
            <w:r>
              <w:rPr>
                <w:rFonts w:ascii="Calibri" w:hAnsi="Calibri" w:cs="Calibri"/>
                <w:i/>
                <w:iCs/>
                <w:color w:val="000000"/>
                <w:sz w:val="22"/>
              </w:rPr>
              <w:t xml:space="preserve">et al, </w:t>
            </w:r>
            <w:r>
              <w:rPr>
                <w:rFonts w:ascii="Calibri" w:hAnsi="Calibri" w:cs="Calibri"/>
                <w:color w:val="000000"/>
                <w:sz w:val="22"/>
              </w:rPr>
              <w:t>2020</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6E84084" w14:textId="77777777" w:rsidR="000F0ED9" w:rsidRDefault="000F0ED9">
            <w:pPr>
              <w:rPr>
                <w:rFonts w:ascii="Calibri" w:hAnsi="Calibri" w:cs="Calibri"/>
                <w:color w:val="000000"/>
                <w:sz w:val="22"/>
              </w:rPr>
            </w:pPr>
            <w:r>
              <w:rPr>
                <w:rFonts w:ascii="Calibri" w:hAnsi="Calibri" w:cs="Calibri"/>
                <w:color w:val="000000"/>
                <w:sz w:val="22"/>
              </w:rPr>
              <w:t>France</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6FFF042"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43B0CCEC" w14:textId="77777777" w:rsidR="000F0ED9" w:rsidRDefault="000F0ED9">
            <w:pPr>
              <w:rPr>
                <w:rFonts w:ascii="Calibri" w:hAnsi="Calibri" w:cs="Calibri"/>
                <w:color w:val="000000"/>
                <w:sz w:val="22"/>
              </w:rPr>
            </w:pPr>
            <w:r>
              <w:rPr>
                <w:rFonts w:ascii="Calibri" w:hAnsi="Calibri" w:cs="Calibri"/>
                <w:color w:val="000000"/>
                <w:sz w:val="22"/>
              </w:rPr>
              <w:t>Data-analysis</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0B2555E" w14:textId="3D59868C" w:rsidR="000F0ED9" w:rsidRDefault="000F0ED9">
            <w:pPr>
              <w:rPr>
                <w:rFonts w:ascii="Calibri" w:hAnsi="Calibri" w:cs="Calibri"/>
                <w:color w:val="000000"/>
                <w:sz w:val="22"/>
              </w:rPr>
            </w:pPr>
            <w:r>
              <w:rPr>
                <w:rFonts w:ascii="Calibri" w:hAnsi="Calibri" w:cs="Calibri"/>
                <w:color w:val="000000"/>
                <w:sz w:val="22"/>
              </w:rPr>
              <w:t xml:space="preserve">Report - </w:t>
            </w:r>
            <w:r w:rsidR="00083E45">
              <w:rPr>
                <w:rFonts w:ascii="Calibri" w:hAnsi="Calibri" w:cs="Calibri"/>
                <w:color w:val="000000"/>
                <w:sz w:val="22"/>
              </w:rPr>
              <w:t>data</w:t>
            </w:r>
            <w:r>
              <w:rPr>
                <w:rFonts w:ascii="Calibri" w:hAnsi="Calibri" w:cs="Calibri"/>
                <w:color w:val="000000"/>
                <w:sz w:val="22"/>
              </w:rPr>
              <w:t xml:space="preserve"> collection to inform machine learning.</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481FCF9" w14:textId="77777777" w:rsidR="000F0ED9" w:rsidRDefault="000F0ED9">
            <w:pPr>
              <w:rPr>
                <w:rFonts w:ascii="Calibri" w:hAnsi="Calibri" w:cs="Calibri"/>
                <w:color w:val="000000"/>
                <w:sz w:val="22"/>
              </w:rPr>
            </w:pPr>
            <w:r>
              <w:rPr>
                <w:rFonts w:ascii="Calibri" w:hAnsi="Calibri" w:cs="Calibri"/>
                <w:color w:val="000000"/>
                <w:sz w:val="22"/>
              </w:rPr>
              <w:t>3</w:t>
            </w:r>
          </w:p>
        </w:tc>
      </w:tr>
      <w:tr w:rsidR="000F0ED9" w14:paraId="10BCC83B" w14:textId="77777777" w:rsidTr="00BD0672">
        <w:trPr>
          <w:trHeight w:val="15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7049FA14" w14:textId="77777777" w:rsidR="000F0ED9" w:rsidRDefault="000F0ED9">
            <w:pPr>
              <w:rPr>
                <w:rFonts w:ascii="Calibri" w:hAnsi="Calibri" w:cs="Calibri"/>
                <w:color w:val="000000"/>
                <w:sz w:val="22"/>
              </w:rPr>
            </w:pPr>
            <w:r>
              <w:rPr>
                <w:rFonts w:ascii="Calibri" w:hAnsi="Calibri" w:cs="Calibri"/>
                <w:color w:val="000000"/>
                <w:sz w:val="22"/>
              </w:rPr>
              <w:t xml:space="preserve">Bell H, 2019, </w:t>
            </w:r>
            <w:r>
              <w:rPr>
                <w:rFonts w:ascii="Calibri" w:hAnsi="Calibri" w:cs="Calibri"/>
                <w:i/>
                <w:iCs/>
                <w:color w:val="000000"/>
                <w:sz w:val="22"/>
              </w:rPr>
              <w:t>et al</w:t>
            </w:r>
            <w:r>
              <w:rPr>
                <w:rFonts w:ascii="Calibri" w:hAnsi="Calibri" w:cs="Calibri"/>
                <w:color w:val="000000"/>
                <w:sz w:val="22"/>
              </w:rPr>
              <w:t>, 2019</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10BB358" w14:textId="77777777" w:rsidR="000F0ED9" w:rsidRDefault="000F0ED9">
            <w:pPr>
              <w:rPr>
                <w:rFonts w:ascii="Calibri" w:hAnsi="Calibri" w:cs="Calibri"/>
                <w:color w:val="000000"/>
                <w:sz w:val="22"/>
              </w:rPr>
            </w:pPr>
            <w:r>
              <w:rPr>
                <w:rFonts w:ascii="Calibri" w:hAnsi="Calibri" w:cs="Calibri"/>
                <w:color w:val="000000"/>
                <w:sz w:val="22"/>
              </w:rPr>
              <w:t>England</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8EC2E55"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37BA33EB" w14:textId="77777777" w:rsidR="000F0ED9" w:rsidRDefault="000F0ED9">
            <w:pPr>
              <w:rPr>
                <w:rFonts w:ascii="Calibri" w:hAnsi="Calibri" w:cs="Calibri"/>
                <w:color w:val="000000"/>
                <w:sz w:val="22"/>
              </w:rPr>
            </w:pPr>
            <w:r>
              <w:rPr>
                <w:rFonts w:ascii="Calibri" w:hAnsi="Calibri" w:cs="Calibri"/>
                <w:color w:val="000000"/>
                <w:sz w:val="22"/>
              </w:rPr>
              <w:t>Mixed Methods</w:t>
            </w:r>
            <w:r>
              <w:rPr>
                <w:rFonts w:ascii="Calibri" w:hAnsi="Calibri" w:cs="Calibri"/>
                <w:color w:val="000000"/>
                <w:sz w:val="22"/>
              </w:rPr>
              <w:br/>
              <w:t>Small powered (but statistically significant result)</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7D668B52" w14:textId="214F8BBC" w:rsidR="000F0ED9" w:rsidRDefault="000F0ED9">
            <w:pPr>
              <w:rPr>
                <w:rFonts w:ascii="Calibri" w:hAnsi="Calibri" w:cs="Calibri"/>
                <w:color w:val="000000"/>
                <w:sz w:val="22"/>
              </w:rPr>
            </w:pPr>
            <w:r>
              <w:rPr>
                <w:rFonts w:ascii="Calibri" w:hAnsi="Calibri" w:cs="Calibri"/>
                <w:color w:val="000000"/>
                <w:sz w:val="22"/>
              </w:rPr>
              <w:t xml:space="preserve">Explores </w:t>
            </w:r>
            <w:r w:rsidR="00B37E15">
              <w:rPr>
                <w:rFonts w:ascii="Calibri" w:hAnsi="Calibri" w:cs="Calibri"/>
                <w:color w:val="000000"/>
                <w:sz w:val="22"/>
              </w:rPr>
              <w:t>prescribers’</w:t>
            </w:r>
            <w:r>
              <w:rPr>
                <w:rFonts w:ascii="Calibri" w:hAnsi="Calibri" w:cs="Calibri"/>
                <w:color w:val="000000"/>
                <w:sz w:val="22"/>
              </w:rPr>
              <w:t xml:space="preserve"> perceptions and rates of alert </w:t>
            </w:r>
            <w:r w:rsidR="00083E45">
              <w:rPr>
                <w:rFonts w:ascii="Calibri" w:hAnsi="Calibri" w:cs="Calibri"/>
                <w:color w:val="000000"/>
                <w:sz w:val="22"/>
              </w:rPr>
              <w:t>overriding</w:t>
            </w:r>
            <w:r>
              <w:rPr>
                <w:rFonts w:ascii="Calibri" w:hAnsi="Calibri" w:cs="Calibri"/>
                <w:color w:val="000000"/>
                <w:sz w:val="22"/>
              </w:rPr>
              <w:t xml:space="preserve"> in different situations.  Small number of alerts analysed 199.  Alerts during ward rounds more likely to be </w:t>
            </w:r>
            <w:r w:rsidR="00083E45">
              <w:rPr>
                <w:rFonts w:ascii="Calibri" w:hAnsi="Calibri" w:cs="Calibri"/>
                <w:color w:val="000000"/>
                <w:sz w:val="22"/>
              </w:rPr>
              <w:t>overridden</w:t>
            </w:r>
            <w:r>
              <w:rPr>
                <w:rFonts w:ascii="Calibri" w:hAnsi="Calibri" w:cs="Calibri"/>
                <w:color w:val="000000"/>
                <w:sz w:val="22"/>
              </w:rPr>
              <w:t xml:space="preserve"> than those outside. (80% of 56 vs 51% of 63; p=0.001). Significant finding.  Suggested build alerts into workflow.</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1FBB788" w14:textId="77777777" w:rsidR="000F0ED9" w:rsidRDefault="000F0ED9">
            <w:pPr>
              <w:rPr>
                <w:rFonts w:ascii="Calibri" w:hAnsi="Calibri" w:cs="Calibri"/>
                <w:color w:val="000000"/>
                <w:sz w:val="22"/>
              </w:rPr>
            </w:pPr>
            <w:r>
              <w:rPr>
                <w:rFonts w:ascii="Calibri" w:hAnsi="Calibri" w:cs="Calibri"/>
                <w:color w:val="000000"/>
                <w:sz w:val="22"/>
              </w:rPr>
              <w:t>2</w:t>
            </w:r>
          </w:p>
        </w:tc>
      </w:tr>
      <w:tr w:rsidR="000F0ED9" w14:paraId="0ADAAF1F" w14:textId="77777777" w:rsidTr="00BD0672">
        <w:trPr>
          <w:trHeight w:val="9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355A4185" w14:textId="77777777" w:rsidR="000F0ED9" w:rsidRDefault="000F0ED9">
            <w:pPr>
              <w:rPr>
                <w:rFonts w:ascii="Calibri" w:hAnsi="Calibri" w:cs="Calibri"/>
                <w:color w:val="000000"/>
                <w:sz w:val="22"/>
              </w:rPr>
            </w:pPr>
            <w:r>
              <w:rPr>
                <w:rFonts w:ascii="Calibri" w:hAnsi="Calibri" w:cs="Calibri"/>
                <w:color w:val="000000"/>
                <w:sz w:val="22"/>
              </w:rPr>
              <w:t xml:space="preserve">Pontefract S, </w:t>
            </w:r>
            <w:r>
              <w:rPr>
                <w:rFonts w:ascii="Calibri" w:hAnsi="Calibri" w:cs="Calibri"/>
                <w:i/>
                <w:iCs/>
                <w:color w:val="000000"/>
                <w:sz w:val="22"/>
              </w:rPr>
              <w:t>et al</w:t>
            </w:r>
            <w:r>
              <w:rPr>
                <w:rFonts w:ascii="Calibri" w:hAnsi="Calibri" w:cs="Calibri"/>
                <w:color w:val="000000"/>
                <w:sz w:val="22"/>
              </w:rPr>
              <w:t>, 2018</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2906D19" w14:textId="77777777" w:rsidR="000F0ED9" w:rsidRDefault="000F0ED9">
            <w:pPr>
              <w:rPr>
                <w:rFonts w:ascii="Calibri" w:hAnsi="Calibri" w:cs="Calibri"/>
                <w:color w:val="000000"/>
                <w:sz w:val="22"/>
              </w:rPr>
            </w:pPr>
            <w:r>
              <w:rPr>
                <w:rFonts w:ascii="Calibri" w:hAnsi="Calibri" w:cs="Calibri"/>
                <w:color w:val="000000"/>
                <w:sz w:val="22"/>
              </w:rPr>
              <w:t>England</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9B6337E" w14:textId="330DCB6A" w:rsidR="000F0ED9" w:rsidRDefault="0067349C">
            <w:pPr>
              <w:rPr>
                <w:rFonts w:ascii="Calibri" w:hAnsi="Calibri" w:cs="Calibri"/>
                <w:color w:val="000000"/>
                <w:sz w:val="22"/>
              </w:rPr>
            </w:pPr>
            <w:r>
              <w:rPr>
                <w:rFonts w:ascii="Calibri" w:hAnsi="Calibri" w:cs="Calibri"/>
                <w:color w:val="000000"/>
                <w:sz w:val="22"/>
              </w:rPr>
              <w:t>Hospital</w:t>
            </w:r>
            <w:r w:rsidR="000F0ED9">
              <w:rPr>
                <w:rFonts w:ascii="Calibri" w:hAnsi="Calibri" w:cs="Calibri"/>
                <w:color w:val="000000"/>
                <w:sz w:val="22"/>
              </w:rPr>
              <w:t>,</w:t>
            </w:r>
            <w:r w:rsidR="000F0ED9">
              <w:rPr>
                <w:rFonts w:ascii="Calibri" w:hAnsi="Calibri" w:cs="Calibri"/>
                <w:color w:val="000000"/>
                <w:sz w:val="22"/>
              </w:rPr>
              <w:br/>
              <w:t>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3DE259B1" w14:textId="05B0A92A" w:rsidR="000F0ED9" w:rsidRDefault="009103A7">
            <w:pPr>
              <w:rPr>
                <w:rFonts w:ascii="Calibri" w:hAnsi="Calibri" w:cs="Calibri"/>
                <w:color w:val="000000"/>
                <w:sz w:val="22"/>
              </w:rPr>
            </w:pPr>
            <w:r>
              <w:rPr>
                <w:rFonts w:ascii="Calibri" w:hAnsi="Calibri" w:cs="Calibri"/>
                <w:color w:val="000000"/>
                <w:sz w:val="22"/>
              </w:rPr>
              <w:t xml:space="preserve">Quantitative and </w:t>
            </w:r>
            <w:r w:rsidR="000F0ED9">
              <w:rPr>
                <w:rFonts w:ascii="Calibri" w:hAnsi="Calibri" w:cs="Calibri"/>
                <w:color w:val="000000"/>
                <w:sz w:val="22"/>
              </w:rPr>
              <w:t>Qualitative Study</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042734E" w14:textId="105CCF5B" w:rsidR="00DC7886" w:rsidRDefault="000F0ED9">
            <w:pPr>
              <w:rPr>
                <w:rFonts w:ascii="Calibri" w:hAnsi="Calibri" w:cs="Calibri"/>
                <w:color w:val="000000"/>
                <w:sz w:val="22"/>
              </w:rPr>
            </w:pPr>
            <w:r>
              <w:rPr>
                <w:rFonts w:ascii="Calibri" w:hAnsi="Calibri" w:cs="Calibri"/>
                <w:color w:val="000000"/>
                <w:sz w:val="22"/>
              </w:rPr>
              <w:t>T</w:t>
            </w:r>
            <w:r w:rsidR="009103A7">
              <w:rPr>
                <w:rFonts w:ascii="Calibri" w:hAnsi="Calibri" w:cs="Calibri"/>
                <w:color w:val="000000"/>
                <w:sz w:val="22"/>
              </w:rPr>
              <w:t xml:space="preserve">hree </w:t>
            </w:r>
            <w:r>
              <w:rPr>
                <w:rFonts w:ascii="Calibri" w:hAnsi="Calibri" w:cs="Calibri"/>
                <w:color w:val="000000"/>
                <w:sz w:val="22"/>
              </w:rPr>
              <w:t xml:space="preserve">acute hospitals.  </w:t>
            </w:r>
            <w:r w:rsidR="00DC7886">
              <w:rPr>
                <w:rFonts w:ascii="Calibri" w:hAnsi="Calibri" w:cs="Calibri"/>
                <w:color w:val="000000"/>
                <w:sz w:val="22"/>
              </w:rPr>
              <w:t xml:space="preserve">Same ePMA system with different configurations of CDS.  Results </w:t>
            </w:r>
            <w:r w:rsidR="00813CF4">
              <w:rPr>
                <w:rFonts w:ascii="Calibri" w:hAnsi="Calibri" w:cs="Calibri"/>
                <w:color w:val="000000"/>
                <w:sz w:val="22"/>
              </w:rPr>
              <w:t>–</w:t>
            </w:r>
            <w:r w:rsidR="00DC7886">
              <w:rPr>
                <w:rFonts w:ascii="Calibri" w:hAnsi="Calibri" w:cs="Calibri"/>
                <w:color w:val="000000"/>
                <w:sz w:val="22"/>
              </w:rPr>
              <w:t xml:space="preserve"> </w:t>
            </w:r>
            <w:r w:rsidR="00813CF4">
              <w:rPr>
                <w:rFonts w:ascii="Calibri" w:hAnsi="Calibri" w:cs="Calibri"/>
                <w:color w:val="000000"/>
                <w:sz w:val="22"/>
              </w:rPr>
              <w:t xml:space="preserve">significant reduction in error rates.  Although variation </w:t>
            </w:r>
            <w:r w:rsidR="00A20605">
              <w:rPr>
                <w:rFonts w:ascii="Calibri" w:hAnsi="Calibri" w:cs="Calibri"/>
                <w:color w:val="000000"/>
                <w:sz w:val="22"/>
              </w:rPr>
              <w:t>in effect by error type across sites and configurations.</w:t>
            </w:r>
          </w:p>
          <w:p w14:paraId="22D89336" w14:textId="77777777" w:rsidR="00DC7886" w:rsidRDefault="00DC7886">
            <w:pPr>
              <w:rPr>
                <w:rFonts w:ascii="Calibri" w:hAnsi="Calibri" w:cs="Calibri"/>
                <w:color w:val="000000"/>
                <w:sz w:val="22"/>
              </w:rPr>
            </w:pPr>
          </w:p>
          <w:p w14:paraId="07AB534C" w14:textId="77777777" w:rsidR="00DC7886" w:rsidRDefault="00DC7886">
            <w:pPr>
              <w:rPr>
                <w:rFonts w:ascii="Calibri" w:hAnsi="Calibri" w:cs="Calibri"/>
                <w:color w:val="000000"/>
                <w:sz w:val="22"/>
              </w:rPr>
            </w:pPr>
          </w:p>
          <w:p w14:paraId="2F97AAE0" w14:textId="291DFD90" w:rsidR="000F0ED9" w:rsidRDefault="00DC7886">
            <w:pPr>
              <w:rPr>
                <w:rFonts w:ascii="Calibri" w:hAnsi="Calibri" w:cs="Calibri"/>
                <w:color w:val="000000"/>
                <w:sz w:val="22"/>
              </w:rPr>
            </w:pPr>
            <w:r>
              <w:rPr>
                <w:rFonts w:ascii="Calibri" w:hAnsi="Calibri" w:cs="Calibri"/>
                <w:color w:val="000000"/>
                <w:sz w:val="22"/>
              </w:rPr>
              <w:t xml:space="preserve">Two sites. </w:t>
            </w:r>
            <w:r w:rsidR="000F0ED9">
              <w:rPr>
                <w:rFonts w:ascii="Calibri" w:hAnsi="Calibri" w:cs="Calibri"/>
                <w:color w:val="000000"/>
                <w:sz w:val="22"/>
              </w:rPr>
              <w:t xml:space="preserve">Effect of DS on communication and the impact of this, between pharmacists and doctors.  Potential to compromise care.  No outcomes data. </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8832977" w14:textId="59BAECC9" w:rsidR="000F0ED9" w:rsidRDefault="00A20605">
            <w:pPr>
              <w:rPr>
                <w:rFonts w:ascii="Calibri" w:hAnsi="Calibri" w:cs="Calibri"/>
                <w:color w:val="000000"/>
                <w:sz w:val="22"/>
              </w:rPr>
            </w:pPr>
            <w:r>
              <w:rPr>
                <w:rFonts w:ascii="Calibri" w:hAnsi="Calibri" w:cs="Calibri"/>
                <w:color w:val="000000"/>
                <w:sz w:val="22"/>
              </w:rPr>
              <w:t>1</w:t>
            </w:r>
          </w:p>
        </w:tc>
      </w:tr>
      <w:tr w:rsidR="000F0ED9" w14:paraId="6A2EFF5F" w14:textId="77777777" w:rsidTr="00BD0672">
        <w:trPr>
          <w:trHeight w:val="9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027CF987" w14:textId="77777777" w:rsidR="000F0ED9" w:rsidRDefault="000F0ED9">
            <w:pPr>
              <w:rPr>
                <w:rFonts w:ascii="Calibri" w:hAnsi="Calibri" w:cs="Calibri"/>
                <w:color w:val="000000"/>
                <w:sz w:val="22"/>
              </w:rPr>
            </w:pPr>
            <w:r>
              <w:rPr>
                <w:rFonts w:ascii="Calibri" w:hAnsi="Calibri" w:cs="Calibri"/>
                <w:color w:val="000000"/>
                <w:sz w:val="22"/>
              </w:rPr>
              <w:t xml:space="preserve">Curtis C, </w:t>
            </w:r>
            <w:r>
              <w:rPr>
                <w:rFonts w:ascii="Calibri" w:hAnsi="Calibri" w:cs="Calibri"/>
                <w:i/>
                <w:iCs/>
                <w:color w:val="000000"/>
                <w:sz w:val="22"/>
              </w:rPr>
              <w:t xml:space="preserve">et al, </w:t>
            </w:r>
            <w:r>
              <w:rPr>
                <w:rFonts w:ascii="Calibri" w:hAnsi="Calibri" w:cs="Calibri"/>
                <w:color w:val="000000"/>
                <w:sz w:val="22"/>
              </w:rPr>
              <w:t>2017</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F7D6B8A" w14:textId="77777777" w:rsidR="000F0ED9" w:rsidRDefault="000F0ED9">
            <w:pPr>
              <w:rPr>
                <w:rFonts w:ascii="Calibri" w:hAnsi="Calibri" w:cs="Calibri"/>
                <w:color w:val="000000"/>
                <w:sz w:val="22"/>
              </w:rPr>
            </w:pPr>
            <w:r>
              <w:rPr>
                <w:rFonts w:ascii="Calibri" w:hAnsi="Calibri" w:cs="Calibri"/>
                <w:color w:val="000000"/>
                <w:sz w:val="22"/>
              </w:rPr>
              <w:t>International</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9934927"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26A3A9C" w14:textId="77777777" w:rsidR="000F0ED9" w:rsidRDefault="000F0ED9">
            <w:pPr>
              <w:rPr>
                <w:rFonts w:ascii="Calibri" w:hAnsi="Calibri" w:cs="Calibri"/>
                <w:color w:val="000000"/>
                <w:sz w:val="22"/>
              </w:rPr>
            </w:pPr>
            <w:r>
              <w:rPr>
                <w:rFonts w:ascii="Calibri" w:hAnsi="Calibri" w:cs="Calibri"/>
                <w:color w:val="000000"/>
                <w:sz w:val="22"/>
              </w:rPr>
              <w:t xml:space="preserve">Systematic Review </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40571331" w14:textId="77777777" w:rsidR="000F0ED9" w:rsidRDefault="000F0ED9">
            <w:pPr>
              <w:rPr>
                <w:rFonts w:ascii="Calibri" w:hAnsi="Calibri" w:cs="Calibri"/>
                <w:color w:val="000000"/>
                <w:sz w:val="22"/>
              </w:rPr>
            </w:pPr>
            <w:r>
              <w:rPr>
                <w:rFonts w:ascii="Calibri" w:hAnsi="Calibri" w:cs="Calibri"/>
                <w:color w:val="000000"/>
                <w:sz w:val="22"/>
              </w:rPr>
              <w:t>Extreme variation of studies but and demonstrates that DS for optimising antibiotic use is poor but overall associated significant increase in antibiotic coverage where DS used.</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7881232" w14:textId="77777777" w:rsidR="000F0ED9" w:rsidRDefault="000F0ED9">
            <w:pPr>
              <w:rPr>
                <w:rFonts w:ascii="Calibri" w:hAnsi="Calibri" w:cs="Calibri"/>
                <w:color w:val="000000"/>
                <w:sz w:val="22"/>
              </w:rPr>
            </w:pPr>
            <w:r>
              <w:rPr>
                <w:rFonts w:ascii="Calibri" w:hAnsi="Calibri" w:cs="Calibri"/>
                <w:color w:val="000000"/>
                <w:sz w:val="22"/>
              </w:rPr>
              <w:t>1</w:t>
            </w:r>
          </w:p>
        </w:tc>
      </w:tr>
      <w:tr w:rsidR="000F0ED9" w14:paraId="2107D059" w14:textId="77777777" w:rsidTr="00BD0672">
        <w:trPr>
          <w:trHeight w:val="6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2807DF57" w14:textId="77777777" w:rsidR="000F0ED9" w:rsidRDefault="000F0ED9">
            <w:pPr>
              <w:rPr>
                <w:rFonts w:ascii="Calibri" w:hAnsi="Calibri" w:cs="Calibri"/>
                <w:color w:val="000000"/>
                <w:sz w:val="22"/>
              </w:rPr>
            </w:pPr>
            <w:proofErr w:type="spellStart"/>
            <w:r>
              <w:rPr>
                <w:rFonts w:ascii="Calibri" w:hAnsi="Calibri" w:cs="Calibri"/>
                <w:color w:val="000000"/>
                <w:sz w:val="22"/>
              </w:rPr>
              <w:lastRenderedPageBreak/>
              <w:t>Gatho</w:t>
            </w:r>
            <w:proofErr w:type="spellEnd"/>
            <w:r>
              <w:rPr>
                <w:rFonts w:ascii="Calibri" w:hAnsi="Calibri" w:cs="Calibri"/>
                <w:color w:val="000000"/>
                <w:sz w:val="22"/>
              </w:rPr>
              <w:t xml:space="preserve"> G, </w:t>
            </w:r>
            <w:r>
              <w:rPr>
                <w:rFonts w:ascii="Calibri" w:hAnsi="Calibri" w:cs="Calibri"/>
                <w:i/>
                <w:iCs/>
                <w:color w:val="000000"/>
                <w:sz w:val="22"/>
              </w:rPr>
              <w:t>et al</w:t>
            </w:r>
            <w:r>
              <w:rPr>
                <w:rFonts w:ascii="Calibri" w:hAnsi="Calibri" w:cs="Calibri"/>
                <w:color w:val="000000"/>
                <w:sz w:val="22"/>
              </w:rPr>
              <w:t>, 2018</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10FE1CC" w14:textId="77777777" w:rsidR="000F0ED9" w:rsidRDefault="000F0ED9">
            <w:pPr>
              <w:rPr>
                <w:rFonts w:ascii="Calibri" w:hAnsi="Calibri" w:cs="Calibri"/>
                <w:color w:val="000000"/>
                <w:sz w:val="22"/>
              </w:rPr>
            </w:pPr>
            <w:r>
              <w:rPr>
                <w:rFonts w:ascii="Calibri" w:hAnsi="Calibri" w:cs="Calibri"/>
                <w:color w:val="000000"/>
                <w:sz w:val="22"/>
              </w:rPr>
              <w:t>Switzerland</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9563D1A"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C730129" w14:textId="77777777" w:rsidR="000F0ED9" w:rsidRDefault="000F0ED9">
            <w:pPr>
              <w:rPr>
                <w:rFonts w:ascii="Calibri" w:hAnsi="Calibri" w:cs="Calibri"/>
                <w:color w:val="000000"/>
                <w:sz w:val="22"/>
              </w:rPr>
            </w:pPr>
            <w:r>
              <w:rPr>
                <w:rFonts w:ascii="Calibri" w:hAnsi="Calibri" w:cs="Calibri"/>
                <w:color w:val="000000"/>
                <w:sz w:val="22"/>
              </w:rPr>
              <w:t>Study Protocol for RCT</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3005F41" w14:textId="757754E9" w:rsidR="000F0ED9" w:rsidRDefault="000F0ED9">
            <w:pPr>
              <w:rPr>
                <w:rFonts w:ascii="Calibri" w:hAnsi="Calibri" w:cs="Calibri"/>
                <w:color w:val="000000"/>
                <w:sz w:val="22"/>
              </w:rPr>
            </w:pPr>
            <w:r>
              <w:rPr>
                <w:rFonts w:ascii="Calibri" w:hAnsi="Calibri" w:cs="Calibri"/>
                <w:color w:val="000000"/>
                <w:sz w:val="22"/>
              </w:rPr>
              <w:t xml:space="preserve">Study Protocol for </w:t>
            </w:r>
            <w:r w:rsidR="0067349C">
              <w:rPr>
                <w:rFonts w:ascii="Calibri" w:hAnsi="Calibri" w:cs="Calibri"/>
                <w:color w:val="000000"/>
                <w:sz w:val="22"/>
              </w:rPr>
              <w:t>assessing</w:t>
            </w:r>
            <w:r>
              <w:rPr>
                <w:rFonts w:ascii="Calibri" w:hAnsi="Calibri" w:cs="Calibri"/>
                <w:color w:val="000000"/>
                <w:sz w:val="22"/>
              </w:rPr>
              <w:t xml:space="preserve"> effect and use of DS on antimicrobial stewardship</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05326E4" w14:textId="77777777" w:rsidR="000F0ED9" w:rsidRDefault="000F0ED9">
            <w:pPr>
              <w:rPr>
                <w:rFonts w:ascii="Calibri" w:hAnsi="Calibri" w:cs="Calibri"/>
                <w:color w:val="000000"/>
                <w:sz w:val="22"/>
              </w:rPr>
            </w:pPr>
            <w:r>
              <w:rPr>
                <w:rFonts w:ascii="Calibri" w:hAnsi="Calibri" w:cs="Calibri"/>
                <w:color w:val="000000"/>
                <w:sz w:val="22"/>
              </w:rPr>
              <w:t>3</w:t>
            </w:r>
          </w:p>
        </w:tc>
      </w:tr>
      <w:tr w:rsidR="000F0ED9" w14:paraId="1B3149D2" w14:textId="77777777" w:rsidTr="00BD0672">
        <w:trPr>
          <w:trHeight w:val="15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43D09FCD" w14:textId="77777777" w:rsidR="000F0ED9" w:rsidRDefault="000F0ED9">
            <w:pPr>
              <w:rPr>
                <w:rFonts w:ascii="Calibri" w:hAnsi="Calibri" w:cs="Calibri"/>
                <w:color w:val="000000"/>
                <w:sz w:val="22"/>
              </w:rPr>
            </w:pPr>
            <w:r>
              <w:rPr>
                <w:rFonts w:ascii="Calibri" w:hAnsi="Calibri" w:cs="Calibri"/>
                <w:color w:val="000000"/>
                <w:sz w:val="22"/>
              </w:rPr>
              <w:t xml:space="preserve">Santucci W, </w:t>
            </w:r>
            <w:r>
              <w:rPr>
                <w:rFonts w:ascii="Calibri" w:hAnsi="Calibri" w:cs="Calibri"/>
                <w:i/>
                <w:iCs/>
                <w:color w:val="000000"/>
                <w:sz w:val="22"/>
              </w:rPr>
              <w:t xml:space="preserve">et al, </w:t>
            </w:r>
            <w:r>
              <w:rPr>
                <w:rFonts w:ascii="Calibri" w:hAnsi="Calibri" w:cs="Calibri"/>
                <w:color w:val="000000"/>
                <w:sz w:val="22"/>
              </w:rPr>
              <w:t>2016</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358F6187" w14:textId="77777777" w:rsidR="000F0ED9" w:rsidRDefault="000F0ED9">
            <w:pPr>
              <w:rPr>
                <w:rFonts w:ascii="Calibri" w:hAnsi="Calibri" w:cs="Calibri"/>
                <w:color w:val="000000"/>
                <w:sz w:val="22"/>
              </w:rPr>
            </w:pPr>
            <w:r>
              <w:rPr>
                <w:rFonts w:ascii="Calibri" w:hAnsi="Calibri" w:cs="Calibri"/>
                <w:color w:val="000000"/>
                <w:sz w:val="22"/>
              </w:rPr>
              <w:t>Australia</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589D3AA7" w14:textId="77777777" w:rsidR="000F0ED9" w:rsidRDefault="000F0ED9">
            <w:pPr>
              <w:rPr>
                <w:rFonts w:ascii="Calibri" w:hAnsi="Calibri" w:cs="Calibri"/>
                <w:color w:val="000000"/>
                <w:sz w:val="22"/>
              </w:rPr>
            </w:pPr>
            <w:r>
              <w:rPr>
                <w:rFonts w:ascii="Calibri" w:hAnsi="Calibri" w:cs="Calibri"/>
                <w:color w:val="000000"/>
                <w:sz w:val="22"/>
              </w:rPr>
              <w:t>Hospital, Inpatient</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2E004DE" w14:textId="77777777" w:rsidR="000F0ED9" w:rsidRDefault="000F0ED9">
            <w:pPr>
              <w:rPr>
                <w:rFonts w:ascii="Calibri" w:hAnsi="Calibri" w:cs="Calibri"/>
                <w:color w:val="000000"/>
                <w:sz w:val="22"/>
              </w:rPr>
            </w:pPr>
            <w:r>
              <w:rPr>
                <w:rFonts w:ascii="Calibri" w:hAnsi="Calibri" w:cs="Calibri"/>
                <w:color w:val="000000"/>
                <w:sz w:val="22"/>
              </w:rPr>
              <w:t>Observational Study</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07277738" w14:textId="394B51D1" w:rsidR="000F0ED9" w:rsidRDefault="0067349C">
            <w:pPr>
              <w:rPr>
                <w:rFonts w:ascii="Calibri" w:hAnsi="Calibri" w:cs="Calibri"/>
                <w:color w:val="000000"/>
                <w:sz w:val="22"/>
              </w:rPr>
            </w:pPr>
            <w:r>
              <w:rPr>
                <w:rFonts w:ascii="Calibri" w:hAnsi="Calibri" w:cs="Calibri"/>
                <w:color w:val="000000"/>
                <w:sz w:val="22"/>
              </w:rPr>
              <w:t>Intensive</w:t>
            </w:r>
            <w:r w:rsidR="000F0ED9">
              <w:rPr>
                <w:rFonts w:ascii="Calibri" w:hAnsi="Calibri" w:cs="Calibri"/>
                <w:color w:val="000000"/>
                <w:sz w:val="22"/>
              </w:rPr>
              <w:t xml:space="preserve"> Care - Whether DS is seen as useful by medics in the Critical Care setting.  More alerts were triggered in critical care setting then general wards and many of them were seen as redundant.  DS not configured for this setting.  No outcome data.</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10154629" w14:textId="77777777" w:rsidR="000F0ED9" w:rsidRDefault="000F0ED9">
            <w:pPr>
              <w:rPr>
                <w:rFonts w:ascii="Calibri" w:hAnsi="Calibri" w:cs="Calibri"/>
                <w:color w:val="000000"/>
                <w:sz w:val="22"/>
              </w:rPr>
            </w:pPr>
            <w:r>
              <w:rPr>
                <w:rFonts w:ascii="Calibri" w:hAnsi="Calibri" w:cs="Calibri"/>
                <w:color w:val="000000"/>
                <w:sz w:val="22"/>
              </w:rPr>
              <w:t>3</w:t>
            </w:r>
          </w:p>
        </w:tc>
      </w:tr>
      <w:tr w:rsidR="000F0ED9" w14:paraId="2D0356AA" w14:textId="77777777" w:rsidTr="00BD0672">
        <w:trPr>
          <w:trHeight w:val="1200"/>
        </w:trPr>
        <w:tc>
          <w:tcPr>
            <w:tcW w:w="1555" w:type="dxa"/>
            <w:tcBorders>
              <w:top w:val="nil"/>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4CE9B63C" w14:textId="77777777" w:rsidR="000F0ED9" w:rsidRDefault="000F0ED9">
            <w:pPr>
              <w:rPr>
                <w:rFonts w:ascii="Calibri" w:hAnsi="Calibri" w:cs="Calibri"/>
                <w:color w:val="000000"/>
                <w:sz w:val="22"/>
              </w:rPr>
            </w:pPr>
            <w:r>
              <w:rPr>
                <w:rFonts w:ascii="Calibri" w:hAnsi="Calibri" w:cs="Calibri"/>
                <w:color w:val="000000"/>
                <w:sz w:val="22"/>
              </w:rPr>
              <w:t xml:space="preserve">Bernstein R, </w:t>
            </w:r>
            <w:r>
              <w:rPr>
                <w:rFonts w:ascii="Calibri" w:hAnsi="Calibri" w:cs="Calibri"/>
                <w:i/>
                <w:iCs/>
                <w:color w:val="000000"/>
                <w:sz w:val="22"/>
              </w:rPr>
              <w:t>et al,</w:t>
            </w:r>
            <w:r>
              <w:rPr>
                <w:rFonts w:ascii="Calibri" w:hAnsi="Calibri" w:cs="Calibri"/>
                <w:color w:val="000000"/>
                <w:sz w:val="22"/>
              </w:rPr>
              <w:t xml:space="preserve"> 2014</w:t>
            </w:r>
          </w:p>
        </w:tc>
        <w:tc>
          <w:tcPr>
            <w:tcW w:w="1275"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3D00F76F" w14:textId="77777777" w:rsidR="000F0ED9" w:rsidRDefault="000F0ED9">
            <w:pPr>
              <w:rPr>
                <w:rFonts w:ascii="Calibri" w:hAnsi="Calibri" w:cs="Calibri"/>
                <w:color w:val="000000"/>
                <w:sz w:val="22"/>
              </w:rPr>
            </w:pPr>
            <w:r>
              <w:rPr>
                <w:rFonts w:ascii="Calibri" w:hAnsi="Calibri" w:cs="Calibri"/>
                <w:color w:val="000000"/>
                <w:sz w:val="22"/>
              </w:rPr>
              <w:t> </w:t>
            </w:r>
          </w:p>
        </w:tc>
        <w:tc>
          <w:tcPr>
            <w:tcW w:w="134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69213CC8" w14:textId="77777777" w:rsidR="000F0ED9" w:rsidRDefault="000F0ED9">
            <w:pPr>
              <w:rPr>
                <w:rFonts w:ascii="Calibri" w:hAnsi="Calibri" w:cs="Calibri"/>
                <w:color w:val="000000"/>
                <w:sz w:val="22"/>
              </w:rPr>
            </w:pPr>
            <w:r>
              <w:rPr>
                <w:rFonts w:ascii="Calibri" w:hAnsi="Calibri" w:cs="Calibri"/>
                <w:color w:val="000000"/>
                <w:sz w:val="22"/>
              </w:rPr>
              <w:t>Literature Review</w:t>
            </w:r>
          </w:p>
        </w:tc>
        <w:tc>
          <w:tcPr>
            <w:tcW w:w="1210"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3B25AE3B" w14:textId="77777777" w:rsidR="000F0ED9" w:rsidRDefault="000F0ED9">
            <w:pPr>
              <w:rPr>
                <w:rFonts w:ascii="Calibri" w:hAnsi="Calibri" w:cs="Calibri"/>
                <w:color w:val="000000"/>
                <w:sz w:val="22"/>
              </w:rPr>
            </w:pPr>
            <w:r>
              <w:rPr>
                <w:rFonts w:ascii="Calibri" w:hAnsi="Calibri" w:cs="Calibri"/>
                <w:color w:val="000000"/>
                <w:sz w:val="22"/>
              </w:rPr>
              <w:t>Article</w:t>
            </w:r>
          </w:p>
        </w:tc>
        <w:tc>
          <w:tcPr>
            <w:tcW w:w="3544"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2F99E4A7" w14:textId="77777777" w:rsidR="000F0ED9" w:rsidRDefault="000F0ED9">
            <w:pPr>
              <w:rPr>
                <w:rFonts w:ascii="Calibri" w:hAnsi="Calibri" w:cs="Calibri"/>
                <w:color w:val="000000"/>
                <w:sz w:val="22"/>
              </w:rPr>
            </w:pPr>
            <w:r>
              <w:rPr>
                <w:rFonts w:ascii="Calibri" w:hAnsi="Calibri" w:cs="Calibri"/>
                <w:color w:val="000000"/>
                <w:sz w:val="22"/>
              </w:rPr>
              <w:t>Grey - Identifies elements of an ideal decision support system where medicines are used.  States that well though-out DS can have an impact that can be measured against adverse drug reactions.</w:t>
            </w:r>
          </w:p>
        </w:tc>
        <w:tc>
          <w:tcPr>
            <w:tcW w:w="992" w:type="dxa"/>
            <w:tcBorders>
              <w:top w:val="nil"/>
              <w:left w:val="nil"/>
              <w:bottom w:val="single" w:sz="4" w:space="0" w:color="auto"/>
              <w:right w:val="single" w:sz="4" w:space="0" w:color="auto"/>
            </w:tcBorders>
            <w:shd w:val="clear" w:color="auto" w:fill="auto"/>
            <w:tcMar>
              <w:top w:w="15" w:type="dxa"/>
              <w:left w:w="15" w:type="dxa"/>
              <w:bottom w:w="0" w:type="dxa"/>
              <w:right w:w="15" w:type="dxa"/>
            </w:tcMar>
            <w:hideMark/>
          </w:tcPr>
          <w:p w14:paraId="3DE59EA1" w14:textId="77777777" w:rsidR="000F0ED9" w:rsidRDefault="000F0ED9">
            <w:pPr>
              <w:rPr>
                <w:rFonts w:ascii="Calibri" w:hAnsi="Calibri" w:cs="Calibri"/>
                <w:color w:val="000000"/>
                <w:sz w:val="22"/>
              </w:rPr>
            </w:pPr>
            <w:r>
              <w:rPr>
                <w:rFonts w:ascii="Calibri" w:hAnsi="Calibri" w:cs="Calibri"/>
                <w:color w:val="000000"/>
                <w:sz w:val="22"/>
              </w:rPr>
              <w:t>3</w:t>
            </w:r>
          </w:p>
        </w:tc>
      </w:tr>
      <w:tr w:rsidR="000F0ED9" w14:paraId="0888060C" w14:textId="77777777" w:rsidTr="00BD0672">
        <w:trPr>
          <w:trHeight w:val="300"/>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hideMark/>
          </w:tcPr>
          <w:p w14:paraId="3D67E7F2" w14:textId="3D142B47" w:rsidR="000F0ED9" w:rsidRDefault="000F0ED9">
            <w:pPr>
              <w:rPr>
                <w:rFonts w:ascii="Calibri" w:hAnsi="Calibri" w:cs="Calibri"/>
                <w:color w:val="000000"/>
                <w:sz w:val="22"/>
              </w:rPr>
            </w:pPr>
            <w:r>
              <w:rPr>
                <w:rFonts w:ascii="Calibri" w:hAnsi="Calibri" w:cs="Calibri"/>
                <w:color w:val="000000"/>
                <w:sz w:val="22"/>
              </w:rPr>
              <w:t>Kaushal, 20</w:t>
            </w:r>
            <w:r w:rsidR="0018671E">
              <w:rPr>
                <w:rFonts w:ascii="Calibri" w:hAnsi="Calibri" w:cs="Calibri"/>
                <w:color w:val="000000"/>
                <w:sz w:val="22"/>
              </w:rPr>
              <w:t>11</w:t>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hideMark/>
          </w:tcPr>
          <w:p w14:paraId="563A03A8" w14:textId="6365A75B" w:rsidR="000F0ED9" w:rsidRDefault="000F0ED9">
            <w:pPr>
              <w:rPr>
                <w:rFonts w:ascii="Calibri" w:hAnsi="Calibri" w:cs="Calibri"/>
                <w:color w:val="000000"/>
                <w:sz w:val="22"/>
              </w:rPr>
            </w:pPr>
            <w:r>
              <w:rPr>
                <w:rFonts w:ascii="Calibri" w:hAnsi="Calibri" w:cs="Calibri"/>
                <w:color w:val="000000"/>
                <w:sz w:val="22"/>
              </w:rPr>
              <w:t> </w:t>
            </w:r>
            <w:r w:rsidR="00281F4A">
              <w:rPr>
                <w:rFonts w:ascii="Calibri" w:hAnsi="Calibri" w:cs="Calibri"/>
                <w:color w:val="000000"/>
                <w:sz w:val="22"/>
              </w:rPr>
              <w:t>US</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hideMark/>
          </w:tcPr>
          <w:p w14:paraId="0AAB2E95" w14:textId="29A14D9C" w:rsidR="000F0ED9" w:rsidRDefault="000F0ED9">
            <w:pPr>
              <w:rPr>
                <w:rFonts w:ascii="Calibri" w:hAnsi="Calibri" w:cs="Calibri"/>
                <w:color w:val="000000"/>
                <w:sz w:val="22"/>
              </w:rPr>
            </w:pPr>
            <w:r>
              <w:rPr>
                <w:rFonts w:ascii="Calibri" w:hAnsi="Calibri" w:cs="Calibri"/>
                <w:color w:val="000000"/>
                <w:sz w:val="22"/>
              </w:rPr>
              <w:t> </w:t>
            </w:r>
            <w:r w:rsidR="007C4989">
              <w:rPr>
                <w:rFonts w:ascii="Calibri" w:hAnsi="Calibri" w:cs="Calibri"/>
                <w:color w:val="000000"/>
                <w:sz w:val="22"/>
              </w:rPr>
              <w:t>Hospital</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hideMark/>
          </w:tcPr>
          <w:p w14:paraId="6426C8D8" w14:textId="26FFC89B" w:rsidR="000F0ED9" w:rsidRDefault="000F0ED9">
            <w:pPr>
              <w:rPr>
                <w:rFonts w:ascii="Calibri" w:hAnsi="Calibri" w:cs="Calibri"/>
                <w:color w:val="000000"/>
                <w:sz w:val="22"/>
              </w:rPr>
            </w:pPr>
            <w:r>
              <w:rPr>
                <w:rFonts w:ascii="Calibri" w:hAnsi="Calibri" w:cs="Calibri"/>
                <w:color w:val="000000"/>
                <w:sz w:val="22"/>
              </w:rPr>
              <w:t> </w:t>
            </w:r>
            <w:r w:rsidR="00281F4A">
              <w:rPr>
                <w:rFonts w:ascii="Calibri" w:hAnsi="Calibri" w:cs="Calibri"/>
                <w:color w:val="000000"/>
                <w:sz w:val="22"/>
              </w:rPr>
              <w:t>Pre-Post</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hideMark/>
          </w:tcPr>
          <w:p w14:paraId="34D41836" w14:textId="77777777" w:rsidR="00281F4A" w:rsidRPr="00281F4A" w:rsidRDefault="00281F4A" w:rsidP="00281F4A">
            <w:pPr>
              <w:rPr>
                <w:rFonts w:ascii="Calibri" w:hAnsi="Calibri" w:cs="Calibri"/>
                <w:color w:val="000000"/>
                <w:sz w:val="22"/>
              </w:rPr>
            </w:pPr>
            <w:r w:rsidRPr="00281F4A">
              <w:rPr>
                <w:rFonts w:ascii="Calibri" w:hAnsi="Calibri" w:cs="Calibri"/>
                <w:color w:val="000000"/>
                <w:sz w:val="22"/>
              </w:rPr>
              <w:t>Randomised study with pre-post controls.</w:t>
            </w:r>
          </w:p>
          <w:p w14:paraId="2E1549DC" w14:textId="77777777" w:rsidR="000F0ED9" w:rsidRDefault="00281F4A" w:rsidP="00281F4A">
            <w:pPr>
              <w:rPr>
                <w:rFonts w:ascii="Calibri" w:hAnsi="Calibri" w:cs="Calibri"/>
                <w:color w:val="000000"/>
                <w:sz w:val="22"/>
              </w:rPr>
            </w:pPr>
            <w:r w:rsidRPr="00281F4A">
              <w:rPr>
                <w:rFonts w:ascii="Calibri" w:hAnsi="Calibri" w:cs="Calibri"/>
                <w:color w:val="000000"/>
                <w:sz w:val="22"/>
              </w:rPr>
              <w:t>CDS in prescribing functionality of EPR.</w:t>
            </w:r>
            <w:r w:rsidR="000F0ED9">
              <w:rPr>
                <w:rFonts w:ascii="Calibri" w:hAnsi="Calibri" w:cs="Calibri"/>
                <w:color w:val="000000"/>
                <w:sz w:val="22"/>
              </w:rPr>
              <w:t> </w:t>
            </w:r>
          </w:p>
          <w:p w14:paraId="3EF3E195" w14:textId="38D049C1" w:rsidR="007C4989" w:rsidRDefault="007C4989" w:rsidP="00281F4A">
            <w:pPr>
              <w:rPr>
                <w:rFonts w:ascii="Calibri" w:hAnsi="Calibri" w:cs="Calibri"/>
                <w:color w:val="000000"/>
                <w:sz w:val="22"/>
              </w:rPr>
            </w:pPr>
            <w:r>
              <w:rPr>
                <w:rFonts w:ascii="Calibri" w:hAnsi="Calibri" w:cs="Calibri"/>
                <w:color w:val="000000"/>
                <w:sz w:val="22"/>
              </w:rPr>
              <w:t>Comparative Effectiveness Study</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hideMark/>
          </w:tcPr>
          <w:p w14:paraId="2D21E62D" w14:textId="29AA4CD4" w:rsidR="000F0ED9" w:rsidRDefault="007C4989">
            <w:pPr>
              <w:rPr>
                <w:rFonts w:ascii="Calibri" w:hAnsi="Calibri" w:cs="Calibri"/>
                <w:color w:val="000000"/>
                <w:sz w:val="22"/>
              </w:rPr>
            </w:pPr>
            <w:r>
              <w:rPr>
                <w:rFonts w:ascii="Calibri" w:hAnsi="Calibri" w:cs="Calibri"/>
                <w:color w:val="000000"/>
                <w:sz w:val="22"/>
              </w:rPr>
              <w:t>3</w:t>
            </w:r>
            <w:r w:rsidR="000F0ED9">
              <w:rPr>
                <w:rFonts w:ascii="Calibri" w:hAnsi="Calibri" w:cs="Calibri"/>
                <w:color w:val="000000"/>
                <w:sz w:val="22"/>
              </w:rPr>
              <w:t> </w:t>
            </w:r>
          </w:p>
        </w:tc>
      </w:tr>
      <w:tr w:rsidR="0018671E" w14:paraId="18B9E317" w14:textId="77777777" w:rsidTr="00BD0672">
        <w:trPr>
          <w:trHeight w:val="300"/>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bottom"/>
          </w:tcPr>
          <w:p w14:paraId="2D13AF9C" w14:textId="609098B0" w:rsidR="0018671E" w:rsidRDefault="0018671E" w:rsidP="0018671E">
            <w:pPr>
              <w:rPr>
                <w:rFonts w:ascii="Calibri" w:hAnsi="Calibri" w:cs="Calibri"/>
                <w:color w:val="000000"/>
                <w:sz w:val="22"/>
              </w:rPr>
            </w:pPr>
            <w:r>
              <w:rPr>
                <w:rFonts w:ascii="Calibri" w:hAnsi="Calibri" w:cs="Calibri"/>
                <w:color w:val="000000"/>
                <w:sz w:val="22"/>
              </w:rPr>
              <w:t>Leung</w:t>
            </w:r>
            <w:r>
              <w:rPr>
                <w:rFonts w:ascii="Calibri" w:hAnsi="Calibri" w:cs="Calibri"/>
                <w:i/>
                <w:iCs/>
                <w:color w:val="000000"/>
                <w:sz w:val="22"/>
              </w:rPr>
              <w:t xml:space="preserve"> et al.</w:t>
            </w:r>
            <w:r>
              <w:rPr>
                <w:rFonts w:ascii="Calibri" w:hAnsi="Calibri" w:cs="Calibri"/>
                <w:color w:val="000000"/>
                <w:sz w:val="22"/>
              </w:rPr>
              <w:t xml:space="preserve"> 2012</w:t>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6744BE73" w14:textId="263E8FD3" w:rsidR="0018671E" w:rsidRDefault="0018671E" w:rsidP="0018671E">
            <w:pPr>
              <w:rPr>
                <w:rFonts w:ascii="Calibri" w:hAnsi="Calibri" w:cs="Calibri"/>
                <w:color w:val="000000"/>
                <w:sz w:val="22"/>
              </w:rPr>
            </w:pPr>
            <w:r>
              <w:rPr>
                <w:rFonts w:ascii="Calibri" w:hAnsi="Calibri" w:cs="Calibri"/>
                <w:color w:val="000000"/>
                <w:sz w:val="22"/>
              </w:rPr>
              <w:t>USA</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534B2641" w14:textId="49205D1B" w:rsidR="0018671E" w:rsidRDefault="0018671E" w:rsidP="0018671E">
            <w:pPr>
              <w:rPr>
                <w:rFonts w:ascii="Calibri" w:hAnsi="Calibri" w:cs="Calibri"/>
                <w:color w:val="000000"/>
                <w:sz w:val="22"/>
              </w:rPr>
            </w:pPr>
            <w:r>
              <w:rPr>
                <w:rFonts w:ascii="Calibri" w:hAnsi="Calibri" w:cs="Calibri"/>
                <w:color w:val="000000"/>
                <w:sz w:val="22"/>
              </w:rPr>
              <w:t>Community Hospital</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05077BB6" w14:textId="79A0AB46" w:rsidR="0018671E" w:rsidRDefault="0018671E" w:rsidP="0018671E">
            <w:pPr>
              <w:rPr>
                <w:rFonts w:ascii="Calibri" w:hAnsi="Calibri" w:cs="Calibri"/>
                <w:color w:val="000000"/>
                <w:sz w:val="22"/>
              </w:rPr>
            </w:pPr>
            <w:r>
              <w:rPr>
                <w:rFonts w:ascii="Calibri" w:hAnsi="Calibri" w:cs="Calibri"/>
                <w:color w:val="000000"/>
                <w:sz w:val="22"/>
              </w:rPr>
              <w:t>Pre/Post</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0B219E68" w14:textId="0C961F40" w:rsidR="0018671E" w:rsidRDefault="0018671E" w:rsidP="0018671E">
            <w:pPr>
              <w:rPr>
                <w:rFonts w:ascii="Calibri" w:hAnsi="Calibri" w:cs="Calibri"/>
                <w:color w:val="000000"/>
                <w:sz w:val="22"/>
              </w:rPr>
            </w:pPr>
            <w:r>
              <w:rPr>
                <w:rFonts w:ascii="Calibri" w:hAnsi="Calibri" w:cs="Calibri"/>
                <w:color w:val="000000"/>
                <w:sz w:val="22"/>
              </w:rPr>
              <w:t xml:space="preserve">Evaluate the effect of CDS supported CPOE on ADRs.  Reduced preventable ADRs, increased low risk medication errors.  Reduce ADRs by refining </w:t>
            </w:r>
            <w:r w:rsidR="0067349C">
              <w:rPr>
                <w:rFonts w:ascii="Calibri" w:hAnsi="Calibri" w:cs="Calibri"/>
                <w:color w:val="000000"/>
                <w:sz w:val="22"/>
              </w:rPr>
              <w:t>associated</w:t>
            </w:r>
            <w:r>
              <w:rPr>
                <w:rFonts w:ascii="Calibri" w:hAnsi="Calibri" w:cs="Calibri"/>
                <w:color w:val="000000"/>
                <w:sz w:val="22"/>
              </w:rPr>
              <w:t xml:space="preserve"> decision support.</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23C6B27B" w14:textId="1F679E35" w:rsidR="0018671E" w:rsidRDefault="0018671E" w:rsidP="0018671E">
            <w:pPr>
              <w:rPr>
                <w:rFonts w:ascii="Calibri" w:hAnsi="Calibri" w:cs="Calibri"/>
                <w:color w:val="000000"/>
                <w:sz w:val="22"/>
              </w:rPr>
            </w:pPr>
            <w:r>
              <w:rPr>
                <w:rFonts w:ascii="Calibri" w:hAnsi="Calibri" w:cs="Calibri"/>
                <w:color w:val="000000"/>
                <w:sz w:val="22"/>
              </w:rPr>
              <w:t>1</w:t>
            </w:r>
          </w:p>
        </w:tc>
      </w:tr>
      <w:tr w:rsidR="0018671E" w14:paraId="156B463E" w14:textId="77777777" w:rsidTr="00BD0672">
        <w:trPr>
          <w:trHeight w:val="300"/>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bottom"/>
          </w:tcPr>
          <w:p w14:paraId="2E49AAFE" w14:textId="652D1B96" w:rsidR="0018671E" w:rsidRDefault="0018671E" w:rsidP="0018671E">
            <w:pPr>
              <w:rPr>
                <w:rFonts w:ascii="Calibri" w:hAnsi="Calibri" w:cs="Calibri"/>
                <w:color w:val="000000"/>
                <w:sz w:val="22"/>
              </w:rPr>
            </w:pPr>
            <w:r>
              <w:rPr>
                <w:rFonts w:ascii="Calibri" w:hAnsi="Calibri" w:cs="Calibri"/>
                <w:color w:val="000000"/>
                <w:sz w:val="22"/>
              </w:rPr>
              <w:t>Menendez</w:t>
            </w:r>
            <w:r>
              <w:rPr>
                <w:rFonts w:ascii="Calibri" w:hAnsi="Calibri" w:cs="Calibri"/>
                <w:i/>
                <w:iCs/>
                <w:color w:val="000000"/>
                <w:sz w:val="22"/>
              </w:rPr>
              <w:t xml:space="preserve"> et al.</w:t>
            </w:r>
            <w:r>
              <w:rPr>
                <w:rFonts w:ascii="Calibri" w:hAnsi="Calibri" w:cs="Calibri"/>
                <w:color w:val="000000"/>
                <w:sz w:val="22"/>
              </w:rPr>
              <w:t xml:space="preserve"> 2012</w:t>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5B31B09B" w14:textId="0E883C83" w:rsidR="0018671E" w:rsidRDefault="0018671E" w:rsidP="0018671E">
            <w:pPr>
              <w:rPr>
                <w:rFonts w:ascii="Calibri" w:hAnsi="Calibri" w:cs="Calibri"/>
                <w:color w:val="000000"/>
                <w:sz w:val="22"/>
              </w:rPr>
            </w:pPr>
            <w:r>
              <w:rPr>
                <w:rFonts w:ascii="Calibri" w:hAnsi="Calibri" w:cs="Calibri"/>
                <w:color w:val="000000"/>
                <w:sz w:val="22"/>
              </w:rPr>
              <w:t>Spain</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1C511E73" w14:textId="1B861A1A" w:rsidR="0018671E" w:rsidRDefault="0018671E" w:rsidP="0018671E">
            <w:pPr>
              <w:rPr>
                <w:rFonts w:ascii="Calibri" w:hAnsi="Calibri" w:cs="Calibri"/>
                <w:color w:val="000000"/>
                <w:sz w:val="22"/>
              </w:rPr>
            </w:pPr>
            <w:r>
              <w:rPr>
                <w:rFonts w:ascii="Calibri" w:hAnsi="Calibri" w:cs="Calibri"/>
                <w:color w:val="000000"/>
                <w:sz w:val="22"/>
              </w:rPr>
              <w:t>Hospital</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6F09EA15" w14:textId="02A406E1" w:rsidR="0018671E" w:rsidRDefault="0018671E" w:rsidP="0018671E">
            <w:pPr>
              <w:rPr>
                <w:rFonts w:ascii="Calibri" w:hAnsi="Calibri" w:cs="Calibri"/>
                <w:color w:val="000000"/>
                <w:sz w:val="22"/>
              </w:rPr>
            </w:pPr>
            <w:r>
              <w:rPr>
                <w:rFonts w:ascii="Calibri" w:hAnsi="Calibri" w:cs="Calibri"/>
                <w:color w:val="000000"/>
                <w:sz w:val="22"/>
              </w:rPr>
              <w:t>Pre/Post</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6A660C55" w14:textId="245833C1" w:rsidR="0018671E" w:rsidRDefault="0018671E" w:rsidP="0018671E">
            <w:pPr>
              <w:rPr>
                <w:rFonts w:ascii="Calibri" w:hAnsi="Calibri" w:cs="Calibri"/>
                <w:color w:val="000000"/>
                <w:sz w:val="22"/>
              </w:rPr>
            </w:pPr>
            <w:r>
              <w:rPr>
                <w:rFonts w:ascii="Calibri" w:hAnsi="Calibri" w:cs="Calibri"/>
                <w:color w:val="000000"/>
                <w:sz w:val="22"/>
              </w:rPr>
              <w:t xml:space="preserve">Effect of CDS supported CPOE on medication </w:t>
            </w:r>
            <w:r w:rsidR="00B37E15">
              <w:rPr>
                <w:rFonts w:ascii="Calibri" w:hAnsi="Calibri" w:cs="Calibri"/>
                <w:color w:val="000000"/>
                <w:sz w:val="22"/>
              </w:rPr>
              <w:t>errors and</w:t>
            </w:r>
            <w:r>
              <w:rPr>
                <w:rFonts w:ascii="Calibri" w:hAnsi="Calibri" w:cs="Calibri"/>
                <w:color w:val="000000"/>
                <w:sz w:val="22"/>
              </w:rPr>
              <w:t xml:space="preserve"> ADRs.   More frequent medication errors - reduced ADRs.</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67F3F783" w14:textId="03EB0615" w:rsidR="0018671E" w:rsidRDefault="0018671E" w:rsidP="0018671E">
            <w:pPr>
              <w:rPr>
                <w:rFonts w:ascii="Calibri" w:hAnsi="Calibri" w:cs="Calibri"/>
                <w:color w:val="000000"/>
                <w:sz w:val="22"/>
              </w:rPr>
            </w:pPr>
            <w:r>
              <w:rPr>
                <w:rFonts w:ascii="Calibri" w:hAnsi="Calibri" w:cs="Calibri"/>
                <w:color w:val="000000"/>
                <w:sz w:val="22"/>
              </w:rPr>
              <w:t>1</w:t>
            </w:r>
          </w:p>
        </w:tc>
      </w:tr>
      <w:tr w:rsidR="0018671E" w14:paraId="67BF6D68" w14:textId="77777777" w:rsidTr="00BD0672">
        <w:trPr>
          <w:trHeight w:val="300"/>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tcPr>
          <w:p w14:paraId="4F727058" w14:textId="6A54FE43" w:rsidR="0018671E" w:rsidRDefault="0018671E" w:rsidP="0018671E">
            <w:pPr>
              <w:rPr>
                <w:rFonts w:ascii="Calibri" w:hAnsi="Calibri" w:cs="Calibri"/>
                <w:color w:val="000000"/>
                <w:sz w:val="22"/>
              </w:rPr>
            </w:pPr>
            <w:proofErr w:type="spellStart"/>
            <w:r>
              <w:rPr>
                <w:rFonts w:ascii="Calibri" w:hAnsi="Calibri" w:cs="Calibri"/>
                <w:color w:val="000000"/>
                <w:sz w:val="22"/>
              </w:rPr>
              <w:t>Westbrooket</w:t>
            </w:r>
            <w:proofErr w:type="spellEnd"/>
            <w:r>
              <w:rPr>
                <w:rFonts w:ascii="Calibri" w:hAnsi="Calibri" w:cs="Calibri"/>
                <w:color w:val="000000"/>
                <w:sz w:val="22"/>
              </w:rPr>
              <w:t xml:space="preserve"> al.,2012</w:t>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744CC62B" w14:textId="59AB37BD" w:rsidR="0018671E" w:rsidRDefault="0018671E" w:rsidP="0018671E">
            <w:pPr>
              <w:rPr>
                <w:rFonts w:ascii="Calibri" w:hAnsi="Calibri" w:cs="Calibri"/>
                <w:color w:val="000000"/>
                <w:sz w:val="22"/>
              </w:rPr>
            </w:pPr>
            <w:r>
              <w:rPr>
                <w:rFonts w:ascii="Calibri" w:hAnsi="Calibri" w:cs="Calibri"/>
                <w:color w:val="000000"/>
                <w:sz w:val="22"/>
              </w:rPr>
              <w:t>Australia</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405B5688" w14:textId="188640FA" w:rsidR="0018671E" w:rsidRDefault="0018671E" w:rsidP="0018671E">
            <w:pPr>
              <w:rPr>
                <w:rFonts w:ascii="Calibri" w:hAnsi="Calibri" w:cs="Calibri"/>
                <w:color w:val="000000"/>
                <w:sz w:val="22"/>
              </w:rPr>
            </w:pPr>
            <w:r>
              <w:rPr>
                <w:rFonts w:ascii="Calibri" w:hAnsi="Calibri" w:cs="Calibri"/>
                <w:color w:val="000000"/>
                <w:sz w:val="22"/>
              </w:rPr>
              <w:t>Hospital</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0B138370" w14:textId="71777F33" w:rsidR="0018671E" w:rsidRDefault="0018671E" w:rsidP="0018671E">
            <w:pPr>
              <w:rPr>
                <w:rFonts w:ascii="Calibri" w:hAnsi="Calibri" w:cs="Calibri"/>
                <w:color w:val="000000"/>
                <w:sz w:val="22"/>
              </w:rPr>
            </w:pPr>
            <w:r>
              <w:rPr>
                <w:rFonts w:ascii="Calibri" w:hAnsi="Calibri" w:cs="Calibri"/>
                <w:color w:val="000000"/>
                <w:sz w:val="22"/>
              </w:rPr>
              <w:t>Pre/Post</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06A625F9" w14:textId="1057B334" w:rsidR="0018671E" w:rsidRDefault="0018671E" w:rsidP="0018671E">
            <w:pPr>
              <w:rPr>
                <w:rFonts w:ascii="Calibri" w:hAnsi="Calibri" w:cs="Calibri"/>
                <w:color w:val="000000"/>
                <w:sz w:val="22"/>
              </w:rPr>
            </w:pPr>
            <w:r>
              <w:rPr>
                <w:rFonts w:ascii="Calibri" w:hAnsi="Calibri" w:cs="Calibri"/>
                <w:color w:val="000000"/>
                <w:sz w:val="22"/>
              </w:rPr>
              <w:t xml:space="preserve">A before and after study on the effects of CDS supported CPOE systems (2) on prescribing error rates.  Serious errors decreased significantly </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2F0B8378" w14:textId="0F82861E" w:rsidR="0018671E" w:rsidRDefault="0018671E" w:rsidP="0018671E">
            <w:pPr>
              <w:rPr>
                <w:rFonts w:ascii="Calibri" w:hAnsi="Calibri" w:cs="Calibri"/>
                <w:color w:val="000000"/>
                <w:sz w:val="22"/>
              </w:rPr>
            </w:pPr>
            <w:r>
              <w:rPr>
                <w:rFonts w:ascii="Calibri" w:hAnsi="Calibri" w:cs="Calibri"/>
                <w:color w:val="000000"/>
                <w:sz w:val="22"/>
              </w:rPr>
              <w:t>1</w:t>
            </w:r>
          </w:p>
        </w:tc>
      </w:tr>
      <w:tr w:rsidR="0018671E" w14:paraId="452810A7" w14:textId="77777777" w:rsidTr="00BD0672">
        <w:trPr>
          <w:trHeight w:val="300"/>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vAlign w:val="bottom"/>
          </w:tcPr>
          <w:p w14:paraId="0E12A86D" w14:textId="1D5FF788" w:rsidR="0018671E" w:rsidRDefault="0018671E" w:rsidP="0018671E">
            <w:pPr>
              <w:rPr>
                <w:rFonts w:ascii="Calibri" w:hAnsi="Calibri" w:cs="Calibri"/>
                <w:color w:val="000000"/>
                <w:sz w:val="22"/>
              </w:rPr>
            </w:pPr>
            <w:r>
              <w:rPr>
                <w:rFonts w:ascii="Calibri" w:hAnsi="Calibri" w:cs="Calibri"/>
                <w:color w:val="000000"/>
                <w:sz w:val="22"/>
              </w:rPr>
              <w:t xml:space="preserve">Van </w:t>
            </w:r>
            <w:proofErr w:type="spellStart"/>
            <w:r>
              <w:rPr>
                <w:rFonts w:ascii="Calibri" w:hAnsi="Calibri" w:cs="Calibri"/>
                <w:color w:val="000000"/>
                <w:sz w:val="22"/>
              </w:rPr>
              <w:t>Doormalet</w:t>
            </w:r>
            <w:proofErr w:type="spellEnd"/>
            <w:r>
              <w:rPr>
                <w:rFonts w:ascii="Calibri" w:hAnsi="Calibri" w:cs="Calibri"/>
                <w:color w:val="000000"/>
                <w:sz w:val="22"/>
              </w:rPr>
              <w:t xml:space="preserve"> al.,2009</w:t>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7CD426B9" w14:textId="05A7CC97" w:rsidR="0018671E" w:rsidRDefault="0018671E" w:rsidP="0018671E">
            <w:pPr>
              <w:rPr>
                <w:rFonts w:ascii="Calibri" w:hAnsi="Calibri" w:cs="Calibri"/>
                <w:color w:val="000000"/>
                <w:sz w:val="22"/>
              </w:rPr>
            </w:pPr>
            <w:r>
              <w:rPr>
                <w:rFonts w:ascii="Calibri" w:hAnsi="Calibri" w:cs="Calibri"/>
                <w:color w:val="000000"/>
                <w:sz w:val="22"/>
              </w:rPr>
              <w:t>The Netherlands</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71DE9232" w14:textId="11606878" w:rsidR="0018671E" w:rsidRDefault="0018671E" w:rsidP="0018671E">
            <w:pPr>
              <w:rPr>
                <w:rFonts w:ascii="Calibri" w:hAnsi="Calibri" w:cs="Calibri"/>
                <w:color w:val="000000"/>
                <w:sz w:val="22"/>
              </w:rPr>
            </w:pPr>
            <w:r>
              <w:rPr>
                <w:rFonts w:ascii="Calibri" w:hAnsi="Calibri" w:cs="Calibri"/>
                <w:color w:val="000000"/>
                <w:sz w:val="22"/>
              </w:rPr>
              <w:t>Hospital</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029B8646" w14:textId="3A946C21" w:rsidR="0018671E" w:rsidRDefault="0018671E" w:rsidP="0018671E">
            <w:pPr>
              <w:rPr>
                <w:rFonts w:ascii="Calibri" w:hAnsi="Calibri" w:cs="Calibri"/>
                <w:color w:val="000000"/>
                <w:sz w:val="22"/>
              </w:rPr>
            </w:pPr>
            <w:r>
              <w:rPr>
                <w:rFonts w:ascii="Calibri" w:hAnsi="Calibri" w:cs="Calibri"/>
                <w:color w:val="000000"/>
                <w:sz w:val="22"/>
              </w:rPr>
              <w:t>Pre/Post</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237AD385" w14:textId="6B051217" w:rsidR="0018671E" w:rsidRDefault="0018671E" w:rsidP="0018671E">
            <w:pPr>
              <w:rPr>
                <w:rFonts w:ascii="Calibri" w:hAnsi="Calibri" w:cs="Calibri"/>
                <w:color w:val="000000"/>
                <w:sz w:val="22"/>
              </w:rPr>
            </w:pPr>
            <w:r>
              <w:rPr>
                <w:rFonts w:ascii="Calibri" w:hAnsi="Calibri" w:cs="Calibri"/>
                <w:color w:val="000000"/>
                <w:sz w:val="22"/>
              </w:rPr>
              <w:t>Two hospitals. CDS Supported CPOE - reduced medication errors but no effect on ADR (no significant effect on actual patient harm as an outcome)</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3A114F9D" w14:textId="3C93EFF8" w:rsidR="0018671E" w:rsidRDefault="0018671E" w:rsidP="0018671E">
            <w:pPr>
              <w:rPr>
                <w:rFonts w:ascii="Calibri" w:hAnsi="Calibri" w:cs="Calibri"/>
                <w:color w:val="000000"/>
                <w:sz w:val="22"/>
              </w:rPr>
            </w:pPr>
            <w:r>
              <w:rPr>
                <w:rFonts w:ascii="Calibri" w:hAnsi="Calibri" w:cs="Calibri"/>
                <w:color w:val="000000"/>
                <w:sz w:val="22"/>
              </w:rPr>
              <w:t>1</w:t>
            </w:r>
          </w:p>
        </w:tc>
      </w:tr>
      <w:tr w:rsidR="0086660E" w14:paraId="73760FA0" w14:textId="77777777" w:rsidTr="00BD0672">
        <w:trPr>
          <w:trHeight w:val="300"/>
        </w:trPr>
        <w:tc>
          <w:tcPr>
            <w:tcW w:w="1555" w:type="dxa"/>
            <w:tcBorders>
              <w:top w:val="single" w:sz="4" w:space="0" w:color="auto"/>
              <w:left w:val="single" w:sz="4" w:space="0" w:color="auto"/>
              <w:bottom w:val="single" w:sz="4" w:space="0" w:color="auto"/>
              <w:right w:val="single" w:sz="4" w:space="0" w:color="auto"/>
            </w:tcBorders>
            <w:shd w:val="clear" w:color="auto" w:fill="auto"/>
            <w:tcMar>
              <w:top w:w="15" w:type="dxa"/>
              <w:left w:w="15" w:type="dxa"/>
              <w:bottom w:w="0" w:type="dxa"/>
              <w:right w:w="15" w:type="dxa"/>
            </w:tcMar>
          </w:tcPr>
          <w:p w14:paraId="7C0CE923" w14:textId="28638D91" w:rsidR="0086660E" w:rsidRDefault="0086660E" w:rsidP="0086660E">
            <w:pPr>
              <w:rPr>
                <w:rFonts w:ascii="Calibri" w:hAnsi="Calibri" w:cs="Calibri"/>
                <w:color w:val="000000"/>
                <w:sz w:val="22"/>
              </w:rPr>
            </w:pPr>
            <w:r>
              <w:rPr>
                <w:rFonts w:ascii="Calibri" w:hAnsi="Calibri" w:cs="Calibri"/>
                <w:color w:val="000000"/>
                <w:sz w:val="22"/>
              </w:rPr>
              <w:t xml:space="preserve">Thomas, </w:t>
            </w:r>
            <w:r>
              <w:rPr>
                <w:rFonts w:ascii="Calibri" w:hAnsi="Calibri" w:cs="Calibri"/>
                <w:i/>
                <w:iCs/>
                <w:color w:val="000000"/>
                <w:sz w:val="22"/>
              </w:rPr>
              <w:t xml:space="preserve">et al, </w:t>
            </w:r>
            <w:r>
              <w:rPr>
                <w:rFonts w:ascii="Calibri" w:hAnsi="Calibri" w:cs="Calibri"/>
                <w:color w:val="000000"/>
                <w:sz w:val="22"/>
              </w:rPr>
              <w:t>2013</w:t>
            </w:r>
          </w:p>
        </w:tc>
        <w:tc>
          <w:tcPr>
            <w:tcW w:w="1275"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1658DEC0" w14:textId="0E3AAC8D" w:rsidR="0086660E" w:rsidRDefault="0086660E" w:rsidP="0086660E">
            <w:pPr>
              <w:rPr>
                <w:rFonts w:ascii="Calibri" w:hAnsi="Calibri" w:cs="Calibri"/>
                <w:color w:val="000000"/>
                <w:sz w:val="22"/>
              </w:rPr>
            </w:pPr>
            <w:r>
              <w:rPr>
                <w:rFonts w:ascii="Calibri" w:hAnsi="Calibri" w:cs="Calibri"/>
                <w:color w:val="000000"/>
                <w:sz w:val="22"/>
              </w:rPr>
              <w:t>UK</w:t>
            </w:r>
          </w:p>
        </w:tc>
        <w:tc>
          <w:tcPr>
            <w:tcW w:w="134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6A66291D" w14:textId="7BFA4B86" w:rsidR="0086660E" w:rsidRDefault="0086660E" w:rsidP="0086660E">
            <w:pPr>
              <w:rPr>
                <w:rFonts w:ascii="Calibri" w:hAnsi="Calibri" w:cs="Calibri"/>
                <w:color w:val="000000"/>
                <w:sz w:val="22"/>
              </w:rPr>
            </w:pPr>
            <w:r>
              <w:rPr>
                <w:rFonts w:ascii="Calibri" w:hAnsi="Calibri" w:cs="Calibri"/>
                <w:color w:val="000000"/>
                <w:sz w:val="22"/>
              </w:rPr>
              <w:t>Hospital</w:t>
            </w:r>
          </w:p>
        </w:tc>
        <w:tc>
          <w:tcPr>
            <w:tcW w:w="1210"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6C4434AB" w14:textId="4C305D9F" w:rsidR="0086660E" w:rsidRDefault="0086660E" w:rsidP="0086660E">
            <w:pPr>
              <w:rPr>
                <w:rFonts w:ascii="Calibri" w:hAnsi="Calibri" w:cs="Calibri"/>
                <w:color w:val="000000"/>
                <w:sz w:val="22"/>
              </w:rPr>
            </w:pPr>
            <w:r>
              <w:rPr>
                <w:rFonts w:ascii="Calibri" w:hAnsi="Calibri" w:cs="Calibri"/>
                <w:color w:val="000000"/>
                <w:sz w:val="22"/>
              </w:rPr>
              <w:t>Panel</w:t>
            </w:r>
          </w:p>
        </w:tc>
        <w:tc>
          <w:tcPr>
            <w:tcW w:w="3544"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0FA57CFC" w14:textId="76848608" w:rsidR="0086660E" w:rsidRDefault="0086660E" w:rsidP="0086660E">
            <w:pPr>
              <w:rPr>
                <w:rFonts w:ascii="Calibri" w:hAnsi="Calibri" w:cs="Calibri"/>
                <w:color w:val="000000"/>
                <w:sz w:val="22"/>
              </w:rPr>
            </w:pPr>
            <w:r>
              <w:rPr>
                <w:rFonts w:ascii="Calibri" w:hAnsi="Calibri" w:cs="Calibri"/>
                <w:color w:val="000000"/>
                <w:sz w:val="22"/>
              </w:rPr>
              <w:t xml:space="preserve">Panel based study with purpose of developing a list of prescribing indicators specifically for the hospital </w:t>
            </w:r>
            <w:r>
              <w:rPr>
                <w:rFonts w:ascii="Calibri" w:hAnsi="Calibri" w:cs="Calibri"/>
                <w:color w:val="000000"/>
                <w:sz w:val="22"/>
              </w:rPr>
              <w:lastRenderedPageBreak/>
              <w:t xml:space="preserve">setting. </w:t>
            </w:r>
            <w:r>
              <w:rPr>
                <w:rFonts w:ascii="Calibri" w:hAnsi="Calibri" w:cs="Calibri"/>
                <w:color w:val="000000"/>
                <w:sz w:val="22"/>
              </w:rPr>
              <w:br/>
              <w:t>Not outcome related evidence but informative.</w:t>
            </w:r>
          </w:p>
        </w:tc>
        <w:tc>
          <w:tcPr>
            <w:tcW w:w="992" w:type="dxa"/>
            <w:tcBorders>
              <w:top w:val="single" w:sz="4" w:space="0" w:color="auto"/>
              <w:left w:val="nil"/>
              <w:bottom w:val="single" w:sz="4" w:space="0" w:color="auto"/>
              <w:right w:val="single" w:sz="4" w:space="0" w:color="auto"/>
            </w:tcBorders>
            <w:shd w:val="clear" w:color="auto" w:fill="auto"/>
            <w:tcMar>
              <w:top w:w="15" w:type="dxa"/>
              <w:left w:w="15" w:type="dxa"/>
              <w:bottom w:w="0" w:type="dxa"/>
              <w:right w:w="15" w:type="dxa"/>
            </w:tcMar>
          </w:tcPr>
          <w:p w14:paraId="5AB88292" w14:textId="5516E8FA" w:rsidR="0086660E" w:rsidRDefault="0086660E" w:rsidP="00F07BA4">
            <w:pPr>
              <w:keepNext/>
              <w:rPr>
                <w:rFonts w:ascii="Calibri" w:hAnsi="Calibri" w:cs="Calibri"/>
                <w:color w:val="000000"/>
                <w:sz w:val="22"/>
              </w:rPr>
            </w:pPr>
            <w:r>
              <w:rPr>
                <w:rFonts w:ascii="Calibri" w:hAnsi="Calibri" w:cs="Calibri"/>
                <w:color w:val="000000"/>
                <w:sz w:val="22"/>
              </w:rPr>
              <w:lastRenderedPageBreak/>
              <w:t>3</w:t>
            </w:r>
          </w:p>
        </w:tc>
      </w:tr>
    </w:tbl>
    <w:p w14:paraId="0FB8F968" w14:textId="49F99CD1" w:rsidR="00F07BA4" w:rsidRDefault="00F07BA4">
      <w:pPr>
        <w:pStyle w:val="Caption"/>
      </w:pPr>
      <w:r>
        <w:t xml:space="preserve">Table 5 </w:t>
      </w:r>
      <w:r w:rsidRPr="00731E3F">
        <w:t>Summary of Studies and Abstract Grading.</w:t>
      </w:r>
    </w:p>
    <w:p w14:paraId="40A23585" w14:textId="655CA897" w:rsidR="008772D4" w:rsidRDefault="000F0ED9">
      <w:pPr>
        <w:rPr>
          <w:rFonts w:asciiTheme="majorHAnsi" w:eastAsiaTheme="majorEastAsia" w:hAnsiTheme="majorHAnsi" w:cstheme="majorBidi"/>
          <w:b/>
          <w:color w:val="2F5496" w:themeColor="accent1" w:themeShade="BF"/>
          <w:sz w:val="26"/>
          <w:szCs w:val="26"/>
          <w:lang w:val="en-US"/>
        </w:rPr>
      </w:pPr>
      <w:r>
        <w:rPr>
          <w:lang w:val="en-US"/>
        </w:rPr>
        <w:t xml:space="preserve"> </w:t>
      </w:r>
      <w:r w:rsidR="008772D4">
        <w:rPr>
          <w:lang w:val="en-US"/>
        </w:rPr>
        <w:br w:type="page"/>
      </w:r>
    </w:p>
    <w:p w14:paraId="5CD23DAA" w14:textId="15ED033F" w:rsidR="0067693E" w:rsidRDefault="00F85D98" w:rsidP="00F85D98">
      <w:pPr>
        <w:pStyle w:val="Heading2"/>
        <w:rPr>
          <w:lang w:val="en-US"/>
        </w:rPr>
      </w:pPr>
      <w:bookmarkStart w:id="7" w:name="_Toc127881392"/>
      <w:r>
        <w:rPr>
          <w:lang w:val="en-US"/>
        </w:rPr>
        <w:lastRenderedPageBreak/>
        <w:t>Discussion</w:t>
      </w:r>
      <w:bookmarkEnd w:id="7"/>
    </w:p>
    <w:p w14:paraId="3BF96A94" w14:textId="0BBFDF96" w:rsidR="00BA205E" w:rsidRPr="00806D3E" w:rsidRDefault="00C82173" w:rsidP="00806D3E">
      <w:pPr>
        <w:spacing w:after="0" w:line="240" w:lineRule="auto"/>
        <w:rPr>
          <w:rFonts w:eastAsia="Times New Roman" w:cs="Arial"/>
          <w:szCs w:val="24"/>
          <w:lang w:eastAsia="en-GB"/>
        </w:rPr>
      </w:pPr>
      <w:r>
        <w:rPr>
          <w:lang w:val="en-US"/>
        </w:rPr>
        <w:t xml:space="preserve">Initially </w:t>
      </w:r>
      <w:r w:rsidR="00196D6B">
        <w:rPr>
          <w:lang w:val="en-US"/>
        </w:rPr>
        <w:t xml:space="preserve">the focus of the literature search was very specific and looked to see if there </w:t>
      </w:r>
      <w:r w:rsidR="008013B6">
        <w:rPr>
          <w:lang w:val="en-US"/>
        </w:rPr>
        <w:t xml:space="preserve">were </w:t>
      </w:r>
      <w:r w:rsidR="00196D6B">
        <w:rPr>
          <w:lang w:val="en-US"/>
        </w:rPr>
        <w:t xml:space="preserve">specific outcomes related studies in terms of </w:t>
      </w:r>
      <w:r w:rsidR="00D0325A">
        <w:rPr>
          <w:lang w:val="en-US"/>
        </w:rPr>
        <w:t xml:space="preserve">dose cumulation support from CDS in ePMA systems.  </w:t>
      </w:r>
      <w:r w:rsidR="00F45B7B">
        <w:rPr>
          <w:lang w:val="en-US"/>
        </w:rPr>
        <w:t xml:space="preserve">Dose cumulation checking requires the CDS function to </w:t>
      </w:r>
      <w:r w:rsidR="00173699">
        <w:rPr>
          <w:lang w:val="en-US"/>
        </w:rPr>
        <w:t>use reference data and compare the total amount of a dose of a medicine prescribed over a defined time limit</w:t>
      </w:r>
      <w:r w:rsidR="003675A5">
        <w:rPr>
          <w:lang w:val="en-US"/>
        </w:rPr>
        <w:t xml:space="preserve"> and check if this is within licensed or recommended limits.  Given the very specific </w:t>
      </w:r>
      <w:r w:rsidR="008237BE">
        <w:rPr>
          <w:lang w:val="en-US"/>
        </w:rPr>
        <w:t xml:space="preserve">papers that were screened on this subject </w:t>
      </w:r>
      <w:r w:rsidR="007A3A50">
        <w:rPr>
          <w:lang w:val="en-US"/>
        </w:rPr>
        <w:t>this</w:t>
      </w:r>
      <w:r w:rsidR="00C929BB">
        <w:rPr>
          <w:lang w:val="en-US"/>
        </w:rPr>
        <w:t xml:space="preserve"> is one of the most difficult medicines related</w:t>
      </w:r>
      <w:r w:rsidR="00ED6523">
        <w:rPr>
          <w:lang w:val="en-US"/>
        </w:rPr>
        <w:t xml:space="preserve"> decisions support</w:t>
      </w:r>
      <w:r w:rsidR="00C929BB">
        <w:rPr>
          <w:lang w:val="en-US"/>
        </w:rPr>
        <w:t xml:space="preserve"> </w:t>
      </w:r>
      <w:r w:rsidR="00F45B7B">
        <w:rPr>
          <w:lang w:val="en-US"/>
        </w:rPr>
        <w:t>concepts to include and support in a consistent manner</w:t>
      </w:r>
      <w:r w:rsidR="00ED6523">
        <w:rPr>
          <w:lang w:val="en-US"/>
        </w:rPr>
        <w:t xml:space="preserve">, probably due to variations in agreed </w:t>
      </w:r>
      <w:r w:rsidR="008A3664">
        <w:rPr>
          <w:lang w:val="en-US"/>
        </w:rPr>
        <w:t xml:space="preserve">specialist </w:t>
      </w:r>
      <w:r w:rsidR="00ED6523">
        <w:rPr>
          <w:lang w:val="en-US"/>
        </w:rPr>
        <w:t>usage</w:t>
      </w:r>
      <w:r w:rsidR="008A3664">
        <w:rPr>
          <w:lang w:val="en-US"/>
        </w:rPr>
        <w:t xml:space="preserve"> versus licensed usage</w:t>
      </w:r>
      <w:r w:rsidR="00270BE7">
        <w:rPr>
          <w:lang w:val="en-US"/>
        </w:rPr>
        <w:t xml:space="preserve"> and </w:t>
      </w:r>
      <w:r w:rsidR="00A261EE">
        <w:rPr>
          <w:lang w:val="en-US"/>
        </w:rPr>
        <w:t>then maintaining this</w:t>
      </w:r>
      <w:r w:rsidR="00F45B7B">
        <w:rPr>
          <w:lang w:val="en-US"/>
        </w:rPr>
        <w:t>.</w:t>
      </w:r>
      <w:r w:rsidR="00BA205E">
        <w:rPr>
          <w:lang w:val="en-US"/>
        </w:rPr>
        <w:t xml:space="preserve">  Whilst the papers by </w:t>
      </w:r>
      <w:r w:rsidR="00E60F24">
        <w:rPr>
          <w:lang w:val="en-US"/>
        </w:rPr>
        <w:fldChar w:fldCharType="begin"/>
      </w:r>
      <w:r w:rsidR="00AD10DD">
        <w:rPr>
          <w:lang w:val="en-US"/>
        </w:rPr>
        <w:instrText xml:space="preserve"> ADDIN EN.CITE &lt;EndNote&gt;&lt;Cite AuthorYear="1"&gt;&lt;Author&gt;Coleman&lt;/Author&gt;&lt;Year&gt;2012&lt;/Year&gt;&lt;RecNum&gt;518&lt;/RecNum&gt;&lt;DisplayText&gt;Coleman&lt;style face="italic"&gt; et al.&lt;/style&gt; (2012)&lt;/DisplayText&gt;&lt;record&gt;&lt;rec-number&gt;518&lt;/rec-number&gt;&lt;foreign-keys&gt;&lt;key app="EN" db-id="wxra20f03dt20kepwrwvfa0mvpxxeeezfaaz" timestamp="1675418144"&gt;518&lt;/key&gt;&lt;/foreign-keys&gt;&lt;ref-type name="Journal Article"&gt;17&lt;/ref-type&gt;&lt;contributors&gt;&lt;authors&gt;&lt;author&gt;Coleman, J. J.&lt;/author&gt;&lt;author&gt;Nwulu, U.&lt;/author&gt;&lt;author&gt;Ferner, R. E.&lt;/author&gt;&lt;/authors&gt;&lt;/contributors&gt;&lt;auth-address&gt;University Hospitals Birmingham NHS Foundation Trust, Birmingham, UK. j.j.coleman@bham.ac.uk&lt;/auth-address&gt;&lt;titles&gt;&lt;title&gt;Decision support for sensible dosing in electronic prescribing systems&lt;/title&gt;&lt;secondary-title&gt;J Clin Pharm Ther&lt;/secondary-title&gt;&lt;/titles&gt;&lt;periodical&gt;&lt;full-title&gt;J Clin Pharm Ther&lt;/full-title&gt;&lt;/periodical&gt;&lt;pages&gt;415-9&lt;/pages&gt;&lt;volume&gt;37&lt;/volume&gt;&lt;number&gt;4&lt;/number&gt;&lt;edition&gt;20111020&lt;/edition&gt;&lt;keywords&gt;&lt;keyword&gt;Algorithms&lt;/keyword&gt;&lt;keyword&gt;*Decision Support Systems, Clinical&lt;/keyword&gt;&lt;keyword&gt;Dose-Response Relationship, Drug&lt;/keyword&gt;&lt;keyword&gt;Drug Therapy, Computer-Assisted/*methods&lt;/keyword&gt;&lt;keyword&gt;Electronic Prescribing/*standards&lt;/keyword&gt;&lt;keyword&gt;Humans&lt;/keyword&gt;&lt;keyword&gt;Medical Order Entry Systems/*standards&lt;/keyword&gt;&lt;keyword&gt;Medication Errors/prevention &amp;amp; control&lt;/keyword&gt;&lt;keyword&gt;Prescription Drugs/administration &amp;amp; dosage/adverse effects&lt;/keyword&gt;&lt;/keywords&gt;&lt;dates&gt;&lt;year&gt;2012&lt;/year&gt;&lt;pub-dates&gt;&lt;date&gt;Aug&lt;/date&gt;&lt;/pub-dates&gt;&lt;/dates&gt;&lt;isbn&gt;0269-4727&lt;/isbn&gt;&lt;accession-num&gt;22017267&lt;/accession-num&gt;&lt;urls&gt;&lt;/urls&gt;&lt;electronic-resource-num&gt;10.1111/j.1365-2710.2011.01310.x&lt;/electronic-resource-num&gt;&lt;remote-database-provider&gt;NLM&lt;/remote-database-provider&gt;&lt;language&gt;eng&lt;/language&gt;&lt;/record&gt;&lt;/Cite&gt;&lt;/EndNote&gt;</w:instrText>
      </w:r>
      <w:r w:rsidR="00E60F24">
        <w:rPr>
          <w:lang w:val="en-US"/>
        </w:rPr>
        <w:fldChar w:fldCharType="separate"/>
      </w:r>
      <w:r w:rsidR="00AD10DD">
        <w:rPr>
          <w:noProof/>
          <w:lang w:val="en-US"/>
        </w:rPr>
        <w:t>Coleman</w:t>
      </w:r>
      <w:r w:rsidR="00AD10DD" w:rsidRPr="00AD10DD">
        <w:rPr>
          <w:i/>
          <w:noProof/>
          <w:lang w:val="en-US"/>
        </w:rPr>
        <w:t xml:space="preserve"> et al.</w:t>
      </w:r>
      <w:r w:rsidR="00AD10DD">
        <w:rPr>
          <w:noProof/>
          <w:lang w:val="en-US"/>
        </w:rPr>
        <w:t xml:space="preserve"> (2012)</w:t>
      </w:r>
      <w:r w:rsidR="00E60F24">
        <w:rPr>
          <w:lang w:val="en-US"/>
        </w:rPr>
        <w:fldChar w:fldCharType="end"/>
      </w:r>
      <w:r w:rsidR="00E60F24">
        <w:rPr>
          <w:lang w:val="en-US"/>
        </w:rPr>
        <w:t xml:space="preserve"> and </w:t>
      </w:r>
      <w:r w:rsidR="00AD10DD">
        <w:rPr>
          <w:lang w:val="en-US"/>
        </w:rPr>
        <w:fldChar w:fldCharType="begin"/>
      </w:r>
      <w:r w:rsidR="00AD10DD">
        <w:rPr>
          <w:lang w:val="en-US"/>
        </w:rPr>
        <w:instrText xml:space="preserve"> ADDIN EN.CITE &lt;EndNote&gt;&lt;Cite AuthorYear="1"&gt;&lt;Author&gt;NCPDP&lt;/Author&gt;&lt;Year&gt;2016&lt;/Year&gt;&lt;RecNum&gt;516&lt;/RecNum&gt;&lt;DisplayText&gt;NCPDP (2016)&lt;/DisplayText&gt;&lt;record&gt;&lt;rec-number&gt;516&lt;/rec-number&gt;&lt;foreign-keys&gt;&lt;key app="EN" db-id="wxra20f03dt20kepwrwvfa0mvpxxeeezfaaz" timestamp="1675417565"&gt;516&lt;/key&gt;&lt;/foreign-keys&gt;&lt;ref-type name="Report"&gt;27&lt;/ref-type&gt;&lt;contributors&gt;&lt;authors&gt;&lt;author&gt;NCPDP&lt;/author&gt;&lt;/authors&gt;&lt;/contributors&gt;&lt;titles&gt;&lt;title&gt;NCPDP recommendations for dose accumulation monitoring in the inpatient setting: Acetaminophen case model, version 1.0&lt;/title&gt;&lt;secondary-title&gt;American Journal of Health-System Pharmacy&lt;/secondary-title&gt;&lt;/titles&gt;&lt;pages&gt;1144-1165&lt;/pages&gt;&lt;volume&gt;73&lt;/volume&gt;&lt;number&gt;15&lt;/number&gt;&lt;dates&gt;&lt;year&gt;2016&lt;/year&gt;&lt;/dates&gt;&lt;isbn&gt;1079-2082&lt;/isbn&gt;&lt;urls&gt;&lt;related-urls&gt;&lt;url&gt;https://doi.org/10.2146/ajhp160215&lt;/url&gt;&lt;/related-urls&gt;&lt;/urls&gt;&lt;electronic-resource-num&gt;10.2146/ajhp160215&lt;/electronic-resource-num&gt;&lt;access-date&gt;2/3/2023&lt;/access-date&gt;&lt;/record&gt;&lt;/Cite&gt;&lt;/EndNote&gt;</w:instrText>
      </w:r>
      <w:r w:rsidR="00AD10DD">
        <w:rPr>
          <w:lang w:val="en-US"/>
        </w:rPr>
        <w:fldChar w:fldCharType="separate"/>
      </w:r>
      <w:r w:rsidR="00AD10DD">
        <w:rPr>
          <w:noProof/>
          <w:lang w:val="en-US"/>
        </w:rPr>
        <w:t>NCPDP (2016)</w:t>
      </w:r>
      <w:r w:rsidR="00AD10DD">
        <w:rPr>
          <w:lang w:val="en-US"/>
        </w:rPr>
        <w:fldChar w:fldCharType="end"/>
      </w:r>
      <w:r w:rsidR="00AD10DD">
        <w:rPr>
          <w:lang w:val="en-US"/>
        </w:rPr>
        <w:t xml:space="preserve"> describe very specific algorithms neither has actually determined the effect on outcome data</w:t>
      </w:r>
      <w:r w:rsidR="00085363">
        <w:rPr>
          <w:lang w:val="en-US"/>
        </w:rPr>
        <w:t xml:space="preserve">, although Coleman </w:t>
      </w:r>
      <w:r w:rsidR="00085363">
        <w:rPr>
          <w:i/>
          <w:iCs/>
          <w:lang w:val="en-US"/>
        </w:rPr>
        <w:t>et al</w:t>
      </w:r>
      <w:r w:rsidR="00085363">
        <w:rPr>
          <w:lang w:val="en-US"/>
        </w:rPr>
        <w:t>. (2012) did look at and compare the detection of the error</w:t>
      </w:r>
      <w:r w:rsidR="00E31E12">
        <w:rPr>
          <w:lang w:val="en-US"/>
        </w:rPr>
        <w:t>s</w:t>
      </w:r>
      <w:r w:rsidR="00085363">
        <w:rPr>
          <w:lang w:val="en-US"/>
        </w:rPr>
        <w:t>.</w:t>
      </w:r>
      <w:r w:rsidR="00ED6690" w:rsidRPr="00ED6690">
        <w:rPr>
          <w:rFonts w:cs="Arial"/>
          <w:szCs w:val="24"/>
          <w:lang w:val="en-US"/>
        </w:rPr>
        <w:t xml:space="preserve"> </w:t>
      </w:r>
      <w:r w:rsidR="00ED6690" w:rsidRPr="00095692">
        <w:rPr>
          <w:rFonts w:cs="Arial"/>
          <w:szCs w:val="24"/>
          <w:lang w:val="en-US"/>
        </w:rPr>
        <w:t xml:space="preserve">Cumulative dose checking </w:t>
      </w:r>
      <w:r w:rsidR="00ED6690" w:rsidRPr="00E06A76">
        <w:rPr>
          <w:rFonts w:eastAsia="Times New Roman" w:cs="Arial"/>
          <w:szCs w:val="24"/>
          <w:lang w:eastAsia="en-GB"/>
        </w:rPr>
        <w:t>requires</w:t>
      </w:r>
      <w:r w:rsidR="00ED6690">
        <w:rPr>
          <w:rFonts w:eastAsia="Times New Roman" w:cs="Arial"/>
          <w:szCs w:val="24"/>
          <w:lang w:eastAsia="en-GB"/>
        </w:rPr>
        <w:t xml:space="preserve"> at least</w:t>
      </w:r>
      <w:r w:rsidR="00ED6690" w:rsidRPr="00E06A76">
        <w:rPr>
          <w:rFonts w:eastAsia="Times New Roman" w:cs="Arial"/>
          <w:szCs w:val="24"/>
          <w:lang w:eastAsia="en-GB"/>
        </w:rPr>
        <w:t xml:space="preserve"> the following elements</w:t>
      </w:r>
      <w:r w:rsidR="000717E5">
        <w:rPr>
          <w:rFonts w:eastAsia="Times New Roman" w:cs="Arial"/>
          <w:szCs w:val="24"/>
          <w:lang w:eastAsia="en-GB"/>
        </w:rPr>
        <w:t xml:space="preserve"> (Table 6)</w:t>
      </w:r>
      <w:r w:rsidR="00ED6690" w:rsidRPr="00E06A76">
        <w:rPr>
          <w:rFonts w:eastAsia="Times New Roman" w:cs="Arial"/>
          <w:szCs w:val="24"/>
          <w:lang w:eastAsia="en-GB"/>
        </w:rPr>
        <w:t>:</w:t>
      </w:r>
    </w:p>
    <w:p w14:paraId="18913B17" w14:textId="369673BB" w:rsidR="00095692" w:rsidRDefault="00095692" w:rsidP="00ED6690">
      <w:pPr>
        <w:spacing w:after="0" w:line="240" w:lineRule="auto"/>
        <w:ind w:left="720"/>
        <w:textAlignment w:val="center"/>
        <w:rPr>
          <w:rFonts w:eastAsia="Times New Roman" w:cs="Arial"/>
          <w:szCs w:val="24"/>
          <w:lang w:eastAsia="en-GB"/>
        </w:rPr>
      </w:pPr>
    </w:p>
    <w:tbl>
      <w:tblPr>
        <w:tblStyle w:val="TableGrid"/>
        <w:tblW w:w="9351" w:type="dxa"/>
        <w:tblLook w:val="04A0" w:firstRow="1" w:lastRow="0" w:firstColumn="1" w:lastColumn="0" w:noHBand="0" w:noVBand="1"/>
      </w:tblPr>
      <w:tblGrid>
        <w:gridCol w:w="420"/>
        <w:gridCol w:w="2251"/>
        <w:gridCol w:w="6680"/>
      </w:tblGrid>
      <w:tr w:rsidR="00ED6690" w14:paraId="6BC9DFF9" w14:textId="0C3F475B" w:rsidTr="00ED6690">
        <w:tc>
          <w:tcPr>
            <w:tcW w:w="420" w:type="dxa"/>
          </w:tcPr>
          <w:p w14:paraId="347E2589" w14:textId="77777777" w:rsidR="00ED6690" w:rsidRDefault="00ED6690" w:rsidP="00ED6690">
            <w:pPr>
              <w:textAlignment w:val="center"/>
              <w:rPr>
                <w:rFonts w:eastAsia="Times New Roman" w:cs="Arial"/>
                <w:szCs w:val="24"/>
                <w:lang w:eastAsia="en-GB"/>
              </w:rPr>
            </w:pPr>
          </w:p>
        </w:tc>
        <w:tc>
          <w:tcPr>
            <w:tcW w:w="2251" w:type="dxa"/>
          </w:tcPr>
          <w:p w14:paraId="43DE65A7" w14:textId="2C3A3AEE" w:rsidR="00ED6690" w:rsidRDefault="00ED6690" w:rsidP="00ED6690">
            <w:pPr>
              <w:textAlignment w:val="center"/>
              <w:rPr>
                <w:rFonts w:eastAsia="Times New Roman" w:cs="Arial"/>
                <w:szCs w:val="24"/>
                <w:lang w:eastAsia="en-GB"/>
              </w:rPr>
            </w:pPr>
            <w:r>
              <w:rPr>
                <w:rFonts w:eastAsia="Times New Roman" w:cs="Arial"/>
                <w:szCs w:val="24"/>
                <w:lang w:eastAsia="en-GB"/>
              </w:rPr>
              <w:t>Attribute</w:t>
            </w:r>
          </w:p>
        </w:tc>
        <w:tc>
          <w:tcPr>
            <w:tcW w:w="6680" w:type="dxa"/>
          </w:tcPr>
          <w:p w14:paraId="72A120B5" w14:textId="3A29696A" w:rsidR="00ED6690" w:rsidRDefault="00ED6690" w:rsidP="00ED6690">
            <w:pPr>
              <w:textAlignment w:val="center"/>
              <w:rPr>
                <w:rFonts w:eastAsia="Times New Roman" w:cs="Arial"/>
                <w:szCs w:val="24"/>
                <w:lang w:eastAsia="en-GB"/>
              </w:rPr>
            </w:pPr>
            <w:r>
              <w:rPr>
                <w:rFonts w:eastAsia="Times New Roman" w:cs="Arial"/>
                <w:szCs w:val="24"/>
                <w:lang w:eastAsia="en-GB"/>
              </w:rPr>
              <w:t>Standard</w:t>
            </w:r>
          </w:p>
        </w:tc>
      </w:tr>
      <w:tr w:rsidR="00ED6690" w14:paraId="1E629D3B" w14:textId="612C58EA" w:rsidTr="00ED6690">
        <w:tc>
          <w:tcPr>
            <w:tcW w:w="420" w:type="dxa"/>
          </w:tcPr>
          <w:p w14:paraId="5EFFC73F" w14:textId="429C4797" w:rsidR="00ED6690" w:rsidRDefault="00ED6690" w:rsidP="00ED6690">
            <w:pPr>
              <w:textAlignment w:val="center"/>
              <w:rPr>
                <w:rFonts w:eastAsia="Times New Roman" w:cs="Arial"/>
                <w:szCs w:val="24"/>
                <w:lang w:eastAsia="en-GB"/>
              </w:rPr>
            </w:pPr>
            <w:r>
              <w:rPr>
                <w:rFonts w:eastAsia="Times New Roman" w:cs="Arial"/>
                <w:szCs w:val="24"/>
                <w:lang w:eastAsia="en-GB"/>
              </w:rPr>
              <w:t>1.</w:t>
            </w:r>
          </w:p>
        </w:tc>
        <w:tc>
          <w:tcPr>
            <w:tcW w:w="2251" w:type="dxa"/>
          </w:tcPr>
          <w:p w14:paraId="475DD7B1" w14:textId="77777777" w:rsidR="00ED6690" w:rsidRPr="00E06A76" w:rsidRDefault="00ED6690" w:rsidP="00ED6690">
            <w:pPr>
              <w:textAlignment w:val="center"/>
              <w:rPr>
                <w:rFonts w:eastAsia="Times New Roman" w:cs="Arial"/>
                <w:szCs w:val="24"/>
                <w:lang w:eastAsia="en-GB"/>
              </w:rPr>
            </w:pPr>
            <w:r w:rsidRPr="00E06A76">
              <w:rPr>
                <w:rFonts w:eastAsia="Times New Roman" w:cs="Arial"/>
                <w:szCs w:val="24"/>
                <w:lang w:eastAsia="en-GB"/>
              </w:rPr>
              <w:t xml:space="preserve">Drug name </w:t>
            </w:r>
          </w:p>
          <w:p w14:paraId="3AA25515" w14:textId="3DAADD7D" w:rsidR="00ED6690" w:rsidRDefault="00ED6690" w:rsidP="00ED6690">
            <w:pPr>
              <w:textAlignment w:val="center"/>
              <w:rPr>
                <w:rFonts w:eastAsia="Times New Roman" w:cs="Arial"/>
                <w:szCs w:val="24"/>
                <w:lang w:eastAsia="en-GB"/>
              </w:rPr>
            </w:pPr>
          </w:p>
        </w:tc>
        <w:tc>
          <w:tcPr>
            <w:tcW w:w="6680" w:type="dxa"/>
          </w:tcPr>
          <w:p w14:paraId="44986D4C" w14:textId="77777777" w:rsidR="00ED6690" w:rsidRPr="00E06A76" w:rsidRDefault="00ED6690" w:rsidP="00ED6690">
            <w:pPr>
              <w:textAlignment w:val="center"/>
              <w:rPr>
                <w:rFonts w:eastAsia="Times New Roman" w:cs="Arial"/>
                <w:szCs w:val="24"/>
                <w:lang w:eastAsia="en-GB"/>
              </w:rPr>
            </w:pPr>
            <w:r w:rsidRPr="00E06A76">
              <w:rPr>
                <w:rFonts w:eastAsia="Times New Roman" w:cs="Arial"/>
                <w:szCs w:val="24"/>
                <w:lang w:eastAsia="en-GB"/>
              </w:rPr>
              <w:t>Drug name (dm+d) - Virtual Therapeutic Moiety – in dm+d these can be related to actual products (AMPs)</w:t>
            </w:r>
            <w:r>
              <w:rPr>
                <w:rFonts w:eastAsia="Times New Roman" w:cs="Arial"/>
                <w:szCs w:val="24"/>
                <w:lang w:eastAsia="en-GB"/>
              </w:rPr>
              <w:t xml:space="preserve"> </w:t>
            </w:r>
            <w:r>
              <w:rPr>
                <w:rFonts w:eastAsia="Times New Roman" w:cs="Arial"/>
                <w:szCs w:val="24"/>
                <w:lang w:eastAsia="en-GB"/>
              </w:rPr>
              <w:fldChar w:fldCharType="begin"/>
            </w:r>
            <w:r>
              <w:rPr>
                <w:rFonts w:eastAsia="Times New Roman" w:cs="Arial"/>
                <w:szCs w:val="24"/>
                <w:lang w:eastAsia="en-GB"/>
              </w:rPr>
              <w:instrText xml:space="preserve"> ADDIN EN.CITE &lt;EndNote&gt;&lt;Cite&gt;&lt;Author&gt;NHSBSA&lt;/Author&gt;&lt;Year&gt;2022&lt;/Year&gt;&lt;RecNum&gt;283&lt;/RecNum&gt;&lt;DisplayText&gt;(NHSBSA, 2022)&lt;/DisplayText&gt;&lt;record&gt;&lt;rec-number&gt;283&lt;/rec-number&gt;&lt;foreign-keys&gt;&lt;key app="EN" db-id="wxra20f03dt20kepwrwvfa0mvpxxeeezfaaz" timestamp="1652376264"&gt;283&lt;/key&gt;&lt;/foreign-keys&gt;&lt;ref-type name="Web Page"&gt;12&lt;/ref-type&gt;&lt;contributors&gt;&lt;authors&gt;&lt;author&gt;NHSBSA&lt;/author&gt;&lt;/authors&gt;&lt;/contributors&gt;&lt;titles&gt;&lt;title&gt;Dictionary of Medicines and Devices&lt;/title&gt;&lt;/titles&gt;&lt;number&gt;15/05/2022&lt;/number&gt;&lt;dates&gt;&lt;year&gt;2022&lt;/year&gt;&lt;/dates&gt;&lt;urls&gt;&lt;related-urls&gt;&lt;url&gt;https://www.nhsbsa.nhs.uk/pharmacies-gp-practices-and-appliance-contractors/dictionary-medicines-and-devices-dmd&lt;/url&gt;&lt;/related-urls&gt;&lt;/urls&gt;&lt;/record&gt;&lt;/Cite&gt;&lt;/EndNote&gt;</w:instrText>
            </w:r>
            <w:r>
              <w:rPr>
                <w:rFonts w:eastAsia="Times New Roman" w:cs="Arial"/>
                <w:szCs w:val="24"/>
                <w:lang w:eastAsia="en-GB"/>
              </w:rPr>
              <w:fldChar w:fldCharType="separate"/>
            </w:r>
            <w:r>
              <w:rPr>
                <w:rFonts w:eastAsia="Times New Roman" w:cs="Arial"/>
                <w:noProof/>
                <w:szCs w:val="24"/>
                <w:lang w:eastAsia="en-GB"/>
              </w:rPr>
              <w:t>(NHSBSA, 2022)</w:t>
            </w:r>
            <w:r>
              <w:rPr>
                <w:rFonts w:eastAsia="Times New Roman" w:cs="Arial"/>
                <w:szCs w:val="24"/>
                <w:lang w:eastAsia="en-GB"/>
              </w:rPr>
              <w:fldChar w:fldCharType="end"/>
            </w:r>
          </w:p>
          <w:p w14:paraId="7D5BF760" w14:textId="77777777" w:rsidR="00ED6690" w:rsidRDefault="00ED6690" w:rsidP="00ED6690">
            <w:pPr>
              <w:textAlignment w:val="center"/>
              <w:rPr>
                <w:rFonts w:eastAsia="Times New Roman" w:cs="Arial"/>
                <w:szCs w:val="24"/>
                <w:lang w:eastAsia="en-GB"/>
              </w:rPr>
            </w:pPr>
          </w:p>
        </w:tc>
      </w:tr>
      <w:tr w:rsidR="00ED6690" w14:paraId="0F836689" w14:textId="3EBB0966" w:rsidTr="00ED6690">
        <w:tc>
          <w:tcPr>
            <w:tcW w:w="420" w:type="dxa"/>
          </w:tcPr>
          <w:p w14:paraId="16C23AAB" w14:textId="636A96A2" w:rsidR="00ED6690" w:rsidRDefault="00ED6690" w:rsidP="00ED6690">
            <w:pPr>
              <w:textAlignment w:val="center"/>
              <w:rPr>
                <w:rFonts w:eastAsia="Times New Roman" w:cs="Arial"/>
                <w:szCs w:val="24"/>
                <w:lang w:eastAsia="en-GB"/>
              </w:rPr>
            </w:pPr>
            <w:r>
              <w:rPr>
                <w:rFonts w:eastAsia="Times New Roman" w:cs="Arial"/>
                <w:szCs w:val="24"/>
                <w:lang w:eastAsia="en-GB"/>
              </w:rPr>
              <w:t>2.</w:t>
            </w:r>
          </w:p>
        </w:tc>
        <w:tc>
          <w:tcPr>
            <w:tcW w:w="2251" w:type="dxa"/>
          </w:tcPr>
          <w:p w14:paraId="5B154555" w14:textId="77777777" w:rsidR="00ED6690" w:rsidRPr="00E06A76" w:rsidRDefault="00ED6690" w:rsidP="00ED6690">
            <w:pPr>
              <w:textAlignment w:val="center"/>
              <w:rPr>
                <w:rFonts w:eastAsia="Times New Roman" w:cs="Arial"/>
                <w:szCs w:val="24"/>
                <w:lang w:eastAsia="en-GB"/>
              </w:rPr>
            </w:pPr>
            <w:r w:rsidRPr="00E06A76">
              <w:rPr>
                <w:rFonts w:eastAsia="Times New Roman" w:cs="Arial"/>
                <w:szCs w:val="24"/>
                <w:lang w:eastAsia="en-GB"/>
              </w:rPr>
              <w:t>Strength of the dose being prescribed.</w:t>
            </w:r>
          </w:p>
          <w:p w14:paraId="4836AD89" w14:textId="510A649A" w:rsidR="00ED6690" w:rsidRDefault="00ED6690" w:rsidP="00ED6690">
            <w:pPr>
              <w:textAlignment w:val="center"/>
              <w:rPr>
                <w:rFonts w:eastAsia="Times New Roman" w:cs="Arial"/>
                <w:szCs w:val="24"/>
                <w:lang w:eastAsia="en-GB"/>
              </w:rPr>
            </w:pPr>
          </w:p>
        </w:tc>
        <w:tc>
          <w:tcPr>
            <w:tcW w:w="6680" w:type="dxa"/>
          </w:tcPr>
          <w:p w14:paraId="351A4B11" w14:textId="77777777" w:rsidR="000967F9" w:rsidRDefault="00ED6690" w:rsidP="000967F9">
            <w:pPr>
              <w:textAlignment w:val="center"/>
              <w:rPr>
                <w:rFonts w:eastAsia="Times New Roman" w:cs="Arial"/>
                <w:szCs w:val="24"/>
                <w:lang w:eastAsia="en-GB"/>
              </w:rPr>
            </w:pPr>
            <w:r>
              <w:rPr>
                <w:rFonts w:eastAsia="Times New Roman" w:cs="Arial"/>
                <w:szCs w:val="24"/>
                <w:lang w:eastAsia="en-GB"/>
              </w:rPr>
              <w:t xml:space="preserve">Standards for capturing the dose.  </w:t>
            </w:r>
            <w:r w:rsidR="000967F9" w:rsidRPr="00847AE3">
              <w:rPr>
                <w:rFonts w:eastAsia="Times New Roman" w:cs="Arial"/>
                <w:szCs w:val="24"/>
                <w:lang w:eastAsia="en-GB"/>
              </w:rPr>
              <w:t>The Unified Code for Units of Measure (</w:t>
            </w:r>
            <w:r w:rsidR="000967F9" w:rsidRPr="00E06A76">
              <w:rPr>
                <w:rFonts w:eastAsia="Times New Roman" w:cs="Arial"/>
                <w:szCs w:val="24"/>
                <w:lang w:eastAsia="en-GB"/>
              </w:rPr>
              <w:t>UCUM</w:t>
            </w:r>
            <w:r w:rsidR="000967F9" w:rsidRPr="00847AE3">
              <w:rPr>
                <w:rFonts w:eastAsia="Times New Roman" w:cs="Arial"/>
                <w:szCs w:val="24"/>
                <w:lang w:eastAsia="en-GB"/>
              </w:rPr>
              <w:t>)</w:t>
            </w:r>
            <w:r w:rsidR="000967F9" w:rsidRPr="00E06A76">
              <w:rPr>
                <w:rFonts w:eastAsia="Times New Roman" w:cs="Arial"/>
                <w:szCs w:val="24"/>
                <w:lang w:eastAsia="en-GB"/>
              </w:rPr>
              <w:t xml:space="preserve"> standard</w:t>
            </w:r>
            <w:r w:rsidR="000967F9">
              <w:rPr>
                <w:rFonts w:eastAsia="Times New Roman" w:cs="Arial"/>
                <w:szCs w:val="24"/>
                <w:lang w:eastAsia="en-GB"/>
              </w:rPr>
              <w:t xml:space="preserve">. </w:t>
            </w:r>
            <w:r w:rsidR="000967F9">
              <w:rPr>
                <w:rFonts w:eastAsia="Times New Roman" w:cs="Arial"/>
                <w:szCs w:val="24"/>
                <w:lang w:eastAsia="en-GB"/>
              </w:rPr>
              <w:fldChar w:fldCharType="begin"/>
            </w:r>
            <w:r w:rsidR="000967F9">
              <w:rPr>
                <w:rFonts w:eastAsia="Times New Roman" w:cs="Arial"/>
                <w:szCs w:val="24"/>
                <w:lang w:eastAsia="en-GB"/>
              </w:rPr>
              <w:instrText xml:space="preserve"> ADDIN EN.CITE &lt;EndNote&gt;&lt;Cite&gt;&lt;Author&gt;Schadow&lt;/Author&gt;&lt;Year&gt;2022&lt;/Year&gt;&lt;RecNum&gt;522&lt;/RecNum&gt;&lt;DisplayText&gt;(Schadow and McDonald, 2022)&lt;/DisplayText&gt;&lt;record&gt;&lt;rec-number&gt;522&lt;/rec-number&gt;&lt;foreign-keys&gt;&lt;key app="EN" db-id="wxra20f03dt20kepwrwvfa0mvpxxeeezfaaz" timestamp="1675434522"&gt;522&lt;/key&gt;&lt;/foreign-keys&gt;&lt;ref-type name="Web Page"&gt;12&lt;/ref-type&gt;&lt;contributors&gt;&lt;authors&gt;&lt;author&gt;Schadow, Gunther&lt;/author&gt;&lt;author&gt;McDonald, Clement J&lt;/author&gt;&lt;/authors&gt;&lt;/contributors&gt;&lt;titles&gt;&lt;title&gt;The Unified Code for Units of Measure&lt;/title&gt;&lt;secondary-title&gt;Regenstrief Institute and UCUM Organization: Indianapolis, IN, USA&lt;/secondary-title&gt;&lt;/titles&gt;&lt;periodical&gt;&lt;full-title&gt;Regenstrief Institute and UCUM Organization: Indianapolis, IN, USA&lt;/full-title&gt;&lt;/periodical&gt;&lt;dates&gt;&lt;year&gt;2022&lt;/year&gt;&lt;/dates&gt;&lt;urls&gt;&lt;related-urls&gt;&lt;url&gt;https://ucum.org/ucum&lt;/url&gt;&lt;/related-urls&gt;&lt;/urls&gt;&lt;access-date&gt;03.02.2023&lt;/access-date&gt;&lt;/record&gt;&lt;/Cite&gt;&lt;/EndNote&gt;</w:instrText>
            </w:r>
            <w:r w:rsidR="000967F9">
              <w:rPr>
                <w:rFonts w:eastAsia="Times New Roman" w:cs="Arial"/>
                <w:szCs w:val="24"/>
                <w:lang w:eastAsia="en-GB"/>
              </w:rPr>
              <w:fldChar w:fldCharType="separate"/>
            </w:r>
            <w:r w:rsidR="000967F9">
              <w:rPr>
                <w:rFonts w:eastAsia="Times New Roman" w:cs="Arial"/>
                <w:noProof/>
                <w:szCs w:val="24"/>
                <w:lang w:eastAsia="en-GB"/>
              </w:rPr>
              <w:t>(Schadow and McDonald, 2022)</w:t>
            </w:r>
            <w:r w:rsidR="000967F9">
              <w:rPr>
                <w:rFonts w:eastAsia="Times New Roman" w:cs="Arial"/>
                <w:szCs w:val="24"/>
                <w:lang w:eastAsia="en-GB"/>
              </w:rPr>
              <w:fldChar w:fldCharType="end"/>
            </w:r>
          </w:p>
          <w:p w14:paraId="68A28B60" w14:textId="4CBE9E59" w:rsidR="00ED6690" w:rsidRDefault="00ED6690" w:rsidP="00ED6690">
            <w:pPr>
              <w:textAlignment w:val="center"/>
              <w:rPr>
                <w:rFonts w:eastAsia="Times New Roman" w:cs="Arial"/>
                <w:szCs w:val="24"/>
                <w:lang w:eastAsia="en-GB"/>
              </w:rPr>
            </w:pPr>
          </w:p>
          <w:p w14:paraId="286453F7" w14:textId="77777777" w:rsidR="00ED6690" w:rsidRDefault="00ED6690" w:rsidP="00ED6690">
            <w:pPr>
              <w:textAlignment w:val="center"/>
              <w:rPr>
                <w:rFonts w:eastAsia="Times New Roman" w:cs="Arial"/>
                <w:szCs w:val="24"/>
                <w:lang w:eastAsia="en-GB"/>
              </w:rPr>
            </w:pPr>
          </w:p>
        </w:tc>
      </w:tr>
      <w:tr w:rsidR="00ED6690" w14:paraId="4AD53089" w14:textId="01C1D524" w:rsidTr="00ED6690">
        <w:tc>
          <w:tcPr>
            <w:tcW w:w="420" w:type="dxa"/>
          </w:tcPr>
          <w:p w14:paraId="5D53F6BD" w14:textId="26868A45" w:rsidR="00ED6690" w:rsidRDefault="00ED6690" w:rsidP="00ED6690">
            <w:pPr>
              <w:textAlignment w:val="center"/>
              <w:rPr>
                <w:rFonts w:eastAsia="Times New Roman" w:cs="Arial"/>
                <w:szCs w:val="24"/>
                <w:lang w:eastAsia="en-GB"/>
              </w:rPr>
            </w:pPr>
            <w:r>
              <w:rPr>
                <w:rFonts w:eastAsia="Times New Roman" w:cs="Arial"/>
                <w:szCs w:val="24"/>
                <w:lang w:eastAsia="en-GB"/>
              </w:rPr>
              <w:t>3.</w:t>
            </w:r>
          </w:p>
        </w:tc>
        <w:tc>
          <w:tcPr>
            <w:tcW w:w="2251" w:type="dxa"/>
          </w:tcPr>
          <w:p w14:paraId="3F015AEE" w14:textId="44B14CAC" w:rsidR="00ED6690" w:rsidRDefault="00ED6690" w:rsidP="00ED6690">
            <w:pPr>
              <w:textAlignment w:val="center"/>
              <w:rPr>
                <w:rFonts w:eastAsia="Times New Roman" w:cs="Arial"/>
                <w:szCs w:val="24"/>
                <w:lang w:eastAsia="en-GB"/>
              </w:rPr>
            </w:pPr>
            <w:r w:rsidRPr="00E06A76">
              <w:rPr>
                <w:rFonts w:eastAsia="Times New Roman" w:cs="Arial"/>
                <w:szCs w:val="24"/>
                <w:lang w:eastAsia="en-GB"/>
              </w:rPr>
              <w:t xml:space="preserve">A maximum dose (which could in itself be time limited – e.g., a maximum of 1000mg per dose or a maximum of 4000mg in 24 hours.  </w:t>
            </w:r>
          </w:p>
        </w:tc>
        <w:tc>
          <w:tcPr>
            <w:tcW w:w="6680" w:type="dxa"/>
          </w:tcPr>
          <w:p w14:paraId="041A7B82" w14:textId="537B360A" w:rsidR="00ED6690" w:rsidRPr="00E06A76" w:rsidRDefault="00ED6690" w:rsidP="00ED6690">
            <w:pPr>
              <w:textAlignment w:val="center"/>
              <w:rPr>
                <w:rFonts w:eastAsia="Times New Roman" w:cs="Arial"/>
                <w:szCs w:val="24"/>
                <w:lang w:eastAsia="en-GB"/>
              </w:rPr>
            </w:pPr>
            <w:r>
              <w:rPr>
                <w:rFonts w:eastAsia="Times New Roman" w:cs="Arial"/>
                <w:szCs w:val="24"/>
                <w:lang w:eastAsia="en-GB"/>
              </w:rPr>
              <w:t>O</w:t>
            </w:r>
            <w:r w:rsidRPr="00E06A76">
              <w:rPr>
                <w:rFonts w:eastAsia="Times New Roman" w:cs="Arial"/>
                <w:szCs w:val="24"/>
                <w:lang w:eastAsia="en-GB"/>
              </w:rPr>
              <w:t>pen to interpretation</w:t>
            </w:r>
            <w:r>
              <w:rPr>
                <w:rFonts w:eastAsia="Times New Roman" w:cs="Arial"/>
                <w:szCs w:val="24"/>
                <w:lang w:eastAsia="en-GB"/>
              </w:rPr>
              <w:t xml:space="preserve"> and may be configured differently across systems unless it is a well-known hard maximum such as the maximum paracetamol dose.  It is possible that this could be automatically configured direct from the product license once implemented </w:t>
            </w:r>
            <w:r>
              <w:rPr>
                <w:rFonts w:eastAsia="Times New Roman" w:cs="Arial"/>
                <w:szCs w:val="24"/>
                <w:lang w:eastAsia="en-GB"/>
              </w:rPr>
              <w:fldChar w:fldCharType="begin"/>
            </w:r>
            <w:r>
              <w:rPr>
                <w:rFonts w:eastAsia="Times New Roman" w:cs="Arial"/>
                <w:szCs w:val="24"/>
                <w:lang w:eastAsia="en-GB"/>
              </w:rPr>
              <w:instrText xml:space="preserve"> ADDIN EN.CITE &lt;EndNote&gt;&lt;Cite&gt;&lt;Author&gt;Maxwell&lt;/Author&gt;&lt;Year&gt;2012&lt;/Year&gt;&lt;RecNum&gt;517&lt;/RecNum&gt;&lt;DisplayText&gt;(Maxwell&lt;style face="italic"&gt; et al.&lt;/style&gt;, 2012)&lt;/DisplayText&gt;&lt;record&gt;&lt;rec-number&gt;517&lt;/rec-number&gt;&lt;foreign-keys&gt;&lt;key app="EN" db-id="wxra20f03dt20kepwrwvfa0mvpxxeeezfaaz" timestamp="1675417759"&gt;517&lt;/key&gt;&lt;/foreign-keys&gt;&lt;ref-type name="Journal Article"&gt;17&lt;/ref-type&gt;&lt;contributors&gt;&lt;authors&gt;&lt;author&gt;Maxwell, Simon&lt;/author&gt;&lt;author&gt;Eichler, Hans-Georg&lt;/author&gt;&lt;author&gt;Bucsics, Anna&lt;/author&gt;&lt;author&gt;Haefeli, Walter E.&lt;/author&gt;&lt;author&gt;Gustafsson, Lars L.&lt;/author&gt;&lt;/authors&gt;&lt;/contributors&gt;&lt;titles&gt;&lt;title&gt;e-SPC: new approaches to delivering drug information&lt;/title&gt;&lt;secondary-title&gt;Future Prescriber&lt;/secondary-title&gt;&lt;/titles&gt;&lt;periodical&gt;&lt;full-title&gt;Future Prescriber&lt;/full-title&gt;&lt;/periodical&gt;&lt;pages&gt;17-19&lt;/pages&gt;&lt;volume&gt;13&lt;/volume&gt;&lt;number&gt;2&lt;/number&gt;&lt;dates&gt;&lt;year&gt;2012&lt;/year&gt;&lt;/dates&gt;&lt;publisher&gt;Wiley&lt;/publisher&gt;&lt;isbn&gt;1468-9871&lt;/isbn&gt;&lt;urls&gt;&lt;related-urls&gt;&lt;url&gt;https://dx.doi.org/10.1002/fps.94&lt;/url&gt;&lt;/related-urls&gt;&lt;/urls&gt;&lt;electronic-resource-num&gt;10.1002/fps.94&lt;/electronic-resource-num&gt;&lt;/record&gt;&lt;/Cite&gt;&lt;/EndNote&gt;</w:instrText>
            </w:r>
            <w:r>
              <w:rPr>
                <w:rFonts w:eastAsia="Times New Roman" w:cs="Arial"/>
                <w:szCs w:val="24"/>
                <w:lang w:eastAsia="en-GB"/>
              </w:rPr>
              <w:fldChar w:fldCharType="separate"/>
            </w:r>
            <w:r>
              <w:rPr>
                <w:rFonts w:eastAsia="Times New Roman" w:cs="Arial"/>
                <w:noProof/>
                <w:szCs w:val="24"/>
                <w:lang w:eastAsia="en-GB"/>
              </w:rPr>
              <w:t>(Maxwell</w:t>
            </w:r>
            <w:r w:rsidRPr="0002565D">
              <w:rPr>
                <w:rFonts w:eastAsia="Times New Roman" w:cs="Arial"/>
                <w:i/>
                <w:noProof/>
                <w:szCs w:val="24"/>
                <w:lang w:eastAsia="en-GB"/>
              </w:rPr>
              <w:t xml:space="preserve"> et al.</w:t>
            </w:r>
            <w:r>
              <w:rPr>
                <w:rFonts w:eastAsia="Times New Roman" w:cs="Arial"/>
                <w:noProof/>
                <w:szCs w:val="24"/>
                <w:lang w:eastAsia="en-GB"/>
              </w:rPr>
              <w:t>, 2012)</w:t>
            </w:r>
            <w:r>
              <w:rPr>
                <w:rFonts w:eastAsia="Times New Roman" w:cs="Arial"/>
                <w:szCs w:val="24"/>
                <w:lang w:eastAsia="en-GB"/>
              </w:rPr>
              <w:fldChar w:fldCharType="end"/>
            </w:r>
            <w:r>
              <w:rPr>
                <w:rFonts w:eastAsia="Times New Roman" w:cs="Arial"/>
                <w:szCs w:val="24"/>
                <w:lang w:eastAsia="en-GB"/>
              </w:rPr>
              <w:t xml:space="preserve"> or from other proprietary sources or from British National Formulary data direct </w:t>
            </w:r>
            <w:r>
              <w:rPr>
                <w:rFonts w:eastAsia="Times New Roman" w:cs="Arial"/>
                <w:szCs w:val="24"/>
                <w:lang w:eastAsia="en-GB"/>
              </w:rPr>
              <w:fldChar w:fldCharType="begin"/>
            </w:r>
            <w:r>
              <w:rPr>
                <w:rFonts w:eastAsia="Times New Roman" w:cs="Arial"/>
                <w:szCs w:val="24"/>
                <w:lang w:eastAsia="en-GB"/>
              </w:rPr>
              <w:instrText xml:space="preserve"> ADDIN EN.CITE &lt;EndNote&gt;&lt;Cite&gt;&lt;Author&gt;Joint Formulary Committee&lt;/Author&gt;&lt;Year&gt;2022&lt;/Year&gt;&lt;RecNum&gt;520&lt;/RecNum&gt;&lt;DisplayText&gt;(Joint Formulary Committee, 2022)&lt;/DisplayText&gt;&lt;record&gt;&lt;rec-number&gt;520&lt;/rec-number&gt;&lt;foreign-keys&gt;&lt;key app="EN" db-id="wxra20f03dt20kepwrwvfa0mvpxxeeezfaaz" timestamp="1675433782"&gt;520&lt;/key&gt;&lt;/foreign-keys&gt;&lt;ref-type name="Web Page"&gt;12&lt;/ref-type&gt;&lt;contributors&gt;&lt;authors&gt;&lt;author&gt;Joint Formulary Committee,&lt;/author&gt;&lt;/authors&gt;&lt;/contributors&gt;&lt;titles&gt;&lt;title&gt;British National Formulary&lt;/title&gt;&lt;/titles&gt;&lt;dates&gt;&lt;year&gt;2022&lt;/year&gt;&lt;/dates&gt;&lt;urls&gt;&lt;related-urls&gt;&lt;url&gt;https://bnf.nice.org.uk/&lt;/url&gt;&lt;/related-urls&gt;&lt;/urls&gt;&lt;access-date&gt;03.02.2023&lt;/access-date&gt;&lt;/record&gt;&lt;/Cite&gt;&lt;/EndNote&gt;</w:instrText>
            </w:r>
            <w:r>
              <w:rPr>
                <w:rFonts w:eastAsia="Times New Roman" w:cs="Arial"/>
                <w:szCs w:val="24"/>
                <w:lang w:eastAsia="en-GB"/>
              </w:rPr>
              <w:fldChar w:fldCharType="separate"/>
            </w:r>
            <w:r>
              <w:rPr>
                <w:rFonts w:eastAsia="Times New Roman" w:cs="Arial"/>
                <w:noProof/>
                <w:szCs w:val="24"/>
                <w:lang w:eastAsia="en-GB"/>
              </w:rPr>
              <w:t>(Joint Formulary Committee, 2022)</w:t>
            </w:r>
            <w:r>
              <w:rPr>
                <w:rFonts w:eastAsia="Times New Roman" w:cs="Arial"/>
                <w:szCs w:val="24"/>
                <w:lang w:eastAsia="en-GB"/>
              </w:rPr>
              <w:fldChar w:fldCharType="end"/>
            </w:r>
            <w:r>
              <w:rPr>
                <w:rFonts w:eastAsia="Times New Roman" w:cs="Arial"/>
                <w:szCs w:val="24"/>
                <w:lang w:eastAsia="en-GB"/>
              </w:rPr>
              <w:t>.</w:t>
            </w:r>
          </w:p>
        </w:tc>
      </w:tr>
      <w:tr w:rsidR="00ED6690" w14:paraId="299D52AC" w14:textId="77777777" w:rsidTr="00ED6690">
        <w:tc>
          <w:tcPr>
            <w:tcW w:w="420" w:type="dxa"/>
          </w:tcPr>
          <w:p w14:paraId="57B43871" w14:textId="5DF3C0E8" w:rsidR="00ED6690" w:rsidRDefault="00ED6690" w:rsidP="00ED6690">
            <w:pPr>
              <w:textAlignment w:val="center"/>
              <w:rPr>
                <w:rFonts w:eastAsia="Times New Roman" w:cs="Arial"/>
                <w:szCs w:val="24"/>
                <w:lang w:eastAsia="en-GB"/>
              </w:rPr>
            </w:pPr>
            <w:r>
              <w:rPr>
                <w:rFonts w:eastAsia="Times New Roman" w:cs="Arial"/>
                <w:szCs w:val="24"/>
                <w:lang w:eastAsia="en-GB"/>
              </w:rPr>
              <w:t>4.</w:t>
            </w:r>
          </w:p>
        </w:tc>
        <w:tc>
          <w:tcPr>
            <w:tcW w:w="2251" w:type="dxa"/>
          </w:tcPr>
          <w:p w14:paraId="37E61BF2" w14:textId="4AA4C588" w:rsidR="00ED6690" w:rsidRPr="00E06A76" w:rsidRDefault="00ED6690" w:rsidP="00ED6690">
            <w:pPr>
              <w:textAlignment w:val="center"/>
              <w:rPr>
                <w:rFonts w:eastAsia="Times New Roman" w:cs="Arial"/>
                <w:szCs w:val="24"/>
                <w:lang w:eastAsia="en-GB"/>
              </w:rPr>
            </w:pPr>
            <w:r>
              <w:rPr>
                <w:rFonts w:eastAsia="Times New Roman" w:cs="Arial"/>
                <w:szCs w:val="24"/>
                <w:lang w:eastAsia="en-GB"/>
              </w:rPr>
              <w:t>Units</w:t>
            </w:r>
          </w:p>
        </w:tc>
        <w:tc>
          <w:tcPr>
            <w:tcW w:w="6680" w:type="dxa"/>
          </w:tcPr>
          <w:p w14:paraId="5E624F23" w14:textId="6EBD8789" w:rsidR="00ED6690" w:rsidRDefault="00ED6690" w:rsidP="00ED6690">
            <w:pPr>
              <w:textAlignment w:val="center"/>
              <w:rPr>
                <w:rFonts w:eastAsia="Times New Roman" w:cs="Arial"/>
                <w:szCs w:val="24"/>
                <w:lang w:eastAsia="en-GB"/>
              </w:rPr>
            </w:pPr>
            <w:r w:rsidRPr="00847AE3">
              <w:rPr>
                <w:rFonts w:eastAsia="Times New Roman" w:cs="Arial"/>
                <w:szCs w:val="24"/>
                <w:lang w:eastAsia="en-GB"/>
              </w:rPr>
              <w:t>The Unified Code for Units of Measure (</w:t>
            </w:r>
            <w:r w:rsidRPr="00E06A76">
              <w:rPr>
                <w:rFonts w:eastAsia="Times New Roman" w:cs="Arial"/>
                <w:szCs w:val="24"/>
                <w:lang w:eastAsia="en-GB"/>
              </w:rPr>
              <w:t>UCUM</w:t>
            </w:r>
            <w:r w:rsidRPr="00847AE3">
              <w:rPr>
                <w:rFonts w:eastAsia="Times New Roman" w:cs="Arial"/>
                <w:szCs w:val="24"/>
                <w:lang w:eastAsia="en-GB"/>
              </w:rPr>
              <w:t>)</w:t>
            </w:r>
            <w:r w:rsidRPr="00E06A76">
              <w:rPr>
                <w:rFonts w:eastAsia="Times New Roman" w:cs="Arial"/>
                <w:szCs w:val="24"/>
                <w:lang w:eastAsia="en-GB"/>
              </w:rPr>
              <w:t xml:space="preserve"> standard</w:t>
            </w:r>
            <w:r>
              <w:rPr>
                <w:rFonts w:eastAsia="Times New Roman" w:cs="Arial"/>
                <w:szCs w:val="24"/>
                <w:lang w:eastAsia="en-GB"/>
              </w:rPr>
              <w:t xml:space="preserve">. </w:t>
            </w:r>
            <w:r>
              <w:rPr>
                <w:rFonts w:eastAsia="Times New Roman" w:cs="Arial"/>
                <w:szCs w:val="24"/>
                <w:lang w:eastAsia="en-GB"/>
              </w:rPr>
              <w:fldChar w:fldCharType="begin"/>
            </w:r>
            <w:r>
              <w:rPr>
                <w:rFonts w:eastAsia="Times New Roman" w:cs="Arial"/>
                <w:szCs w:val="24"/>
                <w:lang w:eastAsia="en-GB"/>
              </w:rPr>
              <w:instrText xml:space="preserve"> ADDIN EN.CITE &lt;EndNote&gt;&lt;Cite&gt;&lt;Author&gt;Schadow&lt;/Author&gt;&lt;Year&gt;2022&lt;/Year&gt;&lt;RecNum&gt;522&lt;/RecNum&gt;&lt;DisplayText&gt;(Schadow and McDonald, 2022)&lt;/DisplayText&gt;&lt;record&gt;&lt;rec-number&gt;522&lt;/rec-number&gt;&lt;foreign-keys&gt;&lt;key app="EN" db-id="wxra20f03dt20kepwrwvfa0mvpxxeeezfaaz" timestamp="1675434522"&gt;522&lt;/key&gt;&lt;/foreign-keys&gt;&lt;ref-type name="Web Page"&gt;12&lt;/ref-type&gt;&lt;contributors&gt;&lt;authors&gt;&lt;author&gt;Schadow, Gunther&lt;/author&gt;&lt;author&gt;McDonald, Clement J&lt;/author&gt;&lt;/authors&gt;&lt;/contributors&gt;&lt;titles&gt;&lt;title&gt;The Unified Code for Units of Measure&lt;/title&gt;&lt;secondary-title&gt;Regenstrief Institute and UCUM Organization: Indianapolis, IN, USA&lt;/secondary-title&gt;&lt;/titles&gt;&lt;periodical&gt;&lt;full-title&gt;Regenstrief Institute and UCUM Organization: Indianapolis, IN, USA&lt;/full-title&gt;&lt;/periodical&gt;&lt;dates&gt;&lt;year&gt;2022&lt;/year&gt;&lt;/dates&gt;&lt;urls&gt;&lt;related-urls&gt;&lt;url&gt;https://ucum.org/ucum&lt;/url&gt;&lt;/related-urls&gt;&lt;/urls&gt;&lt;access-date&gt;03.02.2023&lt;/access-date&gt;&lt;/record&gt;&lt;/Cite&gt;&lt;/EndNote&gt;</w:instrText>
            </w:r>
            <w:r>
              <w:rPr>
                <w:rFonts w:eastAsia="Times New Roman" w:cs="Arial"/>
                <w:szCs w:val="24"/>
                <w:lang w:eastAsia="en-GB"/>
              </w:rPr>
              <w:fldChar w:fldCharType="separate"/>
            </w:r>
            <w:r>
              <w:rPr>
                <w:rFonts w:eastAsia="Times New Roman" w:cs="Arial"/>
                <w:noProof/>
                <w:szCs w:val="24"/>
                <w:lang w:eastAsia="en-GB"/>
              </w:rPr>
              <w:t>(Schadow and McDonald, 2022)</w:t>
            </w:r>
            <w:r>
              <w:rPr>
                <w:rFonts w:eastAsia="Times New Roman" w:cs="Arial"/>
                <w:szCs w:val="24"/>
                <w:lang w:eastAsia="en-GB"/>
              </w:rPr>
              <w:fldChar w:fldCharType="end"/>
            </w:r>
            <w:r w:rsidR="00F07BA4">
              <w:rPr>
                <w:rFonts w:eastAsia="Times New Roman" w:cs="Arial"/>
                <w:szCs w:val="24"/>
                <w:lang w:eastAsia="en-GB"/>
              </w:rPr>
              <w:t xml:space="preserve"> and a mechanism for translating and normalising units to be able to compare them.</w:t>
            </w:r>
          </w:p>
          <w:p w14:paraId="2FC1671B" w14:textId="77777777" w:rsidR="00ED6690" w:rsidRPr="00E06A76" w:rsidRDefault="00ED6690" w:rsidP="00ED6690">
            <w:pPr>
              <w:textAlignment w:val="center"/>
              <w:rPr>
                <w:rFonts w:eastAsia="Times New Roman" w:cs="Arial"/>
                <w:szCs w:val="24"/>
                <w:lang w:eastAsia="en-GB"/>
              </w:rPr>
            </w:pPr>
          </w:p>
        </w:tc>
      </w:tr>
      <w:tr w:rsidR="00ED6690" w14:paraId="19A1D692" w14:textId="77777777" w:rsidTr="00ED6690">
        <w:tc>
          <w:tcPr>
            <w:tcW w:w="420" w:type="dxa"/>
          </w:tcPr>
          <w:p w14:paraId="04D6952A" w14:textId="1F0B31F6" w:rsidR="00ED6690" w:rsidRDefault="00ED6690" w:rsidP="00ED6690">
            <w:pPr>
              <w:textAlignment w:val="center"/>
              <w:rPr>
                <w:rFonts w:eastAsia="Times New Roman" w:cs="Arial"/>
                <w:szCs w:val="24"/>
                <w:lang w:eastAsia="en-GB"/>
              </w:rPr>
            </w:pPr>
            <w:r>
              <w:rPr>
                <w:rFonts w:eastAsia="Times New Roman" w:cs="Arial"/>
                <w:szCs w:val="24"/>
                <w:lang w:eastAsia="en-GB"/>
              </w:rPr>
              <w:t>5.</w:t>
            </w:r>
          </w:p>
        </w:tc>
        <w:tc>
          <w:tcPr>
            <w:tcW w:w="2251" w:type="dxa"/>
          </w:tcPr>
          <w:p w14:paraId="37250CA1" w14:textId="56EE7D83" w:rsidR="00ED6690" w:rsidRPr="00E06A76" w:rsidRDefault="00ED6690" w:rsidP="00ED6690">
            <w:pPr>
              <w:textAlignment w:val="center"/>
              <w:rPr>
                <w:rFonts w:eastAsia="Times New Roman" w:cs="Arial"/>
                <w:szCs w:val="24"/>
                <w:lang w:eastAsia="en-GB"/>
              </w:rPr>
            </w:pPr>
            <w:r>
              <w:rPr>
                <w:rFonts w:eastAsia="Times New Roman" w:cs="Arial"/>
                <w:szCs w:val="24"/>
                <w:lang w:eastAsia="en-GB"/>
              </w:rPr>
              <w:t>Indication/Disease</w:t>
            </w:r>
          </w:p>
        </w:tc>
        <w:tc>
          <w:tcPr>
            <w:tcW w:w="6680" w:type="dxa"/>
          </w:tcPr>
          <w:p w14:paraId="6D717EFA" w14:textId="77777777" w:rsidR="00ED6690" w:rsidRPr="00E06A76" w:rsidRDefault="00ED6690" w:rsidP="00ED6690">
            <w:pPr>
              <w:textAlignment w:val="center"/>
              <w:rPr>
                <w:rFonts w:eastAsia="Times New Roman" w:cs="Arial"/>
                <w:szCs w:val="24"/>
                <w:lang w:eastAsia="en-GB"/>
              </w:rPr>
            </w:pPr>
            <w:r>
              <w:rPr>
                <w:rFonts w:eastAsia="Times New Roman" w:cs="Arial"/>
                <w:szCs w:val="24"/>
                <w:lang w:eastAsia="en-GB"/>
              </w:rPr>
              <w:t xml:space="preserve">SNOMED CT – to allow linking of maximum doses to variations in dose maximums that might be disease or indication specific </w:t>
            </w:r>
            <w:r>
              <w:rPr>
                <w:rFonts w:eastAsia="Times New Roman" w:cs="Arial"/>
                <w:szCs w:val="24"/>
                <w:lang w:eastAsia="en-GB"/>
              </w:rPr>
              <w:fldChar w:fldCharType="begin"/>
            </w:r>
            <w:r>
              <w:rPr>
                <w:rFonts w:eastAsia="Times New Roman" w:cs="Arial"/>
                <w:szCs w:val="24"/>
                <w:lang w:eastAsia="en-GB"/>
              </w:rPr>
              <w:instrText xml:space="preserve"> ADDIN EN.CITE &lt;EndNote&gt;&lt;Cite&gt;&lt;Author&gt;SNOMED International.&lt;/Author&gt;&lt;Year&gt;2022&lt;/Year&gt;&lt;RecNum&gt;282&lt;/RecNum&gt;&lt;DisplayText&gt;(SNOMED International., 2022)&lt;/DisplayText&gt;&lt;record&gt;&lt;rec-number&gt;282&lt;/rec-number&gt;&lt;foreign-keys&gt;&lt;key app="EN" db-id="wxra20f03dt20kepwrwvfa0mvpxxeeezfaaz" timestamp="1652375910"&gt;282&lt;/key&gt;&lt;/foreign-keys&gt;&lt;ref-type name="Web Page"&gt;12&lt;/ref-type&gt;&lt;contributors&gt;&lt;authors&gt;&lt;author&gt;SNOMED International.,&lt;/author&gt;&lt;/authors&gt;&lt;/contributors&gt;&lt;titles&gt;&lt;title&gt;SNOMED International&amp;apos;s Confluence&lt;/title&gt;&lt;/titles&gt;&lt;volume&gt;2022&lt;/volume&gt;&lt;number&gt;12/05/2022&lt;/number&gt;&lt;dates&gt;&lt;year&gt;2022&lt;/year&gt;&lt;/dates&gt;&lt;urls&gt;&lt;related-urls&gt;&lt;url&gt;https://confluence.ihtsdotools.org/&lt;/url&gt;&lt;/related-urls&gt;&lt;/urls&gt;&lt;/record&gt;&lt;/Cite&gt;&lt;/EndNote&gt;</w:instrText>
            </w:r>
            <w:r>
              <w:rPr>
                <w:rFonts w:eastAsia="Times New Roman" w:cs="Arial"/>
                <w:szCs w:val="24"/>
                <w:lang w:eastAsia="en-GB"/>
              </w:rPr>
              <w:fldChar w:fldCharType="separate"/>
            </w:r>
            <w:r>
              <w:rPr>
                <w:rFonts w:eastAsia="Times New Roman" w:cs="Arial"/>
                <w:noProof/>
                <w:szCs w:val="24"/>
                <w:lang w:eastAsia="en-GB"/>
              </w:rPr>
              <w:t>(SNOMED International., 2022)</w:t>
            </w:r>
            <w:r>
              <w:rPr>
                <w:rFonts w:eastAsia="Times New Roman" w:cs="Arial"/>
                <w:szCs w:val="24"/>
                <w:lang w:eastAsia="en-GB"/>
              </w:rPr>
              <w:fldChar w:fldCharType="end"/>
            </w:r>
          </w:p>
          <w:p w14:paraId="0B88C95E" w14:textId="77777777" w:rsidR="00ED6690" w:rsidRPr="00E06A76" w:rsidRDefault="00ED6690" w:rsidP="00ED6690">
            <w:pPr>
              <w:keepNext/>
              <w:textAlignment w:val="center"/>
              <w:rPr>
                <w:rFonts w:eastAsia="Times New Roman" w:cs="Arial"/>
                <w:szCs w:val="24"/>
                <w:lang w:eastAsia="en-GB"/>
              </w:rPr>
            </w:pPr>
          </w:p>
        </w:tc>
      </w:tr>
    </w:tbl>
    <w:p w14:paraId="16949E20" w14:textId="038C45B8" w:rsidR="00095692" w:rsidRPr="00E06A76" w:rsidRDefault="00ED6690" w:rsidP="00806D3E">
      <w:pPr>
        <w:pStyle w:val="Caption"/>
        <w:rPr>
          <w:rFonts w:eastAsia="Times New Roman" w:cs="Arial"/>
          <w:b/>
          <w:bCs/>
          <w:sz w:val="24"/>
          <w:szCs w:val="24"/>
          <w:lang w:eastAsia="en-GB"/>
        </w:rPr>
      </w:pPr>
      <w:r w:rsidRPr="00F07BA4">
        <w:rPr>
          <w:b/>
          <w:bCs/>
        </w:rPr>
        <w:t xml:space="preserve">Table </w:t>
      </w:r>
      <w:r w:rsidR="00F07BA4" w:rsidRPr="00F07BA4">
        <w:rPr>
          <w:b/>
          <w:bCs/>
        </w:rPr>
        <w:t>6</w:t>
      </w:r>
      <w:r w:rsidRPr="00F07BA4">
        <w:rPr>
          <w:b/>
          <w:bCs/>
        </w:rPr>
        <w:t xml:space="preserve"> Attributes and Standards Required to Support Cumulative Dose CDS</w:t>
      </w:r>
    </w:p>
    <w:p w14:paraId="2AF6E042" w14:textId="77777777" w:rsidR="00847AE3" w:rsidRPr="00847AE3" w:rsidRDefault="00847AE3" w:rsidP="00847AE3">
      <w:pPr>
        <w:spacing w:after="0" w:line="240" w:lineRule="auto"/>
        <w:ind w:left="720"/>
        <w:textAlignment w:val="center"/>
        <w:rPr>
          <w:rFonts w:eastAsia="Times New Roman" w:cs="Arial"/>
          <w:szCs w:val="24"/>
          <w:lang w:eastAsia="en-GB"/>
        </w:rPr>
      </w:pPr>
    </w:p>
    <w:p w14:paraId="677A877F" w14:textId="0E1F1233" w:rsidR="00EF0A14" w:rsidRDefault="00EF0A14" w:rsidP="001D6BC2">
      <w:pPr>
        <w:spacing w:after="0" w:line="240" w:lineRule="auto"/>
        <w:textAlignment w:val="center"/>
        <w:rPr>
          <w:rFonts w:eastAsia="Times New Roman" w:cs="Arial"/>
          <w:szCs w:val="24"/>
          <w:lang w:eastAsia="en-GB"/>
        </w:rPr>
      </w:pPr>
      <w:r>
        <w:rPr>
          <w:rFonts w:eastAsia="Times New Roman" w:cs="Arial"/>
          <w:szCs w:val="24"/>
          <w:lang w:eastAsia="en-GB"/>
        </w:rPr>
        <w:t xml:space="preserve">Standardisation between these </w:t>
      </w:r>
      <w:r w:rsidR="001A17BD">
        <w:rPr>
          <w:rFonts w:eastAsia="Times New Roman" w:cs="Arial"/>
          <w:szCs w:val="24"/>
          <w:lang w:eastAsia="en-GB"/>
        </w:rPr>
        <w:t>elements</w:t>
      </w:r>
      <w:r w:rsidR="00462A39">
        <w:rPr>
          <w:rFonts w:eastAsia="Times New Roman" w:cs="Arial"/>
          <w:szCs w:val="24"/>
          <w:lang w:eastAsia="en-GB"/>
        </w:rPr>
        <w:t>, if implemented and constrained correctly,</w:t>
      </w:r>
      <w:r w:rsidR="001A17BD">
        <w:rPr>
          <w:rFonts w:eastAsia="Times New Roman" w:cs="Arial"/>
          <w:szCs w:val="24"/>
          <w:lang w:eastAsia="en-GB"/>
        </w:rPr>
        <w:t xml:space="preserve"> will enable decision support functionality to recognise and join the correct values together even when there might be slight variations in the way something is prescribed or in the dosage form administered </w:t>
      </w:r>
      <w:r w:rsidR="001303F2">
        <w:rPr>
          <w:rFonts w:eastAsia="Times New Roman" w:cs="Arial"/>
          <w:szCs w:val="24"/>
          <w:lang w:eastAsia="en-GB"/>
        </w:rPr>
        <w:t>(</w:t>
      </w:r>
      <w:r w:rsidR="006F6B9A">
        <w:rPr>
          <w:rFonts w:eastAsia="Times New Roman" w:cs="Arial"/>
          <w:szCs w:val="24"/>
          <w:lang w:eastAsia="en-GB"/>
        </w:rPr>
        <w:t>Figure 2</w:t>
      </w:r>
      <w:r w:rsidR="001303F2">
        <w:rPr>
          <w:rFonts w:eastAsia="Times New Roman" w:cs="Arial"/>
          <w:szCs w:val="24"/>
          <w:lang w:eastAsia="en-GB"/>
        </w:rPr>
        <w:t>)</w:t>
      </w:r>
      <w:r w:rsidR="006F6B9A">
        <w:rPr>
          <w:rFonts w:eastAsia="Times New Roman" w:cs="Arial"/>
          <w:szCs w:val="24"/>
          <w:lang w:eastAsia="en-GB"/>
        </w:rPr>
        <w:t>.</w:t>
      </w:r>
      <w:r w:rsidR="00524C90">
        <w:rPr>
          <w:rFonts w:eastAsia="Times New Roman" w:cs="Arial"/>
          <w:szCs w:val="24"/>
          <w:lang w:eastAsia="en-GB"/>
        </w:rPr>
        <w:t xml:space="preserve">  </w:t>
      </w:r>
      <w:r w:rsidR="009B3963">
        <w:rPr>
          <w:rFonts w:eastAsia="Times New Roman" w:cs="Arial"/>
          <w:szCs w:val="24"/>
          <w:lang w:eastAsia="en-GB"/>
        </w:rPr>
        <w:t xml:space="preserve">The basic algorithm in </w:t>
      </w:r>
      <w:r w:rsidR="009B3963">
        <w:rPr>
          <w:rFonts w:eastAsia="Times New Roman" w:cs="Arial"/>
          <w:szCs w:val="24"/>
          <w:lang w:eastAsia="en-GB"/>
        </w:rPr>
        <w:lastRenderedPageBreak/>
        <w:t xml:space="preserve">which the decision support for this functionality could work is demonstrated </w:t>
      </w:r>
      <w:r w:rsidR="005D5C71">
        <w:rPr>
          <w:rFonts w:eastAsia="Times New Roman" w:cs="Arial"/>
          <w:szCs w:val="24"/>
          <w:lang w:eastAsia="en-GB"/>
        </w:rPr>
        <w:t>is summarised in the decision tree in</w:t>
      </w:r>
      <w:r w:rsidR="009B3963">
        <w:rPr>
          <w:rFonts w:eastAsia="Times New Roman" w:cs="Arial"/>
          <w:szCs w:val="24"/>
          <w:lang w:eastAsia="en-GB"/>
        </w:rPr>
        <w:t xml:space="preserve"> Figure 3.</w:t>
      </w:r>
    </w:p>
    <w:p w14:paraId="22EBB7E0" w14:textId="77777777" w:rsidR="00EF0A14" w:rsidRDefault="00EF0A14" w:rsidP="001D6BC2">
      <w:pPr>
        <w:spacing w:after="0" w:line="240" w:lineRule="auto"/>
        <w:textAlignment w:val="center"/>
        <w:rPr>
          <w:rFonts w:eastAsia="Times New Roman" w:cs="Arial"/>
          <w:szCs w:val="24"/>
          <w:lang w:eastAsia="en-GB"/>
        </w:rPr>
      </w:pPr>
    </w:p>
    <w:p w14:paraId="7122F35D" w14:textId="77777777" w:rsidR="009B3963" w:rsidRDefault="009B3963" w:rsidP="009B3963">
      <w:pPr>
        <w:keepNext/>
        <w:spacing w:after="0" w:line="240" w:lineRule="auto"/>
        <w:textAlignment w:val="center"/>
      </w:pPr>
      <w:r w:rsidRPr="00A9305A">
        <w:rPr>
          <w:rFonts w:eastAsia="Times New Roman" w:cs="Arial"/>
          <w:noProof/>
          <w:szCs w:val="24"/>
          <w:lang w:eastAsia="en-GB"/>
        </w:rPr>
        <w:drawing>
          <wp:inline distT="0" distB="0" distL="0" distR="0" wp14:anchorId="49AB23BC" wp14:editId="4586CE38">
            <wp:extent cx="5710177" cy="3338423"/>
            <wp:effectExtent l="0" t="0" r="508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24176" cy="3346608"/>
                    </a:xfrm>
                    <a:prstGeom prst="rect">
                      <a:avLst/>
                    </a:prstGeom>
                  </pic:spPr>
                </pic:pic>
              </a:graphicData>
            </a:graphic>
          </wp:inline>
        </w:drawing>
      </w:r>
    </w:p>
    <w:p w14:paraId="2E9D097D" w14:textId="537C492F" w:rsidR="009B3963" w:rsidRPr="009B3963" w:rsidRDefault="009B3963" w:rsidP="00FF2453">
      <w:pPr>
        <w:pStyle w:val="Caption"/>
        <w:spacing w:before="240"/>
        <w:rPr>
          <w:rFonts w:eastAsia="Times New Roman" w:cs="Arial"/>
          <w:b/>
          <w:bCs/>
          <w:szCs w:val="24"/>
          <w:lang w:eastAsia="en-GB"/>
        </w:rPr>
      </w:pPr>
      <w:r w:rsidRPr="009B3963">
        <w:rPr>
          <w:b/>
          <w:bCs/>
        </w:rPr>
        <w:t xml:space="preserve">Figure </w:t>
      </w:r>
      <w:r w:rsidRPr="009B3963">
        <w:rPr>
          <w:b/>
          <w:bCs/>
        </w:rPr>
        <w:fldChar w:fldCharType="begin"/>
      </w:r>
      <w:r w:rsidRPr="009B3963">
        <w:rPr>
          <w:b/>
          <w:bCs/>
        </w:rPr>
        <w:instrText xml:space="preserve"> SEQ Figure \* ARABIC </w:instrText>
      </w:r>
      <w:r w:rsidRPr="009B3963">
        <w:rPr>
          <w:b/>
          <w:bCs/>
        </w:rPr>
        <w:fldChar w:fldCharType="separate"/>
      </w:r>
      <w:r w:rsidR="00FF2453">
        <w:rPr>
          <w:b/>
          <w:bCs/>
          <w:noProof/>
        </w:rPr>
        <w:t>2</w:t>
      </w:r>
      <w:r w:rsidRPr="009B3963">
        <w:rPr>
          <w:b/>
          <w:bCs/>
        </w:rPr>
        <w:fldChar w:fldCharType="end"/>
      </w:r>
      <w:r w:rsidRPr="009B3963">
        <w:rPr>
          <w:b/>
          <w:bCs/>
        </w:rPr>
        <w:t xml:space="preserve"> Representation of Concepts Required to support Dose Cumulation CDS Checking</w:t>
      </w:r>
    </w:p>
    <w:p w14:paraId="65B2BA04" w14:textId="77777777" w:rsidR="009B3963" w:rsidRDefault="009B3963" w:rsidP="001D6BC2">
      <w:pPr>
        <w:spacing w:after="0" w:line="240" w:lineRule="auto"/>
        <w:textAlignment w:val="center"/>
        <w:rPr>
          <w:rFonts w:eastAsia="Times New Roman" w:cs="Arial"/>
          <w:szCs w:val="24"/>
          <w:lang w:eastAsia="en-GB"/>
        </w:rPr>
      </w:pPr>
    </w:p>
    <w:p w14:paraId="3480976F" w14:textId="5964F46E" w:rsidR="001D6BC2" w:rsidRPr="001D6BC2" w:rsidRDefault="00CE1B5E" w:rsidP="001D6BC2">
      <w:pPr>
        <w:pStyle w:val="NormalWeb"/>
        <w:spacing w:before="0" w:beforeAutospacing="0" w:after="0" w:afterAutospacing="0"/>
        <w:rPr>
          <w:rFonts w:ascii="Arial" w:hAnsi="Arial" w:cs="Arial"/>
        </w:rPr>
      </w:pPr>
      <w:r>
        <w:rPr>
          <w:rFonts w:ascii="Arial" w:hAnsi="Arial" w:cs="Arial"/>
        </w:rPr>
        <w:fldChar w:fldCharType="begin"/>
      </w:r>
      <w:r>
        <w:rPr>
          <w:rFonts w:ascii="Arial" w:hAnsi="Arial" w:cs="Arial"/>
        </w:rPr>
        <w:instrText xml:space="preserve"> ADDIN EN.CITE &lt;EndNote&gt;&lt;Cite AuthorYear="1"&gt;&lt;Author&gt;Maxwell&lt;/Author&gt;&lt;Year&gt;2012&lt;/Year&gt;&lt;RecNum&gt;517&lt;/RecNum&gt;&lt;DisplayText&gt;Maxwell&lt;style face="italic"&gt; et al.&lt;/style&gt; (2012)&lt;/DisplayText&gt;&lt;record&gt;&lt;rec-number&gt;517&lt;/rec-number&gt;&lt;foreign-keys&gt;&lt;key app="EN" db-id="wxra20f03dt20kepwrwvfa0mvpxxeeezfaaz" timestamp="1675417759"&gt;517&lt;/key&gt;&lt;/foreign-keys&gt;&lt;ref-type name="Journal Article"&gt;17&lt;/ref-type&gt;&lt;contributors&gt;&lt;authors&gt;&lt;author&gt;Maxwell, Simon&lt;/author&gt;&lt;author&gt;Eichler, Hans-Georg&lt;/author&gt;&lt;author&gt;Bucsics, Anna&lt;/author&gt;&lt;author&gt;Haefeli, Walter E.&lt;/author&gt;&lt;author&gt;Gustafsson, Lars L.&lt;/author&gt;&lt;/authors&gt;&lt;/contributors&gt;&lt;titles&gt;&lt;title&gt;e-SPC: new approaches to delivering drug information&lt;/title&gt;&lt;secondary-title&gt;Future Prescriber&lt;/secondary-title&gt;&lt;/titles&gt;&lt;periodical&gt;&lt;full-title&gt;Future Prescriber&lt;/full-title&gt;&lt;/periodical&gt;&lt;pages&gt;17-19&lt;/pages&gt;&lt;volume&gt;13&lt;/volume&gt;&lt;number&gt;2&lt;/number&gt;&lt;dates&gt;&lt;year&gt;2012&lt;/year&gt;&lt;/dates&gt;&lt;publisher&gt;Wiley&lt;/publisher&gt;&lt;isbn&gt;1468-9871&lt;/isbn&gt;&lt;urls&gt;&lt;related-urls&gt;&lt;url&gt;https://dx.doi.org/10.1002/fps.94&lt;/url&gt;&lt;/related-urls&gt;&lt;/urls&gt;&lt;electronic-resource-num&gt;10.1002/fps.94&lt;/electronic-resource-num&gt;&lt;/record&gt;&lt;/Cite&gt;&lt;/EndNote&gt;</w:instrText>
      </w:r>
      <w:r>
        <w:rPr>
          <w:rFonts w:ascii="Arial" w:hAnsi="Arial" w:cs="Arial"/>
        </w:rPr>
        <w:fldChar w:fldCharType="separate"/>
      </w:r>
      <w:r>
        <w:rPr>
          <w:rFonts w:ascii="Arial" w:hAnsi="Arial" w:cs="Arial"/>
          <w:noProof/>
        </w:rPr>
        <w:t>Maxwell</w:t>
      </w:r>
      <w:r w:rsidRPr="00CE1B5E">
        <w:rPr>
          <w:rFonts w:ascii="Arial" w:hAnsi="Arial" w:cs="Arial"/>
          <w:i/>
          <w:noProof/>
        </w:rPr>
        <w:t xml:space="preserve"> et al.</w:t>
      </w:r>
      <w:r>
        <w:rPr>
          <w:rFonts w:ascii="Arial" w:hAnsi="Arial" w:cs="Arial"/>
          <w:noProof/>
        </w:rPr>
        <w:t xml:space="preserve"> (2012)</w:t>
      </w:r>
      <w:r>
        <w:rPr>
          <w:rFonts w:ascii="Arial" w:hAnsi="Arial" w:cs="Arial"/>
        </w:rPr>
        <w:fldChar w:fldCharType="end"/>
      </w:r>
      <w:r w:rsidR="001D6BC2" w:rsidRPr="001D6BC2">
        <w:rPr>
          <w:rFonts w:ascii="Arial" w:hAnsi="Arial" w:cs="Arial"/>
        </w:rPr>
        <w:t xml:space="preserve"> paper proposes an electronic structure for the current mechanism of presenting the detail summary of product characteristics, a licensing requirement needed for every licensed medicine on the UK Market.</w:t>
      </w:r>
    </w:p>
    <w:p w14:paraId="443E48ED" w14:textId="6A722F60" w:rsidR="001D6BC2" w:rsidRPr="001D6BC2" w:rsidRDefault="001D6BC2" w:rsidP="001D6BC2">
      <w:pPr>
        <w:pStyle w:val="NormalWeb"/>
        <w:spacing w:before="0" w:beforeAutospacing="0" w:after="0" w:afterAutospacing="0"/>
        <w:rPr>
          <w:rFonts w:ascii="Arial" w:hAnsi="Arial" w:cs="Arial"/>
        </w:rPr>
      </w:pPr>
      <w:r w:rsidRPr="001D6BC2">
        <w:rPr>
          <w:rFonts w:ascii="Arial" w:hAnsi="Arial" w:cs="Arial"/>
        </w:rPr>
        <w:t>The concept of being able to use digitised elements of the SPC provides the potential for better integrated and interoperable CDS, linking disease states and monitoring parameters, maximum doses etc, without additional configuration in the implementing system</w:t>
      </w:r>
      <w:r w:rsidR="00CE1B5E">
        <w:rPr>
          <w:rFonts w:ascii="Arial" w:hAnsi="Arial" w:cs="Arial"/>
        </w:rPr>
        <w:t xml:space="preserve">, however it is only recently that the standards required to support this </w:t>
      </w:r>
      <w:r w:rsidR="007D23C1">
        <w:rPr>
          <w:rFonts w:ascii="Arial" w:hAnsi="Arial" w:cs="Arial"/>
        </w:rPr>
        <w:t>are becoming more mature</w:t>
      </w:r>
      <w:r w:rsidR="00A56DDD">
        <w:rPr>
          <w:rFonts w:ascii="Arial" w:hAnsi="Arial" w:cs="Arial"/>
        </w:rPr>
        <w:t xml:space="preserve"> </w:t>
      </w:r>
      <w:r w:rsidR="00055502">
        <w:rPr>
          <w:rFonts w:ascii="Arial" w:hAnsi="Arial" w:cs="Arial"/>
        </w:rPr>
        <w:fldChar w:fldCharType="begin"/>
      </w:r>
      <w:r w:rsidR="00055502">
        <w:rPr>
          <w:rFonts w:ascii="Arial" w:hAnsi="Arial" w:cs="Arial"/>
        </w:rPr>
        <w:instrText xml:space="preserve"> ADDIN EN.CITE &lt;EndNote&gt;&lt;Cite&gt;&lt;Author&gt;NHS Digital&lt;/Author&gt;&lt;Year&gt;2023&lt;/Year&gt;&lt;RecNum&gt;523&lt;/RecNum&gt;&lt;DisplayText&gt;(NHS Digital, 2023)&lt;/DisplayText&gt;&lt;record&gt;&lt;rec-number&gt;523&lt;/rec-number&gt;&lt;foreign-keys&gt;&lt;key app="EN" db-id="wxra20f03dt20kepwrwvfa0mvpxxeeezfaaz" timestamp="1675434842"&gt;523&lt;/key&gt;&lt;/foreign-keys&gt;&lt;ref-type name="Web Page"&gt;12&lt;/ref-type&gt;&lt;contributors&gt;&lt;authors&gt;&lt;author&gt;NHS Digital,&lt;/author&gt;&lt;/authors&gt;&lt;/contributors&gt;&lt;titles&gt;&lt;title&gt;Digital and Interoperable Medicines Programme&lt;/title&gt;&lt;/titles&gt;&lt;dates&gt;&lt;year&gt;2023&lt;/year&gt;&lt;/dates&gt;&lt;urls&gt;&lt;related-urls&gt;&lt;url&gt;https://digital.nhs.uk/services/digital-and-interoperable-medicines&lt;/url&gt;&lt;/related-urls&gt;&lt;/urls&gt;&lt;access-date&gt;23.01.2023&lt;/access-date&gt;&lt;/record&gt;&lt;/Cite&gt;&lt;/EndNote&gt;</w:instrText>
      </w:r>
      <w:r w:rsidR="00055502">
        <w:rPr>
          <w:rFonts w:ascii="Arial" w:hAnsi="Arial" w:cs="Arial"/>
        </w:rPr>
        <w:fldChar w:fldCharType="separate"/>
      </w:r>
      <w:r w:rsidR="00055502">
        <w:rPr>
          <w:rFonts w:ascii="Arial" w:hAnsi="Arial" w:cs="Arial"/>
          <w:noProof/>
        </w:rPr>
        <w:t>(NHS Digital, 2023)</w:t>
      </w:r>
      <w:r w:rsidR="00055502">
        <w:rPr>
          <w:rFonts w:ascii="Arial" w:hAnsi="Arial" w:cs="Arial"/>
        </w:rPr>
        <w:fldChar w:fldCharType="end"/>
      </w:r>
      <w:r w:rsidR="007D23C1">
        <w:rPr>
          <w:rFonts w:ascii="Arial" w:hAnsi="Arial" w:cs="Arial"/>
        </w:rPr>
        <w:t xml:space="preserve">.  </w:t>
      </w:r>
    </w:p>
    <w:p w14:paraId="168FFB3E" w14:textId="77777777" w:rsidR="001D6BC2" w:rsidRDefault="001D6BC2" w:rsidP="001D6BC2">
      <w:pPr>
        <w:spacing w:after="0" w:line="240" w:lineRule="auto"/>
        <w:textAlignment w:val="center"/>
        <w:rPr>
          <w:rFonts w:eastAsia="Times New Roman" w:cs="Arial"/>
          <w:szCs w:val="24"/>
          <w:lang w:eastAsia="en-GB"/>
        </w:rPr>
      </w:pPr>
    </w:p>
    <w:p w14:paraId="00AAC37C" w14:textId="0527E8D1" w:rsidR="00FF2453" w:rsidRDefault="006D1465" w:rsidP="00FF2453">
      <w:pPr>
        <w:keepNext/>
        <w:spacing w:after="0" w:line="240" w:lineRule="auto"/>
        <w:textAlignment w:val="center"/>
      </w:pPr>
      <w:r w:rsidRPr="006D1465">
        <w:rPr>
          <w:noProof/>
        </w:rPr>
        <w:lastRenderedPageBreak/>
        <w:drawing>
          <wp:inline distT="0" distB="0" distL="0" distR="0" wp14:anchorId="736EA9DF" wp14:editId="32E14EE5">
            <wp:extent cx="6237497" cy="3514725"/>
            <wp:effectExtent l="0" t="0" r="0" b="0"/>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pic:nvPicPr>
                  <pic:blipFill>
                    <a:blip r:embed="rId10"/>
                    <a:stretch>
                      <a:fillRect/>
                    </a:stretch>
                  </pic:blipFill>
                  <pic:spPr>
                    <a:xfrm>
                      <a:off x="0" y="0"/>
                      <a:ext cx="6239167" cy="3515666"/>
                    </a:xfrm>
                    <a:prstGeom prst="rect">
                      <a:avLst/>
                    </a:prstGeom>
                  </pic:spPr>
                </pic:pic>
              </a:graphicData>
            </a:graphic>
          </wp:inline>
        </w:drawing>
      </w:r>
    </w:p>
    <w:p w14:paraId="726844D2" w14:textId="0D570A43" w:rsidR="006F6B9A" w:rsidRPr="00C452E3" w:rsidRDefault="00FF2453" w:rsidP="00FF2453">
      <w:pPr>
        <w:pStyle w:val="Caption"/>
        <w:rPr>
          <w:b/>
          <w:bCs/>
        </w:rPr>
      </w:pPr>
      <w:r w:rsidRPr="00C452E3">
        <w:rPr>
          <w:b/>
          <w:bCs/>
        </w:rPr>
        <w:t xml:space="preserve">Figure </w:t>
      </w:r>
      <w:r w:rsidRPr="00C452E3">
        <w:rPr>
          <w:b/>
          <w:bCs/>
        </w:rPr>
        <w:fldChar w:fldCharType="begin"/>
      </w:r>
      <w:r w:rsidRPr="00C452E3">
        <w:rPr>
          <w:b/>
          <w:bCs/>
        </w:rPr>
        <w:instrText xml:space="preserve"> SEQ Figure \* ARABIC </w:instrText>
      </w:r>
      <w:r w:rsidRPr="00C452E3">
        <w:rPr>
          <w:b/>
          <w:bCs/>
        </w:rPr>
        <w:fldChar w:fldCharType="separate"/>
      </w:r>
      <w:r w:rsidRPr="00C452E3">
        <w:rPr>
          <w:b/>
          <w:bCs/>
          <w:noProof/>
        </w:rPr>
        <w:t>3</w:t>
      </w:r>
      <w:r w:rsidRPr="00C452E3">
        <w:rPr>
          <w:b/>
          <w:bCs/>
        </w:rPr>
        <w:fldChar w:fldCharType="end"/>
      </w:r>
      <w:r w:rsidRPr="00C452E3">
        <w:rPr>
          <w:b/>
          <w:bCs/>
        </w:rPr>
        <w:t xml:space="preserve"> Dose Cumulation Decision Tree - After Value Exceeded</w:t>
      </w:r>
    </w:p>
    <w:p w14:paraId="13EC3330" w14:textId="77777777" w:rsidR="002D458C" w:rsidRPr="002D458C" w:rsidRDefault="002D458C" w:rsidP="002D458C">
      <w:pPr>
        <w:spacing w:after="0" w:line="240" w:lineRule="auto"/>
        <w:ind w:left="720"/>
        <w:textAlignment w:val="center"/>
        <w:rPr>
          <w:rFonts w:eastAsia="Times New Roman" w:cs="Arial"/>
          <w:szCs w:val="24"/>
          <w:lang w:eastAsia="en-GB"/>
        </w:rPr>
      </w:pPr>
    </w:p>
    <w:p w14:paraId="1510B1FB" w14:textId="515AEBF8" w:rsidR="006A48A5" w:rsidRDefault="003E6304" w:rsidP="00F85D98">
      <w:pPr>
        <w:rPr>
          <w:lang w:val="en-US"/>
        </w:rPr>
      </w:pPr>
      <w:r>
        <w:rPr>
          <w:lang w:val="en-US"/>
        </w:rPr>
        <w:t>Once implemented and configured</w:t>
      </w:r>
      <w:r w:rsidR="00055502">
        <w:rPr>
          <w:lang w:val="en-US"/>
        </w:rPr>
        <w:t xml:space="preserve"> </w:t>
      </w:r>
      <w:r w:rsidR="008A7E11">
        <w:rPr>
          <w:lang w:val="en-US"/>
        </w:rPr>
        <w:t xml:space="preserve">it is very apparent that </w:t>
      </w:r>
      <w:r w:rsidR="00AB2460">
        <w:rPr>
          <w:lang w:val="en-US"/>
        </w:rPr>
        <w:t xml:space="preserve">when </w:t>
      </w:r>
      <w:r w:rsidR="00881576">
        <w:rPr>
          <w:lang w:val="en-US"/>
        </w:rPr>
        <w:t xml:space="preserve">medicines related </w:t>
      </w:r>
      <w:r w:rsidR="00AB2460">
        <w:rPr>
          <w:lang w:val="en-US"/>
        </w:rPr>
        <w:t xml:space="preserve">CDS is embedded and used within ePMA systems it is related with </w:t>
      </w:r>
      <w:r w:rsidR="00F93B7C">
        <w:rPr>
          <w:lang w:val="en-US"/>
        </w:rPr>
        <w:t xml:space="preserve">significant reduction in ADRs and </w:t>
      </w:r>
      <w:r w:rsidR="000E4131">
        <w:rPr>
          <w:lang w:val="en-US"/>
        </w:rPr>
        <w:t xml:space="preserve">almost 50% less </w:t>
      </w:r>
      <w:r w:rsidR="00F93B7C">
        <w:rPr>
          <w:lang w:val="en-US"/>
        </w:rPr>
        <w:t xml:space="preserve">medication errors in </w:t>
      </w:r>
      <w:r w:rsidR="00F9518F">
        <w:rPr>
          <w:lang w:val="en-US"/>
        </w:rPr>
        <w:t xml:space="preserve">secondary care, hospital settings, compared with paper equivalents.  </w:t>
      </w:r>
      <w:r w:rsidR="001367C2">
        <w:rPr>
          <w:lang w:val="en-US"/>
        </w:rPr>
        <w:t xml:space="preserve"> However</w:t>
      </w:r>
      <w:r w:rsidR="000E085C">
        <w:rPr>
          <w:lang w:val="en-US"/>
        </w:rPr>
        <w:t>,</w:t>
      </w:r>
      <w:r w:rsidR="001367C2">
        <w:rPr>
          <w:lang w:val="en-US"/>
        </w:rPr>
        <w:t xml:space="preserve"> </w:t>
      </w:r>
      <w:r w:rsidR="00FA2910">
        <w:rPr>
          <w:lang w:val="en-US"/>
        </w:rPr>
        <w:t xml:space="preserve">there is considerable inconsistency </w:t>
      </w:r>
      <w:r w:rsidR="009A739B">
        <w:rPr>
          <w:lang w:val="en-US"/>
        </w:rPr>
        <w:t>as to the</w:t>
      </w:r>
      <w:r w:rsidR="00270A74">
        <w:rPr>
          <w:lang w:val="en-US"/>
        </w:rPr>
        <w:t xml:space="preserve"> extent of effectiveness of medication related CDS </w:t>
      </w:r>
      <w:r w:rsidR="0072487D">
        <w:rPr>
          <w:lang w:val="en-US"/>
        </w:rPr>
        <w:t xml:space="preserve">in reducing ADRs and medication errors.  </w:t>
      </w:r>
      <w:r w:rsidR="00C83DC0">
        <w:rPr>
          <w:lang w:val="en-US"/>
        </w:rPr>
        <w:t xml:space="preserve">With </w:t>
      </w:r>
      <w:r w:rsidR="00647606">
        <w:rPr>
          <w:lang w:val="en-US"/>
        </w:rPr>
        <w:t xml:space="preserve">such </w:t>
      </w:r>
      <w:r w:rsidR="00C83DC0">
        <w:rPr>
          <w:lang w:val="en-US"/>
        </w:rPr>
        <w:t>complex systems</w:t>
      </w:r>
      <w:r w:rsidR="00647606">
        <w:rPr>
          <w:lang w:val="en-US"/>
        </w:rPr>
        <w:t xml:space="preserve"> as CDS, t</w:t>
      </w:r>
      <w:r w:rsidR="0072487D">
        <w:rPr>
          <w:lang w:val="en-US"/>
        </w:rPr>
        <w:t>h</w:t>
      </w:r>
      <w:r w:rsidR="000439C9">
        <w:rPr>
          <w:lang w:val="en-US"/>
        </w:rPr>
        <w:t xml:space="preserve">e design and configuration </w:t>
      </w:r>
      <w:r w:rsidR="00647606">
        <w:rPr>
          <w:lang w:val="en-US"/>
        </w:rPr>
        <w:t xml:space="preserve">are </w:t>
      </w:r>
      <w:r w:rsidR="00C83DC0">
        <w:rPr>
          <w:lang w:val="en-US"/>
        </w:rPr>
        <w:t>equally as important as</w:t>
      </w:r>
      <w:r w:rsidR="007910ED">
        <w:rPr>
          <w:lang w:val="en-US"/>
        </w:rPr>
        <w:t xml:space="preserve"> the context and the manner in which it is implemented</w:t>
      </w:r>
      <w:r w:rsidR="00E663E2">
        <w:rPr>
          <w:lang w:val="en-US"/>
        </w:rPr>
        <w:t xml:space="preserve"> particular</w:t>
      </w:r>
      <w:r w:rsidR="00117ED3">
        <w:rPr>
          <w:lang w:val="en-US"/>
        </w:rPr>
        <w:t>ly</w:t>
      </w:r>
      <w:r w:rsidR="00E663E2">
        <w:rPr>
          <w:lang w:val="en-US"/>
        </w:rPr>
        <w:t xml:space="preserve"> </w:t>
      </w:r>
      <w:r w:rsidR="00873BD2">
        <w:rPr>
          <w:lang w:val="en-US"/>
        </w:rPr>
        <w:t xml:space="preserve">considering the many </w:t>
      </w:r>
      <w:r w:rsidR="00117ED3">
        <w:rPr>
          <w:lang w:val="en-US"/>
        </w:rPr>
        <w:t xml:space="preserve">related </w:t>
      </w:r>
      <w:r w:rsidR="00873BD2">
        <w:rPr>
          <w:lang w:val="en-US"/>
        </w:rPr>
        <w:t>sociotechnical aspect</w:t>
      </w:r>
      <w:r w:rsidR="00117ED3">
        <w:rPr>
          <w:lang w:val="en-US"/>
        </w:rPr>
        <w:t xml:space="preserve">s </w:t>
      </w:r>
      <w:r w:rsidR="00ED79E8">
        <w:rPr>
          <w:lang w:val="en-US"/>
        </w:rPr>
        <w:fldChar w:fldCharType="begin">
          <w:fldData xml:space="preserve">PEVuZE5vdGU+PENpdGU+PEF1dGhvcj5DaGF1ZGhyeTwvQXV0aG9yPjxZZWFyPjIwMDY8L1llYXI+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</w:fldData>
        </w:fldChar>
      </w:r>
      <w:r w:rsidR="00312682">
        <w:rPr>
          <w:lang w:val="en-US"/>
        </w:rPr>
        <w:instrText xml:space="preserve"> ADDIN EN.CITE </w:instrText>
      </w:r>
      <w:r w:rsidR="00312682">
        <w:rPr>
          <w:lang w:val="en-US"/>
        </w:rPr>
        <w:fldChar w:fldCharType="begin">
          <w:fldData xml:space="preserve">PEVuZE5vdGU+PENpdGU+PEF1dGhvcj5DaGF1ZGhyeTwvQXV0aG9yPjxZZWFyPjIwMDY8L1llYXI+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</w:fldData>
        </w:fldChar>
      </w:r>
      <w:r w:rsidR="00312682">
        <w:rPr>
          <w:lang w:val="en-US"/>
        </w:rPr>
        <w:instrText xml:space="preserve"> ADDIN EN.CITE.DATA </w:instrText>
      </w:r>
      <w:r w:rsidR="00312682">
        <w:rPr>
          <w:lang w:val="en-US"/>
        </w:rPr>
      </w:r>
      <w:r w:rsidR="00312682">
        <w:rPr>
          <w:lang w:val="en-US"/>
        </w:rPr>
        <w:fldChar w:fldCharType="end"/>
      </w:r>
      <w:r w:rsidR="00ED79E8">
        <w:rPr>
          <w:lang w:val="en-US"/>
        </w:rPr>
      </w:r>
      <w:r w:rsidR="00ED79E8">
        <w:rPr>
          <w:lang w:val="en-US"/>
        </w:rPr>
        <w:fldChar w:fldCharType="separate"/>
      </w:r>
      <w:r w:rsidR="00312682">
        <w:rPr>
          <w:noProof/>
          <w:lang w:val="en-US"/>
        </w:rPr>
        <w:t>(Chaudhry</w:t>
      </w:r>
      <w:r w:rsidR="00312682" w:rsidRPr="00312682">
        <w:rPr>
          <w:i/>
          <w:noProof/>
          <w:lang w:val="en-US"/>
        </w:rPr>
        <w:t xml:space="preserve"> et al.</w:t>
      </w:r>
      <w:r w:rsidR="00312682">
        <w:rPr>
          <w:noProof/>
          <w:lang w:val="en-US"/>
        </w:rPr>
        <w:t>, 2006, Shekelle</w:t>
      </w:r>
      <w:r w:rsidR="00312682" w:rsidRPr="00312682">
        <w:rPr>
          <w:i/>
          <w:noProof/>
          <w:lang w:val="en-US"/>
        </w:rPr>
        <w:t xml:space="preserve"> et al.</w:t>
      </w:r>
      <w:r w:rsidR="00312682">
        <w:rPr>
          <w:noProof/>
          <w:lang w:val="en-US"/>
        </w:rPr>
        <w:t>, 2011, Wears and Berg, 2005)</w:t>
      </w:r>
      <w:r w:rsidR="00ED79E8">
        <w:rPr>
          <w:lang w:val="en-US"/>
        </w:rPr>
        <w:fldChar w:fldCharType="end"/>
      </w:r>
      <w:r w:rsidR="00C83DC0">
        <w:rPr>
          <w:lang w:val="en-US"/>
        </w:rPr>
        <w:t>.</w:t>
      </w:r>
      <w:r w:rsidR="00387BE4">
        <w:rPr>
          <w:lang w:val="en-US"/>
        </w:rPr>
        <w:t xml:space="preserve">  </w:t>
      </w:r>
      <w:r w:rsidR="007A16D0">
        <w:rPr>
          <w:lang w:val="en-US"/>
        </w:rPr>
        <w:t xml:space="preserve">However, </w:t>
      </w:r>
      <w:r w:rsidR="005C4CB4">
        <w:rPr>
          <w:lang w:val="en-US"/>
        </w:rPr>
        <w:t>all the compared</w:t>
      </w:r>
      <w:r w:rsidR="00AC5B05">
        <w:rPr>
          <w:lang w:val="en-US"/>
        </w:rPr>
        <w:t xml:space="preserve"> outcomes</w:t>
      </w:r>
      <w:r w:rsidR="005C4CB4">
        <w:rPr>
          <w:lang w:val="en-US"/>
        </w:rPr>
        <w:t xml:space="preserve"> publications </w:t>
      </w:r>
      <w:r w:rsidR="00C42B51">
        <w:rPr>
          <w:lang w:val="en-US"/>
        </w:rPr>
        <w:t xml:space="preserve">reported </w:t>
      </w:r>
      <w:r w:rsidR="00963279">
        <w:rPr>
          <w:lang w:val="en-US"/>
        </w:rPr>
        <w:t>significant reduction in either medication errors or ADRs</w:t>
      </w:r>
      <w:r w:rsidR="000D654A">
        <w:rPr>
          <w:lang w:val="en-US"/>
        </w:rPr>
        <w:t xml:space="preserve">, with the exception of an increase in medication error but decrease in ADRs being reported </w:t>
      </w:r>
      <w:r w:rsidR="00887DD8">
        <w:rPr>
          <w:lang w:val="en-US"/>
        </w:rPr>
        <w:t xml:space="preserve">by </w:t>
      </w:r>
      <w:r w:rsidR="00172E39">
        <w:rPr>
          <w:lang w:val="en-US"/>
        </w:rPr>
        <w:fldChar w:fldCharType="begin"/>
      </w:r>
      <w:r w:rsidR="00E923F0">
        <w:rPr>
          <w:lang w:val="en-US"/>
        </w:rPr>
        <w:instrText xml:space="preserve"> ADDIN EN.CITE &lt;EndNote&gt;&lt;Cite AuthorYear="1"&gt;&lt;Author&gt;Leung&lt;/Author&gt;&lt;Year&gt;2012&lt;/Year&gt;&lt;RecNum&gt;398&lt;/RecNum&gt;&lt;DisplayText&gt;Leung&lt;style face="italic"&gt; et al.&lt;/style&gt; (2012)&lt;/DisplayText&gt;&lt;record&gt;&lt;rec-number&gt;398&lt;/rec-number&gt;&lt;foreign-keys&gt;&lt;key app="EN" db-id="wxra20f03dt20kepwrwvfa0mvpxxeeezfaaz" timestamp="1672756217"&gt;398&lt;/key&gt;&lt;/foreign-keys&gt;&lt;ref-type name="Journal Article"&gt;17&lt;/ref-type&gt;&lt;contributors&gt;&lt;authors&gt;&lt;author&gt;Leung, Alexander A.&lt;/author&gt;&lt;author&gt;Keohane, Carol&lt;/author&gt;&lt;author&gt;Amato, Mary&lt;/author&gt;&lt;author&gt;Simon, Steven R.&lt;/author&gt;&lt;author&gt;Coffey, Michael&lt;/author&gt;&lt;author&gt;Kaufman, Nathan&lt;/author&gt;&lt;author&gt;Cadet, Bismarck&lt;/author&gt;&lt;author&gt;Schiff, Gordon&lt;/author&gt;&lt;author&gt;Zimlichman, Eyal&lt;/author&gt;&lt;author&gt;Seger, Diane L.&lt;/author&gt;&lt;author&gt;Yoon, Catherine&lt;/author&gt;&lt;author&gt;Song, Peter&lt;/author&gt;&lt;author&gt;Bates, David W.&lt;/author&gt;&lt;/authors&gt;&lt;/contributors&gt;&lt;titles&gt;&lt;title&gt;Impact of Vendor Computerized Physician Order Entry in Community Hospitals&lt;/title&gt;&lt;secondary-title&gt;Journal of General Internal Medicine&lt;/secondary-title&gt;&lt;/titles&gt;&lt;periodical&gt;&lt;full-title&gt;Journal of General Internal Medicine&lt;/full-title&gt;&lt;/periodical&gt;&lt;pages&gt;801-807&lt;/pages&gt;&lt;volume&gt;27&lt;/volume&gt;&lt;number&gt;7&lt;/number&gt;&lt;dates&gt;&lt;year&gt;2012&lt;/year&gt;&lt;/dates&gt;&lt;publisher&gt;Springer Science and Business Media LLC&lt;/publisher&gt;&lt;isbn&gt;0884-8734&lt;/isbn&gt;&lt;urls&gt;&lt;related-urls&gt;&lt;url&gt;https://dx.doi.org/10.1007/s11606-012-1987-7&lt;/url&gt;&lt;/related-urls&gt;&lt;/urls&gt;&lt;electronic-resource-num&gt;10.1007/s11606-012-1987-7&lt;/electronic-resource-num&gt;&lt;/record&gt;&lt;/Cite&gt;&lt;/EndNote&gt;</w:instrText>
      </w:r>
      <w:r w:rsidR="00172E39">
        <w:rPr>
          <w:lang w:val="en-US"/>
        </w:rPr>
        <w:fldChar w:fldCharType="separate"/>
      </w:r>
      <w:r w:rsidR="00E923F0">
        <w:rPr>
          <w:noProof/>
          <w:lang w:val="en-US"/>
        </w:rPr>
        <w:t>Leung</w:t>
      </w:r>
      <w:r w:rsidR="00E923F0" w:rsidRPr="00E923F0">
        <w:rPr>
          <w:i/>
          <w:noProof/>
          <w:lang w:val="en-US"/>
        </w:rPr>
        <w:t xml:space="preserve"> et al.</w:t>
      </w:r>
      <w:r w:rsidR="00E923F0">
        <w:rPr>
          <w:noProof/>
          <w:lang w:val="en-US"/>
        </w:rPr>
        <w:t xml:space="preserve"> (2012)</w:t>
      </w:r>
      <w:r w:rsidR="00172E39">
        <w:rPr>
          <w:lang w:val="en-US"/>
        </w:rPr>
        <w:fldChar w:fldCharType="end"/>
      </w:r>
      <w:r w:rsidR="00E923F0">
        <w:rPr>
          <w:lang w:val="en-US"/>
        </w:rPr>
        <w:t xml:space="preserve">, and </w:t>
      </w:r>
      <w:r w:rsidR="00E923F0">
        <w:rPr>
          <w:lang w:val="en-US"/>
        </w:rPr>
        <w:fldChar w:fldCharType="begin"/>
      </w:r>
      <w:r w:rsidR="00E923F0">
        <w:rPr>
          <w:lang w:val="en-US"/>
        </w:rPr>
        <w:instrText xml:space="preserve"> ADDIN EN.CITE &lt;EndNote&gt;&lt;Cite AuthorYear="1"&gt;&lt;Author&gt;Menendez&lt;/Author&gt;&lt;Year&gt;2012&lt;/Year&gt;&lt;RecNum&gt;399&lt;/RecNum&gt;&lt;DisplayText&gt;Menendez&lt;style face="italic"&gt; et al.&lt;/style&gt; (2012)&lt;/DisplayText&gt;&lt;record&gt;&lt;rec-number&gt;399&lt;/rec-number&gt;&lt;foreign-keys&gt;&lt;key app="EN" db-id="wxra20f03dt20kepwrwvfa0mvpxxeeezfaaz" timestamp="1672756294"&gt;399&lt;/key&gt;&lt;/foreign-keys&gt;&lt;ref-type name="Journal Article"&gt;17&lt;/ref-type&gt;&lt;contributors&gt;&lt;authors&gt;&lt;author&gt;Menendez, MD&lt;/author&gt;&lt;author&gt;Alonso, J&lt;/author&gt;&lt;author&gt;Rancaño, I&lt;/author&gt;&lt;author&gt;Corte, JJ&lt;/author&gt;&lt;author&gt;Herranz, V&lt;/author&gt;&lt;author&gt;Vazquez, F&lt;/author&gt;&lt;/authors&gt;&lt;/contributors&gt;&lt;titles&gt;&lt;title&gt;Impact of computerized physician order entry on medication errors&lt;/title&gt;&lt;secondary-title&gt;Revista de Calidad Asistencial&lt;/secondary-title&gt;&lt;/titles&gt;&lt;periodical&gt;&lt;full-title&gt;Revista de Calidad Asistencial&lt;/full-title&gt;&lt;/periodical&gt;&lt;pages&gt;334-340&lt;/pages&gt;&lt;volume&gt;27&lt;/volume&gt;&lt;number&gt;6&lt;/number&gt;&lt;dates&gt;&lt;year&gt;2012&lt;/year&gt;&lt;/dates&gt;&lt;isbn&gt;1134-282X&lt;/isbn&gt;&lt;urls&gt;&lt;/urls&gt;&lt;/record&gt;&lt;/Cite&gt;&lt;/EndNote&gt;</w:instrText>
      </w:r>
      <w:r w:rsidR="00E923F0">
        <w:rPr>
          <w:lang w:val="en-US"/>
        </w:rPr>
        <w:fldChar w:fldCharType="separate"/>
      </w:r>
      <w:r w:rsidR="00E923F0">
        <w:rPr>
          <w:noProof/>
          <w:lang w:val="en-US"/>
        </w:rPr>
        <w:t>Menendez</w:t>
      </w:r>
      <w:r w:rsidR="00E923F0" w:rsidRPr="00E923F0">
        <w:rPr>
          <w:i/>
          <w:noProof/>
          <w:lang w:val="en-US"/>
        </w:rPr>
        <w:t xml:space="preserve"> et al.</w:t>
      </w:r>
      <w:r w:rsidR="00E923F0">
        <w:rPr>
          <w:noProof/>
          <w:lang w:val="en-US"/>
        </w:rPr>
        <w:t xml:space="preserve"> (2012)</w:t>
      </w:r>
      <w:r w:rsidR="00E923F0">
        <w:rPr>
          <w:lang w:val="en-US"/>
        </w:rPr>
        <w:fldChar w:fldCharType="end"/>
      </w:r>
      <w:r w:rsidR="00E923F0">
        <w:rPr>
          <w:lang w:val="en-US"/>
        </w:rPr>
        <w:t>.</w:t>
      </w:r>
      <w:r w:rsidR="00E445DC">
        <w:rPr>
          <w:lang w:val="en-US"/>
        </w:rPr>
        <w:t xml:space="preserve">  This could be </w:t>
      </w:r>
      <w:r w:rsidR="001A0FAD">
        <w:rPr>
          <w:lang w:val="en-US"/>
        </w:rPr>
        <w:t>due to ePMA systems introducing newer medication related errors as unintended consequences, with lower risks associated ADR</w:t>
      </w:r>
      <w:r w:rsidR="0054483B">
        <w:rPr>
          <w:lang w:val="en-US"/>
        </w:rPr>
        <w:t>s</w:t>
      </w:r>
      <w:r w:rsidR="00595496">
        <w:rPr>
          <w:lang w:val="en-US"/>
        </w:rPr>
        <w:t xml:space="preserve"> and </w:t>
      </w:r>
      <w:r w:rsidR="005D00B1">
        <w:rPr>
          <w:lang w:val="en-US"/>
        </w:rPr>
        <w:t>causing less high risk ADRs.</w:t>
      </w:r>
      <w:r w:rsidR="00B74EDF">
        <w:rPr>
          <w:lang w:val="en-US"/>
        </w:rPr>
        <w:t xml:space="preserve">  </w:t>
      </w:r>
      <w:r w:rsidR="006A48A5">
        <w:rPr>
          <w:lang w:val="en-US"/>
        </w:rPr>
        <w:t xml:space="preserve">It is also possible that the use of CDS makes </w:t>
      </w:r>
      <w:r w:rsidR="00E84393">
        <w:rPr>
          <w:lang w:val="en-US"/>
        </w:rPr>
        <w:t>it simpler to identify the error</w:t>
      </w:r>
      <w:r w:rsidR="00B74EDF">
        <w:rPr>
          <w:lang w:val="en-US"/>
        </w:rPr>
        <w:t xml:space="preserve">.  </w:t>
      </w:r>
      <w:r w:rsidR="00203F23">
        <w:rPr>
          <w:lang w:val="en-US"/>
        </w:rPr>
        <w:t xml:space="preserve">This highlights the cruciality of </w:t>
      </w:r>
      <w:r w:rsidR="00572893">
        <w:rPr>
          <w:lang w:val="en-US"/>
        </w:rPr>
        <w:t>configuring CDS to the context in which it is implemented</w:t>
      </w:r>
      <w:r w:rsidR="00D03C0E">
        <w:rPr>
          <w:lang w:val="en-US"/>
        </w:rPr>
        <w:t>.</w:t>
      </w:r>
      <w:r w:rsidR="00E369D4">
        <w:rPr>
          <w:lang w:val="en-US"/>
        </w:rPr>
        <w:t xml:space="preserve">  This especially the case with dose cumulation </w:t>
      </w:r>
      <w:r w:rsidR="002362BD">
        <w:rPr>
          <w:lang w:val="en-US"/>
        </w:rPr>
        <w:t>configurations.</w:t>
      </w:r>
    </w:p>
    <w:p w14:paraId="21DD209C" w14:textId="5F811FBE" w:rsidR="006C7884" w:rsidRDefault="001A542B" w:rsidP="00F85D98">
      <w:pPr>
        <w:rPr>
          <w:lang w:val="en-US"/>
        </w:rPr>
      </w:pPr>
      <w:r>
        <w:rPr>
          <w:lang w:val="en-US"/>
        </w:rPr>
        <w:t xml:space="preserve">Interestingly </w:t>
      </w:r>
      <w:r w:rsidR="00745A33">
        <w:rPr>
          <w:lang w:val="en-US"/>
        </w:rPr>
        <w:t xml:space="preserve">context and implementation are important elements considered in the GUIDEs checklist </w:t>
      </w:r>
      <w:r w:rsidR="00992ADE">
        <w:rPr>
          <w:lang w:val="en-US"/>
        </w:rPr>
        <w:t>design</w:t>
      </w:r>
      <w:r w:rsidR="00E1098F">
        <w:rPr>
          <w:lang w:val="en-US"/>
        </w:rPr>
        <w:t>ed</w:t>
      </w:r>
      <w:r w:rsidR="00992ADE">
        <w:rPr>
          <w:lang w:val="en-US"/>
        </w:rPr>
        <w:t xml:space="preserve"> to help improve guidelines based CDS </w:t>
      </w:r>
      <w:r w:rsidR="007A7CED">
        <w:rPr>
          <w:lang w:val="en-US"/>
        </w:rPr>
        <w:fldChar w:fldCharType="begin"/>
      </w:r>
      <w:r w:rsidR="007A7CED">
        <w:rPr>
          <w:lang w:val="en-US"/>
        </w:rPr>
        <w:instrText xml:space="preserve"> ADDIN EN.CITE &lt;EndNote&gt;&lt;Cite&gt;&lt;Author&gt;Van De Velde&lt;/Author&gt;&lt;Year&gt;2018&lt;/Year&gt;&lt;RecNum&gt;502&lt;/RecNum&gt;&lt;DisplayText&gt;(Van De Velde&lt;style face="italic"&gt; et al.&lt;/style&gt;, 2018)&lt;/DisplayText&gt;&lt;record&gt;&lt;rec-number&gt;502&lt;/rec-number&gt;&lt;foreign-keys&gt;&lt;key app="EN" db-id="wxra20f03dt20kepwrwvfa0mvpxxeeezfaaz" timestamp="1673531320"&gt;502&lt;/key&gt;&lt;/foreign-keys&gt;&lt;ref-type name="Journal Article"&gt;17&lt;/ref-type&gt;&lt;contributors&gt;&lt;authors&gt;&lt;author&gt;Van De Velde, Stijn&lt;/author&gt;&lt;author&gt;Kunnamo, Ilkka&lt;/author&gt;&lt;author&gt;Roshanov, Pavel&lt;/author&gt;&lt;author&gt;Kortteisto, Tiina&lt;/author&gt;&lt;author&gt;Aertgeerts, Bert&lt;/author&gt;&lt;author&gt;Vandvik, Per Olav&lt;/author&gt;&lt;author&gt;Flottorp, Signe&lt;/author&gt;&lt;/authors&gt;&lt;/contributors&gt;&lt;titles&gt;&lt;title&gt;The GUIDES checklist: development of a tool to improve the successful use of guideline-based computerised clinical decision support&lt;/title&gt;&lt;secondary-title&gt;Implementation Science&lt;/secondary-title&gt;&lt;/titles&gt;&lt;periodical&gt;&lt;full-title&gt;Implementation Science&lt;/full-title&gt;&lt;/periodical&gt;&lt;volume&gt;13&lt;/volume&gt;&lt;number&gt;1&lt;/number&gt;&lt;dates&gt;&lt;year&gt;2018&lt;/year&gt;&lt;/dates&gt;&lt;publisher&gt;Springer Science and Business Media LLC&lt;/publisher&gt;&lt;isbn&gt;1748-5908&lt;/isbn&gt;&lt;urls&gt;&lt;related-urls&gt;&lt;url&gt;https://dx.doi.org/10.1186/s13012-018-0772-3&lt;/url&gt;&lt;/related-urls&gt;&lt;/urls&gt;&lt;electronic-resource-num&gt;10.1186/s13012-018-0772-3&lt;/electronic-resource-num&gt;&lt;/record&gt;&lt;/Cite&gt;&lt;/EndNote&gt;</w:instrText>
      </w:r>
      <w:r w:rsidR="007A7CED">
        <w:rPr>
          <w:lang w:val="en-US"/>
        </w:rPr>
        <w:fldChar w:fldCharType="separate"/>
      </w:r>
      <w:r w:rsidR="007A7CED">
        <w:rPr>
          <w:noProof/>
          <w:lang w:val="en-US"/>
        </w:rPr>
        <w:t>(Van De Velde</w:t>
      </w:r>
      <w:r w:rsidR="007A7CED" w:rsidRPr="007A7CED">
        <w:rPr>
          <w:i/>
          <w:noProof/>
          <w:lang w:val="en-US"/>
        </w:rPr>
        <w:t xml:space="preserve"> et al.</w:t>
      </w:r>
      <w:r w:rsidR="007A7CED">
        <w:rPr>
          <w:noProof/>
          <w:lang w:val="en-US"/>
        </w:rPr>
        <w:t>, 2018)</w:t>
      </w:r>
      <w:r w:rsidR="007A7CED">
        <w:rPr>
          <w:lang w:val="en-US"/>
        </w:rPr>
        <w:fldChar w:fldCharType="end"/>
      </w:r>
      <w:r w:rsidR="007A7CED">
        <w:rPr>
          <w:lang w:val="en-US"/>
        </w:rPr>
        <w:t>.</w:t>
      </w:r>
      <w:r w:rsidR="00812266">
        <w:rPr>
          <w:lang w:val="en-US"/>
        </w:rPr>
        <w:t xml:space="preserve">   </w:t>
      </w:r>
    </w:p>
    <w:p w14:paraId="40C00C7D" w14:textId="1816B8A0" w:rsidR="00B8351F" w:rsidRDefault="00DF043F" w:rsidP="00F85D98">
      <w:pPr>
        <w:rPr>
          <w:lang w:val="en-US"/>
        </w:rPr>
      </w:pPr>
      <w:r>
        <w:rPr>
          <w:lang w:val="en-US"/>
        </w:rPr>
        <w:t>Studies that started out with higher baseline error rates saw bigger improvements</w:t>
      </w:r>
      <w:r w:rsidR="008C12E6">
        <w:rPr>
          <w:lang w:val="en-US"/>
        </w:rPr>
        <w:t xml:space="preserve">, </w:t>
      </w:r>
      <w:r w:rsidR="00F46A54">
        <w:rPr>
          <w:lang w:val="en-US"/>
        </w:rPr>
        <w:t>as expected when comparing against those with less errors to quash.</w:t>
      </w:r>
      <w:r w:rsidR="00CD749A">
        <w:rPr>
          <w:lang w:val="en-US"/>
        </w:rPr>
        <w:t xml:space="preserve">  This </w:t>
      </w:r>
      <w:r w:rsidR="00E1098F">
        <w:rPr>
          <w:lang w:val="en-US"/>
        </w:rPr>
        <w:t xml:space="preserve">was </w:t>
      </w:r>
      <w:r w:rsidR="001C48F6">
        <w:rPr>
          <w:lang w:val="en-US"/>
        </w:rPr>
        <w:lastRenderedPageBreak/>
        <w:t>observed</w:t>
      </w:r>
      <w:r w:rsidR="00CD749A">
        <w:rPr>
          <w:lang w:val="en-US"/>
        </w:rPr>
        <w:t xml:space="preserve"> in a number of studies </w:t>
      </w:r>
      <w:r w:rsidR="00F45A4F">
        <w:rPr>
          <w:lang w:val="en-US"/>
        </w:rPr>
        <w:t>and systemic reviews</w:t>
      </w:r>
      <w:r w:rsidR="00695ED3">
        <w:rPr>
          <w:lang w:val="en-US"/>
        </w:rPr>
        <w:t xml:space="preserve"> </w:t>
      </w:r>
      <w:r w:rsidR="00695ED3">
        <w:rPr>
          <w:lang w:val="en-US"/>
        </w:rPr>
        <w:fldChar w:fldCharType="begin">
          <w:fldData xml:space="preserve">PEVuZE5vdGU+PENpdGU+PEF1dGhvcj5QcmdvbWV0PC9BdXRob3I+PFllYXI+MjAxNzwvWWVhcj48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=
</w:fldData>
        </w:fldChar>
      </w:r>
      <w:r w:rsidR="00B93126">
        <w:rPr>
          <w:lang w:val="en-US"/>
        </w:rPr>
        <w:instrText xml:space="preserve"> ADDIN EN.CITE </w:instrText>
      </w:r>
      <w:r w:rsidR="00B93126">
        <w:rPr>
          <w:lang w:val="en-US"/>
        </w:rPr>
        <w:fldChar w:fldCharType="begin">
          <w:fldData xml:space="preserve">PEVuZE5vdGU+PENpdGU+PEF1dGhvcj5QcmdvbWV0PC9BdXRob3I+PFllYXI+MjAxNzwvWWVhcj48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=
</w:fldData>
        </w:fldChar>
      </w:r>
      <w:r w:rsidR="00B93126">
        <w:rPr>
          <w:lang w:val="en-US"/>
        </w:rPr>
        <w:instrText xml:space="preserve"> ADDIN EN.CITE.DATA </w:instrText>
      </w:r>
      <w:r w:rsidR="00B93126">
        <w:rPr>
          <w:lang w:val="en-US"/>
        </w:rPr>
      </w:r>
      <w:r w:rsidR="00B93126">
        <w:rPr>
          <w:lang w:val="en-US"/>
        </w:rPr>
        <w:fldChar w:fldCharType="end"/>
      </w:r>
      <w:r w:rsidR="00695ED3">
        <w:rPr>
          <w:lang w:val="en-US"/>
        </w:rPr>
      </w:r>
      <w:r w:rsidR="00695ED3">
        <w:rPr>
          <w:lang w:val="en-US"/>
        </w:rPr>
        <w:fldChar w:fldCharType="separate"/>
      </w:r>
      <w:r w:rsidR="00B93126">
        <w:rPr>
          <w:noProof/>
          <w:lang w:val="en-US"/>
        </w:rPr>
        <w:t>(Prgomet</w:t>
      </w:r>
      <w:r w:rsidR="00B93126" w:rsidRPr="00B93126">
        <w:rPr>
          <w:i/>
          <w:noProof/>
          <w:lang w:val="en-US"/>
        </w:rPr>
        <w:t xml:space="preserve"> et al.</w:t>
      </w:r>
      <w:r w:rsidR="00B93126">
        <w:rPr>
          <w:noProof/>
          <w:lang w:val="en-US"/>
        </w:rPr>
        <w:t>, 2017, Shamliyan</w:t>
      </w:r>
      <w:r w:rsidR="00B93126" w:rsidRPr="00B93126">
        <w:rPr>
          <w:i/>
          <w:noProof/>
          <w:lang w:val="en-US"/>
        </w:rPr>
        <w:t xml:space="preserve"> et al.</w:t>
      </w:r>
      <w:r w:rsidR="00B93126">
        <w:rPr>
          <w:noProof/>
          <w:lang w:val="en-US"/>
        </w:rPr>
        <w:t>, 2007)</w:t>
      </w:r>
      <w:r w:rsidR="00695ED3">
        <w:rPr>
          <w:lang w:val="en-US"/>
        </w:rPr>
        <w:fldChar w:fldCharType="end"/>
      </w:r>
      <w:r w:rsidR="00CD749A">
        <w:rPr>
          <w:lang w:val="en-US"/>
        </w:rPr>
        <w:t>.</w:t>
      </w:r>
      <w:r w:rsidR="00F46A54">
        <w:rPr>
          <w:lang w:val="en-US"/>
        </w:rPr>
        <w:t xml:space="preserve"> </w:t>
      </w:r>
    </w:p>
    <w:p w14:paraId="7DDBB342" w14:textId="4E7C084A" w:rsidR="00BD4F00" w:rsidRDefault="00AE32E0" w:rsidP="00F85D98">
      <w:pPr>
        <w:rPr>
          <w:lang w:val="en-US"/>
        </w:rPr>
      </w:pPr>
      <w:r>
        <w:rPr>
          <w:lang w:val="en-US"/>
        </w:rPr>
        <w:t>A</w:t>
      </w:r>
      <w:r w:rsidR="00681C2F">
        <w:rPr>
          <w:lang w:val="en-US"/>
        </w:rPr>
        <w:t xml:space="preserve"> key</w:t>
      </w:r>
      <w:r>
        <w:rPr>
          <w:lang w:val="en-US"/>
        </w:rPr>
        <w:t xml:space="preserve"> consideration to take into account when considering the effect of </w:t>
      </w:r>
      <w:r w:rsidR="00BF5930">
        <w:rPr>
          <w:lang w:val="en-US"/>
        </w:rPr>
        <w:t xml:space="preserve">CDS on reducing errors is </w:t>
      </w:r>
      <w:r w:rsidR="00681C2F">
        <w:rPr>
          <w:lang w:val="en-US"/>
        </w:rPr>
        <w:t xml:space="preserve">to understand whether alerts or prompts are actioned in the first place.  </w:t>
      </w:r>
      <w:r w:rsidR="00455953">
        <w:rPr>
          <w:lang w:val="en-US"/>
        </w:rPr>
        <w:fldChar w:fldCharType="begin"/>
      </w:r>
      <w:r w:rsidR="00D0236E">
        <w:rPr>
          <w:lang w:val="en-US"/>
        </w:rPr>
        <w:instrText xml:space="preserve"> ADDIN EN.CITE &lt;EndNote&gt;&lt;Cite AuthorYear="1"&gt;&lt;Author&gt;Moxey&lt;/Author&gt;&lt;Year&gt;2010&lt;/Year&gt;&lt;RecNum&gt;506&lt;/RecNum&gt;&lt;DisplayText&gt;Moxey&lt;style face="italic"&gt; et al.&lt;/style&gt; (2010)&lt;/DisplayText&gt;&lt;record&gt;&lt;rec-number&gt;506&lt;/rec-number&gt;&lt;foreign-keys&gt;&lt;key app="EN" db-id="wxra20f03dt20kepwrwvfa0mvpxxeeezfaaz" timestamp="1673542075"&gt;506&lt;/key&gt;&lt;/foreign-keys&gt;&lt;ref-type name="Journal Article"&gt;17&lt;/ref-type&gt;&lt;contributors&gt;&lt;authors&gt;&lt;author&gt;Moxey, Annette&lt;/author&gt;&lt;author&gt;Robertson, Jane&lt;/author&gt;&lt;author&gt;Newby, David&lt;/author&gt;&lt;author&gt;Hains, Isla&lt;/author&gt;&lt;author&gt;Williamson, Margaret&lt;/author&gt;&lt;author&gt;Pearson, Sallie-Anne&lt;/author&gt;&lt;/authors&gt;&lt;/contributors&gt;&lt;titles&gt;&lt;title&gt;Computerized clinical decision support for prescribing: provision does not guarantee uptake&lt;/title&gt;&lt;secondary-title&gt;Journal of the American Medical Informatics Association&lt;/secondary-title&gt;&lt;/titles&gt;&lt;periodical&gt;&lt;full-title&gt;Journal of the American Medical Informatics Association&lt;/full-title&gt;&lt;/periodical&gt;&lt;pages&gt;25-33&lt;/pages&gt;&lt;volume&gt;17&lt;/volume&gt;&lt;number&gt;1&lt;/number&gt;&lt;dates&gt;&lt;year&gt;2010&lt;/year&gt;&lt;/dates&gt;&lt;isbn&gt;1067-5027&lt;/isbn&gt;&lt;urls&gt;&lt;related-urls&gt;&lt;url&gt;https://doi.org/10.1197/jamia.M3170&lt;/url&gt;&lt;/related-urls&gt;&lt;/urls&gt;&lt;electronic-resource-num&gt;10.1197/jamia.M3170&lt;/electronic-resource-num&gt;&lt;access-date&gt;1/12/2023&lt;/access-date&gt;&lt;/record&gt;&lt;/Cite&gt;&lt;/EndNote&gt;</w:instrText>
      </w:r>
      <w:r w:rsidR="00455953">
        <w:rPr>
          <w:lang w:val="en-US"/>
        </w:rPr>
        <w:fldChar w:fldCharType="separate"/>
      </w:r>
      <w:r w:rsidR="00D0236E">
        <w:rPr>
          <w:noProof/>
          <w:lang w:val="en-US"/>
        </w:rPr>
        <w:t>Moxey</w:t>
      </w:r>
      <w:r w:rsidR="00D0236E" w:rsidRPr="00D0236E">
        <w:rPr>
          <w:i/>
          <w:noProof/>
          <w:lang w:val="en-US"/>
        </w:rPr>
        <w:t xml:space="preserve"> et al.</w:t>
      </w:r>
      <w:r w:rsidR="00D0236E">
        <w:rPr>
          <w:noProof/>
          <w:lang w:val="en-US"/>
        </w:rPr>
        <w:t xml:space="preserve"> (2010)</w:t>
      </w:r>
      <w:r w:rsidR="00455953">
        <w:rPr>
          <w:lang w:val="en-US"/>
        </w:rPr>
        <w:fldChar w:fldCharType="end"/>
      </w:r>
      <w:r w:rsidR="00455953">
        <w:rPr>
          <w:lang w:val="en-US"/>
        </w:rPr>
        <w:t xml:space="preserve"> </w:t>
      </w:r>
      <w:r w:rsidR="00D0236E">
        <w:rPr>
          <w:lang w:val="en-US"/>
        </w:rPr>
        <w:t xml:space="preserve">systematic review </w:t>
      </w:r>
      <w:r w:rsidR="00B13F27">
        <w:rPr>
          <w:lang w:val="en-US"/>
        </w:rPr>
        <w:t xml:space="preserve">found that between </w:t>
      </w:r>
      <w:r w:rsidR="00254D0D">
        <w:rPr>
          <w:lang w:val="en-US"/>
        </w:rPr>
        <w:t xml:space="preserve">49-96% of CDS alerts were </w:t>
      </w:r>
      <w:r w:rsidR="00FC57F7">
        <w:rPr>
          <w:lang w:val="en-US"/>
        </w:rPr>
        <w:t>ignored when prescribing took place</w:t>
      </w:r>
      <w:r w:rsidR="00B85121">
        <w:rPr>
          <w:lang w:val="en-US"/>
        </w:rPr>
        <w:t xml:space="preserve">, further pointing out that timing and frequency of when </w:t>
      </w:r>
      <w:r w:rsidR="00D45883">
        <w:rPr>
          <w:lang w:val="en-US"/>
        </w:rPr>
        <w:t xml:space="preserve">alerts occur is important. </w:t>
      </w:r>
      <w:r w:rsidR="00455953">
        <w:rPr>
          <w:lang w:val="en-US"/>
        </w:rPr>
        <w:t xml:space="preserve"> </w:t>
      </w:r>
      <w:r w:rsidR="00FD0682">
        <w:rPr>
          <w:lang w:val="en-US"/>
        </w:rPr>
        <w:t xml:space="preserve">When considering </w:t>
      </w:r>
      <w:r w:rsidR="009567B2">
        <w:rPr>
          <w:lang w:val="en-US"/>
        </w:rPr>
        <w:t>this, i</w:t>
      </w:r>
      <w:r w:rsidR="003302FD">
        <w:rPr>
          <w:lang w:val="en-US"/>
        </w:rPr>
        <w:t xml:space="preserve">t </w:t>
      </w:r>
      <w:r w:rsidR="00CF3B02">
        <w:rPr>
          <w:lang w:val="en-US"/>
        </w:rPr>
        <w:t>is informative</w:t>
      </w:r>
      <w:r w:rsidR="003302FD">
        <w:rPr>
          <w:lang w:val="en-US"/>
        </w:rPr>
        <w:t xml:space="preserve"> to understand different perspectives </w:t>
      </w:r>
      <w:r w:rsidR="00071A04">
        <w:rPr>
          <w:lang w:val="en-US"/>
        </w:rPr>
        <w:t xml:space="preserve">such as responses to alerts themselves such as </w:t>
      </w:r>
      <w:r w:rsidR="00153087">
        <w:rPr>
          <w:lang w:val="en-US"/>
        </w:rPr>
        <w:t>seen in</w:t>
      </w:r>
      <w:r w:rsidR="00071A04">
        <w:rPr>
          <w:lang w:val="en-US"/>
        </w:rPr>
        <w:t xml:space="preserve"> </w:t>
      </w:r>
      <w:r w:rsidR="00453038">
        <w:rPr>
          <w:lang w:val="en-US"/>
        </w:rPr>
        <w:t xml:space="preserve"> </w:t>
      </w:r>
      <w:r w:rsidR="00DF1305">
        <w:rPr>
          <w:lang w:val="en-US"/>
        </w:rPr>
        <w:fldChar w:fldCharType="begin"/>
      </w:r>
      <w:r w:rsidR="00071A04">
        <w:rPr>
          <w:lang w:val="en-US"/>
        </w:rPr>
        <w:instrText xml:space="preserve"> ADDIN EN.CITE &lt;EndNote&gt;&lt;Cite AuthorYear="1"&gt;&lt;Author&gt;Bell&lt;/Author&gt;&lt;Year&gt;2019&lt;/Year&gt;&lt;RecNum&gt;315&lt;/RecNum&gt;&lt;DisplayText&gt;Bell&lt;style face="italic"&gt; et al.&lt;/style&gt; (2019)&lt;/DisplayText&gt;&lt;record&gt;&lt;rec-number&gt;315&lt;/rec-number&gt;&lt;foreign-keys&gt;&lt;key app="EN" db-id="wxra20f03dt20kepwrwvfa0mvpxxeeezfaaz" timestamp="1667493767"&gt;315&lt;/key&gt;&lt;/foreign-keys&gt;&lt;ref-type name="Journal Article"&gt;17&lt;/ref-type&gt;&lt;contributors&gt;&lt;authors&gt;&lt;author&gt;Bell, Helen&lt;/author&gt;&lt;author&gt;Garfield, Sara&lt;/author&gt;&lt;author&gt;Khosla, Sonia&lt;/author&gt;&lt;author&gt;Patel, Chimnay&lt;/author&gt;&lt;author&gt;Franklin, Bryony Dean&lt;/author&gt;&lt;/authors&gt;&lt;/contributors&gt;&lt;titles&gt;&lt;title&gt;Mixed methods study of medication-related decision support alerts experienced during electronic prescribing for inpatients at an English hospital&lt;/title&gt;&lt;secondary-title&gt;European Journal of Hospital Pharmacy&lt;/secondary-title&gt;&lt;/titles&gt;&lt;periodical&gt;&lt;full-title&gt;European Journal of Hospital Pharmacy&lt;/full-title&gt;&lt;/periodical&gt;&lt;pages&gt;318-322&lt;/pages&gt;&lt;volume&gt;26&lt;/volume&gt;&lt;number&gt;6&lt;/number&gt;&lt;dates&gt;&lt;year&gt;2019&lt;/year&gt;&lt;/dates&gt;&lt;publisher&gt;BMJ&lt;/publisher&gt;&lt;isbn&gt;2047-9956&lt;/isbn&gt;&lt;urls&gt;&lt;related-urls&gt;&lt;url&gt;https://dx.doi.org/10.1136/ejhpharm-2017-001483&lt;/url&gt;&lt;/related-urls&gt;&lt;/urls&gt;&lt;electronic-resource-num&gt;10.1136/ejhpharm-2017-001483&lt;/electronic-resource-num&gt;&lt;/record&gt;&lt;/Cite&gt;&lt;/EndNote&gt;</w:instrText>
      </w:r>
      <w:r w:rsidR="00DF1305">
        <w:rPr>
          <w:lang w:val="en-US"/>
        </w:rPr>
        <w:fldChar w:fldCharType="separate"/>
      </w:r>
      <w:r w:rsidR="00071A04">
        <w:rPr>
          <w:noProof/>
          <w:lang w:val="en-US"/>
        </w:rPr>
        <w:t>Bell</w:t>
      </w:r>
      <w:r w:rsidR="00071A04" w:rsidRPr="00071A04">
        <w:rPr>
          <w:i/>
          <w:noProof/>
          <w:lang w:val="en-US"/>
        </w:rPr>
        <w:t xml:space="preserve"> et al.</w:t>
      </w:r>
      <w:r w:rsidR="00071A04">
        <w:rPr>
          <w:noProof/>
          <w:lang w:val="en-US"/>
        </w:rPr>
        <w:t xml:space="preserve"> (2019)</w:t>
      </w:r>
      <w:r w:rsidR="00DF1305">
        <w:rPr>
          <w:lang w:val="en-US"/>
        </w:rPr>
        <w:fldChar w:fldCharType="end"/>
      </w:r>
      <w:r w:rsidR="00071A04">
        <w:rPr>
          <w:lang w:val="en-US"/>
        </w:rPr>
        <w:t xml:space="preserve"> study,</w:t>
      </w:r>
      <w:r w:rsidR="00DF1305">
        <w:rPr>
          <w:lang w:val="en-US"/>
        </w:rPr>
        <w:t xml:space="preserve"> which focused on the</w:t>
      </w:r>
      <w:r w:rsidR="00071A04">
        <w:rPr>
          <w:lang w:val="en-US"/>
        </w:rPr>
        <w:t xml:space="preserve"> number of</w:t>
      </w:r>
      <w:r w:rsidR="00DF1305">
        <w:rPr>
          <w:lang w:val="en-US"/>
        </w:rPr>
        <w:t xml:space="preserve"> alert</w:t>
      </w:r>
      <w:r w:rsidR="00071A04">
        <w:rPr>
          <w:lang w:val="en-US"/>
        </w:rPr>
        <w:t xml:space="preserve"> </w:t>
      </w:r>
      <w:r w:rsidR="00153087">
        <w:rPr>
          <w:lang w:val="en-US"/>
        </w:rPr>
        <w:t xml:space="preserve">overrides </w:t>
      </w:r>
      <w:r w:rsidR="00C17A68">
        <w:rPr>
          <w:lang w:val="en-US"/>
        </w:rPr>
        <w:t>and when they happen</w:t>
      </w:r>
      <w:r w:rsidR="002656AB">
        <w:rPr>
          <w:lang w:val="en-US"/>
        </w:rPr>
        <w:t>,</w:t>
      </w:r>
      <w:r w:rsidR="00C17A68">
        <w:rPr>
          <w:lang w:val="en-US"/>
        </w:rPr>
        <w:t xml:space="preserve"> and then compare th</w:t>
      </w:r>
      <w:r w:rsidR="00BD4F00">
        <w:rPr>
          <w:lang w:val="en-US"/>
        </w:rPr>
        <w:t>ese to outcomes</w:t>
      </w:r>
      <w:r w:rsidR="005A7E4B">
        <w:rPr>
          <w:lang w:val="en-US"/>
        </w:rPr>
        <w:t>,</w:t>
      </w:r>
      <w:r w:rsidR="00BD4F00">
        <w:rPr>
          <w:lang w:val="en-US"/>
        </w:rPr>
        <w:t xml:space="preserve"> </w:t>
      </w:r>
      <w:r w:rsidR="007441F4">
        <w:rPr>
          <w:lang w:val="en-US"/>
        </w:rPr>
        <w:t xml:space="preserve">such as </w:t>
      </w:r>
      <w:r w:rsidR="00BD4F00">
        <w:rPr>
          <w:lang w:val="en-US"/>
        </w:rPr>
        <w:t xml:space="preserve">described in studies </w:t>
      </w:r>
      <w:r w:rsidR="007441F4">
        <w:rPr>
          <w:lang w:val="en-US"/>
        </w:rPr>
        <w:t xml:space="preserve">like </w:t>
      </w:r>
      <w:r w:rsidR="004B68AE">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4B68AE">
        <w:rPr>
          <w:lang w:val="en-US"/>
        </w:rPr>
        <w:instrText xml:space="preserve"> ADDIN EN.CITE </w:instrText>
      </w:r>
      <w:r w:rsidR="004B68AE">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4B68AE">
        <w:rPr>
          <w:lang w:val="en-US"/>
        </w:rPr>
        <w:instrText xml:space="preserve"> ADDIN EN.CITE.DATA </w:instrText>
      </w:r>
      <w:r w:rsidR="004B68AE">
        <w:rPr>
          <w:lang w:val="en-US"/>
        </w:rPr>
      </w:r>
      <w:r w:rsidR="004B68AE">
        <w:rPr>
          <w:lang w:val="en-US"/>
        </w:rPr>
        <w:fldChar w:fldCharType="end"/>
      </w:r>
      <w:r w:rsidR="004B68AE">
        <w:rPr>
          <w:lang w:val="en-US"/>
        </w:rPr>
      </w:r>
      <w:r w:rsidR="004B68AE">
        <w:rPr>
          <w:lang w:val="en-US"/>
        </w:rPr>
        <w:fldChar w:fldCharType="separate"/>
      </w:r>
      <w:r w:rsidR="004B68AE">
        <w:rPr>
          <w:noProof/>
          <w:lang w:val="en-US"/>
        </w:rPr>
        <w:t>Pontefract</w:t>
      </w:r>
      <w:r w:rsidR="004B68AE" w:rsidRPr="004B68AE">
        <w:rPr>
          <w:i/>
          <w:noProof/>
          <w:lang w:val="en-US"/>
        </w:rPr>
        <w:t xml:space="preserve"> et al.</w:t>
      </w:r>
      <w:r w:rsidR="004B68AE">
        <w:rPr>
          <w:noProof/>
          <w:lang w:val="en-US"/>
        </w:rPr>
        <w:t xml:space="preserve"> (2018)</w:t>
      </w:r>
      <w:r w:rsidR="004B68AE">
        <w:rPr>
          <w:lang w:val="en-US"/>
        </w:rPr>
        <w:fldChar w:fldCharType="end"/>
      </w:r>
      <w:r w:rsidR="00BD4F00">
        <w:rPr>
          <w:lang w:val="en-US"/>
        </w:rPr>
        <w:t>, which c</w:t>
      </w:r>
      <w:r w:rsidR="00E46BF9">
        <w:rPr>
          <w:lang w:val="en-US"/>
        </w:rPr>
        <w:t>ompar</w:t>
      </w:r>
      <w:r w:rsidR="00BD4F00">
        <w:rPr>
          <w:lang w:val="en-US"/>
        </w:rPr>
        <w:t>ed</w:t>
      </w:r>
      <w:r w:rsidR="00E46BF9">
        <w:rPr>
          <w:lang w:val="en-US"/>
        </w:rPr>
        <w:t xml:space="preserve"> </w:t>
      </w:r>
      <w:r w:rsidR="004B68AE">
        <w:rPr>
          <w:lang w:val="en-US"/>
        </w:rPr>
        <w:t xml:space="preserve">the </w:t>
      </w:r>
      <w:r w:rsidR="00747F82">
        <w:rPr>
          <w:lang w:val="en-US"/>
        </w:rPr>
        <w:t>effects on prescribing errors among similar systems</w:t>
      </w:r>
      <w:r w:rsidR="005A7E4B">
        <w:rPr>
          <w:lang w:val="en-US"/>
        </w:rPr>
        <w:t>,</w:t>
      </w:r>
      <w:r w:rsidR="007441F4">
        <w:rPr>
          <w:lang w:val="en-US"/>
        </w:rPr>
        <w:t xml:space="preserve"> </w:t>
      </w:r>
      <w:r w:rsidR="00747F82">
        <w:rPr>
          <w:lang w:val="en-US"/>
        </w:rPr>
        <w:t>with</w:t>
      </w:r>
      <w:r w:rsidR="00C90328">
        <w:rPr>
          <w:lang w:val="en-US"/>
        </w:rPr>
        <w:t xml:space="preserve"> variations in the way</w:t>
      </w:r>
      <w:r w:rsidR="00747F82">
        <w:rPr>
          <w:lang w:val="en-US"/>
        </w:rPr>
        <w:t xml:space="preserve"> medicines </w:t>
      </w:r>
      <w:r w:rsidR="00E46BF9">
        <w:rPr>
          <w:lang w:val="en-US"/>
        </w:rPr>
        <w:t xml:space="preserve">CDS </w:t>
      </w:r>
      <w:r w:rsidR="00C90328">
        <w:rPr>
          <w:lang w:val="en-US"/>
        </w:rPr>
        <w:t>is configured.</w:t>
      </w:r>
      <w:r w:rsidR="005B12F3">
        <w:rPr>
          <w:lang w:val="en-US"/>
        </w:rPr>
        <w:t xml:space="preserve">  </w:t>
      </w:r>
      <w:r w:rsidR="00BD4F00">
        <w:rPr>
          <w:lang w:val="en-US"/>
        </w:rPr>
        <w:t xml:space="preserve"> Bell</w:t>
      </w:r>
      <w:r w:rsidR="00665996">
        <w:rPr>
          <w:lang w:val="en-US"/>
        </w:rPr>
        <w:t xml:space="preserve"> </w:t>
      </w:r>
      <w:r w:rsidR="00665996">
        <w:rPr>
          <w:i/>
          <w:iCs/>
          <w:lang w:val="en-US"/>
        </w:rPr>
        <w:t>et al.</w:t>
      </w:r>
      <w:r w:rsidR="00665996">
        <w:rPr>
          <w:lang w:val="en-US"/>
        </w:rPr>
        <w:t xml:space="preserve"> 2019 found that alerts were far more likely to be overridden when </w:t>
      </w:r>
      <w:r w:rsidR="00B710F1">
        <w:rPr>
          <w:lang w:val="en-US"/>
        </w:rPr>
        <w:t xml:space="preserve">they appeared in the prescribing workflow during ward rounds, then if they appeared </w:t>
      </w:r>
      <w:r w:rsidR="00B76292">
        <w:rPr>
          <w:lang w:val="en-US"/>
        </w:rPr>
        <w:t xml:space="preserve">outside of ward rounds.  The manner and timing and therefore overall effect on patient outcomes </w:t>
      </w:r>
      <w:r w:rsidR="0004570F">
        <w:rPr>
          <w:lang w:val="en-US"/>
        </w:rPr>
        <w:t xml:space="preserve">may not only be associated with the system design but in the configuration and manner in which the CDS is presented in the workflow.  </w:t>
      </w:r>
      <w:r w:rsidR="009567B2">
        <w:rPr>
          <w:lang w:val="en-US"/>
        </w:rPr>
        <w:t xml:space="preserve">That being said, there seems to be very little </w:t>
      </w:r>
      <w:r w:rsidR="00CE2631">
        <w:rPr>
          <w:lang w:val="en-US"/>
        </w:rPr>
        <w:t>outcome-based</w:t>
      </w:r>
      <w:r w:rsidR="009567B2">
        <w:rPr>
          <w:lang w:val="en-US"/>
        </w:rPr>
        <w:t xml:space="preserve"> research that specifically </w:t>
      </w:r>
      <w:r w:rsidR="008F2C20">
        <w:rPr>
          <w:lang w:val="en-US"/>
        </w:rPr>
        <w:t xml:space="preserve">looks at how medicines related CDS fits into workflow and the outcome in terms of error, </w:t>
      </w:r>
      <w:r w:rsidR="00FB5EC8">
        <w:rPr>
          <w:lang w:val="en-US"/>
        </w:rPr>
        <w:t>or ADRs.</w:t>
      </w:r>
    </w:p>
    <w:p w14:paraId="3D63A8E4" w14:textId="3051CC7F" w:rsidR="00373230" w:rsidRDefault="00BC25DA" w:rsidP="00F85D98">
      <w:pPr>
        <w:rPr>
          <w:lang w:val="en-US"/>
        </w:rPr>
      </w:pPr>
      <w:r>
        <w:rPr>
          <w:lang w:val="en-US"/>
        </w:rPr>
        <w:t xml:space="preserve">Whilst overall </w:t>
      </w:r>
      <w:r w:rsidR="00CD15AA">
        <w:rPr>
          <w:lang w:val="en-US"/>
        </w:rPr>
        <w:t xml:space="preserve">Pontefract </w:t>
      </w:r>
      <w:r w:rsidR="00CD15AA">
        <w:rPr>
          <w:i/>
          <w:iCs/>
          <w:lang w:val="en-US"/>
        </w:rPr>
        <w:t xml:space="preserve">et al. </w:t>
      </w:r>
      <w:r w:rsidR="00CD15AA">
        <w:rPr>
          <w:lang w:val="en-US"/>
        </w:rPr>
        <w:t xml:space="preserve">(2018) UK based study demonstrated a statistically significant reduction in overall errors by 1%, there was significant </w:t>
      </w:r>
      <w:r w:rsidR="00974861">
        <w:rPr>
          <w:lang w:val="en-US"/>
        </w:rPr>
        <w:t>variation</w:t>
      </w:r>
      <w:r w:rsidR="007E181F">
        <w:rPr>
          <w:lang w:val="en-US"/>
        </w:rPr>
        <w:t xml:space="preserve">, between different configurations, </w:t>
      </w:r>
      <w:r w:rsidR="00974861">
        <w:rPr>
          <w:lang w:val="en-US"/>
        </w:rPr>
        <w:t>in the types of error that were reduced</w:t>
      </w:r>
      <w:r w:rsidR="008067CD">
        <w:rPr>
          <w:lang w:val="en-US"/>
        </w:rPr>
        <w:t xml:space="preserve">.  These error types included </w:t>
      </w:r>
      <w:r w:rsidR="003830BF">
        <w:rPr>
          <w:lang w:val="en-US"/>
        </w:rPr>
        <w:t>drug-drug interactions</w:t>
      </w:r>
      <w:r w:rsidR="00671251">
        <w:rPr>
          <w:lang w:val="en-US"/>
        </w:rPr>
        <w:t xml:space="preserve"> (DDIs)</w:t>
      </w:r>
      <w:r w:rsidR="003830BF">
        <w:rPr>
          <w:lang w:val="en-US"/>
        </w:rPr>
        <w:t>, contraindications and dose or frequency related</w:t>
      </w:r>
      <w:r w:rsidR="00024BA9">
        <w:rPr>
          <w:lang w:val="en-US"/>
        </w:rPr>
        <w:t xml:space="preserve"> errors</w:t>
      </w:r>
      <w:r w:rsidR="00C07806">
        <w:rPr>
          <w:lang w:val="en-US"/>
        </w:rPr>
        <w:t>.</w:t>
      </w:r>
      <w:r w:rsidR="000C6801">
        <w:rPr>
          <w:lang w:val="en-US"/>
        </w:rPr>
        <w:t xml:space="preserve"> </w:t>
      </w:r>
      <w:r w:rsidR="00E34DE1">
        <w:rPr>
          <w:lang w:val="en-US"/>
        </w:rPr>
        <w:t xml:space="preserve"> </w:t>
      </w:r>
      <w:r w:rsidR="000C6801">
        <w:rPr>
          <w:lang w:val="en-US"/>
        </w:rPr>
        <w:t>Ultimately different configurations produced very different results</w:t>
      </w:r>
      <w:r w:rsidR="00024BA9">
        <w:rPr>
          <w:lang w:val="en-US"/>
        </w:rPr>
        <w:t xml:space="preserve">, however </w:t>
      </w:r>
      <w:r w:rsidR="00FB5EC8">
        <w:rPr>
          <w:lang w:val="en-US"/>
        </w:rPr>
        <w:t xml:space="preserve">unlike </w:t>
      </w:r>
      <w:r w:rsidR="00951736">
        <w:rPr>
          <w:lang w:val="en-US"/>
        </w:rPr>
        <w:t xml:space="preserve">Bell </w:t>
      </w:r>
      <w:r w:rsidR="00951736">
        <w:rPr>
          <w:i/>
          <w:iCs/>
          <w:lang w:val="en-US"/>
        </w:rPr>
        <w:t xml:space="preserve">et al. </w:t>
      </w:r>
      <w:r w:rsidR="00951736">
        <w:rPr>
          <w:lang w:val="en-US"/>
        </w:rPr>
        <w:t xml:space="preserve">(2019), </w:t>
      </w:r>
      <w:proofErr w:type="spellStart"/>
      <w:r w:rsidR="00024BA9">
        <w:rPr>
          <w:lang w:val="en-US"/>
        </w:rPr>
        <w:t>Pontefract’s</w:t>
      </w:r>
      <w:proofErr w:type="spellEnd"/>
      <w:r w:rsidR="00024BA9">
        <w:rPr>
          <w:lang w:val="en-US"/>
        </w:rPr>
        <w:t xml:space="preserve"> </w:t>
      </w:r>
      <w:r w:rsidR="000C5F44">
        <w:rPr>
          <w:lang w:val="en-US"/>
        </w:rPr>
        <w:t>(201</w:t>
      </w:r>
      <w:r w:rsidR="00A93068">
        <w:rPr>
          <w:lang w:val="en-US"/>
        </w:rPr>
        <w:t>8</w:t>
      </w:r>
      <w:r w:rsidR="000C5F44">
        <w:rPr>
          <w:lang w:val="en-US"/>
        </w:rPr>
        <w:t xml:space="preserve">) </w:t>
      </w:r>
      <w:r w:rsidR="00E34DE1">
        <w:rPr>
          <w:lang w:val="en-US"/>
        </w:rPr>
        <w:t>study failed to relate these errors to how users respond to</w:t>
      </w:r>
      <w:r w:rsidR="00951736">
        <w:rPr>
          <w:lang w:val="en-US"/>
        </w:rPr>
        <w:t xml:space="preserve"> decision support.  </w:t>
      </w:r>
      <w:r w:rsidR="00FD6A0E">
        <w:rPr>
          <w:lang w:val="en-US"/>
        </w:rPr>
        <w:t xml:space="preserve">The two perspectives help to build a picture </w:t>
      </w:r>
      <w:r w:rsidR="00D005FA">
        <w:rPr>
          <w:lang w:val="en-US"/>
        </w:rPr>
        <w:t xml:space="preserve">of this complex relationship </w:t>
      </w:r>
      <w:r w:rsidR="00FD6A0E">
        <w:rPr>
          <w:lang w:val="en-US"/>
        </w:rPr>
        <w:t>and would be suitable area for furth</w:t>
      </w:r>
      <w:r w:rsidR="00D005FA">
        <w:rPr>
          <w:lang w:val="en-US"/>
        </w:rPr>
        <w:t xml:space="preserve">er study.   </w:t>
      </w:r>
    </w:p>
    <w:p w14:paraId="14226D68" w14:textId="5A5DF8BD" w:rsidR="00373230" w:rsidRDefault="00294931" w:rsidP="00F85D98">
      <w:pPr>
        <w:rPr>
          <w:lang w:val="en-US"/>
        </w:rPr>
      </w:pPr>
      <w:r>
        <w:rPr>
          <w:lang w:val="en-US"/>
        </w:rPr>
        <w:t>Considering more specific aspects of medicine CDS such as drug-drug interactions, a</w:t>
      </w:r>
      <w:r w:rsidR="009551FD">
        <w:rPr>
          <w:lang w:val="en-US"/>
        </w:rPr>
        <w:t xml:space="preserve"> Korean based paper that looked at developing national DDI rules </w:t>
      </w:r>
      <w:r w:rsidR="005751F6">
        <w:rPr>
          <w:lang w:val="en-US"/>
        </w:rPr>
        <w:t xml:space="preserve">based on high-priority </w:t>
      </w:r>
      <w:r w:rsidR="00904CF9">
        <w:rPr>
          <w:lang w:val="en-US"/>
        </w:rPr>
        <w:t>DD</w:t>
      </w:r>
      <w:r w:rsidR="00963075">
        <w:rPr>
          <w:lang w:val="en-US"/>
        </w:rPr>
        <w:t>I</w:t>
      </w:r>
      <w:r w:rsidR="00904CF9">
        <w:rPr>
          <w:lang w:val="en-US"/>
        </w:rPr>
        <w:t xml:space="preserve">s and assed this against override rates in </w:t>
      </w:r>
      <w:r w:rsidR="005C369A">
        <w:rPr>
          <w:lang w:val="en-US"/>
        </w:rPr>
        <w:t xml:space="preserve">three tertiary hospitals. </w:t>
      </w:r>
      <w:r w:rsidR="007C69CD">
        <w:rPr>
          <w:lang w:val="en-US"/>
        </w:rPr>
        <w:fldChar w:fldCharType="begin"/>
      </w:r>
      <w:r w:rsidR="007C69CD">
        <w:rPr>
          <w:lang w:val="en-US"/>
        </w:rPr>
        <w:instrText xml:space="preserve"> ADDIN EN.CITE &lt;EndNote&gt;&lt;Cite&gt;&lt;Author&gt;Cho&lt;/Author&gt;&lt;Year&gt;2016&lt;/Year&gt;&lt;RecNum&gt;369&lt;/RecNum&gt;&lt;DisplayText&gt;(Cho&lt;style face="italic"&gt; et al.&lt;/style&gt;, 2016)&lt;/DisplayText&gt;&lt;record&gt;&lt;rec-number&gt;369&lt;/rec-number&gt;&lt;foreign-keys&gt;&lt;key app="EN" db-id="wxra20f03dt20kepwrwvfa0mvpxxeeezfaaz" timestamp="1670410575"&gt;369&lt;/key&gt;&lt;/foreign-keys&gt;&lt;ref-type name="Journal Article"&gt;17&lt;/ref-type&gt;&lt;contributors&gt;&lt;authors&gt;&lt;author&gt;Cho, Insook&lt;/author&gt;&lt;author&gt;Lee, Jae-Ho&lt;/author&gt;&lt;author&gt;Choi, Jinwook&lt;/author&gt;&lt;author&gt;Hwang, Hee&lt;/author&gt;&lt;author&gt;Bates, David W.&lt;/author&gt;&lt;/authors&gt;&lt;/contributors&gt;&lt;titles&gt;&lt;title&gt;National Rules for Drug–Drug Interactions: Are They Appropriate for Tertiary Hospitals?&lt;/title&gt;&lt;secondary-title&gt;Journal of Korean Medical Science&lt;/secondary-title&gt;&lt;/titles&gt;&lt;periodical&gt;&lt;full-title&gt;Journal of Korean Medical Science&lt;/full-title&gt;&lt;/periodical&gt;&lt;pages&gt;1887&lt;/pages&gt;&lt;volume&gt;31&lt;/volume&gt;&lt;number&gt;12&lt;/number&gt;&lt;dates&gt;&lt;year&gt;2016&lt;/year&gt;&lt;/dates&gt;&lt;publisher&gt;Korean Academy of Medical Sciences&lt;/publisher&gt;&lt;isbn&gt;1011-8934&lt;/isbn&gt;&lt;urls&gt;&lt;related-urls&gt;&lt;url&gt;https://dx.doi.org/10.3346/jkms.2016.31.12.1887&lt;/url&gt;&lt;/related-urls&gt;&lt;/urls&gt;&lt;electronic-resource-num&gt;10.3346/jkms.2016.31.12.1887&lt;/electronic-resource-num&gt;&lt;/record&gt;&lt;/Cite&gt;&lt;/EndNote&gt;</w:instrText>
      </w:r>
      <w:r w:rsidR="007C69CD">
        <w:rPr>
          <w:lang w:val="en-US"/>
        </w:rPr>
        <w:fldChar w:fldCharType="separate"/>
      </w:r>
      <w:r w:rsidR="007C69CD">
        <w:rPr>
          <w:noProof/>
          <w:lang w:val="en-US"/>
        </w:rPr>
        <w:t>(Cho</w:t>
      </w:r>
      <w:r w:rsidR="007C69CD" w:rsidRPr="007C69CD">
        <w:rPr>
          <w:i/>
          <w:noProof/>
          <w:lang w:val="en-US"/>
        </w:rPr>
        <w:t xml:space="preserve"> et al.</w:t>
      </w:r>
      <w:r w:rsidR="007C69CD">
        <w:rPr>
          <w:noProof/>
          <w:lang w:val="en-US"/>
        </w:rPr>
        <w:t>, 2016)</w:t>
      </w:r>
      <w:r w:rsidR="007C69CD">
        <w:rPr>
          <w:lang w:val="en-US"/>
        </w:rPr>
        <w:fldChar w:fldCharType="end"/>
      </w:r>
      <w:r>
        <w:rPr>
          <w:lang w:val="en-US"/>
        </w:rPr>
        <w:t>.  T</w:t>
      </w:r>
      <w:r w:rsidR="00FB73E0">
        <w:rPr>
          <w:lang w:val="en-US"/>
        </w:rPr>
        <w:t>his study found a high override rate</w:t>
      </w:r>
      <w:r w:rsidR="00671251">
        <w:rPr>
          <w:lang w:val="en-US"/>
        </w:rPr>
        <w:t xml:space="preserve">, </w:t>
      </w:r>
      <w:r w:rsidR="00F21D2D">
        <w:rPr>
          <w:lang w:val="en-US"/>
        </w:rPr>
        <w:t xml:space="preserve">of which, </w:t>
      </w:r>
      <w:r w:rsidR="00671251">
        <w:rPr>
          <w:lang w:val="en-US"/>
        </w:rPr>
        <w:t xml:space="preserve">a small number of these were for high alert DDIs. </w:t>
      </w:r>
      <w:r w:rsidR="00DA2C3B">
        <w:rPr>
          <w:lang w:val="en-US"/>
        </w:rPr>
        <w:t xml:space="preserve"> </w:t>
      </w:r>
      <w:r w:rsidR="00F21D2D">
        <w:rPr>
          <w:lang w:val="en-US"/>
        </w:rPr>
        <w:t>Prior to this study work ha</w:t>
      </w:r>
      <w:r w:rsidR="00FD455D">
        <w:rPr>
          <w:lang w:val="en-US"/>
        </w:rPr>
        <w:t xml:space="preserve">d also </w:t>
      </w:r>
      <w:r w:rsidR="00F21D2D">
        <w:rPr>
          <w:lang w:val="en-US"/>
        </w:rPr>
        <w:t xml:space="preserve">been undertaken by </w:t>
      </w:r>
      <w:r w:rsidR="00965D0E">
        <w:rPr>
          <w:lang w:val="en-US"/>
        </w:rPr>
        <w:fldChar w:fldCharType="begin"/>
      </w:r>
      <w:r w:rsidR="00965D0E">
        <w:rPr>
          <w:lang w:val="en-US"/>
        </w:rPr>
        <w:instrText xml:space="preserve"> ADDIN EN.CITE &lt;EndNote&gt;&lt;Cite AuthorYear="1"&gt;&lt;Author&gt;Phansalkar&lt;/Author&gt;&lt;Year&gt;2012&lt;/Year&gt;&lt;RecNum&gt;365&lt;/RecNum&gt;&lt;DisplayText&gt;Phansalkar&lt;style face="italic"&gt; et al.&lt;/style&gt; (2012)&lt;/DisplayText&gt;&lt;record&gt;&lt;rec-number&gt;365&lt;/rec-number&gt;&lt;foreign-keys&gt;&lt;key app="EN" db-id="wxra20f03dt20kepwrwvfa0mvpxxeeezfaaz" timestamp="1670409947"&gt;365&lt;/key&gt;&lt;/foreign-keys&gt;&lt;ref-type name="Journal Article"&gt;17&lt;/ref-type&gt;&lt;contributors&gt;&lt;authors&gt;&lt;author&gt;Phansalkar, S.&lt;/author&gt;&lt;author&gt;Desai, A. A.&lt;/author&gt;&lt;author&gt;Bell, D.&lt;/author&gt;&lt;author&gt;Yoshida, E.&lt;/author&gt;&lt;author&gt;Doole, J.&lt;/author&gt;&lt;author&gt;Czochanski, M.&lt;/author&gt;&lt;author&gt;Middleton, B.&lt;/author&gt;&lt;author&gt;Bates, D. W.&lt;/author&gt;&lt;/authors&gt;&lt;/contributors&gt;&lt;auth-address&gt;Division of General Internal Medicine and Primary Care, Brigham and Women&amp;apos;s Hospital, Boston, Massachusetts, USA. sphansalkar@partners.org&lt;/auth-address&gt;&lt;titles&gt;&lt;title&gt;High-priority drug-drug interactions for use in electronic health records&lt;/title&gt;&lt;secondary-title&gt;J Am Med Inform Assoc&lt;/secondary-title&gt;&lt;/titles&gt;&lt;periodical&gt;&lt;full-title&gt;J Am Med Inform Assoc&lt;/full-title&gt;&lt;/periodical&gt;&lt;pages&gt;735-43&lt;/pages&gt;&lt;volume&gt;19&lt;/volume&gt;&lt;number&gt;5&lt;/number&gt;&lt;edition&gt;20120426&lt;/edition&gt;&lt;keywords&gt;&lt;keyword&gt;*Adverse Drug Reaction Reporting Systems&lt;/keyword&gt;&lt;keyword&gt;*Decision Support Systems, Clinical&lt;/keyword&gt;&lt;keyword&gt;*Drug Interactions&lt;/keyword&gt;&lt;keyword&gt;*Drug Therapy, Computer-Assisted&lt;/keyword&gt;&lt;keyword&gt;*Electronic Health Records&lt;/keyword&gt;&lt;keyword&gt;Humans&lt;/keyword&gt;&lt;keyword&gt;*Medical Order Entry Systems&lt;/keyword&gt;&lt;keyword&gt;*Medication Systems&lt;/keyword&gt;&lt;/keywords&gt;&lt;dates&gt;&lt;year&gt;2012&lt;/year&gt;&lt;pub-dates&gt;&lt;date&gt;Sep-Oct&lt;/date&gt;&lt;/pub-dates&gt;&lt;/dates&gt;&lt;isbn&gt;1067-5027 (Print)&amp;#xD;1067-5027&lt;/isbn&gt;&lt;accession-num&gt;22539083&lt;/accession-num&gt;&lt;urls&gt;&lt;/urls&gt;&lt;custom1&gt;Competing interests: None.&lt;/custom1&gt;&lt;custom2&gt;PMC3422823&lt;/custom2&gt;&lt;electronic-resource-num&gt;10.1136/amiajnl-2011-000612&lt;/electronic-resource-num&gt;&lt;remote-database-provider&gt;NLM&lt;/remote-database-provider&gt;&lt;language&gt;eng&lt;/language&gt;&lt;/record&gt;&lt;/Cite&gt;&lt;/EndNote&gt;</w:instrText>
      </w:r>
      <w:r w:rsidR="00965D0E">
        <w:rPr>
          <w:lang w:val="en-US"/>
        </w:rPr>
        <w:fldChar w:fldCharType="separate"/>
      </w:r>
      <w:r w:rsidR="00965D0E">
        <w:rPr>
          <w:noProof/>
          <w:lang w:val="en-US"/>
        </w:rPr>
        <w:t>Phansalkar</w:t>
      </w:r>
      <w:r w:rsidR="00965D0E" w:rsidRPr="00965D0E">
        <w:rPr>
          <w:i/>
          <w:noProof/>
          <w:lang w:val="en-US"/>
        </w:rPr>
        <w:t xml:space="preserve"> et al.</w:t>
      </w:r>
      <w:r w:rsidR="00965D0E">
        <w:rPr>
          <w:noProof/>
          <w:lang w:val="en-US"/>
        </w:rPr>
        <w:t xml:space="preserve"> (2012)</w:t>
      </w:r>
      <w:r w:rsidR="00965D0E">
        <w:rPr>
          <w:lang w:val="en-US"/>
        </w:rPr>
        <w:fldChar w:fldCharType="end"/>
      </w:r>
      <w:r w:rsidR="00965D0E">
        <w:rPr>
          <w:lang w:val="en-US"/>
        </w:rPr>
        <w:t xml:space="preserve"> to</w:t>
      </w:r>
      <w:r w:rsidR="00DA2C3B">
        <w:rPr>
          <w:lang w:val="en-US"/>
        </w:rPr>
        <w:t xml:space="preserve"> consider what DDI’s might be </w:t>
      </w:r>
      <w:r w:rsidR="00965D0E">
        <w:rPr>
          <w:lang w:val="en-US"/>
        </w:rPr>
        <w:t>used in EPR systems</w:t>
      </w:r>
      <w:r w:rsidR="00FD455D">
        <w:rPr>
          <w:lang w:val="en-US"/>
        </w:rPr>
        <w:t>, which considered the complexities of defining such lists</w:t>
      </w:r>
      <w:r w:rsidR="004D67C8">
        <w:rPr>
          <w:lang w:val="en-US"/>
        </w:rPr>
        <w:t>.</w:t>
      </w:r>
      <w:r w:rsidR="006677F1">
        <w:rPr>
          <w:lang w:val="en-US"/>
        </w:rPr>
        <w:t xml:space="preserve"> </w:t>
      </w:r>
      <w:r w:rsidR="00B34E29">
        <w:rPr>
          <w:lang w:val="en-US"/>
        </w:rPr>
        <w:t xml:space="preserve"> A final list of </w:t>
      </w:r>
      <w:r w:rsidR="00000C1E">
        <w:rPr>
          <w:lang w:val="en-US"/>
        </w:rPr>
        <w:t>fifteen</w:t>
      </w:r>
      <w:r w:rsidR="00B34E29">
        <w:rPr>
          <w:lang w:val="en-US"/>
        </w:rPr>
        <w:t xml:space="preserve"> high alert DDIs </w:t>
      </w:r>
      <w:r w:rsidR="00024579">
        <w:rPr>
          <w:lang w:val="en-US"/>
        </w:rPr>
        <w:t xml:space="preserve">was derived.  </w:t>
      </w:r>
      <w:r w:rsidR="00671251">
        <w:rPr>
          <w:lang w:val="en-US"/>
        </w:rPr>
        <w:t>Neither of these papers studied any end-point outcomes such as ADRs or errors</w:t>
      </w:r>
      <w:r w:rsidR="00024579">
        <w:rPr>
          <w:lang w:val="en-US"/>
        </w:rPr>
        <w:t xml:space="preserve"> but examined literature</w:t>
      </w:r>
      <w:r w:rsidR="008815C8">
        <w:rPr>
          <w:lang w:val="en-US"/>
        </w:rPr>
        <w:t xml:space="preserve">, undertook some review or perception of override rates and used expert panels to derive their eventual lists.  </w:t>
      </w:r>
    </w:p>
    <w:p w14:paraId="3B6543E7" w14:textId="0C80210F" w:rsidR="00855856" w:rsidRDefault="00855856" w:rsidP="00F85D98">
      <w:pPr>
        <w:rPr>
          <w:lang w:val="en-US"/>
        </w:rPr>
      </w:pPr>
      <w:r>
        <w:rPr>
          <w:lang w:val="en-US"/>
        </w:rPr>
        <w:t>Since these studies</w:t>
      </w:r>
      <w:r w:rsidR="00813BD9">
        <w:rPr>
          <w:lang w:val="en-US"/>
        </w:rPr>
        <w:t xml:space="preserve"> were undertaken,</w:t>
      </w:r>
      <w:r>
        <w:rPr>
          <w:lang w:val="en-US"/>
        </w:rPr>
        <w:t xml:space="preserve"> a US based evaluation of high priority </w:t>
      </w:r>
      <w:r w:rsidR="00D2212D">
        <w:rPr>
          <w:lang w:val="en-US"/>
        </w:rPr>
        <w:t xml:space="preserve">DDI alerts across EHR records </w:t>
      </w:r>
      <w:r w:rsidR="004A4651">
        <w:rPr>
          <w:lang w:val="en-US"/>
        </w:rPr>
        <w:t xml:space="preserve">concluded that whilst this type of alert is </w:t>
      </w:r>
      <w:r w:rsidR="008E4846">
        <w:rPr>
          <w:lang w:val="en-US"/>
        </w:rPr>
        <w:t>clinically</w:t>
      </w:r>
      <w:r w:rsidR="00A755CC">
        <w:rPr>
          <w:lang w:val="en-US"/>
        </w:rPr>
        <w:t xml:space="preserve"> vital,</w:t>
      </w:r>
      <w:r w:rsidR="008E4846">
        <w:rPr>
          <w:lang w:val="en-US"/>
        </w:rPr>
        <w:t xml:space="preserve"> they are not standardi</w:t>
      </w:r>
      <w:r w:rsidR="00A755CC">
        <w:rPr>
          <w:lang w:val="en-US"/>
        </w:rPr>
        <w:t>s</w:t>
      </w:r>
      <w:r w:rsidR="008E4846">
        <w:rPr>
          <w:lang w:val="en-US"/>
        </w:rPr>
        <w:t>ed and there is significant variation</w:t>
      </w:r>
      <w:r w:rsidR="00A755CC">
        <w:rPr>
          <w:lang w:val="en-US"/>
        </w:rPr>
        <w:t xml:space="preserve"> among implementors</w:t>
      </w:r>
      <w:r w:rsidR="00861A57">
        <w:rPr>
          <w:lang w:val="en-US"/>
        </w:rPr>
        <w:t xml:space="preserve"> </w:t>
      </w:r>
      <w:r w:rsidR="00CB0AF2">
        <w:rPr>
          <w:lang w:val="en-US"/>
        </w:rPr>
        <w:fldChar w:fldCharType="begin">
          <w:fldData xml:space="preserve">PEVuZE5vdGU+PENpdGU+PEF1dGhvcj5NY0V2b3k8L0F1dGhvcj48WWVhcj4yMDE3PC9ZZWFyPjxS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</w:fldData>
        </w:fldChar>
      </w:r>
      <w:r w:rsidR="00CB0AF2">
        <w:rPr>
          <w:lang w:val="en-US"/>
        </w:rPr>
        <w:instrText xml:space="preserve"> ADDIN EN.CITE </w:instrText>
      </w:r>
      <w:r w:rsidR="00CB0AF2">
        <w:rPr>
          <w:lang w:val="en-US"/>
        </w:rPr>
        <w:fldChar w:fldCharType="begin">
          <w:fldData xml:space="preserve">PEVuZE5vdGU+PENpdGU+PEF1dGhvcj5NY0V2b3k8L0F1dGhvcj48WWVhcj4yMDE3PC9ZZWFyPjxS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</w:fldData>
        </w:fldChar>
      </w:r>
      <w:r w:rsidR="00CB0AF2">
        <w:rPr>
          <w:lang w:val="en-US"/>
        </w:rPr>
        <w:instrText xml:space="preserve"> ADDIN EN.CITE.DATA </w:instrText>
      </w:r>
      <w:r w:rsidR="00CB0AF2">
        <w:rPr>
          <w:lang w:val="en-US"/>
        </w:rPr>
      </w:r>
      <w:r w:rsidR="00CB0AF2">
        <w:rPr>
          <w:lang w:val="en-US"/>
        </w:rPr>
        <w:fldChar w:fldCharType="end"/>
      </w:r>
      <w:r w:rsidR="00CB0AF2">
        <w:rPr>
          <w:lang w:val="en-US"/>
        </w:rPr>
      </w:r>
      <w:r w:rsidR="00CB0AF2">
        <w:rPr>
          <w:lang w:val="en-US"/>
        </w:rPr>
        <w:fldChar w:fldCharType="separate"/>
      </w:r>
      <w:r w:rsidR="00CB0AF2">
        <w:rPr>
          <w:noProof/>
          <w:lang w:val="en-US"/>
        </w:rPr>
        <w:t>(McEvoy</w:t>
      </w:r>
      <w:r w:rsidR="00CB0AF2" w:rsidRPr="00CB0AF2">
        <w:rPr>
          <w:i/>
          <w:noProof/>
          <w:lang w:val="en-US"/>
        </w:rPr>
        <w:t xml:space="preserve"> et al.</w:t>
      </w:r>
      <w:r w:rsidR="00CB0AF2">
        <w:rPr>
          <w:noProof/>
          <w:lang w:val="en-US"/>
        </w:rPr>
        <w:t>, 2017)</w:t>
      </w:r>
      <w:r w:rsidR="00CB0AF2">
        <w:rPr>
          <w:lang w:val="en-US"/>
        </w:rPr>
        <w:fldChar w:fldCharType="end"/>
      </w:r>
      <w:r w:rsidR="008E4846">
        <w:rPr>
          <w:lang w:val="en-US"/>
        </w:rPr>
        <w:t xml:space="preserve">.  </w:t>
      </w:r>
      <w:r w:rsidR="007F21CD">
        <w:rPr>
          <w:lang w:val="en-US"/>
        </w:rPr>
        <w:t xml:space="preserve"> This paper also outlined that there is no standard </w:t>
      </w:r>
      <w:r w:rsidR="00E33105">
        <w:rPr>
          <w:lang w:val="en-US"/>
        </w:rPr>
        <w:t>guidance on how to display or implement them, although</w:t>
      </w:r>
      <w:r w:rsidR="0083105C">
        <w:rPr>
          <w:lang w:val="en-US"/>
        </w:rPr>
        <w:t xml:space="preserve"> either way,</w:t>
      </w:r>
      <w:r w:rsidR="00E33105">
        <w:rPr>
          <w:lang w:val="en-US"/>
        </w:rPr>
        <w:t xml:space="preserve"> </w:t>
      </w:r>
      <w:r w:rsidR="009F0FE8">
        <w:rPr>
          <w:lang w:val="en-US"/>
        </w:rPr>
        <w:fldChar w:fldCharType="begin"/>
      </w:r>
      <w:r w:rsidR="009F0FE8">
        <w:rPr>
          <w:lang w:val="en-US"/>
        </w:rPr>
        <w:instrText xml:space="preserve"> ADDIN EN.CITE &lt;EndNote&gt;&lt;Cite AuthorYear="1"&gt;&lt;Author&gt;Bell&lt;/Author&gt;&lt;Year&gt;2019&lt;/Year&gt;&lt;RecNum&gt;316&lt;/RecNum&gt;&lt;DisplayText&gt;Bell&lt;style face="italic"&gt; et al.&lt;/style&gt; (2019)&lt;/DisplayText&gt;&lt;record&gt;&lt;rec-number&gt;316&lt;/rec-number&gt;&lt;foreign-keys&gt;&lt;key app="EN" db-id="wxra20f03dt20kepwrwvfa0mvpxxeeezfaaz" timestamp="1667493770"&gt;316&lt;/key&gt;&lt;/foreign-keys&gt;&lt;ref-type name="Journal Article"&gt;17&lt;/ref-type&gt;&lt;contributors&gt;&lt;authors&gt;&lt;author&gt;Bell, Helen&lt;/author&gt;&lt;author&gt;Garfield, Sara&lt;/author&gt;&lt;author&gt;Khosla, Sonia&lt;/author&gt;&lt;author&gt;Patel, Chimnay&lt;/author&gt;&lt;author&gt;Franklin, Bryony Dean&lt;/author&gt;&lt;/authors&gt;&lt;/contributors&gt;&lt;titles&gt;&lt;title&gt;Mixed methods study of medication-related decision support alerts experienced during electronic prescribing for inpatients at an English hospital&lt;/title&gt;&lt;secondary-title&gt;European Journal of Hospital Pharmacy&lt;/secondary-title&gt;&lt;/titles&gt;&lt;periodical&gt;&lt;full-title&gt;European Journal of Hospital Pharmacy&lt;/full-title&gt;&lt;/periodical&gt;&lt;pages&gt;318-322&lt;/pages&gt;&lt;volume&gt;26&lt;/volume&gt;&lt;number&gt;6&lt;/number&gt;&lt;dates&gt;&lt;year&gt;2019&lt;/year&gt;&lt;/dates&gt;&lt;publisher&gt;BMJ&lt;/publisher&gt;&lt;isbn&gt;2047-9956&lt;/isbn&gt;&lt;urls&gt;&lt;related-urls&gt;&lt;url&gt;https://dx.doi.org/10.1136/ejhpharm-2017-001483&lt;/url&gt;&lt;/related-urls&gt;&lt;/urls&gt;&lt;electronic-resource-num&gt;10.1136/ejhpharm-2017-001483&lt;/electronic-resource-num&gt;&lt;/record&gt;&lt;/Cite&gt;&lt;/EndNote&gt;</w:instrText>
      </w:r>
      <w:r w:rsidR="009F0FE8">
        <w:rPr>
          <w:lang w:val="en-US"/>
        </w:rPr>
        <w:fldChar w:fldCharType="separate"/>
      </w:r>
      <w:r w:rsidR="009F0FE8">
        <w:rPr>
          <w:noProof/>
          <w:lang w:val="en-US"/>
        </w:rPr>
        <w:t>Bell</w:t>
      </w:r>
      <w:r w:rsidR="009F0FE8" w:rsidRPr="009F0FE8">
        <w:rPr>
          <w:i/>
          <w:noProof/>
          <w:lang w:val="en-US"/>
        </w:rPr>
        <w:t xml:space="preserve"> et al.</w:t>
      </w:r>
      <w:r w:rsidR="009F0FE8">
        <w:rPr>
          <w:noProof/>
          <w:lang w:val="en-US"/>
        </w:rPr>
        <w:t xml:space="preserve"> (2019)</w:t>
      </w:r>
      <w:r w:rsidR="009F0FE8">
        <w:rPr>
          <w:lang w:val="en-US"/>
        </w:rPr>
        <w:fldChar w:fldCharType="end"/>
      </w:r>
      <w:r w:rsidR="009F0FE8">
        <w:rPr>
          <w:lang w:val="en-US"/>
        </w:rPr>
        <w:t xml:space="preserve"> </w:t>
      </w:r>
      <w:r w:rsidR="00AE2495">
        <w:rPr>
          <w:lang w:val="en-US"/>
        </w:rPr>
        <w:t>paper suggest integration into workflow is key</w:t>
      </w:r>
      <w:r w:rsidR="00546911">
        <w:rPr>
          <w:lang w:val="en-US"/>
        </w:rPr>
        <w:t>.</w:t>
      </w:r>
    </w:p>
    <w:p w14:paraId="6857B45E" w14:textId="7DB13968" w:rsidR="00C07806" w:rsidRDefault="00B94824" w:rsidP="00F85D98">
      <w:pPr>
        <w:rPr>
          <w:lang w:val="en-US"/>
        </w:rPr>
      </w:pPr>
      <w:r>
        <w:rPr>
          <w:lang w:val="en-US"/>
        </w:rPr>
        <w:lastRenderedPageBreak/>
        <w:t xml:space="preserve">A key drawback amongst comparing studies related to error rates is that there is considerable </w:t>
      </w:r>
      <w:r w:rsidR="00257F5E">
        <w:rPr>
          <w:lang w:val="en-US"/>
        </w:rPr>
        <w:t xml:space="preserve">variation in the way that errors are defined and measured.  </w:t>
      </w:r>
      <w:r w:rsidR="00CB77CC">
        <w:rPr>
          <w:lang w:val="en-US"/>
        </w:rPr>
        <w:t xml:space="preserve">However </w:t>
      </w:r>
      <w:r w:rsidR="009E40D8">
        <w:rPr>
          <w:lang w:val="en-US"/>
        </w:rPr>
        <w:t>a consensus study</w:t>
      </w:r>
      <w:r w:rsidR="00DC43BB">
        <w:rPr>
          <w:lang w:val="en-US"/>
        </w:rPr>
        <w:t>, based in England,</w:t>
      </w:r>
      <w:r w:rsidR="00CB77CC">
        <w:rPr>
          <w:lang w:val="en-US"/>
        </w:rPr>
        <w:t xml:space="preserve"> by </w:t>
      </w:r>
      <w:r w:rsidR="00742A59">
        <w:rPr>
          <w:lang w:val="en-US"/>
        </w:rPr>
        <w:fldChar w:fldCharType="begin"/>
      </w:r>
      <w:r w:rsidR="009E40D8">
        <w:rPr>
          <w:lang w:val="en-US"/>
        </w:rPr>
        <w:instrText xml:space="preserve"> ADDIN EN.CITE &lt;EndNote&gt;&lt;Cite AuthorYear="1"&gt;&lt;Author&gt;Thomas&lt;/Author&gt;&lt;Year&gt;2013&lt;/Year&gt;&lt;RecNum&gt;504&lt;/RecNum&gt;&lt;DisplayText&gt;Thomas&lt;style face="italic"&gt; et al.&lt;/style&gt; (2013)&lt;/DisplayText&gt;&lt;record&gt;&lt;rec-number&gt;504&lt;/rec-number&gt;&lt;foreign-keys&gt;&lt;key app="EN" db-id="wxra20f03dt20kepwrwvfa0mvpxxeeezfaaz" timestamp="1673539336"&gt;504&lt;/key&gt;&lt;/foreign-keys&gt;&lt;ref-type name="Journal Article"&gt;17&lt;/ref-type&gt;&lt;contributors&gt;&lt;authors&gt;&lt;author&gt;Thomas, Sarah K.&lt;/author&gt;&lt;author&gt;McDowell, Sarah E.&lt;/author&gt;&lt;author&gt;Hodson, James&lt;/author&gt;&lt;author&gt;Nwulu, Ugochi&lt;/author&gt;&lt;author&gt;Howard, Rachel L.&lt;/author&gt;&lt;author&gt;Avery, Anthony J.&lt;/author&gt;&lt;author&gt;Slee, Ann&lt;/author&gt;&lt;author&gt;Coleman, Jamie J.&lt;/author&gt;&lt;/authors&gt;&lt;/contributors&gt;&lt;titles&gt;&lt;title&gt;Developing consensus on hospital prescribing indicators of potential harms amenable to decision support&lt;/title&gt;&lt;secondary-title&gt;British Journal of Clinical Pharmacology&lt;/secondary-title&gt;&lt;/titles&gt;&lt;periodical&gt;&lt;full-title&gt;British Journal of Clinical Pharmacology&lt;/full-title&gt;&lt;/periodical&gt;&lt;pages&gt;797-809&lt;/pages&gt;&lt;volume&gt;76&lt;/volume&gt;&lt;number&gt;5&lt;/number&gt;&lt;dates&gt;&lt;year&gt;2013&lt;/year&gt;&lt;/dates&gt;&lt;publisher&gt;Wiley&lt;/publisher&gt;&lt;isbn&gt;0306-5251&lt;/isbn&gt;&lt;urls&gt;&lt;related-urls&gt;&lt;url&gt;https://dx.doi.org/10.1111/bcp.12087&lt;/url&gt;&lt;/related-urls&gt;&lt;/urls&gt;&lt;electronic-resource-num&gt;10.1111/bcp.12087&lt;/electronic-resource-num&gt;&lt;/record&gt;&lt;/Cite&gt;&lt;/EndNote&gt;</w:instrText>
      </w:r>
      <w:r w:rsidR="00742A59">
        <w:rPr>
          <w:lang w:val="en-US"/>
        </w:rPr>
        <w:fldChar w:fldCharType="separate"/>
      </w:r>
      <w:r w:rsidR="009E40D8">
        <w:rPr>
          <w:noProof/>
          <w:lang w:val="en-US"/>
        </w:rPr>
        <w:t>Thomas</w:t>
      </w:r>
      <w:r w:rsidR="009E40D8" w:rsidRPr="009E40D8">
        <w:rPr>
          <w:i/>
          <w:noProof/>
          <w:lang w:val="en-US"/>
        </w:rPr>
        <w:t xml:space="preserve"> et al.</w:t>
      </w:r>
      <w:r w:rsidR="009E40D8">
        <w:rPr>
          <w:noProof/>
          <w:lang w:val="en-US"/>
        </w:rPr>
        <w:t xml:space="preserve"> (2013)</w:t>
      </w:r>
      <w:r w:rsidR="00742A59">
        <w:rPr>
          <w:lang w:val="en-US"/>
        </w:rPr>
        <w:fldChar w:fldCharType="end"/>
      </w:r>
      <w:r w:rsidR="005B0E5C">
        <w:rPr>
          <w:lang w:val="en-US"/>
        </w:rPr>
        <w:t>, us</w:t>
      </w:r>
      <w:r w:rsidR="00DC43BB">
        <w:rPr>
          <w:lang w:val="en-US"/>
        </w:rPr>
        <w:t>ed</w:t>
      </w:r>
      <w:r w:rsidR="005B0E5C">
        <w:rPr>
          <w:lang w:val="en-US"/>
        </w:rPr>
        <w:t xml:space="preserve"> a Likert scale scoring among an expert panel </w:t>
      </w:r>
      <w:r w:rsidR="00DC43BB">
        <w:rPr>
          <w:lang w:val="en-US"/>
        </w:rPr>
        <w:t xml:space="preserve">to </w:t>
      </w:r>
      <w:r w:rsidR="008317D5">
        <w:rPr>
          <w:lang w:val="en-US"/>
        </w:rPr>
        <w:t>derive 80 high or extreme ris</w:t>
      </w:r>
      <w:r w:rsidR="00DC43BB">
        <w:rPr>
          <w:lang w:val="en-US"/>
        </w:rPr>
        <w:t>k</w:t>
      </w:r>
      <w:r w:rsidR="008317D5">
        <w:rPr>
          <w:lang w:val="en-US"/>
        </w:rPr>
        <w:t xml:space="preserve"> errors</w:t>
      </w:r>
      <w:r w:rsidR="00DC43BB">
        <w:rPr>
          <w:lang w:val="en-US"/>
        </w:rPr>
        <w:t xml:space="preserve"> that night be conducive to CDS within ePMA systems</w:t>
      </w:r>
      <w:r w:rsidR="005B0B26">
        <w:rPr>
          <w:lang w:val="en-US"/>
        </w:rPr>
        <w:t xml:space="preserve"> and suggested these for a standardisation and validation tool for </w:t>
      </w:r>
      <w:r w:rsidR="00A351F9">
        <w:rPr>
          <w:lang w:val="en-US"/>
        </w:rPr>
        <w:t xml:space="preserve">assessing the impact of CDS initiatives.  </w:t>
      </w:r>
      <w:r w:rsidR="00A93068">
        <w:rPr>
          <w:lang w:val="en-US"/>
        </w:rPr>
        <w:t>Of note is that t</w:t>
      </w:r>
      <w:r w:rsidR="000C5F44">
        <w:rPr>
          <w:lang w:val="en-US"/>
        </w:rPr>
        <w:t xml:space="preserve">hese helped to form the basis of the Pontefract </w:t>
      </w:r>
      <w:r w:rsidR="00A93068">
        <w:rPr>
          <w:i/>
          <w:iCs/>
          <w:lang w:val="en-US"/>
        </w:rPr>
        <w:t xml:space="preserve">et al </w:t>
      </w:r>
      <w:r w:rsidR="00A93068" w:rsidRPr="00A93068">
        <w:rPr>
          <w:lang w:val="en-US"/>
        </w:rPr>
        <w:t>(2018)</w:t>
      </w:r>
      <w:r w:rsidR="00A93068">
        <w:rPr>
          <w:i/>
          <w:iCs/>
          <w:lang w:val="en-US"/>
        </w:rPr>
        <w:t xml:space="preserve"> </w:t>
      </w:r>
      <w:r w:rsidR="000C5F44">
        <w:rPr>
          <w:lang w:val="en-US"/>
        </w:rPr>
        <w:t>study</w:t>
      </w:r>
      <w:r w:rsidR="007506CF">
        <w:rPr>
          <w:lang w:val="en-US"/>
        </w:rPr>
        <w:t xml:space="preserve"> </w:t>
      </w:r>
      <w:r w:rsidR="00BC14DF">
        <w:rPr>
          <w:lang w:val="en-US"/>
        </w:rPr>
        <w:t xml:space="preserve">which has therefore demonstrated a comparable and proven repeatable mechanism for assessing </w:t>
      </w:r>
      <w:r w:rsidR="00B7139A">
        <w:rPr>
          <w:lang w:val="en-US"/>
        </w:rPr>
        <w:t>CDS in ePMA.</w:t>
      </w:r>
    </w:p>
    <w:p w14:paraId="0FAE7638" w14:textId="173DFFA5" w:rsidR="009258B2" w:rsidRDefault="00B7139A" w:rsidP="00043962">
      <w:pPr>
        <w:rPr>
          <w:lang w:val="en-US"/>
        </w:rPr>
      </w:pPr>
      <w:r>
        <w:rPr>
          <w:lang w:val="en-US"/>
        </w:rPr>
        <w:t xml:space="preserve">In contrast to this, </w:t>
      </w:r>
      <w:r w:rsidR="00043962">
        <w:rPr>
          <w:lang w:val="en-US"/>
        </w:rPr>
        <w:fldChar w:fldCharType="begin"/>
      </w:r>
      <w:r w:rsidR="00043962">
        <w:rPr>
          <w:lang w:val="en-US"/>
        </w:rPr>
        <w:instrText xml:space="preserve"> ADDIN EN.CITE &lt;EndNote&gt;&lt;Cite AuthorYear="1"&gt;&lt;Author&gt;Franklin&lt;/Author&gt;&lt;Year&gt;2020&lt;/Year&gt;&lt;RecNum&gt;348&lt;/RecNum&gt;&lt;DisplayText&gt;Franklin and Puaar (2020)&lt;/DisplayText&gt;&lt;record&gt;&lt;rec-number&gt;348&lt;/rec-number&gt;&lt;foreign-keys&gt;&lt;key app="EN" db-id="wxra20f03dt20kepwrwvfa0mvpxxeeezfaaz" timestamp="1668088651"&gt;348&lt;/key&gt;&lt;/foreign-keys&gt;&lt;ref-type name="Journal Article"&gt;17&lt;/ref-type&gt;&lt;contributors&gt;&lt;authors&gt;&lt;author&gt;Franklin, Bryony Dean&lt;/author&gt;&lt;author&gt;Puaar, Seetal&lt;/author&gt;&lt;/authors&gt;&lt;/contributors&gt;&lt;titles&gt;&lt;title&gt;What is the impact of introducing inpatient electronic prescribing on prescribing errors? A naturalistic stepped wedge study in an English teaching hospital&lt;/title&gt;&lt;secondary-title&gt;Health Informatics Journal&lt;/secondary-title&gt;&lt;/titles&gt;&lt;periodical&gt;&lt;full-title&gt;Health Informatics Journal&lt;/full-title&gt;&lt;/periodical&gt;&lt;pages&gt;3152-3162&lt;/pages&gt;&lt;volume&gt;26&lt;/volume&gt;&lt;number&gt;4&lt;/number&gt;&lt;dates&gt;&lt;year&gt;2020&lt;/year&gt;&lt;/dates&gt;&lt;publisher&gt;SAGE Publications&lt;/publisher&gt;&lt;isbn&gt;1460-4582&lt;/isbn&gt;&lt;urls&gt;&lt;related-urls&gt;&lt;url&gt;https://dx.doi.org/10.1177/1460458219833112&lt;/url&gt;&lt;/related-urls&gt;&lt;/urls&gt;&lt;electronic-resource-num&gt;10.1177/1460458219833112&lt;/electronic-resource-num&gt;&lt;/record&gt;&lt;/Cite&gt;&lt;/EndNote&gt;</w:instrText>
      </w:r>
      <w:r w:rsidR="00043962">
        <w:rPr>
          <w:lang w:val="en-US"/>
        </w:rPr>
        <w:fldChar w:fldCharType="separate"/>
      </w:r>
      <w:r w:rsidR="00043962">
        <w:rPr>
          <w:noProof/>
          <w:lang w:val="en-US"/>
        </w:rPr>
        <w:t>Franklin and Puaar (2020)</w:t>
      </w:r>
      <w:r w:rsidR="00043962">
        <w:rPr>
          <w:lang w:val="en-US"/>
        </w:rPr>
        <w:fldChar w:fldCharType="end"/>
      </w:r>
      <w:r w:rsidR="00043962">
        <w:rPr>
          <w:lang w:val="en-US"/>
        </w:rPr>
        <w:t xml:space="preserve">, </w:t>
      </w:r>
      <w:r w:rsidR="000E5054">
        <w:rPr>
          <w:lang w:val="en-US"/>
        </w:rPr>
        <w:t xml:space="preserve">study design </w:t>
      </w:r>
      <w:r>
        <w:rPr>
          <w:lang w:val="en-US"/>
        </w:rPr>
        <w:t xml:space="preserve">differs </w:t>
      </w:r>
      <w:r w:rsidR="00534149">
        <w:rPr>
          <w:lang w:val="en-US"/>
        </w:rPr>
        <w:t>in that</w:t>
      </w:r>
      <w:r>
        <w:rPr>
          <w:lang w:val="en-US"/>
        </w:rPr>
        <w:t xml:space="preserve"> it</w:t>
      </w:r>
      <w:r w:rsidR="00534149">
        <w:rPr>
          <w:lang w:val="en-US"/>
        </w:rPr>
        <w:t xml:space="preserve"> proposed and implemented a </w:t>
      </w:r>
      <w:r w:rsidR="00577C50">
        <w:rPr>
          <w:lang w:val="en-US"/>
        </w:rPr>
        <w:t xml:space="preserve">variation of </w:t>
      </w:r>
      <w:r w:rsidR="00905C66">
        <w:rPr>
          <w:lang w:val="en-US"/>
        </w:rPr>
        <w:fldChar w:fldCharType="begin"/>
      </w:r>
      <w:r w:rsidR="00905C66">
        <w:rPr>
          <w:lang w:val="en-US"/>
        </w:rPr>
        <w:instrText xml:space="preserve"> ADDIN EN.CITE &lt;EndNote&gt;&lt;Cite AuthorYear="1"&gt;&lt;Author&gt;Brown&lt;/Author&gt;&lt;Year&gt;2006&lt;/Year&gt;&lt;RecNum&gt;513&lt;/RecNum&gt;&lt;DisplayText&gt;Brown and Lilford (2006)&lt;/DisplayText&gt;&lt;record&gt;&lt;rec-number&gt;513&lt;/rec-number&gt;&lt;foreign-keys&gt;&lt;key app="EN" db-id="wxra20f03dt20kepwrwvfa0mvpxxeeezfaaz" timestamp="1674826618"&gt;513&lt;/key&gt;&lt;/foreign-keys&gt;&lt;ref-type name="Journal Article"&gt;17&lt;/ref-type&gt;&lt;contributors&gt;&lt;authors&gt;&lt;author&gt;Brown, Celia A.&lt;/author&gt;&lt;author&gt;Lilford, Richard J.&lt;/author&gt;&lt;/authors&gt;&lt;/contributors&gt;&lt;titles&gt;&lt;title&gt;The stepped wedge trial design: a systematic review&lt;/title&gt;&lt;secondary-title&gt;BMC Medical Research Methodology&lt;/secondary-title&gt;&lt;/titles&gt;&lt;periodical&gt;&lt;full-title&gt;BMC Medical Research Methodology&lt;/full-title&gt;&lt;/periodical&gt;&lt;volume&gt;6&lt;/volume&gt;&lt;number&gt;1&lt;/number&gt;&lt;dates&gt;&lt;year&gt;2006&lt;/year&gt;&lt;/dates&gt;&lt;publisher&gt;Springer Science and Business Media LLC&lt;/publisher&gt;&lt;isbn&gt;1471-2288&lt;/isbn&gt;&lt;urls&gt;&lt;related-urls&gt;&lt;url&gt;https://dx.doi.org/10.1186/1471-2288-6-54&lt;/url&gt;&lt;/related-urls&gt;&lt;/urls&gt;&lt;electronic-resource-num&gt;10.1186/1471-2288-6-54&lt;/electronic-resource-num&gt;&lt;/record&gt;&lt;/Cite&gt;&lt;/EndNote&gt;</w:instrText>
      </w:r>
      <w:r w:rsidR="00905C66">
        <w:rPr>
          <w:lang w:val="en-US"/>
        </w:rPr>
        <w:fldChar w:fldCharType="separate"/>
      </w:r>
      <w:r w:rsidR="00905C66">
        <w:rPr>
          <w:noProof/>
          <w:lang w:val="en-US"/>
        </w:rPr>
        <w:t>Brown and Lilford (2006)</w:t>
      </w:r>
      <w:r w:rsidR="00905C66">
        <w:rPr>
          <w:lang w:val="en-US"/>
        </w:rPr>
        <w:fldChar w:fldCharType="end"/>
      </w:r>
      <w:r w:rsidR="00905C66">
        <w:rPr>
          <w:lang w:val="en-US"/>
        </w:rPr>
        <w:t xml:space="preserve"> </w:t>
      </w:r>
      <w:r w:rsidR="00534149">
        <w:rPr>
          <w:lang w:val="en-US"/>
        </w:rPr>
        <w:t xml:space="preserve">step-wedge </w:t>
      </w:r>
      <w:r w:rsidR="00905C66">
        <w:rPr>
          <w:lang w:val="en-US"/>
        </w:rPr>
        <w:t xml:space="preserve">trail </w:t>
      </w:r>
      <w:r w:rsidR="00534149">
        <w:rPr>
          <w:lang w:val="en-US"/>
        </w:rPr>
        <w:t xml:space="preserve">design </w:t>
      </w:r>
      <w:r w:rsidR="00F30F25">
        <w:rPr>
          <w:lang w:val="en-US"/>
        </w:rPr>
        <w:t>to compare and contrast prescribing errors</w:t>
      </w:r>
      <w:r w:rsidR="00A569CE">
        <w:rPr>
          <w:lang w:val="en-US"/>
        </w:rPr>
        <w:t xml:space="preserve"> on</w:t>
      </w:r>
      <w:r w:rsidR="00F30F25">
        <w:rPr>
          <w:lang w:val="en-US"/>
        </w:rPr>
        <w:t xml:space="preserve"> paper</w:t>
      </w:r>
      <w:r w:rsidR="00A569CE">
        <w:rPr>
          <w:lang w:val="en-US"/>
        </w:rPr>
        <w:t xml:space="preserve"> based</w:t>
      </w:r>
      <w:r w:rsidR="00F30F25">
        <w:rPr>
          <w:lang w:val="en-US"/>
        </w:rPr>
        <w:t xml:space="preserve"> </w:t>
      </w:r>
      <w:r w:rsidR="00A569CE">
        <w:rPr>
          <w:lang w:val="en-US"/>
        </w:rPr>
        <w:t xml:space="preserve">prescribing </w:t>
      </w:r>
      <w:r w:rsidR="00F30F25">
        <w:rPr>
          <w:lang w:val="en-US"/>
        </w:rPr>
        <w:t xml:space="preserve">against ePMA </w:t>
      </w:r>
      <w:r w:rsidR="00A569CE">
        <w:rPr>
          <w:lang w:val="en-US"/>
        </w:rPr>
        <w:t xml:space="preserve">with CDS.  </w:t>
      </w:r>
      <w:r w:rsidR="00E05D2A">
        <w:rPr>
          <w:lang w:val="en-US"/>
        </w:rPr>
        <w:t xml:space="preserve">The design compared reducing </w:t>
      </w:r>
      <w:r w:rsidR="00F05391">
        <w:rPr>
          <w:lang w:val="en-US"/>
        </w:rPr>
        <w:t>the number of hospital</w:t>
      </w:r>
      <w:r w:rsidR="0033461D">
        <w:rPr>
          <w:lang w:val="en-US"/>
        </w:rPr>
        <w:t xml:space="preserve"> wards using paper each week </w:t>
      </w:r>
      <w:r w:rsidR="00787EEE">
        <w:rPr>
          <w:lang w:val="en-US"/>
        </w:rPr>
        <w:t>against</w:t>
      </w:r>
      <w:r w:rsidR="0033461D">
        <w:rPr>
          <w:lang w:val="en-US"/>
        </w:rPr>
        <w:t xml:space="preserve"> an increasing use of </w:t>
      </w:r>
      <w:r w:rsidR="005B34BE">
        <w:rPr>
          <w:lang w:val="en-US"/>
        </w:rPr>
        <w:t>ePMA.  With comparison starting at zero ePMA and 100% paper, interchanging each week to</w:t>
      </w:r>
      <w:r w:rsidR="00F05391">
        <w:rPr>
          <w:lang w:val="en-US"/>
        </w:rPr>
        <w:t xml:space="preserve"> eventual 100% ePMA and </w:t>
      </w:r>
      <w:r w:rsidR="00812944">
        <w:rPr>
          <w:lang w:val="en-US"/>
        </w:rPr>
        <w:t xml:space="preserve">zero </w:t>
      </w:r>
      <w:r w:rsidR="00F05391">
        <w:rPr>
          <w:lang w:val="en-US"/>
        </w:rPr>
        <w:t>pap</w:t>
      </w:r>
      <w:r w:rsidR="00812944">
        <w:rPr>
          <w:lang w:val="en-US"/>
        </w:rPr>
        <w:t>er</w:t>
      </w:r>
      <w:r w:rsidR="00D062C6">
        <w:rPr>
          <w:lang w:val="en-US"/>
        </w:rPr>
        <w:t xml:space="preserve">.  </w:t>
      </w:r>
      <w:r w:rsidR="003C1E12">
        <w:rPr>
          <w:lang w:val="en-US"/>
        </w:rPr>
        <w:t>However,</w:t>
      </w:r>
      <w:r w:rsidR="00A569CE">
        <w:rPr>
          <w:lang w:val="en-US"/>
        </w:rPr>
        <w:t xml:space="preserve"> the paper </w:t>
      </w:r>
      <w:r w:rsidR="00043962">
        <w:rPr>
          <w:lang w:val="en-US"/>
        </w:rPr>
        <w:t xml:space="preserve">was </w:t>
      </w:r>
      <w:r w:rsidR="00812944">
        <w:rPr>
          <w:lang w:val="en-US"/>
        </w:rPr>
        <w:t xml:space="preserve">non-randomised and </w:t>
      </w:r>
      <w:r w:rsidR="00043962">
        <w:rPr>
          <w:lang w:val="en-US"/>
        </w:rPr>
        <w:t xml:space="preserve">more specific to ePMA </w:t>
      </w:r>
      <w:r w:rsidR="00A569CE">
        <w:rPr>
          <w:lang w:val="en-US"/>
        </w:rPr>
        <w:t xml:space="preserve">with </w:t>
      </w:r>
      <w:r w:rsidR="005B7013">
        <w:rPr>
          <w:lang w:val="en-US"/>
        </w:rPr>
        <w:t xml:space="preserve">limited </w:t>
      </w:r>
      <w:r w:rsidR="00A569CE">
        <w:rPr>
          <w:lang w:val="en-US"/>
        </w:rPr>
        <w:t xml:space="preserve">decision support </w:t>
      </w:r>
      <w:r w:rsidR="00A5241F">
        <w:rPr>
          <w:lang w:val="en-US"/>
        </w:rPr>
        <w:t xml:space="preserve">that </w:t>
      </w:r>
      <w:r w:rsidR="0011552F">
        <w:rPr>
          <w:lang w:val="en-US"/>
        </w:rPr>
        <w:t xml:space="preserve">offered pre-configured dosing templates and undertook allergy interaction checking.  </w:t>
      </w:r>
      <w:r w:rsidR="003C1E12">
        <w:rPr>
          <w:lang w:val="en-US"/>
        </w:rPr>
        <w:t>Therefore,</w:t>
      </w:r>
      <w:r w:rsidR="0011552F">
        <w:rPr>
          <w:lang w:val="en-US"/>
        </w:rPr>
        <w:t xml:space="preserve"> it was </w:t>
      </w:r>
      <w:r w:rsidR="003C1E12">
        <w:rPr>
          <w:lang w:val="en-US"/>
        </w:rPr>
        <w:t xml:space="preserve">not </w:t>
      </w:r>
      <w:r w:rsidR="0011552F">
        <w:rPr>
          <w:lang w:val="en-US"/>
        </w:rPr>
        <w:t xml:space="preserve">comparable to the outcomes related papers, </w:t>
      </w:r>
      <w:r w:rsidR="003C1E12">
        <w:rPr>
          <w:lang w:val="en-US"/>
        </w:rPr>
        <w:t>although</w:t>
      </w:r>
      <w:r w:rsidR="0011552F">
        <w:rPr>
          <w:lang w:val="en-US"/>
        </w:rPr>
        <w:t xml:space="preserve"> it did suggest a useful </w:t>
      </w:r>
      <w:r w:rsidR="0071025D">
        <w:rPr>
          <w:lang w:val="en-US"/>
        </w:rPr>
        <w:t>study design</w:t>
      </w:r>
      <w:r w:rsidR="009B6224">
        <w:rPr>
          <w:lang w:val="en-US"/>
        </w:rPr>
        <w:t xml:space="preserve"> and made some interesting observations </w:t>
      </w:r>
      <w:r w:rsidR="00DB4628">
        <w:rPr>
          <w:lang w:val="en-US"/>
        </w:rPr>
        <w:t xml:space="preserve">that there can be differences in error rate </w:t>
      </w:r>
      <w:r w:rsidR="0039493F">
        <w:rPr>
          <w:lang w:val="en-US"/>
        </w:rPr>
        <w:t>depending on where the system is implemented.</w:t>
      </w:r>
      <w:r w:rsidR="008674A5">
        <w:rPr>
          <w:lang w:val="en-US"/>
        </w:rPr>
        <w:t xml:space="preserve">  Albeit not translatable </w:t>
      </w:r>
      <w:r w:rsidR="00A82488">
        <w:rPr>
          <w:lang w:val="en-US"/>
        </w:rPr>
        <w:t>it offers useful insight to inform evaluation</w:t>
      </w:r>
      <w:r w:rsidR="006824C9">
        <w:rPr>
          <w:lang w:val="en-US"/>
        </w:rPr>
        <w:t xml:space="preserve"> and further study design.</w:t>
      </w:r>
    </w:p>
    <w:p w14:paraId="22A3F2FA" w14:textId="77777777" w:rsidR="00E0462B" w:rsidRDefault="00E0462B" w:rsidP="00F85D98">
      <w:pPr>
        <w:rPr>
          <w:lang w:val="en-US"/>
        </w:rPr>
      </w:pPr>
    </w:p>
    <w:p w14:paraId="69E53274" w14:textId="77777777" w:rsidR="008772D4" w:rsidRDefault="008772D4" w:rsidP="008772D4">
      <w:pPr>
        <w:pStyle w:val="Heading3"/>
        <w:rPr>
          <w:lang w:val="en-US"/>
        </w:rPr>
      </w:pPr>
      <w:bookmarkStart w:id="8" w:name="_Toc127881393"/>
      <w:r>
        <w:rPr>
          <w:lang w:val="en-US"/>
        </w:rPr>
        <w:t>Gaps in existing literature and evidence base</w:t>
      </w:r>
      <w:bookmarkEnd w:id="8"/>
    </w:p>
    <w:p w14:paraId="18CD8800" w14:textId="55EA2868" w:rsidR="008772D4" w:rsidRDefault="008772D4" w:rsidP="008772D4">
      <w:pPr>
        <w:rPr>
          <w:lang w:val="en-US"/>
        </w:rPr>
      </w:pPr>
      <w:r>
        <w:rPr>
          <w:lang w:val="en-US"/>
        </w:rPr>
        <w:t xml:space="preserve">There is little consistent outcomes data and poor evidence of best practice and standardisation for ePMA prescribing decision support, however there is an emerging theme </w:t>
      </w:r>
      <w:r w:rsidR="00F32008">
        <w:rPr>
          <w:lang w:val="en-US"/>
        </w:rPr>
        <w:t xml:space="preserve">of </w:t>
      </w:r>
      <w:r>
        <w:rPr>
          <w:lang w:val="en-US"/>
        </w:rPr>
        <w:t>attempting to identify and score systems</w:t>
      </w:r>
      <w:r w:rsidR="005E21B1">
        <w:rPr>
          <w:lang w:val="en-US"/>
        </w:rPr>
        <w:t xml:space="preserve"> as discussed in </w:t>
      </w:r>
      <w:r w:rsidR="00B44E5B">
        <w:rPr>
          <w:lang w:val="en-US"/>
        </w:rPr>
        <w:fldChar w:fldCharType="begin"/>
      </w:r>
      <w:r w:rsidR="00B70805">
        <w:rPr>
          <w:lang w:val="en-US"/>
        </w:rPr>
        <w:instrText xml:space="preserve"> ADDIN EN.CITE &lt;EndNote&gt;&lt;Cite AuthorYear="1"&gt;&lt;Author&gt;Heed&lt;/Author&gt;&lt;Year&gt;2022&lt;/Year&gt;&lt;RecNum&gt;525&lt;/RecNum&gt;&lt;DisplayText&gt;Heed&lt;style face="italic"&gt; et al.&lt;/style&gt; (2022)&lt;/DisplayText&gt;&lt;record&gt;&lt;rec-number&gt;525&lt;/rec-number&gt;&lt;foreign-keys&gt;&lt;key app="EN" db-id="wxra20f03dt20kepwrwvfa0mvpxxeeezfaaz" timestamp="1675435587"&gt;525&lt;/key&gt;&lt;/foreign-keys&gt;&lt;ref-type name="Journal Article"&gt;17&lt;/ref-type&gt;&lt;contributors&gt;&lt;authors&gt;&lt;author&gt;Heed, Jude&lt;/author&gt;&lt;author&gt;Heed, Andrew&lt;/author&gt;&lt;author&gt;Husband, Andy&lt;/author&gt;&lt;author&gt;Klein, Stephanie&lt;/author&gt;&lt;author&gt;Slee, Ann&lt;/author&gt;&lt;author&gt;Watson, Neil&lt;/author&gt;&lt;author&gt;Slight, Sarah&lt;/author&gt;&lt;/authors&gt;&lt;/contributors&gt;&lt;titles&gt;&lt;title&gt;A qualitative study exploring the acceptability and usability of the e-Prescribing Risk and Safety Evaluation (ePRaSE) assessment within the hospital-pharmacy-setting&lt;/title&gt;&lt;secondary-title&gt;Authorea Preprints&lt;/secondary-title&gt;&lt;/titles&gt;&lt;periodical&gt;&lt;full-title&gt;Authorea Preprints&lt;/full-title&gt;&lt;/periodical&gt;&lt;dates&gt;&lt;year&gt;2022&lt;/year&gt;&lt;/dates&gt;&lt;urls&gt;&lt;/urls&gt;&lt;/record&gt;&lt;/Cite&gt;&lt;/EndNote&gt;</w:instrText>
      </w:r>
      <w:r w:rsidR="00B44E5B">
        <w:rPr>
          <w:lang w:val="en-US"/>
        </w:rPr>
        <w:fldChar w:fldCharType="separate"/>
      </w:r>
      <w:r w:rsidR="00B70805">
        <w:rPr>
          <w:noProof/>
          <w:lang w:val="en-US"/>
        </w:rPr>
        <w:t>Heed</w:t>
      </w:r>
      <w:r w:rsidR="00B70805" w:rsidRPr="00B70805">
        <w:rPr>
          <w:i/>
          <w:noProof/>
          <w:lang w:val="en-US"/>
        </w:rPr>
        <w:t xml:space="preserve"> et al.</w:t>
      </w:r>
      <w:r w:rsidR="00B70805">
        <w:rPr>
          <w:noProof/>
          <w:lang w:val="en-US"/>
        </w:rPr>
        <w:t xml:space="preserve"> (2022)</w:t>
      </w:r>
      <w:r w:rsidR="00B44E5B">
        <w:rPr>
          <w:lang w:val="en-US"/>
        </w:rPr>
        <w:fldChar w:fldCharType="end"/>
      </w:r>
      <w:r w:rsidR="00B44E5B">
        <w:rPr>
          <w:lang w:val="en-US"/>
        </w:rPr>
        <w:t xml:space="preserve">  </w:t>
      </w:r>
      <w:r w:rsidR="005E21B1">
        <w:rPr>
          <w:lang w:val="en-US"/>
        </w:rPr>
        <w:t>pre-print paper</w:t>
      </w:r>
      <w:r w:rsidR="00B70805">
        <w:rPr>
          <w:lang w:val="en-US"/>
        </w:rPr>
        <w:t>, not yet fully published.</w:t>
      </w:r>
      <w:r>
        <w:rPr>
          <w:lang w:val="en-US"/>
        </w:rPr>
        <w:t xml:space="preserve">  </w:t>
      </w:r>
    </w:p>
    <w:p w14:paraId="1FE72525" w14:textId="2B470B14" w:rsidR="008772D4" w:rsidRPr="0067693E" w:rsidRDefault="008772D4" w:rsidP="008772D4">
      <w:pPr>
        <w:rPr>
          <w:lang w:val="en-US"/>
        </w:rPr>
      </w:pPr>
      <w:r>
        <w:rPr>
          <w:lang w:val="en-US"/>
        </w:rPr>
        <w:t>Pharmacogenomics is also an emerging area where it’s application in prescribing decision support will need to be established</w:t>
      </w:r>
      <w:r w:rsidR="005879E0">
        <w:rPr>
          <w:lang w:val="en-US"/>
        </w:rPr>
        <w:t xml:space="preserve"> </w:t>
      </w:r>
      <w:r w:rsidR="005879E0">
        <w:rPr>
          <w:lang w:val="en-US"/>
        </w:rPr>
        <w:fldChar w:fldCharType="begin"/>
      </w:r>
      <w:r w:rsidR="005879E0">
        <w:rPr>
          <w:lang w:val="en-US"/>
        </w:rPr>
        <w:instrText xml:space="preserve"> ADDIN EN.CITE &lt;EndNote&gt;&lt;Cite&gt;&lt;Author&gt;Qin&lt;/Author&gt;&lt;Year&gt;2022&lt;/Year&gt;&lt;RecNum&gt;529&lt;/RecNum&gt;&lt;DisplayText&gt;(Qin&lt;style face="italic"&gt; et al.&lt;/style&gt;, 2022)&lt;/DisplayText&gt;&lt;record&gt;&lt;rec-number&gt;529&lt;/rec-number&gt;&lt;foreign-keys&gt;&lt;key app="EN" db-id="wxra20f03dt20kepwrwvfa0mvpxxeeezfaaz" timestamp="1676045228"&gt;529&lt;/key&gt;&lt;/foreign-keys&gt;&lt;ref-type name="Journal Article"&gt;17&lt;/ref-type&gt;&lt;contributors&gt;&lt;authors&gt;&lt;author&gt;Weifeng Qin&lt;/author&gt;&lt;author&gt;Xudong Lu&lt;/author&gt;&lt;author&gt;Qiang Shu&lt;/author&gt;&lt;author&gt;Huilong Duan&lt;/author&gt;&lt;author&gt;Haomin Li&lt;/author&gt;&lt;/authors&gt;&lt;/contributors&gt;&lt;titles&gt;&lt;title&gt;Building an information system to facilitate pharmacogenomics clinical translation with clinical decision support&lt;/title&gt;&lt;secondary-title&gt;Pharmacogenomics&lt;/secondary-title&gt;&lt;/titles&gt;&lt;periodical&gt;&lt;full-title&gt;Pharmacogenomics&lt;/full-title&gt;&lt;/periodical&gt;&lt;pages&gt;35-48&lt;/pages&gt;&lt;volume&gt;23&lt;/volume&gt;&lt;number&gt;1&lt;/number&gt;&lt;keywords&gt;&lt;keyword&gt;clinical decision support,clinical translation,electronic health record,health informatics,knowledge management,knowledge representation,pharmacogenomics,precision medicine&lt;/keyword&gt;&lt;/keywords&gt;&lt;dates&gt;&lt;year&gt;2022&lt;/year&gt;&lt;/dates&gt;&lt;accession-num&gt;34787504&lt;/accession-num&gt;&lt;urls&gt;&lt;related-urls&gt;&lt;url&gt;https://www.futuremedicine.com/doi/abs/10.2217/pgs-2021-0110&lt;/url&gt;&lt;/related-urls&gt;&lt;/urls&gt;&lt;electronic-resource-num&gt;10.2217/pgs-2021-0110&lt;/electronic-resource-num&gt;&lt;/record&gt;&lt;/Cite&gt;&lt;/EndNote&gt;</w:instrText>
      </w:r>
      <w:r w:rsidR="005879E0">
        <w:rPr>
          <w:lang w:val="en-US"/>
        </w:rPr>
        <w:fldChar w:fldCharType="separate"/>
      </w:r>
      <w:r w:rsidR="005879E0">
        <w:rPr>
          <w:noProof/>
          <w:lang w:val="en-US"/>
        </w:rPr>
        <w:t>(Qin</w:t>
      </w:r>
      <w:r w:rsidR="005879E0" w:rsidRPr="005879E0">
        <w:rPr>
          <w:i/>
          <w:noProof/>
          <w:lang w:val="en-US"/>
        </w:rPr>
        <w:t xml:space="preserve"> et al.</w:t>
      </w:r>
      <w:r w:rsidR="005879E0">
        <w:rPr>
          <w:noProof/>
          <w:lang w:val="en-US"/>
        </w:rPr>
        <w:t>, 2022)</w:t>
      </w:r>
      <w:r w:rsidR="005879E0">
        <w:rPr>
          <w:lang w:val="en-US"/>
        </w:rPr>
        <w:fldChar w:fldCharType="end"/>
      </w:r>
      <w:r>
        <w:rPr>
          <w:lang w:val="en-US"/>
        </w:rPr>
        <w:t xml:space="preserve">.  </w:t>
      </w:r>
    </w:p>
    <w:p w14:paraId="57C634D2" w14:textId="15ED5F58" w:rsidR="008772D4" w:rsidRDefault="008772D4" w:rsidP="00F85D98">
      <w:pPr>
        <w:rPr>
          <w:lang w:val="en-US"/>
        </w:rPr>
      </w:pPr>
      <w:r>
        <w:rPr>
          <w:lang w:val="en-US"/>
        </w:rPr>
        <w:t xml:space="preserve">The selection did not attempt to specifically search for any </w:t>
      </w:r>
      <w:r w:rsidR="001D5553">
        <w:rPr>
          <w:lang w:val="en-US"/>
        </w:rPr>
        <w:t>C</w:t>
      </w:r>
      <w:r>
        <w:rPr>
          <w:lang w:val="en-US"/>
        </w:rPr>
        <w:t>DS that may combine prescribing and patient characteristics, however this would be a useful area for further research and review.</w:t>
      </w:r>
    </w:p>
    <w:p w14:paraId="1EFA95AA" w14:textId="365E393A" w:rsidR="00F85D98" w:rsidRDefault="00E226F1" w:rsidP="00F85D98">
      <w:pPr>
        <w:rPr>
          <w:lang w:val="en-US"/>
        </w:rPr>
      </w:pPr>
      <w:r>
        <w:rPr>
          <w:lang w:val="en-US"/>
        </w:rPr>
        <w:t xml:space="preserve">A number of the studies and reviews in the initial search didn’t differentiate between the outcomes of implementing an ePMA system and the decision support </w:t>
      </w:r>
      <w:r w:rsidR="00804347">
        <w:rPr>
          <w:lang w:val="en-US"/>
        </w:rPr>
        <w:t xml:space="preserve">functionality associated or used within it.  This is a major drawback in terms of </w:t>
      </w:r>
      <w:r w:rsidR="0025001C">
        <w:rPr>
          <w:lang w:val="en-US"/>
        </w:rPr>
        <w:t>systematic reviews and finding good quality evidence for the specific use of decision support within this area</w:t>
      </w:r>
      <w:r w:rsidR="008772D4">
        <w:rPr>
          <w:lang w:val="en-US"/>
        </w:rPr>
        <w:t>.</w:t>
      </w:r>
    </w:p>
    <w:p w14:paraId="779EED33" w14:textId="4930D74A" w:rsidR="00275CD9" w:rsidRPr="00F85D98" w:rsidRDefault="00275CD9" w:rsidP="00F85D98">
      <w:pPr>
        <w:rPr>
          <w:lang w:val="en-US"/>
        </w:rPr>
      </w:pPr>
      <w:r>
        <w:rPr>
          <w:lang w:val="en-US"/>
        </w:rPr>
        <w:t xml:space="preserve">It has also been very apparent that </w:t>
      </w:r>
      <w:r w:rsidR="00331481">
        <w:rPr>
          <w:lang w:val="en-US"/>
        </w:rPr>
        <w:t>it is the overall effect of CDS implemented in ePMA systems that seems to be assessed for outcomes related data as opposed to examining the impact on very specific functions like dose cumulation checking,</w:t>
      </w:r>
    </w:p>
    <w:p w14:paraId="6B6DB72B" w14:textId="77777777" w:rsidR="009B3963" w:rsidRDefault="009B3963">
      <w:pPr>
        <w:rPr>
          <w:rFonts w:asciiTheme="majorHAnsi" w:eastAsiaTheme="majorEastAsia" w:hAnsiTheme="majorHAnsi" w:cstheme="majorBidi"/>
          <w:color w:val="2F5496" w:themeColor="accent1" w:themeShade="BF"/>
          <w:sz w:val="32"/>
          <w:szCs w:val="32"/>
          <w:lang w:val="en-US"/>
        </w:rPr>
      </w:pPr>
      <w:r>
        <w:rPr>
          <w:lang w:val="en-US"/>
        </w:rPr>
        <w:br w:type="page"/>
      </w:r>
    </w:p>
    <w:p w14:paraId="4548B690" w14:textId="309551BE" w:rsidR="0067693E" w:rsidRDefault="000B27D9" w:rsidP="0067693E">
      <w:pPr>
        <w:pStyle w:val="Heading1"/>
        <w:rPr>
          <w:lang w:val="en-US"/>
        </w:rPr>
      </w:pPr>
      <w:bookmarkStart w:id="9" w:name="_Toc127881394"/>
      <w:r>
        <w:rPr>
          <w:lang w:val="en-US"/>
        </w:rPr>
        <w:lastRenderedPageBreak/>
        <w:t>Implementation Issues</w:t>
      </w:r>
      <w:bookmarkEnd w:id="9"/>
    </w:p>
    <w:p w14:paraId="68ABFF16" w14:textId="26780C49" w:rsidR="004622EA" w:rsidRDefault="0086149E" w:rsidP="00D06A66">
      <w:pPr>
        <w:spacing w:after="0" w:line="240" w:lineRule="auto"/>
        <w:rPr>
          <w:lang w:val="en-US"/>
        </w:rPr>
      </w:pPr>
      <w:r>
        <w:rPr>
          <w:rFonts w:eastAsia="Times New Roman" w:cs="Arial"/>
          <w:szCs w:val="24"/>
          <w:lang w:val="en-US" w:eastAsia="en-GB"/>
        </w:rPr>
        <w:t>It is clear to see from the evidence cited in this paper</w:t>
      </w:r>
      <w:r w:rsidR="008C3A4A">
        <w:rPr>
          <w:rFonts w:eastAsia="Times New Roman" w:cs="Arial"/>
          <w:szCs w:val="24"/>
          <w:lang w:val="en-US" w:eastAsia="en-GB"/>
        </w:rPr>
        <w:t xml:space="preserve"> </w:t>
      </w:r>
      <w:r>
        <w:rPr>
          <w:rFonts w:eastAsia="Times New Roman" w:cs="Arial"/>
          <w:szCs w:val="24"/>
          <w:lang w:val="en-US" w:eastAsia="en-GB"/>
        </w:rPr>
        <w:t>that variatio</w:t>
      </w:r>
      <w:r w:rsidR="00151ECB">
        <w:rPr>
          <w:rFonts w:eastAsia="Times New Roman" w:cs="Arial"/>
          <w:szCs w:val="24"/>
          <w:lang w:val="en-US" w:eastAsia="en-GB"/>
        </w:rPr>
        <w:t>n</w:t>
      </w:r>
      <w:r w:rsidR="008C3A4A">
        <w:rPr>
          <w:rFonts w:eastAsia="Times New Roman" w:cs="Arial"/>
          <w:szCs w:val="24"/>
          <w:lang w:val="en-US" w:eastAsia="en-GB"/>
        </w:rPr>
        <w:t xml:space="preserve"> in the way that CDS is implemented across organisations and sites</w:t>
      </w:r>
      <w:r w:rsidR="000063A2">
        <w:rPr>
          <w:rFonts w:eastAsia="Times New Roman" w:cs="Arial"/>
          <w:szCs w:val="24"/>
          <w:lang w:val="en-US" w:eastAsia="en-GB"/>
        </w:rPr>
        <w:t xml:space="preserve"> </w:t>
      </w:r>
      <w:r w:rsidR="008C3A4A">
        <w:rPr>
          <w:rFonts w:eastAsia="Times New Roman" w:cs="Arial"/>
          <w:szCs w:val="24"/>
          <w:lang w:val="en-US" w:eastAsia="en-GB"/>
        </w:rPr>
        <w:t>c</w:t>
      </w:r>
      <w:r w:rsidR="00355310">
        <w:rPr>
          <w:rFonts w:eastAsia="Times New Roman" w:cs="Arial"/>
          <w:szCs w:val="24"/>
          <w:lang w:val="en-US" w:eastAsia="en-GB"/>
        </w:rPr>
        <w:t xml:space="preserve">ould </w:t>
      </w:r>
      <w:r w:rsidR="00B2577C">
        <w:rPr>
          <w:rFonts w:eastAsia="Times New Roman" w:cs="Arial"/>
          <w:szCs w:val="24"/>
          <w:lang w:val="en-US" w:eastAsia="en-GB"/>
        </w:rPr>
        <w:t>lead to</w:t>
      </w:r>
      <w:r w:rsidR="008C3A4A">
        <w:rPr>
          <w:rFonts w:eastAsia="Times New Roman" w:cs="Arial"/>
          <w:szCs w:val="24"/>
          <w:lang w:val="en-US" w:eastAsia="en-GB"/>
        </w:rPr>
        <w:t xml:space="preserve"> </w:t>
      </w:r>
      <w:r w:rsidR="000865D2">
        <w:rPr>
          <w:rFonts w:eastAsia="Times New Roman" w:cs="Arial"/>
          <w:szCs w:val="24"/>
          <w:lang w:val="en-US" w:eastAsia="en-GB"/>
        </w:rPr>
        <w:t>inequities</w:t>
      </w:r>
      <w:r w:rsidR="008C3A4A">
        <w:rPr>
          <w:rFonts w:eastAsia="Times New Roman" w:cs="Arial"/>
          <w:szCs w:val="24"/>
          <w:lang w:val="en-US" w:eastAsia="en-GB"/>
        </w:rPr>
        <w:t xml:space="preserve"> in c</w:t>
      </w:r>
      <w:r w:rsidR="00F1133C">
        <w:rPr>
          <w:rFonts w:eastAsia="Times New Roman" w:cs="Arial"/>
          <w:szCs w:val="24"/>
          <w:lang w:val="en-US" w:eastAsia="en-GB"/>
        </w:rPr>
        <w:t>are</w:t>
      </w:r>
      <w:r w:rsidR="000063A2">
        <w:rPr>
          <w:rFonts w:eastAsia="Times New Roman" w:cs="Arial"/>
          <w:szCs w:val="24"/>
          <w:lang w:val="en-US" w:eastAsia="en-GB"/>
        </w:rPr>
        <w:t>,</w:t>
      </w:r>
      <w:r w:rsidR="00B2577C">
        <w:rPr>
          <w:rFonts w:eastAsia="Times New Roman" w:cs="Arial"/>
          <w:szCs w:val="24"/>
          <w:lang w:val="en-US" w:eastAsia="en-GB"/>
        </w:rPr>
        <w:t xml:space="preserve"> as error rates and </w:t>
      </w:r>
      <w:r w:rsidR="0079019A">
        <w:rPr>
          <w:rFonts w:eastAsia="Times New Roman" w:cs="Arial"/>
          <w:szCs w:val="24"/>
          <w:lang w:val="en-US" w:eastAsia="en-GB"/>
        </w:rPr>
        <w:t>ADRs var</w:t>
      </w:r>
      <w:r w:rsidR="000063A2">
        <w:rPr>
          <w:rFonts w:eastAsia="Times New Roman" w:cs="Arial"/>
          <w:szCs w:val="24"/>
          <w:lang w:val="en-US" w:eastAsia="en-GB"/>
        </w:rPr>
        <w:t xml:space="preserve">y </w:t>
      </w:r>
      <w:r w:rsidR="0079019A">
        <w:rPr>
          <w:rFonts w:eastAsia="Times New Roman" w:cs="Arial"/>
          <w:szCs w:val="24"/>
          <w:lang w:val="en-US" w:eastAsia="en-GB"/>
        </w:rPr>
        <w:t>between configurations and studies</w:t>
      </w:r>
      <w:r w:rsidR="000127EE">
        <w:rPr>
          <w:rFonts w:eastAsia="Times New Roman" w:cs="Arial"/>
          <w:szCs w:val="24"/>
          <w:lang w:val="en-US" w:eastAsia="en-GB"/>
        </w:rPr>
        <w:t>.</w:t>
      </w:r>
      <w:r w:rsidR="00D06A66">
        <w:rPr>
          <w:rFonts w:eastAsia="Times New Roman" w:cs="Arial"/>
          <w:szCs w:val="24"/>
          <w:lang w:val="en-US" w:eastAsia="en-GB"/>
        </w:rPr>
        <w:t xml:space="preserve">  </w:t>
      </w:r>
      <w:r w:rsidR="001608EE">
        <w:rPr>
          <w:rFonts w:eastAsia="Times New Roman" w:cs="Arial"/>
          <w:szCs w:val="24"/>
          <w:lang w:val="en-US" w:eastAsia="en-GB"/>
        </w:rPr>
        <w:t>However,</w:t>
      </w:r>
      <w:r w:rsidR="00D06A66">
        <w:rPr>
          <w:rFonts w:eastAsia="Times New Roman" w:cs="Arial"/>
          <w:szCs w:val="24"/>
          <w:lang w:val="en-US" w:eastAsia="en-GB"/>
        </w:rPr>
        <w:t xml:space="preserve"> it is notable that there was a consensus that irrespective of the variation there was an overall reduction in ADRs</w:t>
      </w:r>
      <w:r w:rsidR="0020780D">
        <w:rPr>
          <w:rFonts w:eastAsia="Times New Roman" w:cs="Arial"/>
          <w:szCs w:val="24"/>
          <w:lang w:val="en-US" w:eastAsia="en-GB"/>
        </w:rPr>
        <w:t xml:space="preserve">.  </w:t>
      </w:r>
      <w:r w:rsidR="004622EA">
        <w:rPr>
          <w:lang w:val="en-US"/>
        </w:rPr>
        <w:t xml:space="preserve">Each of the papers and studies that identified positive outcomes had a key factor in common, deciding in advance a set of criteria that were considered relevant and suitable in terms of measures of safety.  </w:t>
      </w:r>
      <w:r w:rsidR="000127EE">
        <w:rPr>
          <w:lang w:val="en-US"/>
        </w:rPr>
        <w:t xml:space="preserve"> This highlights the importance of ensuring that appropriate governance, </w:t>
      </w:r>
      <w:r w:rsidR="0020780D">
        <w:rPr>
          <w:lang w:val="en-US"/>
        </w:rPr>
        <w:t>assurance,</w:t>
      </w:r>
      <w:r w:rsidR="000127EE">
        <w:rPr>
          <w:lang w:val="en-US"/>
        </w:rPr>
        <w:t xml:space="preserve"> </w:t>
      </w:r>
      <w:r w:rsidR="0020780D">
        <w:rPr>
          <w:lang w:val="en-US"/>
        </w:rPr>
        <w:t xml:space="preserve">validation, </w:t>
      </w:r>
      <w:r w:rsidR="000127EE">
        <w:rPr>
          <w:lang w:val="en-US"/>
        </w:rPr>
        <w:t xml:space="preserve">and </w:t>
      </w:r>
      <w:r w:rsidR="000456C7">
        <w:rPr>
          <w:lang w:val="en-US"/>
        </w:rPr>
        <w:t>decision-making</w:t>
      </w:r>
      <w:r w:rsidR="009E68DC">
        <w:rPr>
          <w:lang w:val="en-US"/>
        </w:rPr>
        <w:t xml:space="preserve"> </w:t>
      </w:r>
      <w:r w:rsidR="009E5646">
        <w:rPr>
          <w:lang w:val="en-US"/>
        </w:rPr>
        <w:t xml:space="preserve">processes are in place </w:t>
      </w:r>
      <w:r w:rsidR="009E68DC">
        <w:rPr>
          <w:lang w:val="en-US"/>
        </w:rPr>
        <w:t>in advance of any implementation.</w:t>
      </w:r>
      <w:r w:rsidR="009E5646">
        <w:rPr>
          <w:lang w:val="en-US"/>
        </w:rPr>
        <w:t xml:space="preserve">  </w:t>
      </w:r>
      <w:r w:rsidR="00E65411">
        <w:rPr>
          <w:lang w:val="en-US"/>
        </w:rPr>
        <w:t xml:space="preserve">Such processes should be suitable for any </w:t>
      </w:r>
      <w:r w:rsidR="009E5646">
        <w:rPr>
          <w:lang w:val="en-US"/>
        </w:rPr>
        <w:t xml:space="preserve">initial </w:t>
      </w:r>
      <w:r w:rsidR="00D87955">
        <w:rPr>
          <w:lang w:val="en-US"/>
        </w:rPr>
        <w:t xml:space="preserve">coverage of the decision support system </w:t>
      </w:r>
      <w:r w:rsidR="00884C90">
        <w:rPr>
          <w:lang w:val="en-US"/>
        </w:rPr>
        <w:t xml:space="preserve">at implementation </w:t>
      </w:r>
      <w:r w:rsidR="00666DC9">
        <w:rPr>
          <w:lang w:val="en-US"/>
        </w:rPr>
        <w:t>and</w:t>
      </w:r>
      <w:r w:rsidR="00D87955">
        <w:rPr>
          <w:lang w:val="en-US"/>
        </w:rPr>
        <w:t xml:space="preserve"> for ensuring that a process is in place for </w:t>
      </w:r>
      <w:r w:rsidR="00AD6C14">
        <w:rPr>
          <w:lang w:val="en-US"/>
        </w:rPr>
        <w:t>optimizing and standardising the system</w:t>
      </w:r>
      <w:r w:rsidR="00884C90">
        <w:rPr>
          <w:lang w:val="en-US"/>
        </w:rPr>
        <w:t xml:space="preserve"> during </w:t>
      </w:r>
      <w:r w:rsidR="000D74C7">
        <w:rPr>
          <w:lang w:val="en-US"/>
        </w:rPr>
        <w:t>its</w:t>
      </w:r>
      <w:r w:rsidR="00884C90">
        <w:rPr>
          <w:lang w:val="en-US"/>
        </w:rPr>
        <w:t xml:space="preserve"> lifetime</w:t>
      </w:r>
      <w:r w:rsidR="000D74C7">
        <w:rPr>
          <w:lang w:val="en-US"/>
        </w:rPr>
        <w:t>.</w:t>
      </w:r>
    </w:p>
    <w:p w14:paraId="1BF116E2" w14:textId="77777777" w:rsidR="00286987" w:rsidRPr="00D06A66" w:rsidRDefault="00286987" w:rsidP="00D06A66">
      <w:pPr>
        <w:spacing w:after="0" w:line="240" w:lineRule="auto"/>
        <w:rPr>
          <w:rFonts w:eastAsia="Times New Roman" w:cs="Arial"/>
          <w:szCs w:val="24"/>
          <w:lang w:val="en-US" w:eastAsia="en-GB"/>
        </w:rPr>
      </w:pPr>
    </w:p>
    <w:p w14:paraId="28963A53" w14:textId="10875D9B" w:rsidR="008F6520" w:rsidRDefault="006E1CBB" w:rsidP="004622EA">
      <w:pPr>
        <w:rPr>
          <w:lang w:val="en-US"/>
        </w:rPr>
      </w:pPr>
      <w:r>
        <w:rPr>
          <w:lang w:val="en-US"/>
        </w:rPr>
        <w:t xml:space="preserve">There are </w:t>
      </w:r>
      <w:r w:rsidR="00666DC9">
        <w:rPr>
          <w:lang w:val="en-US"/>
        </w:rPr>
        <w:t>several</w:t>
      </w:r>
      <w:r>
        <w:rPr>
          <w:lang w:val="en-US"/>
        </w:rPr>
        <w:t xml:space="preserve"> </w:t>
      </w:r>
      <w:r w:rsidR="006D5B6C">
        <w:rPr>
          <w:lang w:val="en-US"/>
        </w:rPr>
        <w:t>steps that might be contemplated when implementing CDS within t</w:t>
      </w:r>
      <w:r w:rsidR="00397FF1">
        <w:rPr>
          <w:lang w:val="en-US"/>
        </w:rPr>
        <w:t xml:space="preserve">he ePMA context for reducing ADRs and errors. </w:t>
      </w:r>
      <w:r w:rsidR="00286987">
        <w:rPr>
          <w:lang w:val="en-US"/>
        </w:rPr>
        <w:t xml:space="preserve"> </w:t>
      </w:r>
      <w:r w:rsidR="008B22CC">
        <w:rPr>
          <w:lang w:val="en-US"/>
        </w:rPr>
        <w:t xml:space="preserve">It is important prior to any </w:t>
      </w:r>
      <w:r w:rsidR="00F5316D">
        <w:rPr>
          <w:lang w:val="en-US"/>
        </w:rPr>
        <w:t xml:space="preserve">implementation that </w:t>
      </w:r>
      <w:r w:rsidR="00124BD6">
        <w:rPr>
          <w:lang w:val="en-US"/>
        </w:rPr>
        <w:t xml:space="preserve">an understanding of the context is clearly defined and that </w:t>
      </w:r>
      <w:r w:rsidR="00B96611">
        <w:rPr>
          <w:lang w:val="en-US"/>
        </w:rPr>
        <w:t xml:space="preserve">the problem that the CDS technology will tackle </w:t>
      </w:r>
      <w:r w:rsidR="00083D72">
        <w:rPr>
          <w:lang w:val="en-US"/>
        </w:rPr>
        <w:t>is clarified.  In this case the objective is to</w:t>
      </w:r>
      <w:r w:rsidR="00034B9E">
        <w:rPr>
          <w:lang w:val="en-US"/>
        </w:rPr>
        <w:t xml:space="preserve"> </w:t>
      </w:r>
      <w:r w:rsidR="007B7318">
        <w:rPr>
          <w:lang w:val="en-US"/>
        </w:rPr>
        <w:t>configure cumulative dose ranges and</w:t>
      </w:r>
      <w:r w:rsidR="00083D72">
        <w:rPr>
          <w:lang w:val="en-US"/>
        </w:rPr>
        <w:t xml:space="preserve"> reduce </w:t>
      </w:r>
      <w:r w:rsidR="0037061A">
        <w:rPr>
          <w:lang w:val="en-US"/>
        </w:rPr>
        <w:t xml:space="preserve">ADRs and errors.  Taking this to its next logical step would </w:t>
      </w:r>
      <w:r w:rsidR="002079EE">
        <w:rPr>
          <w:lang w:val="en-US"/>
        </w:rPr>
        <w:t xml:space="preserve">mean that a consensus of what exactly these are and how they are identified </w:t>
      </w:r>
      <w:r w:rsidR="005B1473">
        <w:rPr>
          <w:lang w:val="en-US"/>
        </w:rPr>
        <w:t>needs to be built</w:t>
      </w:r>
      <w:r w:rsidR="00225AFA">
        <w:rPr>
          <w:lang w:val="en-US"/>
        </w:rPr>
        <w:t xml:space="preserve"> </w:t>
      </w:r>
      <w:r w:rsidR="006B67E5">
        <w:rPr>
          <w:lang w:val="en-US"/>
        </w:rPr>
        <w:t>e.g.,</w:t>
      </w:r>
      <w:r w:rsidR="00225AFA">
        <w:rPr>
          <w:lang w:val="en-US"/>
        </w:rPr>
        <w:t xml:space="preserve"> detailed user requirements specification</w:t>
      </w:r>
      <w:r w:rsidR="006547E0">
        <w:rPr>
          <w:lang w:val="en-US"/>
        </w:rPr>
        <w:t xml:space="preserve"> (URS)</w:t>
      </w:r>
      <w:r w:rsidR="005B1473">
        <w:rPr>
          <w:lang w:val="en-US"/>
        </w:rPr>
        <w:t xml:space="preserve">. </w:t>
      </w:r>
      <w:r w:rsidR="00D241A1">
        <w:rPr>
          <w:lang w:val="en-US"/>
        </w:rPr>
        <w:t xml:space="preserve"> It is important that these are detailed and that processes are fully mapped </w:t>
      </w:r>
      <w:r w:rsidR="007B7318">
        <w:rPr>
          <w:lang w:val="en-US"/>
        </w:rPr>
        <w:t>to</w:t>
      </w:r>
      <w:r w:rsidR="00B822FB">
        <w:rPr>
          <w:lang w:val="en-US"/>
        </w:rPr>
        <w:t xml:space="preserve"> fully understand</w:t>
      </w:r>
      <w:r w:rsidR="00FD38A9">
        <w:rPr>
          <w:lang w:val="en-US"/>
        </w:rPr>
        <w:t xml:space="preserve"> how and when </w:t>
      </w:r>
      <w:r w:rsidR="00BE3A5B">
        <w:rPr>
          <w:lang w:val="en-US"/>
        </w:rPr>
        <w:t xml:space="preserve">CDS might impact them.  Understanding this needs to involve stakeholders and </w:t>
      </w:r>
      <w:r w:rsidR="00F46C5E">
        <w:rPr>
          <w:lang w:val="en-US"/>
        </w:rPr>
        <w:t>derive consensus.</w:t>
      </w:r>
      <w:r w:rsidR="00B822FB">
        <w:rPr>
          <w:lang w:val="en-US"/>
        </w:rPr>
        <w:t xml:space="preserve"> </w:t>
      </w:r>
      <w:r w:rsidR="005B1473">
        <w:rPr>
          <w:lang w:val="en-US"/>
        </w:rPr>
        <w:t xml:space="preserve"> </w:t>
      </w:r>
    </w:p>
    <w:p w14:paraId="3666D30C" w14:textId="0DCE88B4" w:rsidR="008F6520" w:rsidRDefault="009B6997" w:rsidP="004622EA">
      <w:pPr>
        <w:rPr>
          <w:lang w:val="en-US"/>
        </w:rPr>
      </w:pPr>
      <w:r>
        <w:rPr>
          <w:lang w:val="en-US"/>
        </w:rPr>
        <w:t>Following on from any consensus</w:t>
      </w:r>
      <w:r w:rsidR="00BA018E">
        <w:rPr>
          <w:lang w:val="en-US"/>
        </w:rPr>
        <w:t>, a consideration and assessment of exactly how this will be achieved needs to be undertaken and options de</w:t>
      </w:r>
      <w:r w:rsidR="00523E09">
        <w:rPr>
          <w:lang w:val="en-US"/>
        </w:rPr>
        <w:t>veloped</w:t>
      </w:r>
      <w:r w:rsidR="00BA018E">
        <w:rPr>
          <w:lang w:val="en-US"/>
        </w:rPr>
        <w:t xml:space="preserve">.  </w:t>
      </w:r>
      <w:r w:rsidR="00DB2655">
        <w:rPr>
          <w:lang w:val="en-US"/>
        </w:rPr>
        <w:t>In assessing such options</w:t>
      </w:r>
      <w:r w:rsidR="00BE66B5">
        <w:rPr>
          <w:lang w:val="en-US"/>
        </w:rPr>
        <w:t>,</w:t>
      </w:r>
      <w:r w:rsidR="00DB2655">
        <w:rPr>
          <w:lang w:val="en-US"/>
        </w:rPr>
        <w:t xml:space="preserve"> thought and assurances </w:t>
      </w:r>
      <w:r w:rsidR="009624AD">
        <w:rPr>
          <w:lang w:val="en-US"/>
        </w:rPr>
        <w:t xml:space="preserve">would need to take place to ensure that the defined clinical need, improved </w:t>
      </w:r>
      <w:r w:rsidR="002C14C0">
        <w:rPr>
          <w:lang w:val="en-US"/>
        </w:rPr>
        <w:t xml:space="preserve">outcomes, and affordability are factored in.  </w:t>
      </w:r>
      <w:r w:rsidR="00F26FD1">
        <w:rPr>
          <w:lang w:val="en-US"/>
        </w:rPr>
        <w:t xml:space="preserve">This would undoubtedly require clear definition of requirements and a business case type process to assess and secure funding. </w:t>
      </w:r>
      <w:r w:rsidR="00801C23">
        <w:rPr>
          <w:lang w:val="en-US"/>
        </w:rPr>
        <w:t xml:space="preserve">  In </w:t>
      </w:r>
      <w:r w:rsidR="00FD2F7E">
        <w:rPr>
          <w:lang w:val="en-US"/>
        </w:rPr>
        <w:t>addition,</w:t>
      </w:r>
      <w:r w:rsidR="00801C23">
        <w:rPr>
          <w:lang w:val="en-US"/>
        </w:rPr>
        <w:t xml:space="preserve"> </w:t>
      </w:r>
      <w:r w:rsidR="007B0E2D">
        <w:rPr>
          <w:lang w:val="en-US"/>
        </w:rPr>
        <w:t xml:space="preserve">such </w:t>
      </w:r>
      <w:r w:rsidR="00801C23">
        <w:rPr>
          <w:lang w:val="en-US"/>
        </w:rPr>
        <w:t xml:space="preserve">assessment of options and </w:t>
      </w:r>
      <w:r w:rsidR="0008293D">
        <w:rPr>
          <w:lang w:val="en-US"/>
        </w:rPr>
        <w:t>requirements must consider the environment</w:t>
      </w:r>
      <w:r w:rsidR="000F0B1D">
        <w:rPr>
          <w:lang w:val="en-US"/>
        </w:rPr>
        <w:t xml:space="preserve">, digital </w:t>
      </w:r>
      <w:r w:rsidR="0008293D">
        <w:rPr>
          <w:lang w:val="en-US"/>
        </w:rPr>
        <w:t>architecture</w:t>
      </w:r>
      <w:r w:rsidR="000F0B1D">
        <w:rPr>
          <w:lang w:val="en-US"/>
        </w:rPr>
        <w:t xml:space="preserve"> and suitability of equipment to ensure that it fits its purpose</w:t>
      </w:r>
      <w:r w:rsidR="00A3444C">
        <w:rPr>
          <w:lang w:val="en-US"/>
        </w:rPr>
        <w:t xml:space="preserve"> (e.g.</w:t>
      </w:r>
      <w:r w:rsidR="00BF5224">
        <w:rPr>
          <w:lang w:val="en-US"/>
        </w:rPr>
        <w:t xml:space="preserve"> considering</w:t>
      </w:r>
      <w:r w:rsidR="00A3444C">
        <w:rPr>
          <w:lang w:val="en-US"/>
        </w:rPr>
        <w:t xml:space="preserve"> handheld</w:t>
      </w:r>
      <w:r w:rsidR="00FD33FF">
        <w:rPr>
          <w:lang w:val="en-US"/>
        </w:rPr>
        <w:t xml:space="preserve"> devices</w:t>
      </w:r>
      <w:r w:rsidR="00A3444C">
        <w:rPr>
          <w:lang w:val="en-US"/>
        </w:rPr>
        <w:t xml:space="preserve"> for ward rounds, des</w:t>
      </w:r>
      <w:r w:rsidR="009B3BA6">
        <w:rPr>
          <w:lang w:val="en-US"/>
        </w:rPr>
        <w:t>ktop</w:t>
      </w:r>
      <w:r w:rsidR="00BF5224">
        <w:rPr>
          <w:lang w:val="en-US"/>
        </w:rPr>
        <w:t xml:space="preserve"> availability</w:t>
      </w:r>
      <w:r w:rsidR="009B3BA6">
        <w:rPr>
          <w:lang w:val="en-US"/>
        </w:rPr>
        <w:t>,</w:t>
      </w:r>
      <w:r w:rsidR="00FD33FF">
        <w:rPr>
          <w:lang w:val="en-US"/>
        </w:rPr>
        <w:t xml:space="preserve"> computers on wheels (COWs)</w:t>
      </w:r>
      <w:r w:rsidR="009B3BA6">
        <w:rPr>
          <w:lang w:val="en-US"/>
        </w:rPr>
        <w:t xml:space="preserve"> etc. appropriate for the time and setting in which the CDS </w:t>
      </w:r>
      <w:r w:rsidR="007B0E2D">
        <w:rPr>
          <w:lang w:val="en-US"/>
        </w:rPr>
        <w:t>is actionable)</w:t>
      </w:r>
      <w:r w:rsidR="00357137">
        <w:rPr>
          <w:lang w:val="en-US"/>
        </w:rPr>
        <w:fldChar w:fldCharType="begin"/>
      </w:r>
      <w:r w:rsidR="00357137">
        <w:rPr>
          <w:lang w:val="en-US"/>
        </w:rPr>
        <w:instrText xml:space="preserve"> ADDIN EN.CITE &lt;EndNote&gt;&lt;Cite&gt;&lt;Author&gt;Kim&lt;/Author&gt;&lt;Year&gt;2021&lt;/Year&gt;&lt;RecNum&gt;526&lt;/RecNum&gt;&lt;DisplayText&gt;(Kim&lt;style face="italic"&gt; et al.&lt;/style&gt;, 2021)&lt;/DisplayText&gt;&lt;record&gt;&lt;rec-number&gt;526&lt;/rec-number&gt;&lt;foreign-keys&gt;&lt;key app="EN" db-id="wxra20f03dt20kepwrwvfa0mvpxxeeezfaaz" timestamp="1675436393"&gt;526&lt;/key&gt;&lt;/foreign-keys&gt;&lt;ref-type name="Journal Article"&gt;17&lt;/ref-type&gt;&lt;contributors&gt;&lt;authors&gt;&lt;author&gt;Kim, Hun-Sung&lt;/author&gt;&lt;author&gt;Kwon, In Ho&lt;/author&gt;&lt;author&gt;Cha, Won Chul&lt;/author&gt;&lt;/authors&gt;&lt;/contributors&gt;&lt;titles&gt;&lt;title&gt;Future and Development Direction of Digital Healthcare&lt;/title&gt;&lt;secondary-title&gt;Healthcare Informatics Research&lt;/secondary-title&gt;&lt;/titles&gt;&lt;periodical&gt;&lt;full-title&gt;Healthcare Informatics Research&lt;/full-title&gt;&lt;/periodical&gt;&lt;pages&gt;95-101&lt;/pages&gt;&lt;volume&gt;27&lt;/volume&gt;&lt;number&gt;2&lt;/number&gt;&lt;dates&gt;&lt;year&gt;2021&lt;/year&gt;&lt;/dates&gt;&lt;publisher&gt;The Korean Society of Medical Informatics&lt;/publisher&gt;&lt;isbn&gt;2093-369X&lt;/isbn&gt;&lt;urls&gt;&lt;related-urls&gt;&lt;url&gt;https://dx.doi.org/10.4258/hir.2021.27.2.95&lt;/url&gt;&lt;/related-urls&gt;&lt;/urls&gt;&lt;electronic-resource-num&gt;10.4258/hir.2021.27.2.95&lt;/electronic-resource-num&gt;&lt;/record&gt;&lt;/Cite&gt;&lt;/EndNote&gt;</w:instrText>
      </w:r>
      <w:r w:rsidR="00357137">
        <w:rPr>
          <w:lang w:val="en-US"/>
        </w:rPr>
        <w:fldChar w:fldCharType="separate"/>
      </w:r>
      <w:r w:rsidR="00357137">
        <w:rPr>
          <w:noProof/>
          <w:lang w:val="en-US"/>
        </w:rPr>
        <w:t>(Kim</w:t>
      </w:r>
      <w:r w:rsidR="00357137" w:rsidRPr="00357137">
        <w:rPr>
          <w:i/>
          <w:noProof/>
          <w:lang w:val="en-US"/>
        </w:rPr>
        <w:t xml:space="preserve"> et al.</w:t>
      </w:r>
      <w:r w:rsidR="00357137">
        <w:rPr>
          <w:noProof/>
          <w:lang w:val="en-US"/>
        </w:rPr>
        <w:t>, 2021)</w:t>
      </w:r>
      <w:r w:rsidR="00357137">
        <w:rPr>
          <w:lang w:val="en-US"/>
        </w:rPr>
        <w:fldChar w:fldCharType="end"/>
      </w:r>
      <w:r w:rsidR="007B0E2D">
        <w:rPr>
          <w:lang w:val="en-US"/>
        </w:rPr>
        <w:t xml:space="preserve">.  </w:t>
      </w:r>
    </w:p>
    <w:p w14:paraId="6087CCFE" w14:textId="5BCD3390" w:rsidR="0056346D" w:rsidRDefault="004345D2" w:rsidP="004622EA">
      <w:pPr>
        <w:rPr>
          <w:lang w:val="en-US"/>
        </w:rPr>
      </w:pPr>
      <w:r>
        <w:rPr>
          <w:lang w:val="en-US"/>
        </w:rPr>
        <w:t xml:space="preserve">Appropriate planning is absolutely critical and must consider </w:t>
      </w:r>
      <w:r w:rsidR="00C406C5">
        <w:rPr>
          <w:lang w:val="en-US"/>
        </w:rPr>
        <w:t>more than</w:t>
      </w:r>
      <w:r>
        <w:rPr>
          <w:lang w:val="en-US"/>
        </w:rPr>
        <w:t xml:space="preserve"> just the steps for preparing for implementation </w:t>
      </w:r>
      <w:r w:rsidR="00C406C5">
        <w:rPr>
          <w:lang w:val="en-US"/>
        </w:rPr>
        <w:t xml:space="preserve">and business change but also plan </w:t>
      </w:r>
      <w:r w:rsidR="00AB4392">
        <w:rPr>
          <w:lang w:val="en-US"/>
        </w:rPr>
        <w:t xml:space="preserve">processes </w:t>
      </w:r>
      <w:r w:rsidR="00C406C5">
        <w:rPr>
          <w:lang w:val="en-US"/>
        </w:rPr>
        <w:t>for corrective action</w:t>
      </w:r>
      <w:r w:rsidR="00AB4392">
        <w:rPr>
          <w:lang w:val="en-US"/>
        </w:rPr>
        <w:t xml:space="preserve">s, </w:t>
      </w:r>
      <w:r w:rsidR="004A2CE4">
        <w:rPr>
          <w:lang w:val="en-US"/>
        </w:rPr>
        <w:t>rollbacks</w:t>
      </w:r>
      <w:r w:rsidR="00AB4392">
        <w:rPr>
          <w:lang w:val="en-US"/>
        </w:rPr>
        <w:t xml:space="preserve">, and mechanisms for effective </w:t>
      </w:r>
      <w:r w:rsidR="00610AFE">
        <w:rPr>
          <w:lang w:val="en-US"/>
        </w:rPr>
        <w:t xml:space="preserve">feedback and </w:t>
      </w:r>
      <w:r w:rsidR="00AB4392">
        <w:rPr>
          <w:lang w:val="en-US"/>
        </w:rPr>
        <w:t>learning cycles</w:t>
      </w:r>
      <w:r w:rsidR="00F452A5">
        <w:rPr>
          <w:lang w:val="en-US"/>
        </w:rPr>
        <w:t>, e.g. once implemented d</w:t>
      </w:r>
      <w:r w:rsidR="00E15EC1">
        <w:rPr>
          <w:lang w:val="en-US"/>
        </w:rPr>
        <w:t>id the decision support work as expected</w:t>
      </w:r>
      <w:r w:rsidR="00AF293C">
        <w:rPr>
          <w:lang w:val="en-US"/>
        </w:rPr>
        <w:t>?</w:t>
      </w:r>
      <w:r w:rsidR="00E15EC1">
        <w:rPr>
          <w:lang w:val="en-US"/>
        </w:rPr>
        <w:t xml:space="preserve"> </w:t>
      </w:r>
      <w:r w:rsidR="00486D9F">
        <w:rPr>
          <w:lang w:val="en-US"/>
        </w:rPr>
        <w:t xml:space="preserve"> Planning should also consider cultural and sociotechnical challenges </w:t>
      </w:r>
      <w:r w:rsidR="00140F2B">
        <w:rPr>
          <w:lang w:val="en-US"/>
        </w:rPr>
        <w:t xml:space="preserve">and business change.  </w:t>
      </w:r>
      <w:r w:rsidR="00AF293C">
        <w:rPr>
          <w:lang w:val="en-US"/>
        </w:rPr>
        <w:t>This</w:t>
      </w:r>
      <w:r w:rsidR="00F26380">
        <w:rPr>
          <w:lang w:val="en-US"/>
        </w:rPr>
        <w:t xml:space="preserve"> leads on to the fundamental need to continuously evaluate </w:t>
      </w:r>
      <w:r w:rsidR="00E15EC1">
        <w:rPr>
          <w:lang w:val="en-US"/>
        </w:rPr>
        <w:t>progress</w:t>
      </w:r>
      <w:r w:rsidR="00140F2B">
        <w:rPr>
          <w:lang w:val="en-US"/>
        </w:rPr>
        <w:t>, usability</w:t>
      </w:r>
      <w:r w:rsidR="00E15EC1">
        <w:rPr>
          <w:lang w:val="en-US"/>
        </w:rPr>
        <w:t xml:space="preserve"> and optimi</w:t>
      </w:r>
      <w:r w:rsidR="00AF293C">
        <w:rPr>
          <w:lang w:val="en-US"/>
        </w:rPr>
        <w:t>s</w:t>
      </w:r>
      <w:r w:rsidR="00140F2B">
        <w:rPr>
          <w:lang w:val="en-US"/>
        </w:rPr>
        <w:t>ation</w:t>
      </w:r>
      <w:r w:rsidR="00AF293C">
        <w:rPr>
          <w:lang w:val="en-US"/>
        </w:rPr>
        <w:t xml:space="preserve">.   To ensure </w:t>
      </w:r>
      <w:r w:rsidR="008D0924">
        <w:rPr>
          <w:lang w:val="en-US"/>
        </w:rPr>
        <w:t xml:space="preserve">continued uptake and engagement it is key that appropriate system </w:t>
      </w:r>
      <w:r w:rsidR="00CD142C">
        <w:rPr>
          <w:lang w:val="en-US"/>
        </w:rPr>
        <w:t xml:space="preserve">maintenance is in place and that it allows for appropriate levels of response and action.  </w:t>
      </w:r>
      <w:r w:rsidR="00F656DE">
        <w:rPr>
          <w:lang w:val="en-US"/>
        </w:rPr>
        <w:t xml:space="preserve"> To support such maintenance there need to be clearly defined roles of responsibility and governance</w:t>
      </w:r>
      <w:r w:rsidR="00023FFC">
        <w:rPr>
          <w:lang w:val="en-US"/>
        </w:rPr>
        <w:t xml:space="preserve">.  These mechanisms should allow for decision making that enables </w:t>
      </w:r>
      <w:r w:rsidR="001F54BC">
        <w:rPr>
          <w:lang w:val="en-US"/>
        </w:rPr>
        <w:t xml:space="preserve">robust ePMA combined with CDS to flex and respond </w:t>
      </w:r>
      <w:r w:rsidR="001F54BC">
        <w:rPr>
          <w:lang w:val="en-US"/>
        </w:rPr>
        <w:lastRenderedPageBreak/>
        <w:t xml:space="preserve">and therefore increase the stability </w:t>
      </w:r>
      <w:r w:rsidR="00151008">
        <w:rPr>
          <w:lang w:val="en-US"/>
        </w:rPr>
        <w:t>and lifetime of the system, enabling it to “stay the course”</w:t>
      </w:r>
      <w:r w:rsidR="00E2545D">
        <w:rPr>
          <w:lang w:val="en-US"/>
        </w:rPr>
        <w:t xml:space="preserve"> </w:t>
      </w:r>
      <w:r w:rsidR="00E2545D">
        <w:rPr>
          <w:lang w:val="en-US"/>
        </w:rPr>
        <w:fldChar w:fldCharType="begin"/>
      </w:r>
      <w:r w:rsidR="00E2545D">
        <w:rPr>
          <w:lang w:val="en-US"/>
        </w:rPr>
        <w:instrText xml:space="preserve"> ADDIN EN.CITE &lt;EndNote&gt;&lt;Cite&gt;&lt;Author&gt;Cresswell&lt;/Author&gt;&lt;Year&gt;2013&lt;/Year&gt;&lt;RecNum&gt;507&lt;/RecNum&gt;&lt;DisplayText&gt;(Cresswell&lt;style face="italic"&gt; et al.&lt;/style&gt;, 2013)&lt;/DisplayText&gt;&lt;record&gt;&lt;rec-number&gt;507&lt;/rec-number&gt;&lt;foreign-keys&gt;&lt;key app="EN" db-id="wxra20f03dt20kepwrwvfa0mvpxxeeezfaaz" timestamp="1674813006"&gt;507&lt;/key&gt;&lt;/foreign-keys&gt;&lt;ref-type name="Journal Article"&gt;17&lt;/ref-type&gt;&lt;contributors&gt;&lt;authors&gt;&lt;author&gt;Cresswell, K. M.&lt;/author&gt;&lt;author&gt;Bates, D. W.&lt;/author&gt;&lt;author&gt;Sheikh, A.&lt;/author&gt;&lt;/authors&gt;&lt;/contributors&gt;&lt;titles&gt;&lt;title&gt;Ten key considerations for the successful implementation and adoption of large-scale health information technology&lt;/title&gt;&lt;secondary-title&gt;Journal of the American Medical Informatics Association&lt;/secondary-title&gt;&lt;/titles&gt;&lt;periodical&gt;&lt;full-title&gt;Journal of the American Medical Informatics Association&lt;/full-title&gt;&lt;/periodical&gt;&lt;pages&gt;e9-e13&lt;/pages&gt;&lt;volume&gt;20&lt;/volume&gt;&lt;number&gt;e1&lt;/number&gt;&lt;dates&gt;&lt;year&gt;2013&lt;/year&gt;&lt;/dates&gt;&lt;publisher&gt;Oxford University Press (OUP)&lt;/publisher&gt;&lt;isbn&gt;1067-5027&lt;/isbn&gt;&lt;urls&gt;&lt;related-urls&gt;&lt;url&gt;https://dx.doi.org/10.1136/amiajnl-2013-001684&lt;/url&gt;&lt;/related-urls&gt;&lt;/urls&gt;&lt;electronic-resource-num&gt;10.1136/amiajnl-2013-001684&lt;/electronic-resource-num&gt;&lt;/record&gt;&lt;/Cite&gt;&lt;/EndNote&gt;</w:instrText>
      </w:r>
      <w:r w:rsidR="00E2545D">
        <w:rPr>
          <w:lang w:val="en-US"/>
        </w:rPr>
        <w:fldChar w:fldCharType="separate"/>
      </w:r>
      <w:r w:rsidR="00E2545D">
        <w:rPr>
          <w:noProof/>
          <w:lang w:val="en-US"/>
        </w:rPr>
        <w:t>(Cresswell</w:t>
      </w:r>
      <w:r w:rsidR="00E2545D" w:rsidRPr="00E2545D">
        <w:rPr>
          <w:i/>
          <w:noProof/>
          <w:lang w:val="en-US"/>
        </w:rPr>
        <w:t xml:space="preserve"> et al.</w:t>
      </w:r>
      <w:r w:rsidR="00E2545D">
        <w:rPr>
          <w:noProof/>
          <w:lang w:val="en-US"/>
        </w:rPr>
        <w:t>, 2013)</w:t>
      </w:r>
      <w:r w:rsidR="00E2545D">
        <w:rPr>
          <w:lang w:val="en-US"/>
        </w:rPr>
        <w:fldChar w:fldCharType="end"/>
      </w:r>
      <w:r w:rsidR="00E2545D">
        <w:rPr>
          <w:lang w:val="en-US"/>
        </w:rPr>
        <w:t>.</w:t>
      </w:r>
      <w:r w:rsidR="0027083C">
        <w:rPr>
          <w:lang w:val="en-US"/>
        </w:rPr>
        <w:t xml:space="preserve">  These steps are summari</w:t>
      </w:r>
      <w:r w:rsidR="001F4823">
        <w:rPr>
          <w:lang w:val="en-US"/>
        </w:rPr>
        <w:t>s</w:t>
      </w:r>
      <w:r w:rsidR="0027083C">
        <w:rPr>
          <w:lang w:val="en-US"/>
        </w:rPr>
        <w:t xml:space="preserve">ed in </w:t>
      </w:r>
      <w:r w:rsidR="001F4823">
        <w:rPr>
          <w:lang w:val="en-US"/>
        </w:rPr>
        <w:fldChar w:fldCharType="begin"/>
      </w:r>
      <w:r w:rsidR="001F4823">
        <w:rPr>
          <w:lang w:val="en-US"/>
        </w:rPr>
        <w:instrText xml:space="preserve"> REF _Ref125709466 \h </w:instrText>
      </w:r>
      <w:r w:rsidR="001F4823">
        <w:rPr>
          <w:lang w:val="en-US"/>
        </w:rPr>
      </w:r>
      <w:r w:rsidR="001F4823">
        <w:rPr>
          <w:lang w:val="en-US"/>
        </w:rPr>
        <w:fldChar w:fldCharType="separate"/>
      </w:r>
      <w:r w:rsidR="00C3603B">
        <w:t xml:space="preserve">Figure </w:t>
      </w:r>
      <w:r w:rsidR="00C3603B">
        <w:rPr>
          <w:noProof/>
        </w:rPr>
        <w:t>4</w:t>
      </w:r>
      <w:r w:rsidR="001F4823">
        <w:rPr>
          <w:lang w:val="en-US"/>
        </w:rPr>
        <w:fldChar w:fldCharType="end"/>
      </w:r>
      <w:r w:rsidR="001F4823">
        <w:rPr>
          <w:lang w:val="en-US"/>
        </w:rPr>
        <w:t>.</w:t>
      </w:r>
    </w:p>
    <w:p w14:paraId="0DFB38F2" w14:textId="77777777" w:rsidR="00A727E4" w:rsidRDefault="00A727E4" w:rsidP="004622EA">
      <w:pPr>
        <w:rPr>
          <w:lang w:val="en-US"/>
        </w:rPr>
      </w:pPr>
    </w:p>
    <w:p w14:paraId="18688B99" w14:textId="77777777" w:rsidR="00A727E4" w:rsidRDefault="00A727E4" w:rsidP="00A727E4">
      <w:pPr>
        <w:keepNext/>
      </w:pPr>
      <w:r w:rsidRPr="00A727E4">
        <w:rPr>
          <w:noProof/>
          <w:lang w:val="en-US"/>
        </w:rPr>
        <w:drawing>
          <wp:inline distT="0" distB="0" distL="0" distR="0" wp14:anchorId="4A86EFC7" wp14:editId="35A98C52">
            <wp:extent cx="5144218" cy="6992326"/>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5144218" cy="6992326"/>
                    </a:xfrm>
                    <a:prstGeom prst="rect">
                      <a:avLst/>
                    </a:prstGeom>
                  </pic:spPr>
                </pic:pic>
              </a:graphicData>
            </a:graphic>
          </wp:inline>
        </w:drawing>
      </w:r>
    </w:p>
    <w:p w14:paraId="7E3CFD6F" w14:textId="74A4FFEA" w:rsidR="00A727E4" w:rsidRDefault="00A727E4" w:rsidP="00A727E4">
      <w:pPr>
        <w:pStyle w:val="Caption"/>
        <w:rPr>
          <w:lang w:val="en-US"/>
        </w:rPr>
      </w:pPr>
      <w:bookmarkStart w:id="10" w:name="_Ref125709466"/>
      <w:r>
        <w:t xml:space="preserve">Figure </w:t>
      </w:r>
      <w:fldSimple w:instr=" SEQ Figure \* ARABIC ">
        <w:r w:rsidR="00FF2453">
          <w:rPr>
            <w:noProof/>
          </w:rPr>
          <w:t>4</w:t>
        </w:r>
      </w:fldSimple>
      <w:bookmarkEnd w:id="10"/>
      <w:r>
        <w:t xml:space="preserve"> Summary of Lifecycle Stages - Adapted from Cresswell, et al, </w:t>
      </w:r>
      <w:r w:rsidR="00B37E15">
        <w:t>2013.</w:t>
      </w:r>
    </w:p>
    <w:p w14:paraId="4B595A47" w14:textId="77777777" w:rsidR="0056346D" w:rsidRDefault="0056346D" w:rsidP="004622EA">
      <w:pPr>
        <w:rPr>
          <w:lang w:val="en-US"/>
        </w:rPr>
      </w:pPr>
    </w:p>
    <w:p w14:paraId="3027AA74" w14:textId="42274368" w:rsidR="0056346D" w:rsidRDefault="00B25E1D" w:rsidP="004622EA">
      <w:pPr>
        <w:rPr>
          <w:lang w:val="en-US"/>
        </w:rPr>
      </w:pPr>
      <w:r>
        <w:rPr>
          <w:lang w:val="en-US"/>
        </w:rPr>
        <w:t>One of the key as</w:t>
      </w:r>
      <w:r w:rsidR="0031308B">
        <w:rPr>
          <w:lang w:val="en-US"/>
        </w:rPr>
        <w:t>pirations</w:t>
      </w:r>
      <w:r>
        <w:rPr>
          <w:lang w:val="en-US"/>
        </w:rPr>
        <w:t xml:space="preserve"> and benefits of decision support is that</w:t>
      </w:r>
      <w:r w:rsidR="0031308B">
        <w:rPr>
          <w:lang w:val="en-US"/>
        </w:rPr>
        <w:t xml:space="preserve"> it should enable and facilitate the clinician to make dec</w:t>
      </w:r>
      <w:r w:rsidR="001C47F0">
        <w:rPr>
          <w:lang w:val="en-US"/>
        </w:rPr>
        <w:t xml:space="preserve">isions in a world where data and its </w:t>
      </w:r>
      <w:r w:rsidR="001C47F0">
        <w:rPr>
          <w:lang w:val="en-US"/>
        </w:rPr>
        <w:lastRenderedPageBreak/>
        <w:t xml:space="preserve">consequent </w:t>
      </w:r>
      <w:r w:rsidR="006C5852">
        <w:rPr>
          <w:lang w:val="en-US"/>
        </w:rPr>
        <w:t xml:space="preserve">assimilation to </w:t>
      </w:r>
      <w:r w:rsidR="001C47F0">
        <w:rPr>
          <w:lang w:val="en-US"/>
        </w:rPr>
        <w:t>information</w:t>
      </w:r>
      <w:r w:rsidR="006C5852">
        <w:rPr>
          <w:lang w:val="en-US"/>
        </w:rPr>
        <w:t xml:space="preserve"> amasses in an almost exponential manner.</w:t>
      </w:r>
      <w:r w:rsidR="00DE3972">
        <w:rPr>
          <w:lang w:val="en-US"/>
        </w:rPr>
        <w:t xml:space="preserve">  It is impossible for clinicians to keep constantly up to date with information that might be invaluable for optimized and safer patient care.</w:t>
      </w:r>
      <w:r w:rsidR="001C47F0">
        <w:rPr>
          <w:lang w:val="en-US"/>
        </w:rPr>
        <w:t xml:space="preserve"> </w:t>
      </w:r>
      <w:r>
        <w:rPr>
          <w:lang w:val="en-US"/>
        </w:rPr>
        <w:t xml:space="preserve"> </w:t>
      </w:r>
      <w:r w:rsidR="0085744C">
        <w:rPr>
          <w:lang w:val="en-US"/>
        </w:rPr>
        <w:t>Therefore, c</w:t>
      </w:r>
      <w:r w:rsidR="00F656DE">
        <w:rPr>
          <w:lang w:val="en-US"/>
        </w:rPr>
        <w:t xml:space="preserve">onsideration needs to be given to who will take responsibility for </w:t>
      </w:r>
      <w:r w:rsidR="00423630">
        <w:rPr>
          <w:lang w:val="en-US"/>
        </w:rPr>
        <w:t>implementing new evidence base and how this will be implemented.  How will new evidence</w:t>
      </w:r>
      <w:r w:rsidR="00855DA9">
        <w:rPr>
          <w:lang w:val="en-US"/>
        </w:rPr>
        <w:t>,</w:t>
      </w:r>
      <w:r w:rsidR="00423630">
        <w:rPr>
          <w:lang w:val="en-US"/>
        </w:rPr>
        <w:t xml:space="preserve"> or</w:t>
      </w:r>
      <w:r w:rsidR="002C023A">
        <w:rPr>
          <w:lang w:val="en-US"/>
        </w:rPr>
        <w:t xml:space="preserve">, for instance, </w:t>
      </w:r>
      <w:r w:rsidR="0085744C">
        <w:rPr>
          <w:lang w:val="en-US"/>
        </w:rPr>
        <w:t>Medicines Health Regulatory Agency (</w:t>
      </w:r>
      <w:r w:rsidR="002C023A">
        <w:rPr>
          <w:lang w:val="en-US"/>
        </w:rPr>
        <w:t>MHRA</w:t>
      </w:r>
      <w:r w:rsidR="0085744C">
        <w:rPr>
          <w:lang w:val="en-US"/>
        </w:rPr>
        <w:t>)</w:t>
      </w:r>
      <w:r w:rsidR="002C023A">
        <w:rPr>
          <w:lang w:val="en-US"/>
        </w:rPr>
        <w:t xml:space="preserve"> alerts with new clinically significant </w:t>
      </w:r>
      <w:r w:rsidR="00B70B03">
        <w:rPr>
          <w:lang w:val="en-US"/>
        </w:rPr>
        <w:t>interaction</w:t>
      </w:r>
      <w:r w:rsidR="007940A1">
        <w:rPr>
          <w:lang w:val="en-US"/>
        </w:rPr>
        <w:t>s</w:t>
      </w:r>
      <w:r w:rsidR="00B70B03">
        <w:rPr>
          <w:lang w:val="en-US"/>
        </w:rPr>
        <w:t xml:space="preserve"> or ADR data</w:t>
      </w:r>
      <w:r w:rsidR="00CD3018">
        <w:rPr>
          <w:lang w:val="en-US"/>
        </w:rPr>
        <w:t>,</w:t>
      </w:r>
      <w:r w:rsidR="00B70B03">
        <w:rPr>
          <w:lang w:val="en-US"/>
        </w:rPr>
        <w:t xml:space="preserve"> </w:t>
      </w:r>
      <w:r w:rsidR="009D3EBE">
        <w:rPr>
          <w:lang w:val="en-US"/>
        </w:rPr>
        <w:t xml:space="preserve">and dose-ranges </w:t>
      </w:r>
      <w:r w:rsidR="002C023A">
        <w:rPr>
          <w:lang w:val="en-US"/>
        </w:rPr>
        <w:t xml:space="preserve">be </w:t>
      </w:r>
      <w:r w:rsidR="00B70B03">
        <w:rPr>
          <w:lang w:val="en-US"/>
        </w:rPr>
        <w:t xml:space="preserve">kept up to date in the system?  To support </w:t>
      </w:r>
      <w:r w:rsidR="001C5FEB">
        <w:rPr>
          <w:lang w:val="en-US"/>
        </w:rPr>
        <w:t>the fast pace of evidence and information it is important that agreed standards and interoperable data are agreed and used</w:t>
      </w:r>
      <w:r w:rsidR="009D3EBE">
        <w:rPr>
          <w:lang w:val="en-US"/>
        </w:rPr>
        <w:t xml:space="preserve"> </w:t>
      </w:r>
      <w:r w:rsidR="00401BA4">
        <w:rPr>
          <w:lang w:val="en-US"/>
        </w:rPr>
        <w:fldChar w:fldCharType="begin"/>
      </w:r>
      <w:r w:rsidR="000F2E9A">
        <w:rPr>
          <w:lang w:val="en-US"/>
        </w:rPr>
        <w:instrText xml:space="preserve"> ADDIN EN.CITE &lt;EndNote&gt;&lt;Cite&gt;&lt;Author&gt;NHS Digital&lt;/Author&gt;&lt;Year&gt;2023&lt;/Year&gt;&lt;RecNum&gt;523&lt;/RecNum&gt;&lt;DisplayText&gt;(NHS Digital, 2023, Maxwell&lt;style face="italic"&gt; et al.&lt;/style&gt;, 2012)&lt;/DisplayText&gt;&lt;record&gt;&lt;rec-number&gt;523&lt;/rec-number&gt;&lt;foreign-keys&gt;&lt;key app="EN" db-id="wxra20f03dt20kepwrwvfa0mvpxxeeezfaaz" timestamp="1675434842"&gt;523&lt;/key&gt;&lt;/foreign-keys&gt;&lt;ref-type name="Web Page"&gt;12&lt;/ref-type&gt;&lt;contributors&gt;&lt;authors&gt;&lt;author&gt;NHS Digital,&lt;/author&gt;&lt;/authors&gt;&lt;/contributors&gt;&lt;titles&gt;&lt;title&gt;Digital and Interoperable Medicines Programme&lt;/title&gt;&lt;/titles&gt;&lt;dates&gt;&lt;year&gt;2023&lt;/year&gt;&lt;/dates&gt;&lt;urls&gt;&lt;related-urls&gt;&lt;url&gt;https://digital.nhs.uk/services/digital-and-interoperable-medicines&lt;/url&gt;&lt;/related-urls&gt;&lt;/urls&gt;&lt;access-date&gt;23.01.2023&lt;/access-date&gt;&lt;/record&gt;&lt;/Cite&gt;&lt;Cite&gt;&lt;Author&gt;Maxwell&lt;/Author&gt;&lt;Year&gt;2012&lt;/Year&gt;&lt;RecNum&gt;517&lt;/RecNum&gt;&lt;record&gt;&lt;rec-number&gt;517&lt;/rec-number&gt;&lt;foreign-keys&gt;&lt;key app="EN" db-id="wxra20f03dt20kepwrwvfa0mvpxxeeezfaaz" timestamp="1675417759"&gt;517&lt;/key&gt;&lt;/foreign-keys&gt;&lt;ref-type name="Journal Article"&gt;17&lt;/ref-type&gt;&lt;contributors&gt;&lt;authors&gt;&lt;author&gt;Maxwell, Simon&lt;/author&gt;&lt;author&gt;Eichler, Hans-Georg&lt;/author&gt;&lt;author&gt;Bucsics, Anna&lt;/author&gt;&lt;author&gt;Haefeli, Walter E.&lt;/author&gt;&lt;author&gt;Gustafsson, Lars L.&lt;/author&gt;&lt;/authors&gt;&lt;/contributors&gt;&lt;titles&gt;&lt;title&gt;e-SPC: new approaches to delivering drug information&lt;/title&gt;&lt;secondary-title&gt;Future Prescriber&lt;/secondary-title&gt;&lt;/titles&gt;&lt;periodical&gt;&lt;full-title&gt;Future Prescriber&lt;/full-title&gt;&lt;/periodical&gt;&lt;pages&gt;17-19&lt;/pages&gt;&lt;volume&gt;13&lt;/volume&gt;&lt;number&gt;2&lt;/number&gt;&lt;dates&gt;&lt;year&gt;2012&lt;/year&gt;&lt;/dates&gt;&lt;publisher&gt;Wiley&lt;/publisher&gt;&lt;isbn&gt;1468-9871&lt;/isbn&gt;&lt;urls&gt;&lt;related-urls&gt;&lt;url&gt;https://dx.doi.org/10.1002/fps.94&lt;/url&gt;&lt;/related-urls&gt;&lt;/urls&gt;&lt;electronic-resource-num&gt;10.1002/fps.94&lt;/electronic-resource-num&gt;&lt;/record&gt;&lt;/Cite&gt;&lt;/EndNote&gt;</w:instrText>
      </w:r>
      <w:r w:rsidR="00401BA4">
        <w:rPr>
          <w:lang w:val="en-US"/>
        </w:rPr>
        <w:fldChar w:fldCharType="separate"/>
      </w:r>
      <w:r w:rsidR="000F2E9A">
        <w:rPr>
          <w:noProof/>
          <w:lang w:val="en-US"/>
        </w:rPr>
        <w:t>(NHS Digital, 2023, Maxwell</w:t>
      </w:r>
      <w:r w:rsidR="000F2E9A" w:rsidRPr="000F2E9A">
        <w:rPr>
          <w:i/>
          <w:noProof/>
          <w:lang w:val="en-US"/>
        </w:rPr>
        <w:t xml:space="preserve"> et al.</w:t>
      </w:r>
      <w:r w:rsidR="000F2E9A">
        <w:rPr>
          <w:noProof/>
          <w:lang w:val="en-US"/>
        </w:rPr>
        <w:t>, 2012)</w:t>
      </w:r>
      <w:r w:rsidR="00401BA4">
        <w:rPr>
          <w:lang w:val="en-US"/>
        </w:rPr>
        <w:fldChar w:fldCharType="end"/>
      </w:r>
      <w:r w:rsidR="0056346D">
        <w:rPr>
          <w:lang w:val="en-US"/>
        </w:rPr>
        <w:t>.  This should then be applied in a consistent manner.</w:t>
      </w:r>
      <w:r w:rsidR="007940A1">
        <w:rPr>
          <w:lang w:val="en-US"/>
        </w:rPr>
        <w:t xml:space="preserve">  At the very least this will allow </w:t>
      </w:r>
      <w:r w:rsidR="00D55F4D">
        <w:rPr>
          <w:lang w:val="en-US"/>
        </w:rPr>
        <w:t xml:space="preserve">codification and </w:t>
      </w:r>
      <w:r w:rsidR="007940A1">
        <w:rPr>
          <w:lang w:val="en-US"/>
        </w:rPr>
        <w:t xml:space="preserve">linkage of base level data such as </w:t>
      </w:r>
      <w:r w:rsidR="00D55F4D">
        <w:rPr>
          <w:lang w:val="en-US"/>
        </w:rPr>
        <w:t>medicines identification, allergies</w:t>
      </w:r>
      <w:r w:rsidR="008E73F2">
        <w:rPr>
          <w:lang w:val="en-US"/>
        </w:rPr>
        <w:t xml:space="preserve"> and </w:t>
      </w:r>
      <w:r w:rsidR="00D55F4D">
        <w:rPr>
          <w:lang w:val="en-US"/>
        </w:rPr>
        <w:t>indications</w:t>
      </w:r>
      <w:r w:rsidR="009D69D6">
        <w:rPr>
          <w:lang w:val="en-US"/>
        </w:rPr>
        <w:t xml:space="preserve"> and dose ranges</w:t>
      </w:r>
      <w:r w:rsidR="00D55F4D">
        <w:rPr>
          <w:lang w:val="en-US"/>
        </w:rPr>
        <w:t xml:space="preserve"> </w:t>
      </w:r>
      <w:r w:rsidR="008E73F2">
        <w:rPr>
          <w:lang w:val="en-US"/>
        </w:rPr>
        <w:t xml:space="preserve">to be utilised by CDS. </w:t>
      </w:r>
    </w:p>
    <w:p w14:paraId="4AFB42CA" w14:textId="4DC72255" w:rsidR="008E73F2" w:rsidRDefault="00B54D95" w:rsidP="004622EA">
      <w:pPr>
        <w:rPr>
          <w:lang w:val="en-US"/>
        </w:rPr>
      </w:pPr>
      <w:r>
        <w:rPr>
          <w:lang w:val="en-US"/>
        </w:rPr>
        <w:t xml:space="preserve">The standards that are widely accepted in the NHS allow for codification of medicines (dictionary of </w:t>
      </w:r>
      <w:r w:rsidR="00756D30">
        <w:rPr>
          <w:lang w:val="en-US"/>
        </w:rPr>
        <w:t xml:space="preserve">medicines and devices, dm+d), indications (SNOMED CT), allergies </w:t>
      </w:r>
      <w:r w:rsidR="00D475F7">
        <w:rPr>
          <w:lang w:val="en-US"/>
        </w:rPr>
        <w:t>(dm+d/SNOMED CT for substances and reaction type)</w:t>
      </w:r>
      <w:r w:rsidR="00B53295">
        <w:rPr>
          <w:lang w:val="en-US"/>
        </w:rPr>
        <w:t xml:space="preserve"> </w:t>
      </w:r>
      <w:r w:rsidR="00B53295">
        <w:rPr>
          <w:lang w:val="en-US"/>
        </w:rPr>
        <w:fldChar w:fldCharType="begin"/>
      </w:r>
      <w:r w:rsidR="00F40360">
        <w:rPr>
          <w:lang w:val="en-US"/>
        </w:rPr>
        <w:instrText xml:space="preserve"> ADDIN EN.CITE &lt;EndNote&gt;&lt;Cite&gt;&lt;Author&gt;NHSBSA&lt;/Author&gt;&lt;Year&gt;2022&lt;/Year&gt;&lt;RecNum&gt;283&lt;/RecNum&gt;&lt;DisplayText&gt;(NHSBSA, 2022, SNOMED International., 2022)&lt;/DisplayText&gt;&lt;record&gt;&lt;rec-number&gt;283&lt;/rec-number&gt;&lt;foreign-keys&gt;&lt;key app="EN" db-id="wxra20f03dt20kepwrwvfa0mvpxxeeezfaaz" timestamp="1652376264"&gt;283&lt;/key&gt;&lt;/foreign-keys&gt;&lt;ref-type name="Web Page"&gt;12&lt;/ref-type&gt;&lt;contributors&gt;&lt;authors&gt;&lt;author&gt;NHSBSA&lt;/author&gt;&lt;/authors&gt;&lt;/contributors&gt;&lt;titles&gt;&lt;title&gt;Dictionary of Medicines and Devices&lt;/title&gt;&lt;/titles&gt;&lt;number&gt;15/05/2022&lt;/number&gt;&lt;dates&gt;&lt;year&gt;2022&lt;/year&gt;&lt;/dates&gt;&lt;urls&gt;&lt;related-urls&gt;&lt;url&gt;https://www.nhsbsa.nhs.uk/pharmacies-gp-practices-and-appliance-contractors/dictionary-medicines-and-devices-dmd&lt;/url&gt;&lt;/related-urls&gt;&lt;/urls&gt;&lt;/record&gt;&lt;/Cite&gt;&lt;Cite&gt;&lt;Author&gt;SNOMED International.&lt;/Author&gt;&lt;Year&gt;2022&lt;/Year&gt;&lt;RecNum&gt;282&lt;/RecNum&gt;&lt;record&gt;&lt;rec-number&gt;282&lt;/rec-number&gt;&lt;foreign-keys&gt;&lt;key app="EN" db-id="wxra20f03dt20kepwrwvfa0mvpxxeeezfaaz" timestamp="1652375910"&gt;282&lt;/key&gt;&lt;/foreign-keys&gt;&lt;ref-type name="Web Page"&gt;12&lt;/ref-type&gt;&lt;contributors&gt;&lt;authors&gt;&lt;author&gt;SNOMED International.,&lt;/author&gt;&lt;/authors&gt;&lt;/contributors&gt;&lt;titles&gt;&lt;title&gt;SNOMED International&amp;apos;s Confluence&lt;/title&gt;&lt;/titles&gt;&lt;volume&gt;2022&lt;/volume&gt;&lt;number&gt;12/05/2022&lt;/number&gt;&lt;dates&gt;&lt;year&gt;2022&lt;/year&gt;&lt;/dates&gt;&lt;urls&gt;&lt;related-urls&gt;&lt;url&gt;https://confluence.ihtsdotools.org/&lt;/url&gt;&lt;/related-urls&gt;&lt;/urls&gt;&lt;/record&gt;&lt;/Cite&gt;&lt;/EndNote&gt;</w:instrText>
      </w:r>
      <w:r w:rsidR="00B53295">
        <w:rPr>
          <w:lang w:val="en-US"/>
        </w:rPr>
        <w:fldChar w:fldCharType="separate"/>
      </w:r>
      <w:r w:rsidR="00F40360">
        <w:rPr>
          <w:noProof/>
          <w:lang w:val="en-US"/>
        </w:rPr>
        <w:t>(NHSBSA, 2022, SNOMED International., 2022)</w:t>
      </w:r>
      <w:r w:rsidR="00B53295">
        <w:rPr>
          <w:lang w:val="en-US"/>
        </w:rPr>
        <w:fldChar w:fldCharType="end"/>
      </w:r>
      <w:r w:rsidR="00105BEB">
        <w:rPr>
          <w:lang w:val="en-US"/>
        </w:rPr>
        <w:t xml:space="preserve">.  If these are accepted and codified in the appropriate ePMA </w:t>
      </w:r>
      <w:r w:rsidR="007A4B34">
        <w:rPr>
          <w:lang w:val="en-US"/>
        </w:rPr>
        <w:t>systems,</w:t>
      </w:r>
      <w:r w:rsidR="00105BEB">
        <w:rPr>
          <w:lang w:val="en-US"/>
        </w:rPr>
        <w:t xml:space="preserve"> it should form the foundations to enable </w:t>
      </w:r>
      <w:r w:rsidR="00453F61">
        <w:rPr>
          <w:lang w:val="en-US"/>
        </w:rPr>
        <w:t>consistency and standardisation</w:t>
      </w:r>
      <w:r w:rsidR="00F40360">
        <w:rPr>
          <w:lang w:val="en-US"/>
        </w:rPr>
        <w:t xml:space="preserve"> to develop</w:t>
      </w:r>
      <w:r w:rsidR="00453F61">
        <w:rPr>
          <w:lang w:val="en-US"/>
        </w:rPr>
        <w:t>.</w:t>
      </w:r>
    </w:p>
    <w:p w14:paraId="3F640949" w14:textId="44F080DA" w:rsidR="004622EA" w:rsidRDefault="00CD3018" w:rsidP="004622EA">
      <w:pPr>
        <w:rPr>
          <w:lang w:val="en-US"/>
        </w:rPr>
      </w:pPr>
      <w:r>
        <w:rPr>
          <w:lang w:val="en-US"/>
        </w:rPr>
        <w:t xml:space="preserve">Whilst many ePMA systems will come with </w:t>
      </w:r>
      <w:r w:rsidR="009E703C">
        <w:rPr>
          <w:lang w:val="en-US"/>
        </w:rPr>
        <w:t xml:space="preserve">available CDS functionality, the functionality itself and how it works might vary between vendors.  </w:t>
      </w:r>
      <w:r w:rsidR="006B7743">
        <w:rPr>
          <w:lang w:val="en-US"/>
        </w:rPr>
        <w:t xml:space="preserve">The sources of information might also vary between vendors and the </w:t>
      </w:r>
      <w:r w:rsidR="001C48A7">
        <w:rPr>
          <w:lang w:val="en-US"/>
        </w:rPr>
        <w:t>way</w:t>
      </w:r>
      <w:r w:rsidR="006B7743">
        <w:rPr>
          <w:lang w:val="en-US"/>
        </w:rPr>
        <w:t xml:space="preserve"> it is implemented, for instance</w:t>
      </w:r>
      <w:r w:rsidR="00870617">
        <w:rPr>
          <w:lang w:val="en-US"/>
        </w:rPr>
        <w:t>,</w:t>
      </w:r>
      <w:r w:rsidR="006B7743">
        <w:rPr>
          <w:lang w:val="en-US"/>
        </w:rPr>
        <w:t xml:space="preserve"> what alerts are seen and not seen, is often highly configurable.  </w:t>
      </w:r>
      <w:r w:rsidR="0097336C">
        <w:rPr>
          <w:lang w:val="en-US"/>
        </w:rPr>
        <w:t xml:space="preserve"> </w:t>
      </w:r>
      <w:r w:rsidR="004733AB">
        <w:rPr>
          <w:lang w:val="en-US"/>
        </w:rPr>
        <w:t xml:space="preserve">The </w:t>
      </w:r>
      <w:r w:rsidR="00870617">
        <w:rPr>
          <w:lang w:val="en-US"/>
        </w:rPr>
        <w:t>way</w:t>
      </w:r>
      <w:r w:rsidR="004733AB">
        <w:rPr>
          <w:lang w:val="en-US"/>
        </w:rPr>
        <w:t xml:space="preserve"> medicines related information is displayed may also vary</w:t>
      </w:r>
      <w:r w:rsidR="00D52ECA">
        <w:rPr>
          <w:lang w:val="en-US"/>
        </w:rPr>
        <w:t xml:space="preserve">, for example links to guidance vs a pop-up box or prompt with information.   </w:t>
      </w:r>
      <w:r w:rsidR="00BF172E">
        <w:rPr>
          <w:lang w:val="en-US"/>
        </w:rPr>
        <w:t>However,</w:t>
      </w:r>
      <w:r w:rsidR="00D52ECA">
        <w:rPr>
          <w:lang w:val="en-US"/>
        </w:rPr>
        <w:t xml:space="preserve"> in the context of CDS to manage </w:t>
      </w:r>
      <w:r w:rsidR="008C1FDF">
        <w:rPr>
          <w:lang w:val="en-US"/>
        </w:rPr>
        <w:t>ADRs</w:t>
      </w:r>
      <w:r w:rsidR="001C48A7">
        <w:rPr>
          <w:lang w:val="en-US"/>
        </w:rPr>
        <w:t xml:space="preserve">, </w:t>
      </w:r>
      <w:r w:rsidR="008C1FDF">
        <w:rPr>
          <w:lang w:val="en-US"/>
        </w:rPr>
        <w:t>drug errors</w:t>
      </w:r>
      <w:r w:rsidR="001C48A7">
        <w:rPr>
          <w:lang w:val="en-US"/>
        </w:rPr>
        <w:t xml:space="preserve"> and dose ranges</w:t>
      </w:r>
      <w:r w:rsidR="00F15EED">
        <w:rPr>
          <w:lang w:val="en-US"/>
        </w:rPr>
        <w:t>,</w:t>
      </w:r>
      <w:r w:rsidR="008C1FDF">
        <w:rPr>
          <w:lang w:val="en-US"/>
        </w:rPr>
        <w:t xml:space="preserve"> the decision support needs to be built into the business process</w:t>
      </w:r>
      <w:r w:rsidR="00F15EED">
        <w:rPr>
          <w:lang w:val="en-US"/>
        </w:rPr>
        <w:t>,</w:t>
      </w:r>
      <w:r w:rsidR="008C1FDF">
        <w:rPr>
          <w:lang w:val="en-US"/>
        </w:rPr>
        <w:t xml:space="preserve"> rather than be provided as a link or guidance, such as the case with the evidence presented in the review</w:t>
      </w:r>
      <w:r w:rsidR="003932A0">
        <w:rPr>
          <w:lang w:val="en-US"/>
        </w:rPr>
        <w:t xml:space="preserve">.  </w:t>
      </w:r>
      <w:r w:rsidR="0097336C">
        <w:rPr>
          <w:lang w:val="en-US"/>
        </w:rPr>
        <w:t xml:space="preserve">There are </w:t>
      </w:r>
      <w:r w:rsidR="002917C7">
        <w:rPr>
          <w:lang w:val="en-US"/>
        </w:rPr>
        <w:t xml:space="preserve">a number of information sources and “plug-in” medicine decision support systems that are available and approved in the UK but these can also </w:t>
      </w:r>
      <w:r w:rsidR="00D8445B">
        <w:rPr>
          <w:lang w:val="en-US"/>
        </w:rPr>
        <w:t>supplement the main supplier’s configurable decision support functionalit</w:t>
      </w:r>
      <w:r w:rsidR="007757FC">
        <w:rPr>
          <w:lang w:val="en-US"/>
        </w:rPr>
        <w:t>y</w:t>
      </w:r>
      <w:r w:rsidR="00E10DDF">
        <w:rPr>
          <w:lang w:val="en-US"/>
        </w:rPr>
        <w:t xml:space="preserve"> </w:t>
      </w:r>
      <w:r w:rsidR="00343700">
        <w:rPr>
          <w:lang w:val="en-US"/>
        </w:rPr>
        <w:fldChar w:fldCharType="begin"/>
      </w:r>
      <w:r w:rsidR="00042863">
        <w:rPr>
          <w:lang w:val="en-US"/>
        </w:rPr>
        <w:instrText xml:space="preserve"> ADDIN EN.CITE &lt;EndNote&gt;&lt;Cite&gt;&lt;Author&gt;First Data Bank UK Ltd&lt;/Author&gt;&lt;Year&gt;2023&lt;/Year&gt;&lt;RecNum&gt;527&lt;/RecNum&gt;&lt;DisplayText&gt;(First Data Bank UK Ltd, 2023, The Royal Pharmaceutical Society, 2022)&lt;/DisplayText&gt;&lt;record&gt;&lt;rec-number&gt;527&lt;/rec-number&gt;&lt;foreign-keys&gt;&lt;key app="EN" db-id="wxra20f03dt20kepwrwvfa0mvpxxeeezfaaz" timestamp="1675437019"&gt;527&lt;/key&gt;&lt;/foreign-keys&gt;&lt;ref-type name="Web Page"&gt;12&lt;/ref-type&gt;&lt;contributors&gt;&lt;authors&gt;&lt;author&gt;First Data Bank UK Ltd,&lt;/author&gt;&lt;/authors&gt;&lt;/contributors&gt;&lt;titles&gt;&lt;title&gt;FDB Multilex&lt;/title&gt;&lt;/titles&gt;&lt;dates&gt;&lt;year&gt;2023&lt;/year&gt;&lt;/dates&gt;&lt;urls&gt;&lt;related-urls&gt;&lt;url&gt;https://www.fdbhealth.co.uk/solutions/multilex-clinical-decision-support&lt;/url&gt;&lt;/related-urls&gt;&lt;/urls&gt;&lt;access-date&gt;03.02.2023&lt;/access-date&gt;&lt;/record&gt;&lt;/Cite&gt;&lt;Cite&gt;&lt;Author&gt;The Royal Pharmaceutical Society&lt;/Author&gt;&lt;Year&gt;2022&lt;/Year&gt;&lt;RecNum&gt;528&lt;/RecNum&gt;&lt;record&gt;&lt;rec-number&gt;528&lt;/rec-number&gt;&lt;foreign-keys&gt;&lt;key app="EN" db-id="wxra20f03dt20kepwrwvfa0mvpxxeeezfaaz" timestamp="1675437233"&gt;528&lt;/key&gt;&lt;/foreign-keys&gt;&lt;ref-type name="Web Page"&gt;12&lt;/ref-type&gt;&lt;contributors&gt;&lt;authors&gt;&lt;author&gt;The Royal Pharmaceutical Society,&lt;/author&gt;&lt;/authors&gt;&lt;/contributors&gt;&lt;titles&gt;&lt;title&gt;Medicines Complete&lt;/title&gt;&lt;/titles&gt;&lt;volume&gt;2023&lt;/volume&gt;&lt;dates&gt;&lt;year&gt;2022&lt;/year&gt;&lt;/dates&gt;&lt;urls&gt;&lt;related-urls&gt;&lt;url&gt;https://about.medicinescomplete.com/&lt;/url&gt;&lt;/related-urls&gt;&lt;/urls&gt;&lt;access-date&gt;03.02.2023&lt;/access-date&gt;&lt;/record&gt;&lt;/Cite&gt;&lt;/EndNote&gt;</w:instrText>
      </w:r>
      <w:r w:rsidR="00343700">
        <w:rPr>
          <w:lang w:val="en-US"/>
        </w:rPr>
        <w:fldChar w:fldCharType="separate"/>
      </w:r>
      <w:r w:rsidR="00042863">
        <w:rPr>
          <w:noProof/>
          <w:lang w:val="en-US"/>
        </w:rPr>
        <w:t>(First Data Bank UK Ltd, 2023, The Royal Pharmaceutical Society, 2022)</w:t>
      </w:r>
      <w:r w:rsidR="00343700">
        <w:rPr>
          <w:lang w:val="en-US"/>
        </w:rPr>
        <w:fldChar w:fldCharType="end"/>
      </w:r>
      <w:r w:rsidR="007757FC">
        <w:rPr>
          <w:lang w:val="en-US"/>
        </w:rPr>
        <w:t xml:space="preserve">.  This is one reason why it is important to understand and be clear on what type of decision support is </w:t>
      </w:r>
      <w:r w:rsidR="00A10277">
        <w:rPr>
          <w:lang w:val="en-US"/>
        </w:rPr>
        <w:t>implemented and have key measures to be able to test it against</w:t>
      </w:r>
      <w:r w:rsidR="00A20873">
        <w:rPr>
          <w:lang w:val="en-US"/>
        </w:rPr>
        <w:t>, s</w:t>
      </w:r>
      <w:r w:rsidR="00A10277">
        <w:rPr>
          <w:lang w:val="en-US"/>
        </w:rPr>
        <w:t>uch as th</w:t>
      </w:r>
      <w:r w:rsidR="00D14879">
        <w:rPr>
          <w:lang w:val="en-US"/>
        </w:rPr>
        <w:t>e 80 key indicators</w:t>
      </w:r>
      <w:r w:rsidR="00A10277">
        <w:rPr>
          <w:lang w:val="en-US"/>
        </w:rPr>
        <w:t xml:space="preserve"> derived by </w:t>
      </w:r>
      <w:r w:rsidR="00D14879">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D14879">
        <w:rPr>
          <w:lang w:val="en-US"/>
        </w:rPr>
        <w:instrText xml:space="preserve"> ADDIN EN.CITE </w:instrText>
      </w:r>
      <w:r w:rsidR="00D14879">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D14879">
        <w:rPr>
          <w:lang w:val="en-US"/>
        </w:rPr>
        <w:instrText xml:space="preserve"> ADDIN EN.CITE.DATA </w:instrText>
      </w:r>
      <w:r w:rsidR="00D14879">
        <w:rPr>
          <w:lang w:val="en-US"/>
        </w:rPr>
      </w:r>
      <w:r w:rsidR="00D14879">
        <w:rPr>
          <w:lang w:val="en-US"/>
        </w:rPr>
        <w:fldChar w:fldCharType="end"/>
      </w:r>
      <w:r w:rsidR="00D14879">
        <w:rPr>
          <w:lang w:val="en-US"/>
        </w:rPr>
      </w:r>
      <w:r w:rsidR="00D14879">
        <w:rPr>
          <w:lang w:val="en-US"/>
        </w:rPr>
        <w:fldChar w:fldCharType="separate"/>
      </w:r>
      <w:r w:rsidR="00D14879">
        <w:rPr>
          <w:noProof/>
          <w:lang w:val="en-US"/>
        </w:rPr>
        <w:t>Pontefract</w:t>
      </w:r>
      <w:r w:rsidR="00D14879" w:rsidRPr="00D14879">
        <w:rPr>
          <w:i/>
          <w:noProof/>
          <w:lang w:val="en-US"/>
        </w:rPr>
        <w:t xml:space="preserve"> et al.</w:t>
      </w:r>
      <w:r w:rsidR="00D14879">
        <w:rPr>
          <w:noProof/>
          <w:lang w:val="en-US"/>
        </w:rPr>
        <w:t xml:space="preserve"> (2018)</w:t>
      </w:r>
      <w:r w:rsidR="00D14879">
        <w:rPr>
          <w:lang w:val="en-US"/>
        </w:rPr>
        <w:fldChar w:fldCharType="end"/>
      </w:r>
      <w:r w:rsidR="00D14879">
        <w:rPr>
          <w:lang w:val="en-US"/>
        </w:rPr>
        <w:t>.</w:t>
      </w:r>
      <w:r w:rsidR="00495B77">
        <w:rPr>
          <w:lang w:val="en-US"/>
        </w:rPr>
        <w:t xml:space="preserve">  At the moment</w:t>
      </w:r>
      <w:r w:rsidR="00BF172E">
        <w:rPr>
          <w:lang w:val="en-US"/>
        </w:rPr>
        <w:t>,</w:t>
      </w:r>
      <w:r w:rsidR="00495B77">
        <w:rPr>
          <w:lang w:val="en-US"/>
        </w:rPr>
        <w:t xml:space="preserve"> </w:t>
      </w:r>
      <w:r w:rsidR="00CD6E39">
        <w:rPr>
          <w:lang w:val="en-US"/>
        </w:rPr>
        <w:t>there appears to be only a small amount of</w:t>
      </w:r>
      <w:r w:rsidR="00495B77">
        <w:rPr>
          <w:lang w:val="en-US"/>
        </w:rPr>
        <w:t xml:space="preserve"> research into the recommendations into the specifics of how an ADR or</w:t>
      </w:r>
      <w:r w:rsidR="00BF172E">
        <w:rPr>
          <w:lang w:val="en-US"/>
        </w:rPr>
        <w:t xml:space="preserve"> drug error CDS should </w:t>
      </w:r>
      <w:r w:rsidR="002B4589">
        <w:rPr>
          <w:lang w:val="en-US"/>
        </w:rPr>
        <w:t xml:space="preserve">actually </w:t>
      </w:r>
      <w:r w:rsidR="00BF172E">
        <w:rPr>
          <w:lang w:val="en-US"/>
        </w:rPr>
        <w:t>work</w:t>
      </w:r>
      <w:r w:rsidR="00D578CF">
        <w:rPr>
          <w:lang w:val="en-US"/>
        </w:rPr>
        <w:t xml:space="preserve"> and </w:t>
      </w:r>
      <w:r w:rsidR="007D79EA">
        <w:rPr>
          <w:lang w:val="en-US"/>
        </w:rPr>
        <w:t xml:space="preserve">display </w:t>
      </w:r>
      <w:r w:rsidR="007F58E2">
        <w:rPr>
          <w:lang w:val="en-US"/>
        </w:rPr>
        <w:fldChar w:fldCharType="begin"/>
      </w:r>
      <w:r w:rsidR="007F58E2">
        <w:rPr>
          <w:lang w:val="en-US"/>
        </w:rPr>
        <w:instrText xml:space="preserve"> ADDIN EN.CITE &lt;EndNote&gt;&lt;Cite&gt;&lt;Author&gt;Bell&lt;/Author&gt;&lt;Year&gt;2019&lt;/Year&gt;&lt;RecNum&gt;316&lt;/RecNum&gt;&lt;DisplayText&gt;(Bell&lt;style face="italic"&gt; et al.&lt;/style&gt;, 2019)&lt;/DisplayText&gt;&lt;record&gt;&lt;rec-number&gt;316&lt;/rec-number&gt;&lt;foreign-keys&gt;&lt;key app="EN" db-id="wxra20f03dt20kepwrwvfa0mvpxxeeezfaaz" timestamp="1667493770"&gt;316&lt;/key&gt;&lt;/foreign-keys&gt;&lt;ref-type name="Journal Article"&gt;17&lt;/ref-type&gt;&lt;contributors&gt;&lt;authors&gt;&lt;author&gt;Bell, Helen&lt;/author&gt;&lt;author&gt;Garfield, Sara&lt;/author&gt;&lt;author&gt;Khosla, Sonia&lt;/author&gt;&lt;author&gt;Patel, Chimnay&lt;/author&gt;&lt;author&gt;Franklin, Bryony Dean&lt;/author&gt;&lt;/authors&gt;&lt;/contributors&gt;&lt;titles&gt;&lt;title&gt;Mixed methods study of medication-related decision support alerts experienced during electronic prescribing for inpatients at an English hospital&lt;/title&gt;&lt;secondary-title&gt;European Journal of Hospital Pharmacy&lt;/secondary-title&gt;&lt;/titles&gt;&lt;periodical&gt;&lt;full-title&gt;European Journal of Hospital Pharmacy&lt;/full-title&gt;&lt;/periodical&gt;&lt;pages&gt;318-322&lt;/pages&gt;&lt;volume&gt;26&lt;/volume&gt;&lt;number&gt;6&lt;/number&gt;&lt;dates&gt;&lt;year&gt;2019&lt;/year&gt;&lt;/dates&gt;&lt;publisher&gt;BMJ&lt;/publisher&gt;&lt;isbn&gt;2047-9956&lt;/isbn&gt;&lt;urls&gt;&lt;related-urls&gt;&lt;url&gt;https://dx.doi.org/10.1136/ejhpharm-2017-001483&lt;/url&gt;&lt;/related-urls&gt;&lt;/urls&gt;&lt;electronic-resource-num&gt;10.1136/ejhpharm-2017-001483&lt;/electronic-resource-num&gt;&lt;/record&gt;&lt;/Cite&gt;&lt;/EndNote&gt;</w:instrText>
      </w:r>
      <w:r w:rsidR="007F58E2">
        <w:rPr>
          <w:lang w:val="en-US"/>
        </w:rPr>
        <w:fldChar w:fldCharType="separate"/>
      </w:r>
      <w:r w:rsidR="007F58E2">
        <w:rPr>
          <w:noProof/>
          <w:lang w:val="en-US"/>
        </w:rPr>
        <w:t>(Bell</w:t>
      </w:r>
      <w:r w:rsidR="007F58E2" w:rsidRPr="007F58E2">
        <w:rPr>
          <w:i/>
          <w:noProof/>
          <w:lang w:val="en-US"/>
        </w:rPr>
        <w:t xml:space="preserve"> et al.</w:t>
      </w:r>
      <w:r w:rsidR="007F58E2">
        <w:rPr>
          <w:noProof/>
          <w:lang w:val="en-US"/>
        </w:rPr>
        <w:t>, 2019)</w:t>
      </w:r>
      <w:r w:rsidR="007F58E2">
        <w:rPr>
          <w:lang w:val="en-US"/>
        </w:rPr>
        <w:fldChar w:fldCharType="end"/>
      </w:r>
      <w:r w:rsidR="00BF172E">
        <w:rPr>
          <w:lang w:val="en-US"/>
        </w:rPr>
        <w:t>, with research and assessment concentrating on the outcomes and results of the decisions themselves.</w:t>
      </w:r>
      <w:r w:rsidR="002B4589">
        <w:rPr>
          <w:lang w:val="en-US"/>
        </w:rPr>
        <w:t xml:space="preserve">  </w:t>
      </w:r>
      <w:r w:rsidR="0097336C">
        <w:rPr>
          <w:lang w:val="en-US"/>
        </w:rPr>
        <w:t xml:space="preserve">This </w:t>
      </w:r>
      <w:r w:rsidR="002B4589">
        <w:rPr>
          <w:lang w:val="en-US"/>
        </w:rPr>
        <w:t>could</w:t>
      </w:r>
      <w:r w:rsidR="0097336C">
        <w:rPr>
          <w:lang w:val="en-US"/>
        </w:rPr>
        <w:t xml:space="preserve"> lead to inequity</w:t>
      </w:r>
      <w:r w:rsidR="002B4589">
        <w:rPr>
          <w:lang w:val="en-US"/>
        </w:rPr>
        <w:t xml:space="preserve"> between implementations in </w:t>
      </w:r>
      <w:r w:rsidR="00CF4417">
        <w:rPr>
          <w:lang w:val="en-US"/>
        </w:rPr>
        <w:t>NHS Wales and highlights t</w:t>
      </w:r>
      <w:r w:rsidR="004622EA">
        <w:rPr>
          <w:lang w:val="en-US"/>
        </w:rPr>
        <w:t xml:space="preserve">he importance of </w:t>
      </w:r>
      <w:r w:rsidR="00CF4417">
        <w:rPr>
          <w:lang w:val="en-US"/>
        </w:rPr>
        <w:t xml:space="preserve">reaching consensus and </w:t>
      </w:r>
      <w:r w:rsidR="004622EA">
        <w:rPr>
          <w:lang w:val="en-US"/>
        </w:rPr>
        <w:t>standardisation, agreeing on configuration settings</w:t>
      </w:r>
      <w:r w:rsidR="00CF4417">
        <w:rPr>
          <w:lang w:val="en-US"/>
        </w:rPr>
        <w:t xml:space="preserve"> and </w:t>
      </w:r>
      <w:r w:rsidR="00C62440">
        <w:rPr>
          <w:lang w:val="en-US"/>
        </w:rPr>
        <w:t xml:space="preserve">being clear </w:t>
      </w:r>
      <w:r w:rsidR="00DA13DD">
        <w:rPr>
          <w:lang w:val="en-US"/>
        </w:rPr>
        <w:t xml:space="preserve">and precise </w:t>
      </w:r>
      <w:r w:rsidR="00C62440">
        <w:rPr>
          <w:lang w:val="en-US"/>
        </w:rPr>
        <w:t xml:space="preserve">on what a CDS to reduce ADRs and medicines errors should </w:t>
      </w:r>
      <w:r w:rsidR="00DA13DD">
        <w:rPr>
          <w:lang w:val="en-US"/>
        </w:rPr>
        <w:t>do</w:t>
      </w:r>
      <w:r w:rsidR="004622EA">
        <w:rPr>
          <w:lang w:val="en-US"/>
        </w:rPr>
        <w:t xml:space="preserve">.  </w:t>
      </w:r>
    </w:p>
    <w:p w14:paraId="3941D745" w14:textId="591592AA" w:rsidR="00852956" w:rsidRDefault="00852956" w:rsidP="00852956">
      <w:pPr>
        <w:pStyle w:val="Heading2"/>
        <w:rPr>
          <w:rFonts w:eastAsia="Times New Roman"/>
          <w:lang w:val="en-US" w:eastAsia="en-GB"/>
        </w:rPr>
      </w:pPr>
      <w:bookmarkStart w:id="11" w:name="_Toc127881395"/>
      <w:r>
        <w:rPr>
          <w:rFonts w:eastAsia="Times New Roman"/>
          <w:lang w:val="en-US" w:eastAsia="en-GB"/>
        </w:rPr>
        <w:t>Implementation Risks and Constraints</w:t>
      </w:r>
      <w:bookmarkEnd w:id="11"/>
      <w:r>
        <w:rPr>
          <w:rFonts w:eastAsia="Times New Roman"/>
          <w:lang w:val="en-US" w:eastAsia="en-GB"/>
        </w:rPr>
        <w:t xml:space="preserve"> </w:t>
      </w:r>
    </w:p>
    <w:p w14:paraId="4CE6D07D" w14:textId="145F0AFA" w:rsidR="008E58F3" w:rsidRDefault="008E58F3" w:rsidP="00940EEA">
      <w:pPr>
        <w:spacing w:after="0" w:line="240" w:lineRule="auto"/>
        <w:rPr>
          <w:rFonts w:eastAsia="Times New Roman" w:cs="Arial"/>
          <w:szCs w:val="24"/>
          <w:lang w:val="en-US" w:eastAsia="en-GB"/>
        </w:rPr>
      </w:pPr>
    </w:p>
    <w:p w14:paraId="10E6EABF" w14:textId="49DEB6BA" w:rsidR="008E58F3" w:rsidRDefault="008E58F3" w:rsidP="008E58F3">
      <w:pPr>
        <w:pStyle w:val="Heading3"/>
        <w:rPr>
          <w:rFonts w:eastAsia="Times New Roman"/>
          <w:lang w:val="en-US" w:eastAsia="en-GB"/>
        </w:rPr>
      </w:pPr>
      <w:bookmarkStart w:id="12" w:name="_Toc127881396"/>
      <w:r>
        <w:rPr>
          <w:rFonts w:eastAsia="Times New Roman"/>
          <w:lang w:val="en-US" w:eastAsia="en-GB"/>
        </w:rPr>
        <w:lastRenderedPageBreak/>
        <w:t>Unintended Consequences</w:t>
      </w:r>
      <w:r w:rsidR="00F45CCA">
        <w:rPr>
          <w:rFonts w:eastAsia="Times New Roman"/>
          <w:lang w:val="en-US" w:eastAsia="en-GB"/>
        </w:rPr>
        <w:t xml:space="preserve">, </w:t>
      </w:r>
      <w:r>
        <w:rPr>
          <w:rFonts w:eastAsia="Times New Roman"/>
          <w:lang w:val="en-US" w:eastAsia="en-GB"/>
        </w:rPr>
        <w:t>Automation B</w:t>
      </w:r>
      <w:r w:rsidR="00F45CCA">
        <w:rPr>
          <w:rFonts w:eastAsia="Times New Roman"/>
          <w:lang w:val="en-US" w:eastAsia="en-GB"/>
        </w:rPr>
        <w:t>i</w:t>
      </w:r>
      <w:r>
        <w:rPr>
          <w:rFonts w:eastAsia="Times New Roman"/>
          <w:lang w:val="en-US" w:eastAsia="en-GB"/>
        </w:rPr>
        <w:t>as</w:t>
      </w:r>
      <w:r w:rsidR="00F45CCA">
        <w:rPr>
          <w:rFonts w:eastAsia="Times New Roman"/>
          <w:lang w:val="en-US" w:eastAsia="en-GB"/>
        </w:rPr>
        <w:t>, and Variation.</w:t>
      </w:r>
      <w:bookmarkEnd w:id="12"/>
    </w:p>
    <w:p w14:paraId="6D5AEBE8" w14:textId="3182DF17" w:rsidR="004622EA" w:rsidRDefault="00D452B2" w:rsidP="00940EEA">
      <w:pPr>
        <w:spacing w:after="0" w:line="240" w:lineRule="auto"/>
        <w:rPr>
          <w:rFonts w:eastAsia="Times New Roman" w:cs="Arial"/>
          <w:szCs w:val="24"/>
          <w:lang w:val="en-US" w:eastAsia="en-GB"/>
        </w:rPr>
      </w:pPr>
      <w:r>
        <w:rPr>
          <w:rFonts w:eastAsia="Times New Roman" w:cs="Arial"/>
          <w:szCs w:val="24"/>
          <w:lang w:val="en-US" w:eastAsia="en-GB"/>
        </w:rPr>
        <w:t xml:space="preserve">Because CDS designed to reduce ADRs and errors tends to be </w:t>
      </w:r>
      <w:r w:rsidR="00BE4204">
        <w:rPr>
          <w:rFonts w:eastAsia="Times New Roman" w:cs="Arial"/>
          <w:szCs w:val="24"/>
          <w:lang w:val="en-US" w:eastAsia="en-GB"/>
        </w:rPr>
        <w:t xml:space="preserve">written </w:t>
      </w:r>
      <w:r w:rsidR="00D215C9">
        <w:rPr>
          <w:rFonts w:eastAsia="Times New Roman" w:cs="Arial"/>
          <w:szCs w:val="24"/>
          <w:lang w:val="en-US" w:eastAsia="en-GB"/>
        </w:rPr>
        <w:t xml:space="preserve">into the process of prescribing and administration, </w:t>
      </w:r>
      <w:r w:rsidR="006C48D3">
        <w:rPr>
          <w:rFonts w:eastAsia="Times New Roman" w:cs="Arial"/>
          <w:szCs w:val="24"/>
          <w:lang w:val="en-US" w:eastAsia="en-GB"/>
        </w:rPr>
        <w:t>the decision support itself tends to present as</w:t>
      </w:r>
      <w:r w:rsidR="00D215C9">
        <w:rPr>
          <w:rFonts w:eastAsia="Times New Roman" w:cs="Arial"/>
          <w:szCs w:val="24"/>
          <w:lang w:val="en-US" w:eastAsia="en-GB"/>
        </w:rPr>
        <w:t xml:space="preserve"> alerts</w:t>
      </w:r>
      <w:r w:rsidR="00381BFD">
        <w:rPr>
          <w:rFonts w:eastAsia="Times New Roman" w:cs="Arial"/>
          <w:szCs w:val="24"/>
          <w:lang w:val="en-US" w:eastAsia="en-GB"/>
        </w:rPr>
        <w:t xml:space="preserve"> or </w:t>
      </w:r>
      <w:r w:rsidR="00E0241B">
        <w:rPr>
          <w:rFonts w:eastAsia="Times New Roman" w:cs="Arial"/>
          <w:szCs w:val="24"/>
          <w:lang w:val="en-US" w:eastAsia="en-GB"/>
        </w:rPr>
        <w:t>within information in a summary prior to a prescribing or administration confirmation action</w:t>
      </w:r>
      <w:r w:rsidR="00000C1E">
        <w:rPr>
          <w:rFonts w:eastAsia="Times New Roman" w:cs="Arial"/>
          <w:szCs w:val="24"/>
          <w:lang w:val="en-US" w:eastAsia="en-GB"/>
        </w:rPr>
        <w:t>, within the workflow</w:t>
      </w:r>
      <w:r w:rsidR="00E0241B">
        <w:rPr>
          <w:rFonts w:eastAsia="Times New Roman" w:cs="Arial"/>
          <w:szCs w:val="24"/>
          <w:lang w:val="en-US" w:eastAsia="en-GB"/>
        </w:rPr>
        <w:t xml:space="preserve">.  </w:t>
      </w:r>
      <w:r w:rsidR="00826C06">
        <w:rPr>
          <w:rFonts w:eastAsia="Times New Roman" w:cs="Arial"/>
          <w:szCs w:val="24"/>
          <w:lang w:val="en-US" w:eastAsia="en-GB"/>
        </w:rPr>
        <w:t xml:space="preserve">As such consideration needs to be given to </w:t>
      </w:r>
      <w:r w:rsidR="006229B8">
        <w:rPr>
          <w:rFonts w:eastAsia="Times New Roman" w:cs="Arial"/>
          <w:szCs w:val="24"/>
          <w:lang w:val="en-US" w:eastAsia="en-GB"/>
        </w:rPr>
        <w:t>any unintended consequences that that might arise</w:t>
      </w:r>
      <w:r w:rsidR="00FB5A44">
        <w:rPr>
          <w:rFonts w:eastAsia="Times New Roman" w:cs="Arial"/>
          <w:szCs w:val="24"/>
          <w:lang w:val="en-US" w:eastAsia="en-GB"/>
        </w:rPr>
        <w:t xml:space="preserve">, such as in those related to </w:t>
      </w:r>
      <w:r w:rsidR="00826C06">
        <w:rPr>
          <w:rFonts w:eastAsia="Times New Roman" w:cs="Arial"/>
          <w:szCs w:val="24"/>
          <w:lang w:val="en-US" w:eastAsia="en-GB"/>
        </w:rPr>
        <w:t>human factors</w:t>
      </w:r>
      <w:r w:rsidR="00FB5A44">
        <w:rPr>
          <w:rFonts w:eastAsia="Times New Roman" w:cs="Arial"/>
          <w:szCs w:val="24"/>
          <w:lang w:val="en-US" w:eastAsia="en-GB"/>
        </w:rPr>
        <w:t xml:space="preserve"> like automation bias</w:t>
      </w:r>
      <w:r w:rsidR="00F0145C">
        <w:rPr>
          <w:rFonts w:eastAsia="Times New Roman" w:cs="Arial"/>
          <w:szCs w:val="24"/>
          <w:lang w:val="en-US" w:eastAsia="en-GB"/>
        </w:rPr>
        <w:t xml:space="preserve"> </w:t>
      </w:r>
      <w:r w:rsidR="00F0145C">
        <w:rPr>
          <w:rFonts w:eastAsia="Times New Roman" w:cs="Arial"/>
          <w:szCs w:val="24"/>
          <w:lang w:val="en-US" w:eastAsia="en-GB"/>
        </w:rPr>
        <w:fldChar w:fldCharType="begin">
          <w:fldData xml:space="preserve">PEVuZE5vdGU+PENpdGU+PEF1dGhvcj5Nb3phZmZhcjwvQXV0aG9yPjxZZWFyPjIwMTc8L1llYXI+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=
</w:fldData>
        </w:fldChar>
      </w:r>
      <w:r w:rsidR="00F0145C">
        <w:rPr>
          <w:rFonts w:eastAsia="Times New Roman" w:cs="Arial"/>
          <w:szCs w:val="24"/>
          <w:lang w:val="en-US" w:eastAsia="en-GB"/>
        </w:rPr>
        <w:instrText xml:space="preserve"> ADDIN EN.CITE </w:instrText>
      </w:r>
      <w:r w:rsidR="00F0145C">
        <w:rPr>
          <w:rFonts w:eastAsia="Times New Roman" w:cs="Arial"/>
          <w:szCs w:val="24"/>
          <w:lang w:val="en-US" w:eastAsia="en-GB"/>
        </w:rPr>
        <w:fldChar w:fldCharType="begin">
          <w:fldData xml:space="preserve">PEVuZE5vdGU+PENpdGU+PEF1dGhvcj5Nb3phZmZhcjwvQXV0aG9yPjxZZWFyPjIwMTc8L1llYXI+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=
</w:fldData>
        </w:fldChar>
      </w:r>
      <w:r w:rsidR="00F0145C">
        <w:rPr>
          <w:rFonts w:eastAsia="Times New Roman" w:cs="Arial"/>
          <w:szCs w:val="24"/>
          <w:lang w:val="en-US" w:eastAsia="en-GB"/>
        </w:rPr>
        <w:instrText xml:space="preserve"> ADDIN EN.CITE.DATA </w:instrText>
      </w:r>
      <w:r w:rsidR="00F0145C">
        <w:rPr>
          <w:rFonts w:eastAsia="Times New Roman" w:cs="Arial"/>
          <w:szCs w:val="24"/>
          <w:lang w:val="en-US" w:eastAsia="en-GB"/>
        </w:rPr>
      </w:r>
      <w:r w:rsidR="00F0145C">
        <w:rPr>
          <w:rFonts w:eastAsia="Times New Roman" w:cs="Arial"/>
          <w:szCs w:val="24"/>
          <w:lang w:val="en-US" w:eastAsia="en-GB"/>
        </w:rPr>
        <w:fldChar w:fldCharType="end"/>
      </w:r>
      <w:r w:rsidR="00F0145C">
        <w:rPr>
          <w:rFonts w:eastAsia="Times New Roman" w:cs="Arial"/>
          <w:szCs w:val="24"/>
          <w:lang w:val="en-US" w:eastAsia="en-GB"/>
        </w:rPr>
      </w:r>
      <w:r w:rsidR="00F0145C">
        <w:rPr>
          <w:rFonts w:eastAsia="Times New Roman" w:cs="Arial"/>
          <w:szCs w:val="24"/>
          <w:lang w:val="en-US" w:eastAsia="en-GB"/>
        </w:rPr>
        <w:fldChar w:fldCharType="separate"/>
      </w:r>
      <w:r w:rsidR="00F0145C">
        <w:rPr>
          <w:rFonts w:eastAsia="Times New Roman" w:cs="Arial"/>
          <w:noProof/>
          <w:szCs w:val="24"/>
          <w:lang w:val="en-US" w:eastAsia="en-GB"/>
        </w:rPr>
        <w:t>(Mozaffar</w:t>
      </w:r>
      <w:r w:rsidR="00F0145C" w:rsidRPr="00F0145C">
        <w:rPr>
          <w:rFonts w:eastAsia="Times New Roman" w:cs="Arial"/>
          <w:i/>
          <w:noProof/>
          <w:szCs w:val="24"/>
          <w:lang w:val="en-US" w:eastAsia="en-GB"/>
        </w:rPr>
        <w:t xml:space="preserve"> et al.</w:t>
      </w:r>
      <w:r w:rsidR="00F0145C">
        <w:rPr>
          <w:rFonts w:eastAsia="Times New Roman" w:cs="Arial"/>
          <w:noProof/>
          <w:szCs w:val="24"/>
          <w:lang w:val="en-US" w:eastAsia="en-GB"/>
        </w:rPr>
        <w:t>, 2017)</w:t>
      </w:r>
      <w:r w:rsidR="00F0145C">
        <w:rPr>
          <w:rFonts w:eastAsia="Times New Roman" w:cs="Arial"/>
          <w:szCs w:val="24"/>
          <w:lang w:val="en-US" w:eastAsia="en-GB"/>
        </w:rPr>
        <w:fldChar w:fldCharType="end"/>
      </w:r>
      <w:r w:rsidR="00FB5A44">
        <w:rPr>
          <w:rFonts w:eastAsia="Times New Roman" w:cs="Arial"/>
          <w:szCs w:val="24"/>
          <w:lang w:val="en-US" w:eastAsia="en-GB"/>
        </w:rPr>
        <w:t xml:space="preserve">.  Familiarity </w:t>
      </w:r>
      <w:r w:rsidR="00832CA6">
        <w:rPr>
          <w:rFonts w:eastAsia="Times New Roman" w:cs="Arial"/>
          <w:szCs w:val="24"/>
          <w:lang w:val="en-US" w:eastAsia="en-GB"/>
        </w:rPr>
        <w:t>and confidence gained with the systems over time might lead to</w:t>
      </w:r>
      <w:r w:rsidR="00E0593C">
        <w:rPr>
          <w:rFonts w:eastAsia="Times New Roman" w:cs="Arial"/>
          <w:szCs w:val="24"/>
          <w:lang w:val="en-US" w:eastAsia="en-GB"/>
        </w:rPr>
        <w:t xml:space="preserve"> </w:t>
      </w:r>
      <w:r w:rsidR="00C54D99">
        <w:rPr>
          <w:rFonts w:eastAsia="Times New Roman" w:cs="Arial"/>
          <w:szCs w:val="24"/>
          <w:lang w:val="en-US" w:eastAsia="en-GB"/>
        </w:rPr>
        <w:t>inappropriate decisions being made when there is an</w:t>
      </w:r>
      <w:r w:rsidR="00E0593C">
        <w:rPr>
          <w:rFonts w:eastAsia="Times New Roman" w:cs="Arial"/>
          <w:szCs w:val="24"/>
          <w:lang w:val="en-US" w:eastAsia="en-GB"/>
        </w:rPr>
        <w:t xml:space="preserve"> </w:t>
      </w:r>
      <w:r w:rsidR="00926959">
        <w:rPr>
          <w:rFonts w:eastAsia="Times New Roman" w:cs="Arial"/>
          <w:szCs w:val="24"/>
          <w:lang w:val="en-US" w:eastAsia="en-GB"/>
        </w:rPr>
        <w:t>absence of</w:t>
      </w:r>
      <w:r w:rsidR="003451B2">
        <w:rPr>
          <w:rFonts w:eastAsia="Times New Roman" w:cs="Arial"/>
          <w:szCs w:val="24"/>
          <w:lang w:val="en-US" w:eastAsia="en-GB"/>
        </w:rPr>
        <w:t xml:space="preserve"> a</w:t>
      </w:r>
      <w:r w:rsidR="00926959">
        <w:rPr>
          <w:rFonts w:eastAsia="Times New Roman" w:cs="Arial"/>
          <w:szCs w:val="24"/>
          <w:lang w:val="en-US" w:eastAsia="en-GB"/>
        </w:rPr>
        <w:t xml:space="preserve"> computerised decision</w:t>
      </w:r>
      <w:r w:rsidR="00E0593C">
        <w:rPr>
          <w:rFonts w:eastAsia="Times New Roman" w:cs="Arial"/>
          <w:szCs w:val="24"/>
          <w:lang w:val="en-US" w:eastAsia="en-GB"/>
        </w:rPr>
        <w:t xml:space="preserve"> being presented,</w:t>
      </w:r>
      <w:r w:rsidR="003451B2">
        <w:rPr>
          <w:rFonts w:eastAsia="Times New Roman" w:cs="Arial"/>
          <w:szCs w:val="24"/>
          <w:lang w:val="en-US" w:eastAsia="en-GB"/>
        </w:rPr>
        <w:t xml:space="preserve"> which could lead to incorrect </w:t>
      </w:r>
      <w:r w:rsidR="00926959">
        <w:rPr>
          <w:rFonts w:eastAsia="Times New Roman" w:cs="Arial"/>
          <w:szCs w:val="24"/>
          <w:lang w:val="en-US" w:eastAsia="en-GB"/>
        </w:rPr>
        <w:t>conclusions that prescribing or administration is suitable</w:t>
      </w:r>
      <w:r w:rsidR="00475199">
        <w:rPr>
          <w:rFonts w:eastAsia="Times New Roman" w:cs="Arial"/>
          <w:szCs w:val="24"/>
          <w:lang w:val="en-US" w:eastAsia="en-GB"/>
        </w:rPr>
        <w:t xml:space="preserve"> when it may not be.  Prior to CDS such action may have been routinely checked by the pers</w:t>
      </w:r>
      <w:r w:rsidR="00852956">
        <w:rPr>
          <w:rFonts w:eastAsia="Times New Roman" w:cs="Arial"/>
          <w:szCs w:val="24"/>
          <w:lang w:val="en-US" w:eastAsia="en-GB"/>
        </w:rPr>
        <w:t>on involved</w:t>
      </w:r>
      <w:r w:rsidR="00475199">
        <w:rPr>
          <w:rFonts w:eastAsia="Times New Roman" w:cs="Arial"/>
          <w:szCs w:val="24"/>
          <w:lang w:val="en-US" w:eastAsia="en-GB"/>
        </w:rPr>
        <w:t>.</w:t>
      </w:r>
    </w:p>
    <w:p w14:paraId="03BC7898" w14:textId="77777777" w:rsidR="008E58F3" w:rsidRDefault="008E58F3" w:rsidP="00940EEA">
      <w:pPr>
        <w:spacing w:after="0" w:line="240" w:lineRule="auto"/>
        <w:rPr>
          <w:rFonts w:eastAsia="Times New Roman" w:cs="Arial"/>
          <w:szCs w:val="24"/>
          <w:lang w:val="en-US" w:eastAsia="en-GB"/>
        </w:rPr>
      </w:pPr>
    </w:p>
    <w:p w14:paraId="097F4B65" w14:textId="03BAA44C" w:rsidR="00F45CCA" w:rsidRDefault="00F41D57" w:rsidP="00F45CCA">
      <w:pPr>
        <w:spacing w:after="0" w:line="240" w:lineRule="auto"/>
        <w:rPr>
          <w:rFonts w:eastAsia="Times New Roman" w:cs="Arial"/>
          <w:szCs w:val="24"/>
          <w:lang w:val="en-US" w:eastAsia="en-GB"/>
        </w:rPr>
      </w:pPr>
      <w:r>
        <w:rPr>
          <w:rFonts w:eastAsia="Times New Roman" w:cs="Arial"/>
          <w:szCs w:val="24"/>
          <w:lang w:val="en-US" w:eastAsia="en-GB"/>
        </w:rPr>
        <w:t xml:space="preserve">In addition, </w:t>
      </w:r>
      <w:r w:rsidR="00F45CCA">
        <w:rPr>
          <w:rFonts w:eastAsia="Times New Roman" w:cs="Arial"/>
          <w:szCs w:val="24"/>
          <w:lang w:val="en-US" w:eastAsia="en-GB"/>
        </w:rPr>
        <w:t xml:space="preserve">CDS alerts or messages may differ between organisations and sites, however it is quite possible for staff to move between organisations within the NHS, especially in Wales.  This </w:t>
      </w:r>
      <w:r w:rsidR="004074AE">
        <w:rPr>
          <w:rFonts w:eastAsia="Times New Roman" w:cs="Arial"/>
          <w:szCs w:val="24"/>
          <w:lang w:val="en-US" w:eastAsia="en-GB"/>
        </w:rPr>
        <w:t xml:space="preserve">may, again, </w:t>
      </w:r>
      <w:r w:rsidR="00F45CCA">
        <w:rPr>
          <w:rFonts w:eastAsia="Times New Roman" w:cs="Arial"/>
          <w:szCs w:val="24"/>
          <w:lang w:val="en-US" w:eastAsia="en-GB"/>
        </w:rPr>
        <w:t xml:space="preserve">lead to errors related to automation bias, for instance, in one organisation a clinician may encounter a certain type of CDS alert or message embedded into their workflow, which has the possibility of being absent or in a separate part of the workflow than where they usually work.  This may mean that they completely miss vital information and in the absence of what they would usually expect or be accustomed </w:t>
      </w:r>
      <w:r w:rsidR="00CD4271">
        <w:rPr>
          <w:rFonts w:eastAsia="Times New Roman" w:cs="Arial"/>
          <w:szCs w:val="24"/>
          <w:lang w:val="en-US" w:eastAsia="en-GB"/>
        </w:rPr>
        <w:t>to</w:t>
      </w:r>
      <w:r w:rsidR="008A2DA0">
        <w:rPr>
          <w:rFonts w:eastAsia="Times New Roman" w:cs="Arial"/>
          <w:szCs w:val="24"/>
          <w:lang w:val="en-US" w:eastAsia="en-GB"/>
        </w:rPr>
        <w:t xml:space="preserve">, </w:t>
      </w:r>
      <w:r w:rsidR="00F45CCA">
        <w:rPr>
          <w:rFonts w:eastAsia="Times New Roman" w:cs="Arial"/>
          <w:szCs w:val="24"/>
          <w:lang w:val="en-US" w:eastAsia="en-GB"/>
        </w:rPr>
        <w:t xml:space="preserve">carry out an action because it was unopposed.  </w:t>
      </w:r>
    </w:p>
    <w:p w14:paraId="54488CC3" w14:textId="77777777" w:rsidR="005C59A5" w:rsidRDefault="005C59A5" w:rsidP="00940EEA">
      <w:pPr>
        <w:spacing w:after="0" w:line="240" w:lineRule="auto"/>
        <w:rPr>
          <w:rFonts w:eastAsia="Times New Roman" w:cs="Arial"/>
          <w:szCs w:val="24"/>
          <w:lang w:val="en-US" w:eastAsia="en-GB"/>
        </w:rPr>
      </w:pPr>
    </w:p>
    <w:p w14:paraId="240C4683" w14:textId="681A7ABB" w:rsidR="00940EEA" w:rsidRPr="00940EEA" w:rsidRDefault="00686657" w:rsidP="001D096A">
      <w:pPr>
        <w:pStyle w:val="Heading3"/>
        <w:rPr>
          <w:rFonts w:eastAsia="Times New Roman"/>
          <w:lang w:val="en-US" w:eastAsia="en-GB"/>
        </w:rPr>
      </w:pPr>
      <w:bookmarkStart w:id="13" w:name="_Toc127881397"/>
      <w:r>
        <w:rPr>
          <w:rFonts w:eastAsia="Times New Roman"/>
          <w:lang w:val="en-US" w:eastAsia="en-GB"/>
        </w:rPr>
        <w:t xml:space="preserve">Summary of </w:t>
      </w:r>
      <w:r w:rsidR="00940EEA" w:rsidRPr="00940EEA">
        <w:rPr>
          <w:rFonts w:eastAsia="Times New Roman"/>
          <w:lang w:val="en-US" w:eastAsia="en-GB"/>
        </w:rPr>
        <w:t>Risks</w:t>
      </w:r>
      <w:r w:rsidR="00E52213">
        <w:rPr>
          <w:rFonts w:eastAsia="Times New Roman"/>
          <w:lang w:val="en-US" w:eastAsia="en-GB"/>
        </w:rPr>
        <w:t xml:space="preserve"> and constraints</w:t>
      </w:r>
      <w:r w:rsidR="00B60879">
        <w:rPr>
          <w:rFonts w:eastAsia="Times New Roman"/>
          <w:lang w:val="en-US" w:eastAsia="en-GB"/>
        </w:rPr>
        <w:t>:</w:t>
      </w:r>
      <w:bookmarkEnd w:id="13"/>
    </w:p>
    <w:p w14:paraId="05F9CFCF" w14:textId="08EF5BFE" w:rsidR="00940EEA" w:rsidRPr="00940EEA" w:rsidRDefault="00443B37" w:rsidP="00940EEA">
      <w:pPr>
        <w:numPr>
          <w:ilvl w:val="0"/>
          <w:numId w:val="3"/>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Unintended</w:t>
      </w:r>
      <w:r w:rsidR="00940EEA" w:rsidRPr="00940EEA">
        <w:rPr>
          <w:rFonts w:eastAsia="Times New Roman" w:cs="Arial"/>
          <w:szCs w:val="24"/>
          <w:lang w:val="en-US" w:eastAsia="en-GB"/>
        </w:rPr>
        <w:t xml:space="preserve"> consequences</w:t>
      </w:r>
      <w:r w:rsidR="00CF30DA">
        <w:rPr>
          <w:rFonts w:eastAsia="Times New Roman" w:cs="Arial"/>
          <w:szCs w:val="24"/>
          <w:lang w:val="en-US" w:eastAsia="en-GB"/>
        </w:rPr>
        <w:t xml:space="preserve"> – must be considered with appropriate clinical risk management.</w:t>
      </w:r>
    </w:p>
    <w:p w14:paraId="5BA5DEDC" w14:textId="25F97804" w:rsidR="00940EEA" w:rsidRPr="00940EEA" w:rsidRDefault="00940EEA" w:rsidP="00940EEA">
      <w:pPr>
        <w:numPr>
          <w:ilvl w:val="0"/>
          <w:numId w:val="3"/>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Uncoded</w:t>
      </w:r>
      <w:r w:rsidR="00686657">
        <w:rPr>
          <w:rFonts w:eastAsia="Times New Roman" w:cs="Arial"/>
          <w:szCs w:val="24"/>
          <w:lang w:val="en-US" w:eastAsia="en-GB"/>
        </w:rPr>
        <w:t xml:space="preserve"> information – may not be utilised</w:t>
      </w:r>
      <w:r w:rsidR="00CF30DA">
        <w:rPr>
          <w:rFonts w:eastAsia="Times New Roman" w:cs="Arial"/>
          <w:szCs w:val="24"/>
          <w:lang w:val="en-US" w:eastAsia="en-GB"/>
        </w:rPr>
        <w:t xml:space="preserve"> and may reduce interoperability.</w:t>
      </w:r>
    </w:p>
    <w:p w14:paraId="056393A3" w14:textId="66EBD85D" w:rsidR="00940EEA" w:rsidRPr="00940EEA" w:rsidRDefault="00940EEA" w:rsidP="00940EEA">
      <w:pPr>
        <w:numPr>
          <w:ilvl w:val="0"/>
          <w:numId w:val="3"/>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Too many individual pieces of guidance</w:t>
      </w:r>
      <w:r w:rsidR="00CF30DA">
        <w:rPr>
          <w:rFonts w:eastAsia="Times New Roman" w:cs="Arial"/>
          <w:szCs w:val="24"/>
          <w:lang w:val="en-US" w:eastAsia="en-GB"/>
        </w:rPr>
        <w:t xml:space="preserve"> – may be difficult to manage.</w:t>
      </w:r>
    </w:p>
    <w:p w14:paraId="58239567" w14:textId="602F158C" w:rsidR="00940EEA" w:rsidRPr="00940EEA" w:rsidRDefault="00940EEA" w:rsidP="00940EEA">
      <w:pPr>
        <w:numPr>
          <w:ilvl w:val="0"/>
          <w:numId w:val="3"/>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Reliance on Vendors</w:t>
      </w:r>
      <w:r w:rsidR="00CF30DA">
        <w:rPr>
          <w:rFonts w:eastAsia="Times New Roman" w:cs="Arial"/>
          <w:szCs w:val="24"/>
          <w:lang w:val="en-US" w:eastAsia="en-GB"/>
        </w:rPr>
        <w:t xml:space="preserve"> </w:t>
      </w:r>
      <w:r w:rsidR="009E30AE">
        <w:rPr>
          <w:rFonts w:eastAsia="Times New Roman" w:cs="Arial"/>
          <w:szCs w:val="24"/>
          <w:lang w:val="en-US" w:eastAsia="en-GB"/>
        </w:rPr>
        <w:t>–</w:t>
      </w:r>
      <w:r w:rsidR="00CF30DA">
        <w:rPr>
          <w:rFonts w:eastAsia="Times New Roman" w:cs="Arial"/>
          <w:szCs w:val="24"/>
          <w:lang w:val="en-US" w:eastAsia="en-GB"/>
        </w:rPr>
        <w:t xml:space="preserve"> </w:t>
      </w:r>
      <w:r w:rsidR="009E30AE">
        <w:rPr>
          <w:rFonts w:eastAsia="Times New Roman" w:cs="Arial"/>
          <w:szCs w:val="24"/>
          <w:lang w:val="en-US" w:eastAsia="en-GB"/>
        </w:rPr>
        <w:t>may restrict functionality, development and cause lock-in.</w:t>
      </w:r>
    </w:p>
    <w:p w14:paraId="4B4C75D6" w14:textId="0D99842E" w:rsidR="00940EEA" w:rsidRPr="007F5696" w:rsidRDefault="00940EEA" w:rsidP="007F5696">
      <w:pPr>
        <w:numPr>
          <w:ilvl w:val="0"/>
          <w:numId w:val="3"/>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 xml:space="preserve">Variability </w:t>
      </w:r>
      <w:r w:rsidR="005879DA">
        <w:rPr>
          <w:rFonts w:eastAsia="Times New Roman" w:cs="Arial"/>
          <w:szCs w:val="24"/>
          <w:lang w:val="en-US" w:eastAsia="en-GB"/>
        </w:rPr>
        <w:t xml:space="preserve">– differences in vendors, versions, </w:t>
      </w:r>
      <w:r w:rsidR="007F5696">
        <w:rPr>
          <w:rFonts w:eastAsia="Times New Roman" w:cs="Arial"/>
          <w:szCs w:val="24"/>
          <w:lang w:val="en-US" w:eastAsia="en-GB"/>
        </w:rPr>
        <w:t>Resources, Scope, Cultures and local priorities.</w:t>
      </w:r>
    </w:p>
    <w:p w14:paraId="4F517F2A" w14:textId="049AD6C9" w:rsidR="00940EEA" w:rsidRPr="00940EEA" w:rsidRDefault="00940EEA" w:rsidP="00940EEA">
      <w:pPr>
        <w:numPr>
          <w:ilvl w:val="0"/>
          <w:numId w:val="3"/>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Automation Bias</w:t>
      </w:r>
      <w:r w:rsidR="009E30AE">
        <w:rPr>
          <w:rFonts w:eastAsia="Times New Roman" w:cs="Arial"/>
          <w:szCs w:val="24"/>
          <w:lang w:val="en-US" w:eastAsia="en-GB"/>
        </w:rPr>
        <w:t xml:space="preserve"> </w:t>
      </w:r>
      <w:r w:rsidR="00B6606C">
        <w:rPr>
          <w:rFonts w:eastAsia="Times New Roman" w:cs="Arial"/>
          <w:szCs w:val="24"/>
          <w:lang w:val="en-US" w:eastAsia="en-GB"/>
        </w:rPr>
        <w:t>–</w:t>
      </w:r>
      <w:r w:rsidR="009E30AE">
        <w:rPr>
          <w:rFonts w:eastAsia="Times New Roman" w:cs="Arial"/>
          <w:szCs w:val="24"/>
          <w:lang w:val="en-US" w:eastAsia="en-GB"/>
        </w:rPr>
        <w:t xml:space="preserve"> reliance</w:t>
      </w:r>
      <w:r w:rsidR="00B6606C">
        <w:rPr>
          <w:rFonts w:eastAsia="Times New Roman" w:cs="Arial"/>
          <w:szCs w:val="24"/>
          <w:lang w:val="en-US" w:eastAsia="en-GB"/>
        </w:rPr>
        <w:t xml:space="preserve"> on what the computer says.</w:t>
      </w:r>
    </w:p>
    <w:p w14:paraId="321DB6CF" w14:textId="77777777" w:rsidR="005C59A5" w:rsidRDefault="005C59A5" w:rsidP="005C59A5">
      <w:pPr>
        <w:spacing w:after="0" w:line="240" w:lineRule="auto"/>
        <w:rPr>
          <w:rFonts w:eastAsia="Times New Roman" w:cs="Arial"/>
          <w:szCs w:val="24"/>
          <w:lang w:val="en-US" w:eastAsia="en-GB"/>
        </w:rPr>
      </w:pPr>
    </w:p>
    <w:p w14:paraId="654B37AE" w14:textId="77777777" w:rsidR="005C59A5" w:rsidRPr="00940EEA" w:rsidRDefault="005C59A5" w:rsidP="00122DB7">
      <w:pPr>
        <w:spacing w:after="0" w:line="240" w:lineRule="auto"/>
        <w:rPr>
          <w:rFonts w:eastAsia="Times New Roman" w:cs="Arial"/>
          <w:szCs w:val="24"/>
          <w:lang w:val="en-US" w:eastAsia="en-GB"/>
        </w:rPr>
      </w:pPr>
    </w:p>
    <w:p w14:paraId="7A4E63BE" w14:textId="77777777" w:rsidR="00940EEA" w:rsidRDefault="00940EEA" w:rsidP="00122DB7">
      <w:pPr>
        <w:pStyle w:val="Heading2"/>
        <w:rPr>
          <w:rFonts w:eastAsia="Times New Roman"/>
          <w:lang w:val="en-US" w:eastAsia="en-GB"/>
        </w:rPr>
      </w:pPr>
      <w:bookmarkStart w:id="14" w:name="_Toc127881398"/>
      <w:r w:rsidRPr="00940EEA">
        <w:rPr>
          <w:rFonts w:eastAsia="Times New Roman"/>
          <w:lang w:val="en-US" w:eastAsia="en-GB"/>
        </w:rPr>
        <w:t>Managing Risks</w:t>
      </w:r>
      <w:bookmarkEnd w:id="14"/>
    </w:p>
    <w:p w14:paraId="7BB80510" w14:textId="061150B2" w:rsidR="00122DB7" w:rsidRDefault="00122DB7" w:rsidP="00122DB7">
      <w:pPr>
        <w:rPr>
          <w:lang w:val="en-US" w:eastAsia="en-GB"/>
        </w:rPr>
      </w:pPr>
      <w:r>
        <w:rPr>
          <w:lang w:val="en-US" w:eastAsia="en-GB"/>
        </w:rPr>
        <w:t xml:space="preserve">It is important that these risks are managed and mitigated.  Part of doing so should include undertaking </w:t>
      </w:r>
      <w:r w:rsidR="00412ED3">
        <w:rPr>
          <w:lang w:val="en-US" w:eastAsia="en-GB"/>
        </w:rPr>
        <w:t xml:space="preserve">clinical </w:t>
      </w:r>
      <w:r w:rsidR="004F5FEF">
        <w:rPr>
          <w:lang w:val="en-US" w:eastAsia="en-GB"/>
        </w:rPr>
        <w:t>risk management of which in NHS England is mandatory for both system suppliers and for system owners</w:t>
      </w:r>
      <w:r w:rsidR="00045598">
        <w:rPr>
          <w:lang w:val="en-US" w:eastAsia="en-GB"/>
        </w:rPr>
        <w:t xml:space="preserve"> </w:t>
      </w:r>
      <w:r w:rsidR="005E2AB7">
        <w:rPr>
          <w:lang w:val="en-US" w:eastAsia="en-GB"/>
        </w:rPr>
        <w:fldChar w:fldCharType="begin"/>
      </w:r>
      <w:r w:rsidR="005E2AB7">
        <w:rPr>
          <w:lang w:val="en-US" w:eastAsia="en-GB"/>
        </w:rPr>
        <w:instrText xml:space="preserve"> ADDIN EN.CITE &lt;EndNote&gt;&lt;Cite&gt;&lt;Author&gt;NHS Digital&lt;/Author&gt;&lt;Year&gt;2021&lt;/Year&gt;&lt;RecNum&gt;511&lt;/RecNum&gt;&lt;DisplayText&gt;(NHS Digital, 2021b, NHS Digital, 2021a)&lt;/DisplayText&gt;&lt;record&gt;&lt;rec-number&gt;511&lt;/rec-number&gt;&lt;foreign-keys&gt;&lt;key app="EN" db-id="wxra20f03dt20kepwrwvfa0mvpxxeeezfaaz" timestamp="1674822675"&gt;511&lt;/key&gt;&lt;/foreign-keys&gt;&lt;ref-type name="Report"&gt;27&lt;/ref-type&gt;&lt;contributors&gt;&lt;authors&gt;&lt;author&gt;NHS Digital,&lt;/author&gt;&lt;/authors&gt;&lt;/contributors&gt;&lt;titles&gt;&lt;title&gt;DCB0160: Clinical risk management: its application in the deployment and use of health IT systems.&lt;/title&gt;&lt;/titles&gt;&lt;dates&gt;&lt;year&gt;2021&lt;/year&gt;&lt;/dates&gt;&lt;urls&gt;&lt;related-urls&gt;&lt;url&gt;https://digital.nhs.uk/data-and-information/information-standards/information-standards-and-data-collections-including-extractions/publications-and-notifications/standards-and-collections/dcb0160-clinical-risk-management-its-application-in-the-deployment-and-use-of-health-it-systems&lt;/url&gt;&lt;/related-urls&gt;&lt;/urls&gt;&lt;/record&gt;&lt;/Cite&gt;&lt;Cite&gt;&lt;Author&gt;NHS Digital&lt;/Author&gt;&lt;Year&gt;2021&lt;/Year&gt;&lt;RecNum&gt;510&lt;/RecNum&gt;&lt;record&gt;&lt;rec-number&gt;510&lt;/rec-number&gt;&lt;foreign-keys&gt;&lt;key app="EN" db-id="wxra20f03dt20kepwrwvfa0mvpxxeeezfaaz" timestamp="1674822560"&gt;510&lt;/key&gt;&lt;/foreign-keys&gt;&lt;ref-type name="Report"&gt;27&lt;/ref-type&gt;&lt;contributors&gt;&lt;authors&gt;&lt;author&gt;NHS Digital, &lt;/author&gt;&lt;/authors&gt;&lt;/contributors&gt;&lt;titles&gt;&lt;title&gt;DCB0129: Clinical risk management: its application in the manufacture of health IT systems. 2021&lt;/title&gt;&lt;/titles&gt;&lt;dates&gt;&lt;year&gt;2021&lt;/year&gt;&lt;/dates&gt;&lt;urls&gt;&lt;related-urls&gt;&lt;url&gt;https://digital.nhs.uk/data-and-information/information-standards/information-standards-and-data-collections-including-extractions/publications-and-notifications/standards-and-collections/dcb0129-clinical-risk-management-its-application-in-the-manufacture-of-health-it-systems &lt;/url&gt;&lt;/related-urls&gt;&lt;/urls&gt;&lt;access-date&gt;27.01.2023&lt;/access-date&gt;&lt;/record&gt;&lt;/Cite&gt;&lt;/EndNote&gt;</w:instrText>
      </w:r>
      <w:r w:rsidR="005E2AB7">
        <w:rPr>
          <w:lang w:val="en-US" w:eastAsia="en-GB"/>
        </w:rPr>
        <w:fldChar w:fldCharType="separate"/>
      </w:r>
      <w:r w:rsidR="005E2AB7">
        <w:rPr>
          <w:noProof/>
          <w:lang w:val="en-US" w:eastAsia="en-GB"/>
        </w:rPr>
        <w:t>(NHS Digital, 2021b, NHS Digital, 2021a)</w:t>
      </w:r>
      <w:r w:rsidR="005E2AB7">
        <w:rPr>
          <w:lang w:val="en-US" w:eastAsia="en-GB"/>
        </w:rPr>
        <w:fldChar w:fldCharType="end"/>
      </w:r>
      <w:r w:rsidR="004F5FEF">
        <w:rPr>
          <w:lang w:val="en-US" w:eastAsia="en-GB"/>
        </w:rPr>
        <w:t xml:space="preserve">.  </w:t>
      </w:r>
      <w:r w:rsidR="00033BEB">
        <w:rPr>
          <w:lang w:val="en-US" w:eastAsia="en-GB"/>
        </w:rPr>
        <w:t>The same process should apply to</w:t>
      </w:r>
      <w:r w:rsidR="004F5FEF">
        <w:rPr>
          <w:lang w:val="en-US" w:eastAsia="en-GB"/>
        </w:rPr>
        <w:t xml:space="preserve"> any </w:t>
      </w:r>
      <w:r w:rsidR="008D3B2A">
        <w:rPr>
          <w:lang w:val="en-US" w:eastAsia="en-GB"/>
        </w:rPr>
        <w:t xml:space="preserve">CDS system.  </w:t>
      </w:r>
    </w:p>
    <w:p w14:paraId="054CDAB4" w14:textId="318150B5" w:rsidR="002F78F9" w:rsidRDefault="002F78F9" w:rsidP="00122DB7">
      <w:pPr>
        <w:rPr>
          <w:lang w:val="en-US" w:eastAsia="en-GB"/>
        </w:rPr>
      </w:pPr>
      <w:r>
        <w:rPr>
          <w:lang w:val="en-US" w:eastAsia="en-GB"/>
        </w:rPr>
        <w:t xml:space="preserve">Mitigation of risks should include many factors such as understanding and analysing the design and functionality itself, considering previous evidence and </w:t>
      </w:r>
      <w:r w:rsidR="005D5B88">
        <w:rPr>
          <w:lang w:val="en-US" w:eastAsia="en-GB"/>
        </w:rPr>
        <w:t>understanding human factors.  It should also include users testing the system prior to implementation</w:t>
      </w:r>
      <w:r w:rsidR="005274E8">
        <w:rPr>
          <w:lang w:val="en-US" w:eastAsia="en-GB"/>
        </w:rPr>
        <w:t xml:space="preserve">.  Training and education are fundamental aspects, however there is a certain degree of intuitiveness </w:t>
      </w:r>
      <w:r w:rsidR="005B752A">
        <w:rPr>
          <w:lang w:val="en-US" w:eastAsia="en-GB"/>
        </w:rPr>
        <w:t xml:space="preserve">and usability </w:t>
      </w:r>
      <w:r w:rsidR="005274E8">
        <w:rPr>
          <w:lang w:val="en-US" w:eastAsia="en-GB"/>
        </w:rPr>
        <w:t>that is expected</w:t>
      </w:r>
      <w:r w:rsidR="005B752A">
        <w:rPr>
          <w:lang w:val="en-US" w:eastAsia="en-GB"/>
        </w:rPr>
        <w:t xml:space="preserve">, </w:t>
      </w:r>
      <w:r w:rsidR="00C149D8">
        <w:rPr>
          <w:lang w:val="en-US" w:eastAsia="en-GB"/>
        </w:rPr>
        <w:t xml:space="preserve">such as ensuring situational awareness and the system being able to inform the user when information is not there, </w:t>
      </w:r>
      <w:r w:rsidR="00CB1F3A">
        <w:rPr>
          <w:lang w:val="en-US" w:eastAsia="en-GB"/>
        </w:rPr>
        <w:t>which might be the result</w:t>
      </w:r>
      <w:r w:rsidR="00C149D8">
        <w:rPr>
          <w:lang w:val="en-US" w:eastAsia="en-GB"/>
        </w:rPr>
        <w:t xml:space="preserve"> for un-coded items.</w:t>
      </w:r>
    </w:p>
    <w:p w14:paraId="48EE52EC" w14:textId="4FA36391" w:rsidR="00B60879" w:rsidRPr="00122DB7" w:rsidRDefault="00B60879" w:rsidP="001D096A">
      <w:pPr>
        <w:pStyle w:val="Heading3"/>
        <w:rPr>
          <w:lang w:val="en-US" w:eastAsia="en-GB"/>
        </w:rPr>
      </w:pPr>
      <w:bookmarkStart w:id="15" w:name="_Toc127881399"/>
      <w:r>
        <w:rPr>
          <w:lang w:val="en-US" w:eastAsia="en-GB"/>
        </w:rPr>
        <w:lastRenderedPageBreak/>
        <w:t>Summary of risk Management</w:t>
      </w:r>
      <w:bookmarkEnd w:id="15"/>
      <w:r>
        <w:rPr>
          <w:lang w:val="en-US" w:eastAsia="en-GB"/>
        </w:rPr>
        <w:t xml:space="preserve"> </w:t>
      </w:r>
    </w:p>
    <w:p w14:paraId="2C5574CC" w14:textId="1AFA603D" w:rsidR="00940EEA" w:rsidRPr="00940EEA" w:rsidRDefault="00940EEA" w:rsidP="00940EEA">
      <w:pPr>
        <w:numPr>
          <w:ilvl w:val="0"/>
          <w:numId w:val="4"/>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Education</w:t>
      </w:r>
      <w:r w:rsidR="00B6606C">
        <w:rPr>
          <w:rFonts w:eastAsia="Times New Roman" w:cs="Arial"/>
          <w:szCs w:val="24"/>
          <w:lang w:val="en-US" w:eastAsia="en-GB"/>
        </w:rPr>
        <w:t xml:space="preserve"> – Training is a must.</w:t>
      </w:r>
    </w:p>
    <w:p w14:paraId="656E8ADA" w14:textId="5535D2F4" w:rsidR="00940EEA" w:rsidRPr="00940EEA" w:rsidRDefault="00940EEA" w:rsidP="00940EEA">
      <w:pPr>
        <w:numPr>
          <w:ilvl w:val="0"/>
          <w:numId w:val="4"/>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 xml:space="preserve">Guidance </w:t>
      </w:r>
      <w:r w:rsidR="0017041A">
        <w:rPr>
          <w:rFonts w:eastAsia="Times New Roman" w:cs="Arial"/>
          <w:szCs w:val="24"/>
          <w:lang w:val="en-US" w:eastAsia="en-GB"/>
        </w:rPr>
        <w:t xml:space="preserve">and decision type </w:t>
      </w:r>
      <w:r w:rsidRPr="00940EEA">
        <w:rPr>
          <w:rFonts w:eastAsia="Times New Roman" w:cs="Arial"/>
          <w:szCs w:val="24"/>
          <w:lang w:val="en-US" w:eastAsia="en-GB"/>
        </w:rPr>
        <w:t>collation</w:t>
      </w:r>
      <w:r w:rsidR="00B6606C">
        <w:rPr>
          <w:rFonts w:eastAsia="Times New Roman" w:cs="Arial"/>
          <w:szCs w:val="24"/>
          <w:lang w:val="en-US" w:eastAsia="en-GB"/>
        </w:rPr>
        <w:t xml:space="preserve"> </w:t>
      </w:r>
      <w:r w:rsidR="0017041A">
        <w:rPr>
          <w:rFonts w:eastAsia="Times New Roman" w:cs="Arial"/>
          <w:szCs w:val="24"/>
          <w:lang w:val="en-US" w:eastAsia="en-GB"/>
        </w:rPr>
        <w:t>–</w:t>
      </w:r>
      <w:r w:rsidR="00B6606C">
        <w:rPr>
          <w:rFonts w:eastAsia="Times New Roman" w:cs="Arial"/>
          <w:szCs w:val="24"/>
          <w:lang w:val="en-US" w:eastAsia="en-GB"/>
        </w:rPr>
        <w:t xml:space="preserve"> </w:t>
      </w:r>
      <w:r w:rsidR="0017041A">
        <w:rPr>
          <w:rFonts w:eastAsia="Times New Roman" w:cs="Arial"/>
          <w:szCs w:val="24"/>
          <w:lang w:val="en-US" w:eastAsia="en-GB"/>
        </w:rPr>
        <w:t>agreement and consensus</w:t>
      </w:r>
      <w:r w:rsidRPr="00940EEA">
        <w:rPr>
          <w:rFonts w:eastAsia="Times New Roman" w:cs="Arial"/>
          <w:szCs w:val="24"/>
          <w:lang w:val="en-US" w:eastAsia="en-GB"/>
        </w:rPr>
        <w:t xml:space="preserve"> (</w:t>
      </w:r>
      <w:r w:rsidR="0017041A">
        <w:rPr>
          <w:rFonts w:eastAsia="Times New Roman" w:cs="Arial"/>
          <w:szCs w:val="24"/>
          <w:lang w:val="en-US" w:eastAsia="en-GB"/>
        </w:rPr>
        <w:t xml:space="preserve">e.g. </w:t>
      </w:r>
      <w:proofErr w:type="spellStart"/>
      <w:r w:rsidRPr="00940EEA">
        <w:rPr>
          <w:rFonts w:eastAsia="Times New Roman" w:cs="Arial"/>
          <w:szCs w:val="24"/>
          <w:lang w:val="en-US" w:eastAsia="en-GB"/>
        </w:rPr>
        <w:t>Optimise</w:t>
      </w:r>
      <w:proofErr w:type="spellEnd"/>
      <w:r w:rsidRPr="00940EEA">
        <w:rPr>
          <w:rFonts w:eastAsia="Times New Roman" w:cs="Arial"/>
          <w:szCs w:val="24"/>
          <w:lang w:val="en-US" w:eastAsia="en-GB"/>
        </w:rPr>
        <w:t xml:space="preserve"> Rx) </w:t>
      </w:r>
      <w:proofErr w:type="spellStart"/>
      <w:r w:rsidRPr="00940EEA">
        <w:rPr>
          <w:rFonts w:eastAsia="Times New Roman" w:cs="Arial"/>
          <w:szCs w:val="24"/>
          <w:lang w:val="en-US" w:eastAsia="en-GB"/>
        </w:rPr>
        <w:t>Tinkley</w:t>
      </w:r>
      <w:proofErr w:type="spellEnd"/>
      <w:r w:rsidRPr="00940EEA">
        <w:rPr>
          <w:rFonts w:eastAsia="Times New Roman" w:cs="Arial"/>
          <w:szCs w:val="24"/>
          <w:lang w:val="en-US" w:eastAsia="en-GB"/>
        </w:rPr>
        <w:t xml:space="preserve"> 2019.</w:t>
      </w:r>
    </w:p>
    <w:p w14:paraId="5CD1B7BE" w14:textId="5F53E896" w:rsidR="00940EEA" w:rsidRPr="00940EEA" w:rsidRDefault="00940EEA" w:rsidP="00940EEA">
      <w:pPr>
        <w:numPr>
          <w:ilvl w:val="0"/>
          <w:numId w:val="4"/>
        </w:numPr>
        <w:spacing w:after="0" w:line="240" w:lineRule="auto"/>
        <w:textAlignment w:val="center"/>
        <w:rPr>
          <w:rFonts w:ascii="Calibri" w:eastAsia="Times New Roman" w:hAnsi="Calibri" w:cs="Calibri"/>
          <w:sz w:val="22"/>
          <w:lang w:val="en-US" w:eastAsia="en-GB"/>
        </w:rPr>
      </w:pPr>
      <w:r w:rsidRPr="00940EEA">
        <w:rPr>
          <w:rFonts w:eastAsia="Times New Roman" w:cs="Arial"/>
          <w:szCs w:val="24"/>
          <w:lang w:val="en-US" w:eastAsia="en-GB"/>
        </w:rPr>
        <w:t>Embed</w:t>
      </w:r>
      <w:r w:rsidR="0017041A">
        <w:rPr>
          <w:rFonts w:eastAsia="Times New Roman" w:cs="Arial"/>
          <w:szCs w:val="24"/>
          <w:lang w:val="en-US" w:eastAsia="en-GB"/>
        </w:rPr>
        <w:t xml:space="preserve"> decision support</w:t>
      </w:r>
      <w:r w:rsidRPr="00940EEA">
        <w:rPr>
          <w:rFonts w:eastAsia="Times New Roman" w:cs="Arial"/>
          <w:szCs w:val="24"/>
          <w:lang w:val="en-US" w:eastAsia="en-GB"/>
        </w:rPr>
        <w:t xml:space="preserve"> in</w:t>
      </w:r>
      <w:r w:rsidR="0017041A">
        <w:rPr>
          <w:rFonts w:eastAsia="Times New Roman" w:cs="Arial"/>
          <w:szCs w:val="24"/>
          <w:lang w:val="en-US" w:eastAsia="en-GB"/>
        </w:rPr>
        <w:t>to</w:t>
      </w:r>
      <w:r w:rsidRPr="00940EEA">
        <w:rPr>
          <w:rFonts w:eastAsia="Times New Roman" w:cs="Arial"/>
          <w:szCs w:val="24"/>
          <w:lang w:val="en-US" w:eastAsia="en-GB"/>
        </w:rPr>
        <w:t xml:space="preserve"> workflow</w:t>
      </w:r>
      <w:r w:rsidR="0017041A">
        <w:rPr>
          <w:rFonts w:eastAsia="Times New Roman" w:cs="Arial"/>
          <w:szCs w:val="24"/>
          <w:lang w:val="en-US" w:eastAsia="en-GB"/>
        </w:rPr>
        <w:t xml:space="preserve"> </w:t>
      </w:r>
      <w:r w:rsidR="00B2228F">
        <w:rPr>
          <w:rFonts w:eastAsia="Times New Roman" w:cs="Arial"/>
          <w:szCs w:val="24"/>
          <w:lang w:val="en-US" w:eastAsia="en-GB"/>
        </w:rPr>
        <w:fldChar w:fldCharType="begin"/>
      </w:r>
      <w:r w:rsidR="00B2228F">
        <w:rPr>
          <w:rFonts w:eastAsia="Times New Roman" w:cs="Arial"/>
          <w:szCs w:val="24"/>
          <w:lang w:val="en-US" w:eastAsia="en-GB"/>
        </w:rPr>
        <w:instrText xml:space="preserve"> ADDIN EN.CITE &lt;EndNote&gt;&lt;Cite&gt;&lt;Author&gt;Bell&lt;/Author&gt;&lt;Year&gt;2019&lt;/Year&gt;&lt;RecNum&gt;315&lt;/RecNum&gt;&lt;DisplayText&gt;(Bell&lt;style face="italic"&gt; et al.&lt;/style&gt;, 2019)&lt;/DisplayText&gt;&lt;record&gt;&lt;rec-number&gt;315&lt;/rec-number&gt;&lt;foreign-keys&gt;&lt;key app="EN" db-id="wxra20f03dt20kepwrwvfa0mvpxxeeezfaaz" timestamp="1667493767"&gt;315&lt;/key&gt;&lt;/foreign-keys&gt;&lt;ref-type name="Journal Article"&gt;17&lt;/ref-type&gt;&lt;contributors&gt;&lt;authors&gt;&lt;author&gt;Bell, Helen&lt;/author&gt;&lt;author&gt;Garfield, Sara&lt;/author&gt;&lt;author&gt;Khosla, Sonia&lt;/author&gt;&lt;author&gt;Patel, Chimnay&lt;/author&gt;&lt;author&gt;Franklin, Bryony Dean&lt;/author&gt;&lt;/authors&gt;&lt;/contributors&gt;&lt;titles&gt;&lt;title&gt;Mixed methods study of medication-related decision support alerts experienced during electronic prescribing for inpatients at an English hospital&lt;/title&gt;&lt;secondary-title&gt;European Journal of Hospital Pharmacy&lt;/secondary-title&gt;&lt;/titles&gt;&lt;periodical&gt;&lt;full-title&gt;European Journal of Hospital Pharmacy&lt;/full-title&gt;&lt;/periodical&gt;&lt;pages&gt;318-322&lt;/pages&gt;&lt;volume&gt;26&lt;/volume&gt;&lt;number&gt;6&lt;/number&gt;&lt;dates&gt;&lt;year&gt;2019&lt;/year&gt;&lt;/dates&gt;&lt;publisher&gt;BMJ&lt;/publisher&gt;&lt;isbn&gt;2047-9956&lt;/isbn&gt;&lt;urls&gt;&lt;related-urls&gt;&lt;url&gt;https://dx.doi.org/10.1136/ejhpharm-2017-001483&lt;/url&gt;&lt;/related-urls&gt;&lt;/urls&gt;&lt;electronic-resource-num&gt;10.1136/ejhpharm-2017-001483&lt;/electronic-resource-num&gt;&lt;/record&gt;&lt;/Cite&gt;&lt;/EndNote&gt;</w:instrText>
      </w:r>
      <w:r w:rsidR="00B2228F">
        <w:rPr>
          <w:rFonts w:eastAsia="Times New Roman" w:cs="Arial"/>
          <w:szCs w:val="24"/>
          <w:lang w:val="en-US" w:eastAsia="en-GB"/>
        </w:rPr>
        <w:fldChar w:fldCharType="separate"/>
      </w:r>
      <w:r w:rsidR="00B2228F">
        <w:rPr>
          <w:rFonts w:eastAsia="Times New Roman" w:cs="Arial"/>
          <w:noProof/>
          <w:szCs w:val="24"/>
          <w:lang w:val="en-US" w:eastAsia="en-GB"/>
        </w:rPr>
        <w:t>(Bell</w:t>
      </w:r>
      <w:r w:rsidR="00B2228F" w:rsidRPr="00B2228F">
        <w:rPr>
          <w:rFonts w:eastAsia="Times New Roman" w:cs="Arial"/>
          <w:i/>
          <w:noProof/>
          <w:szCs w:val="24"/>
          <w:lang w:val="en-US" w:eastAsia="en-GB"/>
        </w:rPr>
        <w:t xml:space="preserve"> et al.</w:t>
      </w:r>
      <w:r w:rsidR="00B2228F">
        <w:rPr>
          <w:rFonts w:eastAsia="Times New Roman" w:cs="Arial"/>
          <w:noProof/>
          <w:szCs w:val="24"/>
          <w:lang w:val="en-US" w:eastAsia="en-GB"/>
        </w:rPr>
        <w:t>, 2019)</w:t>
      </w:r>
      <w:r w:rsidR="00B2228F">
        <w:rPr>
          <w:rFonts w:eastAsia="Times New Roman" w:cs="Arial"/>
          <w:szCs w:val="24"/>
          <w:lang w:val="en-US" w:eastAsia="en-GB"/>
        </w:rPr>
        <w:fldChar w:fldCharType="end"/>
      </w:r>
    </w:p>
    <w:p w14:paraId="18249CE3" w14:textId="5CA89A30" w:rsidR="007F5696" w:rsidRPr="00840D2B" w:rsidRDefault="00940EEA" w:rsidP="00B2228F">
      <w:pPr>
        <w:numPr>
          <w:ilvl w:val="0"/>
          <w:numId w:val="4"/>
        </w:numPr>
        <w:spacing w:after="0" w:line="240" w:lineRule="auto"/>
        <w:textAlignment w:val="center"/>
        <w:rPr>
          <w:rFonts w:ascii="Calibri" w:eastAsia="Times New Roman" w:hAnsi="Calibri" w:cs="Calibri"/>
          <w:sz w:val="22"/>
          <w:lang w:val="en-US" w:eastAsia="en-GB"/>
        </w:rPr>
      </w:pPr>
      <w:r w:rsidRPr="007F5696">
        <w:rPr>
          <w:rFonts w:eastAsia="Times New Roman" w:cs="Arial"/>
          <w:szCs w:val="24"/>
          <w:lang w:val="en-US" w:eastAsia="en-GB"/>
        </w:rPr>
        <w:t xml:space="preserve">Build and test scenarios against known prescribing </w:t>
      </w:r>
      <w:r w:rsidR="00B37E15" w:rsidRPr="007F5696">
        <w:rPr>
          <w:rFonts w:eastAsia="Times New Roman" w:cs="Arial"/>
          <w:szCs w:val="24"/>
          <w:lang w:val="en-US" w:eastAsia="en-GB"/>
        </w:rPr>
        <w:t>risks.</w:t>
      </w:r>
    </w:p>
    <w:p w14:paraId="231D3CB0" w14:textId="54930AB3" w:rsidR="00840D2B" w:rsidRPr="00B2228F" w:rsidRDefault="00840D2B" w:rsidP="00B2228F">
      <w:pPr>
        <w:numPr>
          <w:ilvl w:val="0"/>
          <w:numId w:val="4"/>
        </w:numPr>
        <w:spacing w:after="0" w:line="240" w:lineRule="auto"/>
        <w:textAlignment w:val="center"/>
        <w:rPr>
          <w:rFonts w:ascii="Calibri" w:eastAsia="Times New Roman" w:hAnsi="Calibri" w:cs="Calibri"/>
          <w:sz w:val="22"/>
          <w:lang w:val="en-US" w:eastAsia="en-GB"/>
        </w:rPr>
      </w:pPr>
      <w:r>
        <w:rPr>
          <w:rFonts w:eastAsia="Times New Roman" w:cs="Arial"/>
          <w:szCs w:val="24"/>
          <w:lang w:val="en-US" w:eastAsia="en-GB"/>
        </w:rPr>
        <w:t>Verification and Validation</w:t>
      </w:r>
      <w:r w:rsidR="001946C5">
        <w:rPr>
          <w:rFonts w:eastAsia="Times New Roman" w:cs="Arial"/>
          <w:szCs w:val="24"/>
          <w:lang w:val="en-US" w:eastAsia="en-GB"/>
        </w:rPr>
        <w:t>.</w:t>
      </w:r>
      <w:r w:rsidR="001368B9">
        <w:rPr>
          <w:rFonts w:eastAsia="Times New Roman" w:cs="Arial"/>
          <w:szCs w:val="24"/>
          <w:lang w:val="en-US" w:eastAsia="en-GB"/>
        </w:rPr>
        <w:t xml:space="preserve"> (</w:t>
      </w:r>
      <w:r w:rsidR="006547E0">
        <w:rPr>
          <w:rFonts w:eastAsia="Times New Roman" w:cs="Arial"/>
          <w:szCs w:val="24"/>
          <w:lang w:val="en-US" w:eastAsia="en-GB"/>
        </w:rPr>
        <w:t>Against URS)</w:t>
      </w:r>
    </w:p>
    <w:p w14:paraId="0C29617E" w14:textId="5783167B" w:rsidR="00A0608A" w:rsidRDefault="000B27D9" w:rsidP="005069C3">
      <w:pPr>
        <w:pStyle w:val="Heading1"/>
        <w:rPr>
          <w:lang w:val="en-US"/>
        </w:rPr>
      </w:pPr>
      <w:bookmarkStart w:id="16" w:name="_Toc127881400"/>
      <w:r>
        <w:rPr>
          <w:lang w:val="en-US"/>
        </w:rPr>
        <w:t>Evaluati</w:t>
      </w:r>
      <w:r w:rsidR="002F0F73">
        <w:rPr>
          <w:lang w:val="en-US"/>
        </w:rPr>
        <w:t>on</w:t>
      </w:r>
      <w:bookmarkEnd w:id="16"/>
      <w:r w:rsidR="002F0F73">
        <w:rPr>
          <w:lang w:val="en-US"/>
        </w:rPr>
        <w:t xml:space="preserve"> </w:t>
      </w:r>
    </w:p>
    <w:p w14:paraId="1AF78E1E" w14:textId="324414AD" w:rsidR="00886044" w:rsidRDefault="00B11A25" w:rsidP="002F0F73">
      <w:pPr>
        <w:rPr>
          <w:lang w:val="en-US"/>
        </w:rPr>
      </w:pPr>
      <w:r>
        <w:rPr>
          <w:lang w:val="en-US"/>
        </w:rPr>
        <w:t>It is important that e</w:t>
      </w:r>
      <w:r w:rsidR="00A0608A">
        <w:rPr>
          <w:lang w:val="en-US"/>
        </w:rPr>
        <w:t xml:space="preserve">valuation of the CDS functionality and its effect on </w:t>
      </w:r>
      <w:r w:rsidR="00B54320">
        <w:rPr>
          <w:lang w:val="en-US"/>
        </w:rPr>
        <w:t xml:space="preserve">ADRs and medicines related errors </w:t>
      </w:r>
      <w:r>
        <w:rPr>
          <w:lang w:val="en-US"/>
        </w:rPr>
        <w:t xml:space="preserve">takes place.  </w:t>
      </w:r>
      <w:r w:rsidR="00FD30A3">
        <w:rPr>
          <w:lang w:val="en-US"/>
        </w:rPr>
        <w:t xml:space="preserve">If implementation and on ongoing </w:t>
      </w:r>
      <w:r w:rsidR="00BF1AC9">
        <w:rPr>
          <w:lang w:val="en-US"/>
        </w:rPr>
        <w:t xml:space="preserve">learning, feedback and optimisation are taking place, evaluation should </w:t>
      </w:r>
      <w:r w:rsidR="00B262C8">
        <w:rPr>
          <w:lang w:val="en-US"/>
        </w:rPr>
        <w:t>be</w:t>
      </w:r>
      <w:r w:rsidR="00BF1AC9">
        <w:rPr>
          <w:lang w:val="en-US"/>
        </w:rPr>
        <w:t xml:space="preserve"> part of an ongoing process.  </w:t>
      </w:r>
    </w:p>
    <w:p w14:paraId="6E6AC37B" w14:textId="7E83203E" w:rsidR="00062086" w:rsidRDefault="004C4BA3" w:rsidP="002F0F73">
      <w:pPr>
        <w:rPr>
          <w:lang w:val="en-US"/>
        </w:rPr>
      </w:pPr>
      <w:r>
        <w:rPr>
          <w:lang w:val="en-US"/>
        </w:rPr>
        <w:t xml:space="preserve">Certain aspects of the CDS implementation may require different types of evaluation.  For example, when considering user acceptance and sociotechnical aspects, it is important to understand </w:t>
      </w:r>
      <w:r w:rsidR="00A07317">
        <w:rPr>
          <w:lang w:val="en-US"/>
        </w:rPr>
        <w:t xml:space="preserve">how well the system fits into the business process.  It is also crucial to </w:t>
      </w:r>
      <w:r w:rsidR="006D5FF8">
        <w:rPr>
          <w:lang w:val="en-US"/>
        </w:rPr>
        <w:t xml:space="preserve">explore sociotechnical aspects and </w:t>
      </w:r>
      <w:r w:rsidR="00443B37">
        <w:rPr>
          <w:lang w:val="en-US"/>
        </w:rPr>
        <w:t>usability</w:t>
      </w:r>
      <w:r w:rsidR="006D5FF8">
        <w:rPr>
          <w:lang w:val="en-US"/>
        </w:rPr>
        <w:t xml:space="preserve">.  The system may be able to deliver a myriad of functionality but be completely unusable </w:t>
      </w:r>
      <w:r w:rsidR="00FF3C5D">
        <w:rPr>
          <w:lang w:val="en-US"/>
        </w:rPr>
        <w:t xml:space="preserve">and cluttered.  Some users may also have a fear or </w:t>
      </w:r>
      <w:r w:rsidR="002A2EF7">
        <w:rPr>
          <w:lang w:val="en-US"/>
        </w:rPr>
        <w:t>disposition to using digital technology and these fears may need to be understood and supported.  Understanding and evaluating the benefits, so that they are evidently demonstrated may also help in terms of bringing users</w:t>
      </w:r>
      <w:r w:rsidR="00370C6F">
        <w:rPr>
          <w:lang w:val="en-US"/>
        </w:rPr>
        <w:t xml:space="preserve"> </w:t>
      </w:r>
      <w:r w:rsidR="00245457">
        <w:rPr>
          <w:lang w:val="en-US"/>
        </w:rPr>
        <w:t>along.</w:t>
      </w:r>
      <w:r w:rsidR="009D5A4B">
        <w:rPr>
          <w:lang w:val="en-US"/>
        </w:rPr>
        <w:t xml:space="preserve"> </w:t>
      </w:r>
      <w:r w:rsidR="00062086">
        <w:rPr>
          <w:lang w:val="en-US"/>
        </w:rPr>
        <w:t xml:space="preserve"> </w:t>
      </w:r>
    </w:p>
    <w:p w14:paraId="0ABF6BC5" w14:textId="3E9E5360" w:rsidR="000F7D79" w:rsidRDefault="009358DE" w:rsidP="002F0F73">
      <w:pPr>
        <w:rPr>
          <w:lang w:val="en-US"/>
        </w:rPr>
      </w:pPr>
      <w:r>
        <w:rPr>
          <w:lang w:val="en-US"/>
        </w:rPr>
        <w:t>Therefore,</w:t>
      </w:r>
      <w:r w:rsidR="00245457">
        <w:rPr>
          <w:lang w:val="en-US"/>
        </w:rPr>
        <w:t xml:space="preserve"> one important aspect of evaluation is that of a qualitative nature.  Such tools that may help with undertaking this might be a FIT</w:t>
      </w:r>
      <w:r w:rsidR="00B46642">
        <w:rPr>
          <w:lang w:val="en-US"/>
        </w:rPr>
        <w:t>T</w:t>
      </w:r>
      <w:r w:rsidR="00291A0A">
        <w:rPr>
          <w:lang w:val="en-US"/>
        </w:rPr>
        <w:t>-E</w:t>
      </w:r>
      <w:r w:rsidR="00B46642">
        <w:rPr>
          <w:lang w:val="en-US"/>
        </w:rPr>
        <w:t xml:space="preserve"> based evaluation</w:t>
      </w:r>
      <w:r w:rsidR="002A7526">
        <w:rPr>
          <w:lang w:val="en-US"/>
        </w:rPr>
        <w:t xml:space="preserve"> </w:t>
      </w:r>
      <w:r w:rsidR="00291A0A">
        <w:rPr>
          <w:lang w:val="en-US"/>
        </w:rPr>
        <w:fldChar w:fldCharType="begin"/>
      </w:r>
      <w:r w:rsidR="00291A0A">
        <w:rPr>
          <w:lang w:val="en-US"/>
        </w:rPr>
        <w:instrText xml:space="preserve"> ADDIN EN.CITE &lt;EndNote&gt;&lt;Cite&gt;&lt;Author&gt;Prgomet&lt;/Author&gt;&lt;Year&gt;2019&lt;/Year&gt;&lt;RecNum&gt;210&lt;/RecNum&gt;&lt;DisplayText&gt;(Prgomet&lt;style face="italic"&gt; et al.&lt;/style&gt;, 2019)&lt;/DisplayText&gt;&lt;record&gt;&lt;rec-number&gt;210&lt;/rec-number&gt;&lt;foreign-keys&gt;&lt;key app="EN" db-id="wxra20f03dt20kepwrwvfa0mvpxxeeezfaaz" timestamp="1641312305"&gt;210&lt;/key&gt;&lt;/foreign-keys&gt;&lt;ref-type name="Book Section"&gt;5&lt;/ref-type&gt;&lt;contributors&gt;&lt;authors&gt;&lt;author&gt;Prgomet, Mirela&lt;/author&gt;&lt;author&gt;Georgiou, Andrew&lt;/author&gt;&lt;author&gt;Callen, Joanne&lt;/author&gt;&lt;author&gt;Westbrook, Johanna&lt;/author&gt;&lt;/authors&gt;&lt;/contributors&gt;&lt;titles&gt;&lt;title&gt;Fit between individuals, tasks, technology, and environment (FITTE) framework: A proposed extension of FITT to evaluate and optimise health information technology use&lt;/title&gt;&lt;secondary-title&gt;MEDINFO 2019: Health and Wellbeing e-Networks for All&lt;/secondary-title&gt;&lt;/titles&gt;&lt;pages&gt;744-748&lt;/pages&gt;&lt;dates&gt;&lt;year&gt;2019&lt;/year&gt;&lt;/dates&gt;&lt;publisher&gt;IOS Press&lt;/publisher&gt;&lt;urls&gt;&lt;/urls&gt;&lt;/record&gt;&lt;/Cite&gt;&lt;/EndNote&gt;</w:instrText>
      </w:r>
      <w:r w:rsidR="00291A0A">
        <w:rPr>
          <w:lang w:val="en-US"/>
        </w:rPr>
        <w:fldChar w:fldCharType="separate"/>
      </w:r>
      <w:r w:rsidR="00291A0A">
        <w:rPr>
          <w:noProof/>
          <w:lang w:val="en-US"/>
        </w:rPr>
        <w:t>(Prgomet</w:t>
      </w:r>
      <w:r w:rsidR="00291A0A" w:rsidRPr="00291A0A">
        <w:rPr>
          <w:i/>
          <w:noProof/>
          <w:lang w:val="en-US"/>
        </w:rPr>
        <w:t xml:space="preserve"> et al.</w:t>
      </w:r>
      <w:r w:rsidR="00291A0A">
        <w:rPr>
          <w:noProof/>
          <w:lang w:val="en-US"/>
        </w:rPr>
        <w:t>, 2019)</w:t>
      </w:r>
      <w:r w:rsidR="00291A0A">
        <w:rPr>
          <w:lang w:val="en-US"/>
        </w:rPr>
        <w:fldChar w:fldCharType="end"/>
      </w:r>
      <w:r w:rsidR="002E4D5F">
        <w:rPr>
          <w:lang w:val="en-US"/>
        </w:rPr>
        <w:t xml:space="preserve">.  This would incorporate </w:t>
      </w:r>
      <w:r w:rsidR="009066F9">
        <w:rPr>
          <w:lang w:val="en-US"/>
        </w:rPr>
        <w:t>and take on-board the</w:t>
      </w:r>
      <w:r w:rsidR="00291A0A">
        <w:rPr>
          <w:lang w:val="en-US"/>
        </w:rPr>
        <w:t xml:space="preserve"> views of</w:t>
      </w:r>
      <w:r w:rsidR="009066F9">
        <w:rPr>
          <w:lang w:val="en-US"/>
        </w:rPr>
        <w:t xml:space="preserve"> multiple professions that the ePMA based CDS will support, allowing for multiple perspec</w:t>
      </w:r>
      <w:r w:rsidR="002A7526">
        <w:rPr>
          <w:lang w:val="en-US"/>
        </w:rPr>
        <w:t>tives</w:t>
      </w:r>
      <w:r w:rsidR="002040EC">
        <w:rPr>
          <w:lang w:val="en-US"/>
        </w:rPr>
        <w:t xml:space="preserve">, that considers, the environment, the technology itself, </w:t>
      </w:r>
      <w:r w:rsidR="000E0D01">
        <w:rPr>
          <w:lang w:val="en-US"/>
        </w:rPr>
        <w:t xml:space="preserve">the task that needs to be undertaken (and in this case how CDS will </w:t>
      </w:r>
      <w:r w:rsidR="005C266B">
        <w:rPr>
          <w:lang w:val="en-US"/>
        </w:rPr>
        <w:t>affect</w:t>
      </w:r>
      <w:r w:rsidR="000E0D01">
        <w:rPr>
          <w:lang w:val="en-US"/>
        </w:rPr>
        <w:t xml:space="preserve"> it) and the response and interaction of the individual using it</w:t>
      </w:r>
      <w:r w:rsidR="002A7526">
        <w:rPr>
          <w:lang w:val="en-US"/>
        </w:rPr>
        <w:t xml:space="preserve">.  </w:t>
      </w:r>
      <w:r w:rsidR="00A350C5">
        <w:rPr>
          <w:lang w:val="en-US"/>
        </w:rPr>
        <w:t>This is important as</w:t>
      </w:r>
      <w:r w:rsidR="00E81A27">
        <w:rPr>
          <w:lang w:val="en-US"/>
        </w:rPr>
        <w:t xml:space="preserve"> whilst there seems to be a lot of literature on alert fatigue </w:t>
      </w:r>
      <w:r w:rsidR="00B437CE">
        <w:rPr>
          <w:lang w:val="en-US"/>
        </w:rPr>
        <w:fldChar w:fldCharType="begin"/>
      </w:r>
      <w:r w:rsidR="00B437CE">
        <w:rPr>
          <w:lang w:val="en-US"/>
        </w:rPr>
        <w:instrText xml:space="preserve"> ADDIN EN.CITE &lt;EndNote&gt;&lt;Cite&gt;&lt;Author&gt;Hussain&lt;/Author&gt;&lt;Year&gt;2019&lt;/Year&gt;&lt;RecNum&gt;514&lt;/RecNum&gt;&lt;DisplayText&gt;(Hussain&lt;style face="italic"&gt; et al.&lt;/style&gt;, 2019)&lt;/DisplayText&gt;&lt;record&gt;&lt;rec-number&gt;514&lt;/rec-number&gt;&lt;foreign-keys&gt;&lt;key app="EN" db-id="wxra20f03dt20kepwrwvfa0mvpxxeeezfaaz" timestamp="1674829033"&gt;514&lt;/key&gt;&lt;/foreign-keys&gt;&lt;ref-type name="Journal Article"&gt;17&lt;/ref-type&gt;&lt;contributors&gt;&lt;authors&gt;&lt;author&gt;Hussain, Mustafa I&lt;/author&gt;&lt;author&gt;Reynolds, Tera L&lt;/author&gt;&lt;author&gt;Zheng, Kai&lt;/author&gt;&lt;/authors&gt;&lt;/contributors&gt;&lt;titles&gt;&lt;title&gt;Medication safety alert fatigue may be reduced via interaction design and clinical role tailoring: a systematic review&lt;/title&gt;&lt;secondary-title&gt;Journal of the American Medical Informatics Association&lt;/secondary-title&gt;&lt;/titles&gt;&lt;periodical&gt;&lt;full-title&gt;Journal of the American Medical Informatics Association&lt;/full-title&gt;&lt;/periodical&gt;&lt;pages&gt;1141-1149&lt;/pages&gt;&lt;volume&gt;26&lt;/volume&gt;&lt;number&gt;10&lt;/number&gt;&lt;dates&gt;&lt;year&gt;2019&lt;/year&gt;&lt;/dates&gt;&lt;isbn&gt;1527-974X&lt;/isbn&gt;&lt;urls&gt;&lt;related-urls&gt;&lt;url&gt;https://doi.org/10.1093/jamia/ocz095&lt;/url&gt;&lt;/related-urls&gt;&lt;/urls&gt;&lt;electronic-resource-num&gt;10.1093/jamia/ocz095&lt;/electronic-resource-num&gt;&lt;access-date&gt;1/27/2023&lt;/access-date&gt;&lt;/record&gt;&lt;/Cite&gt;&lt;/EndNote&gt;</w:instrText>
      </w:r>
      <w:r w:rsidR="00B437CE">
        <w:rPr>
          <w:lang w:val="en-US"/>
        </w:rPr>
        <w:fldChar w:fldCharType="separate"/>
      </w:r>
      <w:r w:rsidR="00B437CE">
        <w:rPr>
          <w:noProof/>
          <w:lang w:val="en-US"/>
        </w:rPr>
        <w:t>(Hussain</w:t>
      </w:r>
      <w:r w:rsidR="00B437CE" w:rsidRPr="00B437CE">
        <w:rPr>
          <w:i/>
          <w:noProof/>
          <w:lang w:val="en-US"/>
        </w:rPr>
        <w:t xml:space="preserve"> et al.</w:t>
      </w:r>
      <w:r w:rsidR="00B437CE">
        <w:rPr>
          <w:noProof/>
          <w:lang w:val="en-US"/>
        </w:rPr>
        <w:t>, 2019)</w:t>
      </w:r>
      <w:r w:rsidR="00B437CE">
        <w:rPr>
          <w:lang w:val="en-US"/>
        </w:rPr>
        <w:fldChar w:fldCharType="end"/>
      </w:r>
      <w:r w:rsidR="00E81A27">
        <w:rPr>
          <w:lang w:val="en-US"/>
        </w:rPr>
        <w:t>,</w:t>
      </w:r>
      <w:r w:rsidR="00A350C5">
        <w:rPr>
          <w:lang w:val="en-US"/>
        </w:rPr>
        <w:t xml:space="preserve"> </w:t>
      </w:r>
      <w:r w:rsidR="002A7526">
        <w:rPr>
          <w:lang w:val="en-US"/>
        </w:rPr>
        <w:t>t</w:t>
      </w:r>
      <w:r w:rsidR="007435B5">
        <w:rPr>
          <w:lang w:val="en-US"/>
        </w:rPr>
        <w:t>here seems to be limited research in terms of how a user might respond to certain</w:t>
      </w:r>
      <w:r w:rsidR="00A350C5">
        <w:rPr>
          <w:lang w:val="en-US"/>
        </w:rPr>
        <w:t xml:space="preserve"> CDS functions </w:t>
      </w:r>
      <w:r w:rsidR="00DB4504">
        <w:rPr>
          <w:lang w:val="en-US"/>
        </w:rPr>
        <w:t>which might</w:t>
      </w:r>
      <w:r w:rsidR="00B3191B">
        <w:rPr>
          <w:lang w:val="en-US"/>
        </w:rPr>
        <w:t xml:space="preserve"> “throw”</w:t>
      </w:r>
      <w:r w:rsidR="00E81A27">
        <w:rPr>
          <w:lang w:val="en-US"/>
        </w:rPr>
        <w:t xml:space="preserve"> particular prompts</w:t>
      </w:r>
      <w:r w:rsidR="00B3191B">
        <w:rPr>
          <w:lang w:val="en-US"/>
        </w:rPr>
        <w:t xml:space="preserve"> at them.  Even an error message such as “invalid order” might deter a user from undertaking the correct action if </w:t>
      </w:r>
      <w:r w:rsidR="00567B58">
        <w:rPr>
          <w:lang w:val="en-US"/>
        </w:rPr>
        <w:t xml:space="preserve">the message itself </w:t>
      </w:r>
      <w:r w:rsidR="00000C1E">
        <w:rPr>
          <w:lang w:val="en-US"/>
        </w:rPr>
        <w:t>does not</w:t>
      </w:r>
      <w:r w:rsidR="00567B58">
        <w:rPr>
          <w:lang w:val="en-US"/>
        </w:rPr>
        <w:t xml:space="preserve"> direct or support them to take the necessary next steps.  Assessing the way the user responds to the system, the prompts or inbuilt confirmations </w:t>
      </w:r>
      <w:r w:rsidR="00BF3415">
        <w:rPr>
          <w:lang w:val="en-US"/>
        </w:rPr>
        <w:t>would be</w:t>
      </w:r>
      <w:r w:rsidR="00567B58">
        <w:rPr>
          <w:lang w:val="en-US"/>
        </w:rPr>
        <w:t xml:space="preserve"> helpful in understanding and informing further design.</w:t>
      </w:r>
      <w:r w:rsidR="005F1E30">
        <w:rPr>
          <w:lang w:val="en-US"/>
        </w:rPr>
        <w:t xml:space="preserve">  Any </w:t>
      </w:r>
      <w:r w:rsidR="0055709B">
        <w:rPr>
          <w:lang w:val="en-US"/>
        </w:rPr>
        <w:t xml:space="preserve">evaluations around behaviour </w:t>
      </w:r>
      <w:r w:rsidR="00F9087E">
        <w:rPr>
          <w:lang w:val="en-US"/>
        </w:rPr>
        <w:t xml:space="preserve">might wish to consider </w:t>
      </w:r>
      <w:r w:rsidR="005B764E">
        <w:rPr>
          <w:lang w:val="en-US"/>
        </w:rPr>
        <w:t xml:space="preserve">the principles of </w:t>
      </w:r>
      <w:r w:rsidR="00DD4473">
        <w:rPr>
          <w:lang w:val="en-US"/>
        </w:rPr>
        <w:fldChar w:fldCharType="begin"/>
      </w:r>
      <w:r w:rsidR="00DD4473">
        <w:rPr>
          <w:lang w:val="en-US"/>
        </w:rPr>
        <w:instrText xml:space="preserve"> ADDIN EN.CITE &lt;EndNote&gt;&lt;Cite AuthorYear="1"&gt;&lt;Author&gt;Michie&lt;/Author&gt;&lt;Year&gt;2011&lt;/Year&gt;&lt;RecNum&gt;515&lt;/RecNum&gt;&lt;DisplayText&gt;Michie&lt;style face="italic"&gt; et al.&lt;/style&gt; (2011)&lt;/DisplayText&gt;&lt;record&gt;&lt;rec-number&gt;515&lt;/rec-number&gt;&lt;foreign-keys&gt;&lt;key app="EN" db-id="wxra20f03dt20kepwrwvfa0mvpxxeeezfaaz" timestamp="1674829660"&gt;515&lt;/key&gt;&lt;/foreign-keys&gt;&lt;ref-type name="Journal Article"&gt;17&lt;/ref-type&gt;&lt;contributors&gt;&lt;authors&gt;&lt;author&gt;Michie, Susan&lt;/author&gt;&lt;author&gt;Van Stralen, Maartje M.&lt;/author&gt;&lt;author&gt;West, Robert&lt;/author&gt;&lt;/authors&gt;&lt;/contributors&gt;&lt;titles&gt;&lt;title&gt;The behaviour change wheel: A new method for characterising and designing behaviour change interventions&lt;/title&gt;&lt;secondary-title&gt;Implementation Science&lt;/secondary-title&gt;&lt;/titles&gt;&lt;periodical&gt;&lt;full-title&gt;Implementation Science&lt;/full-title&gt;&lt;/periodical&gt;&lt;pages&gt;42&lt;/pages&gt;&lt;volume&gt;6&lt;/volume&gt;&lt;number&gt;1&lt;/number&gt;&lt;dates&gt;&lt;year&gt;2011&lt;/year&gt;&lt;/dates&gt;&lt;publisher&gt;Springer Science and Business Media LLC&lt;/publisher&gt;&lt;isbn&gt;1748-5908&lt;/isbn&gt;&lt;urls&gt;&lt;related-urls&gt;&lt;url&gt;https://dx.doi.org/10.1186/1748-5908-6-42&lt;/url&gt;&lt;/related-urls&gt;&lt;/urls&gt;&lt;electronic-resource-num&gt;10.1186/1748-5908-6-42&lt;/electronic-resource-num&gt;&lt;/record&gt;&lt;/Cite&gt;&lt;/EndNote&gt;</w:instrText>
      </w:r>
      <w:r w:rsidR="00DD4473">
        <w:rPr>
          <w:lang w:val="en-US"/>
        </w:rPr>
        <w:fldChar w:fldCharType="separate"/>
      </w:r>
      <w:r w:rsidR="00DD4473">
        <w:rPr>
          <w:noProof/>
          <w:lang w:val="en-US"/>
        </w:rPr>
        <w:t>Michie</w:t>
      </w:r>
      <w:r w:rsidR="00DD4473" w:rsidRPr="00DD4473">
        <w:rPr>
          <w:i/>
          <w:noProof/>
          <w:lang w:val="en-US"/>
        </w:rPr>
        <w:t xml:space="preserve"> et al.</w:t>
      </w:r>
      <w:r w:rsidR="00DD4473">
        <w:rPr>
          <w:noProof/>
          <w:lang w:val="en-US"/>
        </w:rPr>
        <w:t xml:space="preserve"> (2011)</w:t>
      </w:r>
      <w:r w:rsidR="00DD4473">
        <w:rPr>
          <w:lang w:val="en-US"/>
        </w:rPr>
        <w:fldChar w:fldCharType="end"/>
      </w:r>
      <w:r w:rsidR="00DD4473">
        <w:rPr>
          <w:lang w:val="en-US"/>
        </w:rPr>
        <w:t xml:space="preserve"> behavioral change wheel</w:t>
      </w:r>
      <w:r w:rsidR="00F9087E">
        <w:rPr>
          <w:lang w:val="en-US"/>
        </w:rPr>
        <w:t>, which will also offer perspectives on implementation.</w:t>
      </w:r>
    </w:p>
    <w:p w14:paraId="61E21CFA" w14:textId="184C5DAD" w:rsidR="00543AC6" w:rsidRDefault="00886044" w:rsidP="002F0F73">
      <w:pPr>
        <w:rPr>
          <w:lang w:val="en-US"/>
        </w:rPr>
      </w:pPr>
      <w:r>
        <w:rPr>
          <w:lang w:val="en-US"/>
        </w:rPr>
        <w:t>When considering whether the system is contributing to outcomes type data then a more quantitative approach might be needed.   For example</w:t>
      </w:r>
      <w:r w:rsidR="00DC0B62">
        <w:rPr>
          <w:lang w:val="en-US"/>
        </w:rPr>
        <w:t xml:space="preserve">, classifying and collating the number of ADRs and errors prior to and after implementation, such as in the studies reviewed.  There are </w:t>
      </w:r>
      <w:r w:rsidR="005C266B">
        <w:rPr>
          <w:lang w:val="en-US"/>
        </w:rPr>
        <w:t>several</w:t>
      </w:r>
      <w:r w:rsidR="00DC0B62">
        <w:rPr>
          <w:lang w:val="en-US"/>
        </w:rPr>
        <w:t xml:space="preserve"> models </w:t>
      </w:r>
      <w:r w:rsidR="00777DF3">
        <w:rPr>
          <w:lang w:val="en-US"/>
        </w:rPr>
        <w:t>that may</w:t>
      </w:r>
      <w:r w:rsidR="002731E3">
        <w:rPr>
          <w:lang w:val="en-US"/>
        </w:rPr>
        <w:t xml:space="preserve"> be</w:t>
      </w:r>
      <w:r w:rsidR="00777DF3">
        <w:rPr>
          <w:lang w:val="en-US"/>
        </w:rPr>
        <w:t xml:space="preserve"> </w:t>
      </w:r>
      <w:r w:rsidR="00665DA0">
        <w:rPr>
          <w:lang w:val="en-US"/>
        </w:rPr>
        <w:t>suitabl</w:t>
      </w:r>
      <w:r w:rsidR="002731E3">
        <w:rPr>
          <w:lang w:val="en-US"/>
        </w:rPr>
        <w:t>e</w:t>
      </w:r>
      <w:r w:rsidR="00777DF3">
        <w:rPr>
          <w:lang w:val="en-US"/>
        </w:rPr>
        <w:t xml:space="preserve"> depending on where and how the implementation takes place.  </w:t>
      </w:r>
      <w:r w:rsidR="00142E21">
        <w:rPr>
          <w:lang w:val="en-US"/>
        </w:rPr>
        <w:t>For example, a</w:t>
      </w:r>
      <w:r w:rsidR="00777DF3">
        <w:rPr>
          <w:lang w:val="en-US"/>
        </w:rPr>
        <w:t xml:space="preserve"> step wedge study, such as that undertaken by</w:t>
      </w:r>
      <w:r w:rsidR="000F11BC">
        <w:rPr>
          <w:lang w:val="en-US"/>
        </w:rPr>
        <w:t xml:space="preserve"> </w:t>
      </w:r>
      <w:r w:rsidR="000F11BC">
        <w:rPr>
          <w:lang w:val="en-US"/>
        </w:rPr>
        <w:fldChar w:fldCharType="begin"/>
      </w:r>
      <w:r w:rsidR="000F11BC">
        <w:rPr>
          <w:lang w:val="en-US"/>
        </w:rPr>
        <w:instrText xml:space="preserve"> ADDIN EN.CITE &lt;EndNote&gt;&lt;Cite AuthorYear="1"&gt;&lt;Author&gt;Franklin&lt;/Author&gt;&lt;Year&gt;2020&lt;/Year&gt;&lt;RecNum&gt;348&lt;/RecNum&gt;&lt;DisplayText&gt;Franklin and Puaar (2020)&lt;/DisplayText&gt;&lt;record&gt;&lt;rec-number&gt;348&lt;/rec-number&gt;&lt;foreign-keys&gt;&lt;key app="EN" db-id="wxra20f03dt20kepwrwvfa0mvpxxeeezfaaz" timestamp="1668088651"&gt;348&lt;/key&gt;&lt;/foreign-keys&gt;&lt;ref-type name="Journal Article"&gt;17&lt;/ref-type&gt;&lt;contributors&gt;&lt;authors&gt;&lt;author&gt;Franklin, Bryony Dean&lt;/author&gt;&lt;author&gt;Puaar, Seetal&lt;/author&gt;&lt;/authors&gt;&lt;/contributors&gt;&lt;titles&gt;&lt;title&gt;What is the impact of introducing inpatient electronic prescribing on prescribing errors? A naturalistic stepped wedge study in an English teaching hospital&lt;/title&gt;&lt;secondary-title&gt;Health Informatics Journal&lt;/secondary-title&gt;&lt;/titles&gt;&lt;periodical&gt;&lt;full-title&gt;Health Informatics Journal&lt;/full-title&gt;&lt;/periodical&gt;&lt;pages&gt;3152-3162&lt;/pages&gt;&lt;volume&gt;26&lt;/volume&gt;&lt;number&gt;4&lt;/number&gt;&lt;dates&gt;&lt;year&gt;2020&lt;/year&gt;&lt;/dates&gt;&lt;publisher&gt;SAGE Publications&lt;/publisher&gt;&lt;isbn&gt;1460-4582&lt;/isbn&gt;&lt;urls&gt;&lt;related-urls&gt;&lt;url&gt;https://dx.doi.org/10.1177/1460458219833112&lt;/url&gt;&lt;/related-urls&gt;&lt;/urls&gt;&lt;electronic-resource-num&gt;10.1177/1460458219833112&lt;/electronic-resource-num&gt;&lt;/record&gt;&lt;/Cite&gt;&lt;/EndNote&gt;</w:instrText>
      </w:r>
      <w:r w:rsidR="000F11BC">
        <w:rPr>
          <w:lang w:val="en-US"/>
        </w:rPr>
        <w:fldChar w:fldCharType="separate"/>
      </w:r>
      <w:r w:rsidR="000F11BC">
        <w:rPr>
          <w:noProof/>
          <w:lang w:val="en-US"/>
        </w:rPr>
        <w:t>Franklin and Puaar (2020)</w:t>
      </w:r>
      <w:r w:rsidR="000F11BC">
        <w:rPr>
          <w:lang w:val="en-US"/>
        </w:rPr>
        <w:fldChar w:fldCharType="end"/>
      </w:r>
      <w:r w:rsidR="000F11BC">
        <w:rPr>
          <w:lang w:val="en-US"/>
        </w:rPr>
        <w:t>, which was more specific to ePMA as a whole</w:t>
      </w:r>
      <w:r w:rsidR="00C47B85">
        <w:rPr>
          <w:lang w:val="en-US"/>
        </w:rPr>
        <w:t xml:space="preserve"> and included </w:t>
      </w:r>
      <w:r w:rsidR="00A82488">
        <w:rPr>
          <w:lang w:val="en-US"/>
        </w:rPr>
        <w:t xml:space="preserve">limited </w:t>
      </w:r>
      <w:r w:rsidR="00C47B85">
        <w:rPr>
          <w:lang w:val="en-US"/>
        </w:rPr>
        <w:t>decision support</w:t>
      </w:r>
      <w:r w:rsidR="00C17AB9">
        <w:rPr>
          <w:lang w:val="en-US"/>
        </w:rPr>
        <w:t xml:space="preserve"> might be a good </w:t>
      </w:r>
      <w:r w:rsidR="00046350">
        <w:rPr>
          <w:lang w:val="en-US"/>
        </w:rPr>
        <w:t xml:space="preserve">model to </w:t>
      </w:r>
      <w:r w:rsidR="00046350">
        <w:rPr>
          <w:lang w:val="en-US"/>
        </w:rPr>
        <w:lastRenderedPageBreak/>
        <w:t>use to collect data when roll out to wards cannot be randomised</w:t>
      </w:r>
      <w:r w:rsidR="00142E21">
        <w:rPr>
          <w:lang w:val="en-US"/>
        </w:rPr>
        <w:t>; o</w:t>
      </w:r>
      <w:r w:rsidR="001E7577">
        <w:rPr>
          <w:lang w:val="en-US"/>
        </w:rPr>
        <w:t xml:space="preserve">r an interruptive </w:t>
      </w:r>
      <w:r w:rsidR="00046350">
        <w:rPr>
          <w:lang w:val="en-US"/>
        </w:rPr>
        <w:t>time</w:t>
      </w:r>
      <w:r w:rsidR="00460524">
        <w:rPr>
          <w:lang w:val="en-US"/>
        </w:rPr>
        <w:t xml:space="preserve"> series</w:t>
      </w:r>
      <w:r w:rsidR="00046350">
        <w:rPr>
          <w:lang w:val="en-US"/>
        </w:rPr>
        <w:t>-based</w:t>
      </w:r>
      <w:r w:rsidR="001E7577">
        <w:rPr>
          <w:lang w:val="en-US"/>
        </w:rPr>
        <w:t xml:space="preserve"> study, which captures changes in information that has been captured before CDS implementation</w:t>
      </w:r>
      <w:r w:rsidR="005922B2">
        <w:rPr>
          <w:lang w:val="en-US"/>
        </w:rPr>
        <w:t xml:space="preserve"> and after</w:t>
      </w:r>
      <w:r w:rsidR="00142E21">
        <w:rPr>
          <w:lang w:val="en-US"/>
        </w:rPr>
        <w:t xml:space="preserve"> may be suitable if</w:t>
      </w:r>
      <w:r w:rsidR="005922B2">
        <w:rPr>
          <w:lang w:val="en-US"/>
        </w:rPr>
        <w:t xml:space="preserve"> there is</w:t>
      </w:r>
      <w:r w:rsidR="00142E21">
        <w:rPr>
          <w:lang w:val="en-US"/>
        </w:rPr>
        <w:t xml:space="preserve"> </w:t>
      </w:r>
      <w:r w:rsidR="005922B2">
        <w:rPr>
          <w:lang w:val="en-US"/>
        </w:rPr>
        <w:t xml:space="preserve">an </w:t>
      </w:r>
      <w:r w:rsidR="00786606">
        <w:rPr>
          <w:lang w:val="en-US"/>
        </w:rPr>
        <w:t>existing data set that may be affected</w:t>
      </w:r>
      <w:r w:rsidR="005922B2">
        <w:rPr>
          <w:lang w:val="en-US"/>
        </w:rPr>
        <w:t xml:space="preserve"> is used</w:t>
      </w:r>
      <w:r w:rsidR="001E7577">
        <w:rPr>
          <w:lang w:val="en-US"/>
        </w:rPr>
        <w:t xml:space="preserve">.   </w:t>
      </w:r>
      <w:r w:rsidR="00780FFE">
        <w:rPr>
          <w:lang w:val="en-US"/>
        </w:rPr>
        <w:t xml:space="preserve">However, </w:t>
      </w:r>
      <w:r w:rsidR="00960A34">
        <w:rPr>
          <w:lang w:val="en-US"/>
        </w:rPr>
        <w:t>if</w:t>
      </w:r>
      <w:r w:rsidR="00E929D9">
        <w:rPr>
          <w:lang w:val="en-US"/>
        </w:rPr>
        <w:t xml:space="preserve"> such historical data is not</w:t>
      </w:r>
      <w:r w:rsidR="00A06FD6">
        <w:rPr>
          <w:lang w:val="en-US"/>
        </w:rPr>
        <w:t xml:space="preserve"> </w:t>
      </w:r>
      <w:r w:rsidR="001C4E97">
        <w:rPr>
          <w:lang w:val="en-US"/>
        </w:rPr>
        <w:t>intentionally</w:t>
      </w:r>
      <w:r w:rsidR="00E929D9">
        <w:rPr>
          <w:lang w:val="en-US"/>
        </w:rPr>
        <w:t xml:space="preserve"> part of a pre-post study</w:t>
      </w:r>
      <w:r w:rsidR="00A06FD6">
        <w:rPr>
          <w:lang w:val="en-US"/>
        </w:rPr>
        <w:t xml:space="preserve"> </w:t>
      </w:r>
      <w:r w:rsidR="00C82E55">
        <w:rPr>
          <w:lang w:val="en-US"/>
        </w:rPr>
        <w:t>design,</w:t>
      </w:r>
      <w:r w:rsidR="00E929D9">
        <w:rPr>
          <w:lang w:val="en-US"/>
        </w:rPr>
        <w:t xml:space="preserve"> then t</w:t>
      </w:r>
      <w:r w:rsidR="001E7577">
        <w:rPr>
          <w:lang w:val="en-US"/>
        </w:rPr>
        <w:t xml:space="preserve">here tends to be limited </w:t>
      </w:r>
      <w:r w:rsidR="00E929D9">
        <w:rPr>
          <w:lang w:val="en-US"/>
        </w:rPr>
        <w:t>and sporadic historical data with regards to this.</w:t>
      </w:r>
      <w:r w:rsidR="00C9718C">
        <w:rPr>
          <w:lang w:val="en-US"/>
        </w:rPr>
        <w:t xml:space="preserve">  Such data might include </w:t>
      </w:r>
      <w:r w:rsidR="000B001D">
        <w:rPr>
          <w:lang w:val="en-US"/>
        </w:rPr>
        <w:t xml:space="preserve">a comparison of </w:t>
      </w:r>
      <w:r w:rsidR="00C9718C">
        <w:rPr>
          <w:lang w:val="en-US"/>
        </w:rPr>
        <w:t xml:space="preserve">medicines related incident reports.  </w:t>
      </w:r>
    </w:p>
    <w:p w14:paraId="56A8D22E" w14:textId="348B52FB" w:rsidR="00543AC6" w:rsidRDefault="00543AC6" w:rsidP="00543AC6">
      <w:pPr>
        <w:pStyle w:val="Heading2"/>
        <w:rPr>
          <w:lang w:val="en-US"/>
        </w:rPr>
      </w:pPr>
      <w:bookmarkStart w:id="17" w:name="_Toc127881401"/>
      <w:r>
        <w:rPr>
          <w:lang w:val="en-US"/>
        </w:rPr>
        <w:t>Summary of Evaluation</w:t>
      </w:r>
      <w:bookmarkEnd w:id="17"/>
    </w:p>
    <w:p w14:paraId="7208A7FD" w14:textId="5CA74284" w:rsidR="00245457" w:rsidRDefault="005C266B" w:rsidP="002F0F73">
      <w:pPr>
        <w:rPr>
          <w:lang w:val="en-US"/>
        </w:rPr>
      </w:pPr>
      <w:r>
        <w:rPr>
          <w:lang w:val="en-US"/>
        </w:rPr>
        <w:t>Therefore,</w:t>
      </w:r>
      <w:r w:rsidR="005163A8">
        <w:rPr>
          <w:lang w:val="en-US"/>
        </w:rPr>
        <w:t xml:space="preserve"> the assessment and evaluation of CDS functionality within ePMA designed at reducing ADRs and medication errors would </w:t>
      </w:r>
      <w:r w:rsidR="00523039">
        <w:rPr>
          <w:lang w:val="en-US"/>
        </w:rPr>
        <w:t>be a multi-faceted evaluation that would undertake:</w:t>
      </w:r>
    </w:p>
    <w:p w14:paraId="7EE3B4AB" w14:textId="17B54028" w:rsidR="00523039" w:rsidRDefault="00475EBF" w:rsidP="00475EBF">
      <w:pPr>
        <w:pStyle w:val="ListParagraph"/>
        <w:numPr>
          <w:ilvl w:val="0"/>
          <w:numId w:val="6"/>
        </w:numPr>
        <w:rPr>
          <w:lang w:val="en-US"/>
        </w:rPr>
      </w:pPr>
      <w:r>
        <w:rPr>
          <w:lang w:val="en-US"/>
        </w:rPr>
        <w:t>Qualitative Evaluation –</w:t>
      </w:r>
    </w:p>
    <w:p w14:paraId="690438DA" w14:textId="58EF5C17" w:rsidR="00475EBF" w:rsidRDefault="00475EBF" w:rsidP="00475EBF">
      <w:pPr>
        <w:pStyle w:val="ListParagraph"/>
        <w:numPr>
          <w:ilvl w:val="1"/>
          <w:numId w:val="6"/>
        </w:numPr>
        <w:rPr>
          <w:lang w:val="en-US"/>
        </w:rPr>
      </w:pPr>
      <w:r>
        <w:rPr>
          <w:lang w:val="en-US"/>
        </w:rPr>
        <w:t>SUS Scoring</w:t>
      </w:r>
      <w:r w:rsidR="005935AF">
        <w:rPr>
          <w:lang w:val="en-US"/>
        </w:rPr>
        <w:t xml:space="preserve"> </w:t>
      </w:r>
      <w:r w:rsidR="008D5117">
        <w:rPr>
          <w:lang w:val="en-US"/>
        </w:rPr>
        <w:fldChar w:fldCharType="begin"/>
      </w:r>
      <w:r w:rsidR="008D5117">
        <w:rPr>
          <w:lang w:val="en-US"/>
        </w:rPr>
        <w:instrText xml:space="preserve"> ADDIN EN.CITE &lt;EndNote&gt;&lt;Cite&gt;&lt;Author&gt;Bloom&lt;/Author&gt;&lt;Year&gt;2021&lt;/Year&gt;&lt;RecNum&gt;219&lt;/RecNum&gt;&lt;DisplayText&gt;(Bloom&lt;style face="italic"&gt; et al.&lt;/style&gt;, 2021)&lt;/DisplayText&gt;&lt;record&gt;&lt;rec-number&gt;219&lt;/rec-number&gt;&lt;foreign-keys&gt;&lt;key app="EN" db-id="wxra20f03dt20kepwrwvfa0mvpxxeeezfaaz" timestamp="1643286326"&gt;219&lt;/key&gt;&lt;/foreign-keys&gt;&lt;ref-type name="Journal Article"&gt;17&lt;/ref-type&gt;&lt;contributors&gt;&lt;authors&gt;&lt;author&gt;Bloom, Benjamin Michael&lt;/author&gt;&lt;author&gt;Pott, Jason&lt;/author&gt;&lt;author&gt;Thomas, Stephen&lt;/author&gt;&lt;author&gt;Gaunt, David Ramon&lt;/author&gt;&lt;author&gt;Hughes, Thomas C.&lt;/author&gt;&lt;/authors&gt;&lt;/contributors&gt;&lt;titles&gt;&lt;title&gt;Usability of electronic health record systems in UK EDs&lt;/title&gt;&lt;secondary-title&gt;Emergency Medicine Journal&lt;/secondary-title&gt;&lt;/titles&gt;&lt;periodical&gt;&lt;full-title&gt;Emergency Medicine Journal&lt;/full-title&gt;&lt;/periodical&gt;&lt;pages&gt;410-415&lt;/pages&gt;&lt;volume&gt;38&lt;/volume&gt;&lt;number&gt;6&lt;/number&gt;&lt;dates&gt;&lt;year&gt;2021&lt;/year&gt;&lt;/dates&gt;&lt;publisher&gt;BMJ&lt;/publisher&gt;&lt;isbn&gt;1472-0205&lt;/isbn&gt;&lt;urls&gt;&lt;related-urls&gt;&lt;url&gt;https://dx.doi.org/10.1136/emermed-2020-210401&lt;/url&gt;&lt;/related-urls&gt;&lt;/urls&gt;&lt;electronic-resource-num&gt;10.1136/emermed-2020-210401&lt;/electronic-resource-num&gt;&lt;/record&gt;&lt;/Cite&gt;&lt;/EndNote&gt;</w:instrText>
      </w:r>
      <w:r w:rsidR="008D5117">
        <w:rPr>
          <w:lang w:val="en-US"/>
        </w:rPr>
        <w:fldChar w:fldCharType="separate"/>
      </w:r>
      <w:r w:rsidR="008D5117">
        <w:rPr>
          <w:noProof/>
          <w:lang w:val="en-US"/>
        </w:rPr>
        <w:t>(Bloom</w:t>
      </w:r>
      <w:r w:rsidR="008D5117" w:rsidRPr="008D5117">
        <w:rPr>
          <w:i/>
          <w:noProof/>
          <w:lang w:val="en-US"/>
        </w:rPr>
        <w:t xml:space="preserve"> et al.</w:t>
      </w:r>
      <w:r w:rsidR="008D5117">
        <w:rPr>
          <w:noProof/>
          <w:lang w:val="en-US"/>
        </w:rPr>
        <w:t>, 2021)</w:t>
      </w:r>
      <w:r w:rsidR="008D5117">
        <w:rPr>
          <w:lang w:val="en-US"/>
        </w:rPr>
        <w:fldChar w:fldCharType="end"/>
      </w:r>
    </w:p>
    <w:p w14:paraId="558AB626" w14:textId="5AAC87BA" w:rsidR="00475EBF" w:rsidRDefault="00475EBF" w:rsidP="00475EBF">
      <w:pPr>
        <w:pStyle w:val="ListParagraph"/>
        <w:numPr>
          <w:ilvl w:val="1"/>
          <w:numId w:val="6"/>
        </w:numPr>
        <w:rPr>
          <w:lang w:val="en-US"/>
        </w:rPr>
      </w:pPr>
      <w:r>
        <w:rPr>
          <w:lang w:val="en-US"/>
        </w:rPr>
        <w:t>FITT-E Evaluation</w:t>
      </w:r>
      <w:r w:rsidR="0020300C">
        <w:rPr>
          <w:lang w:val="en-US"/>
        </w:rPr>
        <w:t xml:space="preserve"> – that allows the SUS to be understood in context.</w:t>
      </w:r>
      <w:r w:rsidR="008D5117">
        <w:rPr>
          <w:lang w:val="en-US"/>
        </w:rPr>
        <w:t xml:space="preserve"> </w:t>
      </w:r>
      <w:r w:rsidR="003C3CE4">
        <w:rPr>
          <w:lang w:val="en-US"/>
        </w:rPr>
        <w:fldChar w:fldCharType="begin"/>
      </w:r>
      <w:r w:rsidR="003C3CE4">
        <w:rPr>
          <w:lang w:val="en-US"/>
        </w:rPr>
        <w:instrText xml:space="preserve"> ADDIN EN.CITE &lt;EndNote&gt;&lt;Cite&gt;&lt;Author&gt;Prgomet&lt;/Author&gt;&lt;Year&gt;2019&lt;/Year&gt;&lt;RecNum&gt;210&lt;/RecNum&gt;&lt;DisplayText&gt;(Prgomet&lt;style face="italic"&gt; et al.&lt;/style&gt;, 2019)&lt;/DisplayText&gt;&lt;record&gt;&lt;rec-number&gt;210&lt;/rec-number&gt;&lt;foreign-keys&gt;&lt;key app="EN" db-id="wxra20f03dt20kepwrwvfa0mvpxxeeezfaaz" timestamp="1641312305"&gt;210&lt;/key&gt;&lt;/foreign-keys&gt;&lt;ref-type name="Book Section"&gt;5&lt;/ref-type&gt;&lt;contributors&gt;&lt;authors&gt;&lt;author&gt;Prgomet, Mirela&lt;/author&gt;&lt;author&gt;Georgiou, Andrew&lt;/author&gt;&lt;author&gt;Callen, Joanne&lt;/author&gt;&lt;author&gt;Westbrook, Johanna&lt;/author&gt;&lt;/authors&gt;&lt;/contributors&gt;&lt;titles&gt;&lt;title&gt;Fit between individuals, tasks, technology, and environment (FITTE) framework: A proposed extension of FITT to evaluate and optimise health information technology use&lt;/title&gt;&lt;secondary-title&gt;MEDINFO 2019: Health and Wellbeing e-Networks for All&lt;/secondary-title&gt;&lt;/titles&gt;&lt;pages&gt;744-748&lt;/pages&gt;&lt;dates&gt;&lt;year&gt;2019&lt;/year&gt;&lt;/dates&gt;&lt;publisher&gt;IOS Press&lt;/publisher&gt;&lt;urls&gt;&lt;/urls&gt;&lt;/record&gt;&lt;/Cite&gt;&lt;/EndNote&gt;</w:instrText>
      </w:r>
      <w:r w:rsidR="003C3CE4">
        <w:rPr>
          <w:lang w:val="en-US"/>
        </w:rPr>
        <w:fldChar w:fldCharType="separate"/>
      </w:r>
      <w:r w:rsidR="003C3CE4">
        <w:rPr>
          <w:noProof/>
          <w:lang w:val="en-US"/>
        </w:rPr>
        <w:t>(Prgomet</w:t>
      </w:r>
      <w:r w:rsidR="003C3CE4" w:rsidRPr="003C3CE4">
        <w:rPr>
          <w:i/>
          <w:noProof/>
          <w:lang w:val="en-US"/>
        </w:rPr>
        <w:t xml:space="preserve"> et al.</w:t>
      </w:r>
      <w:r w:rsidR="003C3CE4">
        <w:rPr>
          <w:noProof/>
          <w:lang w:val="en-US"/>
        </w:rPr>
        <w:t>, 2019)</w:t>
      </w:r>
      <w:r w:rsidR="003C3CE4">
        <w:rPr>
          <w:lang w:val="en-US"/>
        </w:rPr>
        <w:fldChar w:fldCharType="end"/>
      </w:r>
    </w:p>
    <w:p w14:paraId="2963A9E4" w14:textId="74EE2D0B" w:rsidR="0020300C" w:rsidRDefault="0020300C" w:rsidP="00475EBF">
      <w:pPr>
        <w:pStyle w:val="ListParagraph"/>
        <w:numPr>
          <w:ilvl w:val="1"/>
          <w:numId w:val="6"/>
        </w:numPr>
        <w:rPr>
          <w:lang w:val="en-US"/>
        </w:rPr>
      </w:pPr>
      <w:r>
        <w:rPr>
          <w:lang w:val="en-US"/>
        </w:rPr>
        <w:t xml:space="preserve">Observational study </w:t>
      </w:r>
    </w:p>
    <w:p w14:paraId="53736E39" w14:textId="5FBEDF7C" w:rsidR="0020300C" w:rsidRDefault="00B862A8" w:rsidP="00475EBF">
      <w:pPr>
        <w:pStyle w:val="ListParagraph"/>
        <w:numPr>
          <w:ilvl w:val="1"/>
          <w:numId w:val="6"/>
        </w:numPr>
        <w:rPr>
          <w:lang w:val="en-US"/>
        </w:rPr>
      </w:pPr>
      <w:r>
        <w:rPr>
          <w:lang w:val="en-US"/>
        </w:rPr>
        <w:t xml:space="preserve">Questionnaires – orientated around user </w:t>
      </w:r>
      <w:r w:rsidR="00A06FD6">
        <w:rPr>
          <w:lang w:val="en-US"/>
        </w:rPr>
        <w:t>experience.</w:t>
      </w:r>
    </w:p>
    <w:p w14:paraId="54F65B2F" w14:textId="08324EC1" w:rsidR="00B862A8" w:rsidRPr="00475EBF" w:rsidRDefault="00B862A8" w:rsidP="00475EBF">
      <w:pPr>
        <w:pStyle w:val="ListParagraph"/>
        <w:numPr>
          <w:ilvl w:val="1"/>
          <w:numId w:val="6"/>
        </w:numPr>
        <w:rPr>
          <w:lang w:val="en-US"/>
        </w:rPr>
      </w:pPr>
      <w:r>
        <w:rPr>
          <w:lang w:val="en-US"/>
        </w:rPr>
        <w:t>Interviews</w:t>
      </w:r>
      <w:r w:rsidR="00FC40C0">
        <w:rPr>
          <w:lang w:val="en-US"/>
        </w:rPr>
        <w:t xml:space="preserve"> – for direct understanding, perspectives, and sub</w:t>
      </w:r>
      <w:r w:rsidR="005935AF">
        <w:rPr>
          <w:lang w:val="en-US"/>
        </w:rPr>
        <w:t xml:space="preserve">sequent </w:t>
      </w:r>
      <w:r w:rsidR="00FC40C0">
        <w:rPr>
          <w:lang w:val="en-US"/>
        </w:rPr>
        <w:t>thematic analysis.</w:t>
      </w:r>
    </w:p>
    <w:p w14:paraId="40EF1FA8" w14:textId="49FECB47" w:rsidR="00DE6839" w:rsidRDefault="00713C81" w:rsidP="00713C81">
      <w:pPr>
        <w:pStyle w:val="ListParagraph"/>
        <w:numPr>
          <w:ilvl w:val="0"/>
          <w:numId w:val="6"/>
        </w:numPr>
        <w:rPr>
          <w:lang w:val="en-US"/>
        </w:rPr>
      </w:pPr>
      <w:r>
        <w:rPr>
          <w:lang w:val="en-US"/>
        </w:rPr>
        <w:t xml:space="preserve">Quantitative Evaluation – </w:t>
      </w:r>
    </w:p>
    <w:p w14:paraId="0CC8C642" w14:textId="5EE16345" w:rsidR="00713C81" w:rsidRDefault="00713C81" w:rsidP="00713C81">
      <w:pPr>
        <w:pStyle w:val="ListParagraph"/>
        <w:numPr>
          <w:ilvl w:val="1"/>
          <w:numId w:val="6"/>
        </w:numPr>
        <w:rPr>
          <w:lang w:val="en-US"/>
        </w:rPr>
      </w:pPr>
      <w:r>
        <w:rPr>
          <w:lang w:val="en-US"/>
        </w:rPr>
        <w:t xml:space="preserve">Pre-Post – Using </w:t>
      </w:r>
      <w:r w:rsidR="007C3E9D">
        <w:rPr>
          <w:lang w:val="en-US"/>
        </w:rPr>
        <w:t xml:space="preserve">for outcome </w:t>
      </w:r>
      <w:r>
        <w:rPr>
          <w:lang w:val="en-US"/>
        </w:rPr>
        <w:t xml:space="preserve">Indicators </w:t>
      </w:r>
      <w:r w:rsidR="00910EF9">
        <w:rPr>
          <w:lang w:val="en-US"/>
        </w:rPr>
        <w:t>design</w:t>
      </w:r>
      <w:r w:rsidR="007C3E9D">
        <w:rPr>
          <w:lang w:val="en-US"/>
        </w:rPr>
        <w:t>ed</w:t>
      </w:r>
      <w:r w:rsidR="00910EF9">
        <w:rPr>
          <w:lang w:val="en-US"/>
        </w:rPr>
        <w:t xml:space="preserve"> by</w:t>
      </w:r>
      <w:r w:rsidR="007C3E9D">
        <w:rPr>
          <w:lang w:val="en-US"/>
        </w:rPr>
        <w:t xml:space="preserve"> </w:t>
      </w:r>
      <w:r w:rsidR="004331A7">
        <w:rPr>
          <w:lang w:val="en-US"/>
        </w:rPr>
        <w:t>consensus</w:t>
      </w:r>
      <w:r w:rsidR="00910EF9">
        <w:rPr>
          <w:lang w:val="en-US"/>
        </w:rPr>
        <w:t xml:space="preserve"> </w:t>
      </w:r>
      <w:r w:rsidR="00FC73CF">
        <w:rPr>
          <w:lang w:val="en-US"/>
        </w:rPr>
        <w:fldChar w:fldCharType="begin"/>
      </w:r>
      <w:r w:rsidR="004331A7">
        <w:rPr>
          <w:lang w:val="en-US"/>
        </w:rPr>
        <w:instrText xml:space="preserve"> ADDIN EN.CITE &lt;EndNote&gt;&lt;Cite&gt;&lt;Author&gt;Thomas&lt;/Author&gt;&lt;Year&gt;2013&lt;/Year&gt;&lt;RecNum&gt;504&lt;/RecNum&gt;&lt;DisplayText&gt;(Thomas&lt;style face="italic"&gt; et al.&lt;/style&gt;, 2013)&lt;/DisplayText&gt;&lt;record&gt;&lt;rec-number&gt;504&lt;/rec-number&gt;&lt;foreign-keys&gt;&lt;key app="EN" db-id="wxra20f03dt20kepwrwvfa0mvpxxeeezfaaz" timestamp="1673539336"&gt;504&lt;/key&gt;&lt;/foreign-keys&gt;&lt;ref-type name="Journal Article"&gt;17&lt;/ref-type&gt;&lt;contributors&gt;&lt;authors&gt;&lt;author&gt;Thomas, Sarah K.&lt;/author&gt;&lt;author&gt;McDowell, Sarah E.&lt;/author&gt;&lt;author&gt;Hodson, James&lt;/author&gt;&lt;author&gt;Nwulu, Ugochi&lt;/author&gt;&lt;author&gt;Howard, Rachel L.&lt;/author&gt;&lt;author&gt;Avery, Anthony J.&lt;/author&gt;&lt;author&gt;Slee, Ann&lt;/author&gt;&lt;author&gt;Coleman, Jamie J.&lt;/author&gt;&lt;/authors&gt;&lt;/contributors&gt;&lt;titles&gt;&lt;title&gt;Developing consensus on hospital prescribing indicators of potential harms amenable to decision support&lt;/title&gt;&lt;secondary-title&gt;British Journal of Clinical Pharmacology&lt;/secondary-title&gt;&lt;/titles&gt;&lt;periodical&gt;&lt;full-title&gt;British Journal of Clinical Pharmacology&lt;/full-title&gt;&lt;/periodical&gt;&lt;pages&gt;797-809&lt;/pages&gt;&lt;volume&gt;76&lt;/volume&gt;&lt;number&gt;5&lt;/number&gt;&lt;dates&gt;&lt;year&gt;2013&lt;/year&gt;&lt;/dates&gt;&lt;publisher&gt;Wiley&lt;/publisher&gt;&lt;isbn&gt;0306-5251&lt;/isbn&gt;&lt;urls&gt;&lt;related-urls&gt;&lt;url&gt;https://dx.doi.org/10.1111/bcp.12087&lt;/url&gt;&lt;/related-urls&gt;&lt;/urls&gt;&lt;electronic-resource-num&gt;10.1111/bcp.12087&lt;/electronic-resource-num&gt;&lt;/record&gt;&lt;/Cite&gt;&lt;/EndNote&gt;</w:instrText>
      </w:r>
      <w:r w:rsidR="00FC73CF">
        <w:rPr>
          <w:lang w:val="en-US"/>
        </w:rPr>
        <w:fldChar w:fldCharType="separate"/>
      </w:r>
      <w:r w:rsidR="004331A7">
        <w:rPr>
          <w:noProof/>
          <w:lang w:val="en-US"/>
        </w:rPr>
        <w:t>(Thomas</w:t>
      </w:r>
      <w:r w:rsidR="004331A7" w:rsidRPr="004331A7">
        <w:rPr>
          <w:i/>
          <w:noProof/>
          <w:lang w:val="en-US"/>
        </w:rPr>
        <w:t xml:space="preserve"> et al.</w:t>
      </w:r>
      <w:r w:rsidR="004331A7">
        <w:rPr>
          <w:noProof/>
          <w:lang w:val="en-US"/>
        </w:rPr>
        <w:t>, 2013)</w:t>
      </w:r>
      <w:r w:rsidR="00FC73CF">
        <w:rPr>
          <w:lang w:val="en-US"/>
        </w:rPr>
        <w:fldChar w:fldCharType="end"/>
      </w:r>
      <w:r w:rsidR="00910EF9">
        <w:rPr>
          <w:lang w:val="en-US"/>
        </w:rPr>
        <w:t xml:space="preserve">,  </w:t>
      </w:r>
      <w:r w:rsidR="00FC73CF">
        <w:rPr>
          <w:lang w:val="en-US"/>
        </w:rPr>
        <w:t xml:space="preserve">and </w:t>
      </w:r>
      <w:r w:rsidR="00910EF9">
        <w:rPr>
          <w:lang w:val="en-US"/>
        </w:rPr>
        <w:t xml:space="preserve">validated by </w:t>
      </w:r>
      <w:r w:rsidR="007C3E9D">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7C3E9D">
        <w:rPr>
          <w:lang w:val="en-US"/>
        </w:rPr>
        <w:instrText xml:space="preserve"> ADDIN EN.CITE </w:instrText>
      </w:r>
      <w:r w:rsidR="007C3E9D">
        <w:rPr>
          <w:lang w:val="en-US"/>
        </w:rPr>
        <w:fldChar w:fldCharType="begin">
          <w:fldData xml:space="preserve">PEVuZE5vdGU+PENpdGUgQXV0aG9yWWVhcj0iMSI+PEF1dGhvcj5Qb250ZWZyYWN0PC9BdXRob3I+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</w:fldData>
        </w:fldChar>
      </w:r>
      <w:r w:rsidR="007C3E9D">
        <w:rPr>
          <w:lang w:val="en-US"/>
        </w:rPr>
        <w:instrText xml:space="preserve"> ADDIN EN.CITE.DATA </w:instrText>
      </w:r>
      <w:r w:rsidR="007C3E9D">
        <w:rPr>
          <w:lang w:val="en-US"/>
        </w:rPr>
      </w:r>
      <w:r w:rsidR="007C3E9D">
        <w:rPr>
          <w:lang w:val="en-US"/>
        </w:rPr>
        <w:fldChar w:fldCharType="end"/>
      </w:r>
      <w:r w:rsidR="007C3E9D">
        <w:rPr>
          <w:lang w:val="en-US"/>
        </w:rPr>
      </w:r>
      <w:r w:rsidR="007C3E9D">
        <w:rPr>
          <w:lang w:val="en-US"/>
        </w:rPr>
        <w:fldChar w:fldCharType="separate"/>
      </w:r>
      <w:r w:rsidR="007C3E9D">
        <w:rPr>
          <w:noProof/>
          <w:lang w:val="en-US"/>
        </w:rPr>
        <w:t>Pontefract</w:t>
      </w:r>
      <w:r w:rsidR="007C3E9D" w:rsidRPr="007C3E9D">
        <w:rPr>
          <w:i/>
          <w:noProof/>
          <w:lang w:val="en-US"/>
        </w:rPr>
        <w:t xml:space="preserve"> et al.</w:t>
      </w:r>
      <w:r w:rsidR="007C3E9D">
        <w:rPr>
          <w:noProof/>
          <w:lang w:val="en-US"/>
        </w:rPr>
        <w:t xml:space="preserve"> (2018)</w:t>
      </w:r>
      <w:r w:rsidR="007C3E9D">
        <w:rPr>
          <w:lang w:val="en-US"/>
        </w:rPr>
        <w:fldChar w:fldCharType="end"/>
      </w:r>
      <w:r w:rsidR="007C3E9D">
        <w:rPr>
          <w:lang w:val="en-US"/>
        </w:rPr>
        <w:t>.</w:t>
      </w:r>
    </w:p>
    <w:p w14:paraId="22361427" w14:textId="68973C9C" w:rsidR="004331A7" w:rsidRPr="00713C81" w:rsidRDefault="004331A7" w:rsidP="00713C81">
      <w:pPr>
        <w:pStyle w:val="ListParagraph"/>
        <w:numPr>
          <w:ilvl w:val="1"/>
          <w:numId w:val="6"/>
        </w:numPr>
        <w:rPr>
          <w:lang w:val="en-US"/>
        </w:rPr>
      </w:pPr>
      <w:r>
        <w:rPr>
          <w:lang w:val="en-US"/>
        </w:rPr>
        <w:t xml:space="preserve">Stepped Wedge </w:t>
      </w:r>
      <w:r w:rsidR="00960A34">
        <w:rPr>
          <w:lang w:val="en-US"/>
        </w:rPr>
        <w:t xml:space="preserve">Design – Similar to </w:t>
      </w:r>
      <w:r w:rsidR="00F15DB1">
        <w:rPr>
          <w:lang w:val="en-US"/>
        </w:rPr>
        <w:fldChar w:fldCharType="begin"/>
      </w:r>
      <w:r w:rsidR="00F15DB1">
        <w:rPr>
          <w:lang w:val="en-US"/>
        </w:rPr>
        <w:instrText xml:space="preserve"> ADDIN EN.CITE &lt;EndNote&gt;&lt;Cite&gt;&lt;Author&gt;Franklin&lt;/Author&gt;&lt;Year&gt;2020&lt;/Year&gt;&lt;RecNum&gt;348&lt;/RecNum&gt;&lt;DisplayText&gt;(Franklin and Puaar, 2020)&lt;/DisplayText&gt;&lt;record&gt;&lt;rec-number&gt;348&lt;/rec-number&gt;&lt;foreign-keys&gt;&lt;key app="EN" db-id="wxra20f03dt20kepwrwvfa0mvpxxeeezfaaz" timestamp="1668088651"&gt;348&lt;/key&gt;&lt;/foreign-keys&gt;&lt;ref-type name="Journal Article"&gt;17&lt;/ref-type&gt;&lt;contributors&gt;&lt;authors&gt;&lt;author&gt;Franklin, Bryony Dean&lt;/author&gt;&lt;author&gt;Puaar, Seetal&lt;/author&gt;&lt;/authors&gt;&lt;/contributors&gt;&lt;titles&gt;&lt;title&gt;What is the impact of introducing inpatient electronic prescribing on prescribing errors? A naturalistic stepped wedge study in an English teaching hospital&lt;/title&gt;&lt;secondary-title&gt;Health Informatics Journal&lt;/secondary-title&gt;&lt;/titles&gt;&lt;periodical&gt;&lt;full-title&gt;Health Informatics Journal&lt;/full-title&gt;&lt;/periodical&gt;&lt;pages&gt;3152-3162&lt;/pages&gt;&lt;volume&gt;26&lt;/volume&gt;&lt;number&gt;4&lt;/number&gt;&lt;dates&gt;&lt;year&gt;2020&lt;/year&gt;&lt;/dates&gt;&lt;publisher&gt;SAGE Publications&lt;/publisher&gt;&lt;isbn&gt;1460-4582&lt;/isbn&gt;&lt;urls&gt;&lt;related-urls&gt;&lt;url&gt;https://dx.doi.org/10.1177/1460458219833112&lt;/url&gt;&lt;/related-urls&gt;&lt;/urls&gt;&lt;electronic-resource-num&gt;10.1177/1460458219833112&lt;/electronic-resource-num&gt;&lt;/record&gt;&lt;/Cite&gt;&lt;/EndNote&gt;</w:instrText>
      </w:r>
      <w:r w:rsidR="00F15DB1">
        <w:rPr>
          <w:lang w:val="en-US"/>
        </w:rPr>
        <w:fldChar w:fldCharType="separate"/>
      </w:r>
      <w:r w:rsidR="00F15DB1">
        <w:rPr>
          <w:noProof/>
          <w:lang w:val="en-US"/>
        </w:rPr>
        <w:t>(Franklin and Puaar, 2020)</w:t>
      </w:r>
      <w:r w:rsidR="00F15DB1">
        <w:rPr>
          <w:lang w:val="en-US"/>
        </w:rPr>
        <w:fldChar w:fldCharType="end"/>
      </w:r>
      <w:r w:rsidR="00F15DB1">
        <w:rPr>
          <w:lang w:val="en-US"/>
        </w:rPr>
        <w:t xml:space="preserve"> </w:t>
      </w:r>
      <w:r w:rsidR="00057930">
        <w:rPr>
          <w:lang w:val="en-US"/>
        </w:rPr>
        <w:t xml:space="preserve">however </w:t>
      </w:r>
      <w:r w:rsidR="00960A34">
        <w:rPr>
          <w:lang w:val="en-US"/>
        </w:rPr>
        <w:t>using same indicators</w:t>
      </w:r>
      <w:r w:rsidR="00057930">
        <w:rPr>
          <w:lang w:val="en-US"/>
        </w:rPr>
        <w:t xml:space="preserve"> validated by </w:t>
      </w:r>
      <w:r w:rsidR="00E4048C">
        <w:rPr>
          <w:lang w:val="en-US"/>
        </w:rPr>
        <w:fldChar w:fldCharType="begin">
          <w:fldData xml:space="preserve">PEVuZE5vdGU+PENpdGU+PEF1dGhvcj5Qb250ZWZyYWN0PC9BdXRob3I+PFllYXI+MjAxODwvWWVh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</w:fldData>
        </w:fldChar>
      </w:r>
      <w:r w:rsidR="00E4048C">
        <w:rPr>
          <w:lang w:val="en-US"/>
        </w:rPr>
        <w:instrText xml:space="preserve"> ADDIN EN.CITE </w:instrText>
      </w:r>
      <w:r w:rsidR="00E4048C">
        <w:rPr>
          <w:lang w:val="en-US"/>
        </w:rPr>
        <w:fldChar w:fldCharType="begin">
          <w:fldData xml:space="preserve">PEVuZE5vdGU+PENpdGU+PEF1dGhvcj5Qb250ZWZyYWN0PC9BdXRob3I+PFllYXI+MjAxODwvWWVh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</w:fldData>
        </w:fldChar>
      </w:r>
      <w:r w:rsidR="00E4048C">
        <w:rPr>
          <w:lang w:val="en-US"/>
        </w:rPr>
        <w:instrText xml:space="preserve"> ADDIN EN.CITE.DATA </w:instrText>
      </w:r>
      <w:r w:rsidR="00E4048C">
        <w:rPr>
          <w:lang w:val="en-US"/>
        </w:rPr>
      </w:r>
      <w:r w:rsidR="00E4048C">
        <w:rPr>
          <w:lang w:val="en-US"/>
        </w:rPr>
        <w:fldChar w:fldCharType="end"/>
      </w:r>
      <w:r w:rsidR="00E4048C">
        <w:rPr>
          <w:lang w:val="en-US"/>
        </w:rPr>
      </w:r>
      <w:r w:rsidR="00E4048C">
        <w:rPr>
          <w:lang w:val="en-US"/>
        </w:rPr>
        <w:fldChar w:fldCharType="separate"/>
      </w:r>
      <w:r w:rsidR="00E4048C">
        <w:rPr>
          <w:noProof/>
          <w:lang w:val="en-US"/>
        </w:rPr>
        <w:t>(Pontefract</w:t>
      </w:r>
      <w:r w:rsidR="00E4048C" w:rsidRPr="00E4048C">
        <w:rPr>
          <w:i/>
          <w:noProof/>
          <w:lang w:val="en-US"/>
        </w:rPr>
        <w:t xml:space="preserve"> et al.</w:t>
      </w:r>
      <w:r w:rsidR="00E4048C">
        <w:rPr>
          <w:noProof/>
          <w:lang w:val="en-US"/>
        </w:rPr>
        <w:t>, 2018)</w:t>
      </w:r>
      <w:r w:rsidR="00E4048C">
        <w:rPr>
          <w:lang w:val="en-US"/>
        </w:rPr>
        <w:fldChar w:fldCharType="end"/>
      </w:r>
      <w:r w:rsidR="00960A34">
        <w:rPr>
          <w:lang w:val="en-US"/>
        </w:rPr>
        <w:t>.</w:t>
      </w:r>
    </w:p>
    <w:p w14:paraId="12079385" w14:textId="77777777" w:rsidR="000B27D9" w:rsidRDefault="000B27D9" w:rsidP="000B27D9">
      <w:pPr>
        <w:rPr>
          <w:lang w:val="en-US"/>
        </w:rPr>
      </w:pPr>
    </w:p>
    <w:p w14:paraId="3B9B9774" w14:textId="48AE66D5" w:rsidR="000B27D9" w:rsidRPr="000B27D9" w:rsidRDefault="000B27D9" w:rsidP="000B27D9">
      <w:pPr>
        <w:rPr>
          <w:lang w:val="en-US"/>
        </w:rPr>
      </w:pPr>
    </w:p>
    <w:p w14:paraId="62681D99" w14:textId="08948897" w:rsidR="009309CE" w:rsidRPr="0067693E" w:rsidRDefault="009309CE" w:rsidP="0067693E">
      <w:pPr>
        <w:pStyle w:val="Heading1"/>
        <w:rPr>
          <w:lang w:val="en-US"/>
        </w:rPr>
      </w:pPr>
      <w:r>
        <w:br w:type="page"/>
      </w:r>
    </w:p>
    <w:p w14:paraId="0C0F4D69" w14:textId="77777777" w:rsidR="0016562C" w:rsidRDefault="0016562C" w:rsidP="009309CE">
      <w:pPr>
        <w:pStyle w:val="Caption"/>
        <w:rPr>
          <w:rFonts w:asciiTheme="majorHAnsi" w:eastAsiaTheme="majorEastAsia" w:hAnsiTheme="majorHAnsi" w:cstheme="majorBidi"/>
          <w:color w:val="2F5496" w:themeColor="accent1" w:themeShade="BF"/>
          <w:sz w:val="32"/>
          <w:szCs w:val="32"/>
        </w:rPr>
      </w:pPr>
    </w:p>
    <w:p w14:paraId="075A1737" w14:textId="57C726A6" w:rsidR="009C1644" w:rsidRDefault="003E1B3A" w:rsidP="003E1B3A">
      <w:pPr>
        <w:pStyle w:val="Heading1"/>
      </w:pPr>
      <w:bookmarkStart w:id="18" w:name="_Toc127881402"/>
      <w:r>
        <w:t>References</w:t>
      </w:r>
      <w:bookmarkEnd w:id="18"/>
    </w:p>
    <w:p w14:paraId="7EEF1968" w14:textId="77777777" w:rsidR="009C1644" w:rsidRDefault="009C1644" w:rsidP="00D27F57">
      <w:pPr>
        <w:pStyle w:val="NoSpacing"/>
      </w:pPr>
    </w:p>
    <w:p w14:paraId="06ACE95E" w14:textId="77777777" w:rsidR="00F0145C" w:rsidRPr="00F0145C" w:rsidRDefault="009C1644" w:rsidP="00F0145C">
      <w:pPr>
        <w:pStyle w:val="EndNoteBibliography"/>
        <w:spacing w:after="0"/>
        <w:ind w:left="720" w:hanging="720"/>
      </w:pPr>
      <w:r>
        <w:fldChar w:fldCharType="begin"/>
      </w:r>
      <w:r>
        <w:instrText xml:space="preserve"> ADDIN EN.REFLIST </w:instrText>
      </w:r>
      <w:r>
        <w:fldChar w:fldCharType="separate"/>
      </w:r>
      <w:r w:rsidR="00F0145C" w:rsidRPr="00F0145C">
        <w:t>Bates, D. W., Cullen, D. J., Laird, N., Petersen, L. A., Small, S. D., Servi, D., Laffel, G., Sweitzer, B. J., Shea, B. F., Hallisey, R. and et al. (1995) '</w:t>
      </w:r>
      <w:r w:rsidR="00F0145C" w:rsidRPr="00F0145C">
        <w:rPr>
          <w:i/>
        </w:rPr>
        <w:t>Incidence of adverse drug events and potential adverse drug events. Implications for prevention. ADE Prevention Study Group</w:t>
      </w:r>
      <w:r w:rsidR="00F0145C" w:rsidRPr="00F0145C">
        <w:t xml:space="preserve">', </w:t>
      </w:r>
      <w:r w:rsidR="00F0145C" w:rsidRPr="00F0145C">
        <w:rPr>
          <w:i/>
        </w:rPr>
        <w:t>Jama,</w:t>
      </w:r>
      <w:r w:rsidR="00F0145C" w:rsidRPr="00F0145C">
        <w:t xml:space="preserve"> Vol. 274 No. 1, pp. 29-34</w:t>
      </w:r>
    </w:p>
    <w:p w14:paraId="37C4C3E2" w14:textId="7F0932AC" w:rsidR="00F0145C" w:rsidRPr="00F0145C" w:rsidRDefault="00F0145C" w:rsidP="00F0145C">
      <w:pPr>
        <w:pStyle w:val="EndNoteBibliography"/>
        <w:spacing w:after="0"/>
        <w:ind w:left="720" w:hanging="720"/>
      </w:pPr>
      <w:r w:rsidRPr="00F0145C">
        <w:t>Bell, H., Garfield, S., Khosla, S., Patel, C. and Franklin, B. D. (2019) '</w:t>
      </w:r>
      <w:r w:rsidRPr="00F0145C">
        <w:rPr>
          <w:i/>
        </w:rPr>
        <w:t>Mixed methods study of medication-related decision support alerts experienced during electronic prescribing for inpatients at an English hospital</w:t>
      </w:r>
      <w:r w:rsidRPr="00F0145C">
        <w:t xml:space="preserve">', </w:t>
      </w:r>
      <w:r w:rsidRPr="00F0145C">
        <w:rPr>
          <w:i/>
        </w:rPr>
        <w:t>European Journal of Hospital Pharmacy,</w:t>
      </w:r>
      <w:r w:rsidRPr="00F0145C">
        <w:t xml:space="preserve"> Vol. 26 No. 6, pp. 318-322.10.1136/ejhpharm-2017-001483,Available at:</w:t>
      </w:r>
      <w:hyperlink r:id="rId12" w:history="1">
        <w:r w:rsidRPr="00F0145C">
          <w:rPr>
            <w:rStyle w:val="Hyperlink"/>
          </w:rPr>
          <w:t>https://dx.doi.org/10.1136/ejhpharm-2017-001483</w:t>
        </w:r>
      </w:hyperlink>
      <w:r w:rsidRPr="00F0145C">
        <w:t xml:space="preserve"> </w:t>
      </w:r>
      <w:r w:rsidR="00280F82">
        <w:t xml:space="preserve">(Accessed: </w:t>
      </w:r>
      <w:r w:rsidR="009D1729">
        <w:t>04.02.2023)</w:t>
      </w:r>
    </w:p>
    <w:p w14:paraId="05A95102" w14:textId="7D06857D" w:rsidR="00F0145C" w:rsidRPr="00F0145C" w:rsidRDefault="00F0145C" w:rsidP="00F0145C">
      <w:pPr>
        <w:pStyle w:val="EndNoteBibliography"/>
        <w:spacing w:after="0"/>
        <w:ind w:left="720" w:hanging="720"/>
      </w:pPr>
      <w:r w:rsidRPr="00F0145C">
        <w:t>Bloom, B. M., Pott, J., Thomas, S., Gaunt, D. R. and Hughes, T. C. (2021) '</w:t>
      </w:r>
      <w:r w:rsidRPr="00F0145C">
        <w:rPr>
          <w:i/>
        </w:rPr>
        <w:t>Usability of electronic health record systems in UK EDs</w:t>
      </w:r>
      <w:r w:rsidRPr="00F0145C">
        <w:t xml:space="preserve">', </w:t>
      </w:r>
      <w:r w:rsidRPr="00F0145C">
        <w:rPr>
          <w:i/>
        </w:rPr>
        <w:t>Emergency Medicine Journal,</w:t>
      </w:r>
      <w:r w:rsidRPr="00F0145C">
        <w:t xml:space="preserve"> Vol. 38 No. 6, pp. 410-415.10.1136/emermed-2020-210401,Available at:</w:t>
      </w:r>
      <w:hyperlink r:id="rId13" w:history="1">
        <w:r w:rsidRPr="00F0145C">
          <w:rPr>
            <w:rStyle w:val="Hyperlink"/>
          </w:rPr>
          <w:t>https://dx.doi.org/10.1136/emermed-2020-210401</w:t>
        </w:r>
      </w:hyperlink>
      <w:r w:rsidRPr="00F0145C">
        <w:t xml:space="preserve"> </w:t>
      </w:r>
      <w:r w:rsidR="009D1729">
        <w:t>(Accessed: 04.02.2023)</w:t>
      </w:r>
    </w:p>
    <w:p w14:paraId="08FC0717" w14:textId="77777777" w:rsidR="00F0145C" w:rsidRPr="00F0145C" w:rsidRDefault="00F0145C" w:rsidP="00F0145C">
      <w:pPr>
        <w:pStyle w:val="EndNoteBibliography"/>
        <w:spacing w:after="0"/>
        <w:ind w:left="720" w:hanging="720"/>
      </w:pPr>
      <w:r w:rsidRPr="00F0145C">
        <w:t>Bobb, A., Gleason, K., Husch, M., Feinglass, J., Yarnold, P. R. and Noskin, G. A. (2004) '</w:t>
      </w:r>
      <w:r w:rsidRPr="00F0145C">
        <w:rPr>
          <w:i/>
        </w:rPr>
        <w:t>The epidemiology of prescribing errors: the potential impact of computerized prescriber order entry</w:t>
      </w:r>
      <w:r w:rsidRPr="00F0145C">
        <w:t xml:space="preserve">', </w:t>
      </w:r>
      <w:r w:rsidRPr="00F0145C">
        <w:rPr>
          <w:i/>
        </w:rPr>
        <w:t>Archives of internal medicine,</w:t>
      </w:r>
      <w:r w:rsidRPr="00F0145C">
        <w:t xml:space="preserve"> Vol. 164 No. 7, pp. 785-792</w:t>
      </w:r>
    </w:p>
    <w:p w14:paraId="1684B1F0" w14:textId="7E3C0CC2" w:rsidR="00F0145C" w:rsidRPr="00F0145C" w:rsidRDefault="00F0145C" w:rsidP="00F0145C">
      <w:pPr>
        <w:pStyle w:val="EndNoteBibliography"/>
        <w:spacing w:after="0"/>
        <w:ind w:left="720" w:hanging="720"/>
      </w:pPr>
      <w:r w:rsidRPr="00F0145C">
        <w:t>Brown, C. A. and Lilford, R. J. (2006) '</w:t>
      </w:r>
      <w:r w:rsidRPr="00F0145C">
        <w:rPr>
          <w:i/>
        </w:rPr>
        <w:t>The stepped wedge trial design: a systematic review</w:t>
      </w:r>
      <w:r w:rsidRPr="00F0145C">
        <w:t xml:space="preserve">', </w:t>
      </w:r>
      <w:r w:rsidRPr="00F0145C">
        <w:rPr>
          <w:i/>
        </w:rPr>
        <w:t>BMC Medical Research Methodology,</w:t>
      </w:r>
      <w:r w:rsidRPr="00F0145C">
        <w:t xml:space="preserve"> Vol. 6 No. 1.10.1186/1471-2288-6-54,Available at:</w:t>
      </w:r>
      <w:hyperlink r:id="rId14" w:history="1">
        <w:r w:rsidRPr="00F0145C">
          <w:rPr>
            <w:rStyle w:val="Hyperlink"/>
          </w:rPr>
          <w:t>https://dx.doi.org/10.1186/1471-2288-6-54</w:t>
        </w:r>
      </w:hyperlink>
      <w:r w:rsidRPr="00F0145C">
        <w:t xml:space="preserve"> </w:t>
      </w:r>
      <w:r w:rsidR="009D1729">
        <w:t>(Accessed: 04.02.2023)</w:t>
      </w:r>
    </w:p>
    <w:p w14:paraId="5C9E3675" w14:textId="77777777" w:rsidR="00F0145C" w:rsidRPr="00F0145C" w:rsidRDefault="00F0145C" w:rsidP="00F0145C">
      <w:pPr>
        <w:pStyle w:val="EndNoteBibliography"/>
        <w:spacing w:after="0"/>
        <w:ind w:left="720" w:hanging="720"/>
      </w:pPr>
      <w:r w:rsidRPr="00F0145C">
        <w:t>Chaudhry, B., Wang, J., Wu, S., Maglione, M., Mojica, W., Roth, E., Morton, S. C. and Shekelle, P. G. (2006) '</w:t>
      </w:r>
      <w:r w:rsidRPr="00F0145C">
        <w:rPr>
          <w:i/>
        </w:rPr>
        <w:t>Systematic review: impact of health information technology on quality, efficiency, and costs of medical care</w:t>
      </w:r>
      <w:r w:rsidRPr="00F0145C">
        <w:t xml:space="preserve">', </w:t>
      </w:r>
      <w:r w:rsidRPr="00F0145C">
        <w:rPr>
          <w:i/>
        </w:rPr>
        <w:t>Annals of internal medicine,</w:t>
      </w:r>
      <w:r w:rsidRPr="00F0145C">
        <w:t xml:space="preserve"> Vol. 144 No. 10, pp. 742-752</w:t>
      </w:r>
    </w:p>
    <w:p w14:paraId="1BBC3E4A" w14:textId="60C27486" w:rsidR="00F0145C" w:rsidRPr="00F0145C" w:rsidRDefault="00F0145C" w:rsidP="00F0145C">
      <w:pPr>
        <w:pStyle w:val="EndNoteBibliography"/>
        <w:spacing w:after="0"/>
        <w:ind w:left="720" w:hanging="720"/>
      </w:pPr>
      <w:r w:rsidRPr="00F0145C">
        <w:t>Cho, I., Lee, J.-H., Choi, J., Hwang, H. and Bates, D. W. (2016) '</w:t>
      </w:r>
      <w:r w:rsidRPr="00F0145C">
        <w:rPr>
          <w:i/>
        </w:rPr>
        <w:t>National Rules for Drug–Drug Interactions: Are They Appropriate for Tertiary Hospitals?</w:t>
      </w:r>
      <w:r w:rsidRPr="00F0145C">
        <w:t xml:space="preserve">', </w:t>
      </w:r>
      <w:r w:rsidRPr="00F0145C">
        <w:rPr>
          <w:i/>
        </w:rPr>
        <w:t>Journal of Korean Medical Science,</w:t>
      </w:r>
      <w:r w:rsidRPr="00F0145C">
        <w:t xml:space="preserve"> Vol. 31 No. 12, p. 1887.10.3346/jkms.2016.31.12.1887,Available at:</w:t>
      </w:r>
      <w:hyperlink r:id="rId15" w:history="1">
        <w:r w:rsidRPr="00F0145C">
          <w:rPr>
            <w:rStyle w:val="Hyperlink"/>
          </w:rPr>
          <w:t>https://dx.doi.org/10.3346/jkms.2016.31.12.1887</w:t>
        </w:r>
      </w:hyperlink>
      <w:r w:rsidRPr="00F0145C">
        <w:t xml:space="preserve"> </w:t>
      </w:r>
      <w:r w:rsidR="009D1729">
        <w:t>(Accessed: 04.02.2023)</w:t>
      </w:r>
    </w:p>
    <w:p w14:paraId="05BFF1A3" w14:textId="77777777" w:rsidR="00F0145C" w:rsidRPr="00F0145C" w:rsidRDefault="00F0145C" w:rsidP="00F0145C">
      <w:pPr>
        <w:pStyle w:val="EndNoteBibliography"/>
        <w:spacing w:after="0"/>
        <w:ind w:left="720" w:hanging="720"/>
      </w:pPr>
      <w:r w:rsidRPr="00F0145C">
        <w:t>Coleman, J. J., Nwulu, U. and Ferner, R. E. (2012) '</w:t>
      </w:r>
      <w:r w:rsidRPr="00F0145C">
        <w:rPr>
          <w:i/>
        </w:rPr>
        <w:t>Decision support for sensible dosing in electronic prescribing systems</w:t>
      </w:r>
      <w:r w:rsidRPr="00F0145C">
        <w:t xml:space="preserve">', </w:t>
      </w:r>
      <w:r w:rsidRPr="00F0145C">
        <w:rPr>
          <w:i/>
        </w:rPr>
        <w:t>J Clin Pharm Ther,</w:t>
      </w:r>
      <w:r w:rsidRPr="00F0145C">
        <w:t xml:space="preserve"> Vol. 37 No. 4, pp. 415-9.10.1111/j.1365-2710.2011.01310.x,Available </w:t>
      </w:r>
    </w:p>
    <w:p w14:paraId="016B25A1" w14:textId="1EFD10DF" w:rsidR="00F0145C" w:rsidRPr="00F0145C" w:rsidRDefault="00F0145C" w:rsidP="00F0145C">
      <w:pPr>
        <w:pStyle w:val="EndNoteBibliography"/>
        <w:spacing w:after="0"/>
        <w:ind w:left="720" w:hanging="720"/>
      </w:pPr>
      <w:r w:rsidRPr="00F0145C">
        <w:t>Cresswell, K. M., Bates, D. W. and Sheikh, A. (2013) '</w:t>
      </w:r>
      <w:r w:rsidRPr="00F0145C">
        <w:rPr>
          <w:i/>
        </w:rPr>
        <w:t>Ten key considerations for the successful implementation and adoption of large-scale health information technology</w:t>
      </w:r>
      <w:r w:rsidRPr="00F0145C">
        <w:t xml:space="preserve">', </w:t>
      </w:r>
      <w:r w:rsidRPr="00F0145C">
        <w:rPr>
          <w:i/>
        </w:rPr>
        <w:t>Journal of the American Medical Informatics Association,</w:t>
      </w:r>
      <w:r w:rsidRPr="00F0145C">
        <w:t xml:space="preserve"> Vol. 20 No. e1, pp. e9-e13.10.1136/amiajnl-2013-001684,Available at:</w:t>
      </w:r>
      <w:hyperlink r:id="rId16" w:history="1">
        <w:r w:rsidRPr="00F0145C">
          <w:rPr>
            <w:rStyle w:val="Hyperlink"/>
          </w:rPr>
          <w:t>https://dx.doi.org/10.1136/amiajnl-2013-001684</w:t>
        </w:r>
      </w:hyperlink>
      <w:r w:rsidRPr="00F0145C">
        <w:t xml:space="preserve"> </w:t>
      </w:r>
      <w:r w:rsidR="009D1729">
        <w:t>(Accessed: 04.02.2023)</w:t>
      </w:r>
    </w:p>
    <w:p w14:paraId="20D43E80" w14:textId="5C008D9A" w:rsidR="00F0145C" w:rsidRPr="00F0145C" w:rsidRDefault="00F0145C" w:rsidP="00F0145C">
      <w:pPr>
        <w:pStyle w:val="EndNoteBibliography"/>
        <w:spacing w:after="0"/>
        <w:ind w:left="720" w:hanging="720"/>
      </w:pPr>
      <w:r w:rsidRPr="00F0145C">
        <w:t>Eppenga, W. L., Derijks, H. J., Conemans, J. M. H., Hermens, W. A. J. J., Wensing, M. and De Smet, P. A. G. M. (2011) '</w:t>
      </w:r>
      <w:r w:rsidRPr="00F0145C">
        <w:rPr>
          <w:i/>
        </w:rPr>
        <w:t>Comparison of a basic and an advanced pharmacotherapy-related clinical decision support system in a hospital care setting in the Netherlands</w:t>
      </w:r>
      <w:r w:rsidRPr="00F0145C">
        <w:t xml:space="preserve">', </w:t>
      </w:r>
      <w:r w:rsidRPr="00F0145C">
        <w:rPr>
          <w:i/>
        </w:rPr>
        <w:t>Journal of the American Medical Informatics Association,</w:t>
      </w:r>
      <w:r w:rsidRPr="00F0145C">
        <w:t xml:space="preserve"> Vol. 19 No. 1, pp. 66-71.10.1136/amiajnl-2011-000360,Available at:</w:t>
      </w:r>
      <w:hyperlink r:id="rId17" w:history="1">
        <w:r w:rsidRPr="00F0145C">
          <w:rPr>
            <w:rStyle w:val="Hyperlink"/>
          </w:rPr>
          <w:t>https://doi.org/10.1136/amiajnl-2011-000360</w:t>
        </w:r>
      </w:hyperlink>
      <w:r w:rsidRPr="00F0145C">
        <w:t xml:space="preserve"> (Accessed:1/3/2023).</w:t>
      </w:r>
    </w:p>
    <w:p w14:paraId="56BE78C8" w14:textId="60782EF8" w:rsidR="00F0145C" w:rsidRPr="00F0145C" w:rsidRDefault="00F0145C" w:rsidP="00F0145C">
      <w:pPr>
        <w:pStyle w:val="EndNoteBibliography"/>
        <w:spacing w:after="0"/>
        <w:ind w:left="720" w:hanging="720"/>
      </w:pPr>
      <w:r w:rsidRPr="00F0145C">
        <w:lastRenderedPageBreak/>
        <w:t xml:space="preserve">First Data Bank UK Ltd (2023) </w:t>
      </w:r>
      <w:r w:rsidRPr="00F0145C">
        <w:rPr>
          <w:i/>
        </w:rPr>
        <w:t>FDB Multilex</w:t>
      </w:r>
      <w:r w:rsidRPr="00F0145C">
        <w:t>. Available at:</w:t>
      </w:r>
      <w:hyperlink r:id="rId18" w:history="1">
        <w:r w:rsidRPr="00F0145C">
          <w:rPr>
            <w:rStyle w:val="Hyperlink"/>
          </w:rPr>
          <w:t>https://www.fdbhealth.co.uk/solutions/multilex-clinical-decision-support</w:t>
        </w:r>
      </w:hyperlink>
      <w:r w:rsidRPr="00F0145C">
        <w:t xml:space="preserve"> </w:t>
      </w:r>
      <w:r w:rsidR="009D1729">
        <w:t>(Accessed: 04.02.2023)</w:t>
      </w:r>
    </w:p>
    <w:p w14:paraId="7D7ED198" w14:textId="596A5CD5" w:rsidR="00F0145C" w:rsidRPr="00F0145C" w:rsidRDefault="00F0145C" w:rsidP="00F0145C">
      <w:pPr>
        <w:pStyle w:val="EndNoteBibliography"/>
        <w:spacing w:after="0"/>
        <w:ind w:left="720" w:hanging="720"/>
      </w:pPr>
      <w:r w:rsidRPr="00F0145C">
        <w:t>Franklin, B. D., Birch, S., Savage, I., Wong, I., Woloshynowych, M., Jacklin, A. and Barber, N. (2009) '</w:t>
      </w:r>
      <w:r w:rsidRPr="00F0145C">
        <w:rPr>
          <w:i/>
        </w:rPr>
        <w:t>Methodological variability in detecting prescribing errors and consequences for the evaluation of interventions</w:t>
      </w:r>
      <w:r w:rsidRPr="00F0145C">
        <w:t xml:space="preserve">', </w:t>
      </w:r>
      <w:r w:rsidRPr="00F0145C">
        <w:rPr>
          <w:i/>
        </w:rPr>
        <w:t>Pharmacoepidemiol Drug Saf,</w:t>
      </w:r>
      <w:r w:rsidRPr="00F0145C">
        <w:t xml:space="preserve"> Vol. 18 No. 11, pp. 992-9.10.1002/pds.1811</w:t>
      </w:r>
    </w:p>
    <w:p w14:paraId="4044B8A1" w14:textId="6D7D0CD5" w:rsidR="00F0145C" w:rsidRPr="00F0145C" w:rsidRDefault="00F0145C" w:rsidP="00F0145C">
      <w:pPr>
        <w:pStyle w:val="EndNoteBibliography"/>
        <w:spacing w:after="0"/>
        <w:ind w:left="720" w:hanging="720"/>
      </w:pPr>
      <w:r w:rsidRPr="00F0145C">
        <w:t>Franklin, B. D. and Puaar, S. (2020) '</w:t>
      </w:r>
      <w:r w:rsidRPr="00F0145C">
        <w:rPr>
          <w:i/>
        </w:rPr>
        <w:t>What is the impact of introducing inpatient electronic prescribing on prescribing errors? A naturalistic stepped wedge study in an English teaching hospital</w:t>
      </w:r>
      <w:r w:rsidRPr="00F0145C">
        <w:t xml:space="preserve">', </w:t>
      </w:r>
      <w:r w:rsidRPr="00F0145C">
        <w:rPr>
          <w:i/>
        </w:rPr>
        <w:t>Health Informatics Journal,</w:t>
      </w:r>
      <w:r w:rsidRPr="00F0145C">
        <w:t xml:space="preserve"> Vol. 26 No. 4, pp. 3152-3162.10.1177/1460458219833112,Available at:</w:t>
      </w:r>
      <w:hyperlink r:id="rId19" w:history="1">
        <w:r w:rsidRPr="00F0145C">
          <w:rPr>
            <w:rStyle w:val="Hyperlink"/>
          </w:rPr>
          <w:t>https://dx.doi.org/10.1177/1460458219833112</w:t>
        </w:r>
      </w:hyperlink>
      <w:r w:rsidRPr="00F0145C">
        <w:t xml:space="preserve"> </w:t>
      </w:r>
      <w:r w:rsidR="009D1729">
        <w:t>(Accessed: 04.02.2023)</w:t>
      </w:r>
    </w:p>
    <w:p w14:paraId="0C8B3679" w14:textId="7DAEC6E4" w:rsidR="00F0145C" w:rsidRPr="00F0145C" w:rsidRDefault="00F0145C" w:rsidP="00F0145C">
      <w:pPr>
        <w:pStyle w:val="EndNoteBibliography"/>
        <w:spacing w:after="0"/>
        <w:ind w:left="720" w:hanging="720"/>
      </w:pPr>
      <w:r w:rsidRPr="00F0145C">
        <w:t>Franklin, B. D., Reynolds, M., Shebl, N. A., Burnett, S. and Jacklin, A. (2011) '</w:t>
      </w:r>
      <w:r w:rsidRPr="00F0145C">
        <w:rPr>
          <w:i/>
        </w:rPr>
        <w:t>Prescribing errors in hospital inpatients: a three-centre study of their prevalence, types and causes</w:t>
      </w:r>
      <w:r w:rsidRPr="00F0145C">
        <w:t xml:space="preserve">', </w:t>
      </w:r>
      <w:r w:rsidRPr="00F0145C">
        <w:rPr>
          <w:i/>
        </w:rPr>
        <w:t>Postgraduate Medical Journal,</w:t>
      </w:r>
      <w:r w:rsidRPr="00F0145C">
        <w:t xml:space="preserve"> Vol. 87 No. 1033, pp. 739-745.10.1136/pgmj.2011.117879,Available at:</w:t>
      </w:r>
      <w:hyperlink r:id="rId20" w:history="1">
        <w:r w:rsidRPr="00F0145C">
          <w:rPr>
            <w:rStyle w:val="Hyperlink"/>
          </w:rPr>
          <w:t>https://dx.doi.org/10.1136/pgmj.2011.117879</w:t>
        </w:r>
      </w:hyperlink>
      <w:r w:rsidRPr="00F0145C">
        <w:t xml:space="preserve"> </w:t>
      </w:r>
      <w:r w:rsidR="009D1729">
        <w:t>(Accessed: 04.02.2023)</w:t>
      </w:r>
    </w:p>
    <w:p w14:paraId="760D89A0" w14:textId="77777777" w:rsidR="00F0145C" w:rsidRPr="00F0145C" w:rsidRDefault="00F0145C" w:rsidP="00F0145C">
      <w:pPr>
        <w:pStyle w:val="EndNoteBibliography"/>
        <w:spacing w:after="0"/>
        <w:ind w:left="720" w:hanging="720"/>
      </w:pPr>
      <w:r w:rsidRPr="00F0145C">
        <w:t>Heed, J., Heed, A., Husband, A., Klein, S., Slee, A., Watson, N. and Slight, S. (2022) '</w:t>
      </w:r>
      <w:r w:rsidRPr="00F0145C">
        <w:rPr>
          <w:i/>
        </w:rPr>
        <w:t>A qualitative study exploring the acceptability and usability of the e-Prescribing Risk and Safety Evaluation (ePRaSE) assessment within the hospital-pharmacy-setting</w:t>
      </w:r>
      <w:r w:rsidRPr="00F0145C">
        <w:t xml:space="preserve">', </w:t>
      </w:r>
      <w:r w:rsidRPr="00F0145C">
        <w:rPr>
          <w:i/>
        </w:rPr>
        <w:t>Authorea Preprints</w:t>
      </w:r>
      <w:r w:rsidRPr="00F0145C">
        <w:t xml:space="preserve">, </w:t>
      </w:r>
    </w:p>
    <w:p w14:paraId="394222B4" w14:textId="10603EBB" w:rsidR="00F0145C" w:rsidRPr="00F0145C" w:rsidRDefault="00F0145C" w:rsidP="00F0145C">
      <w:pPr>
        <w:pStyle w:val="EndNoteBibliography"/>
        <w:spacing w:after="0"/>
        <w:ind w:left="720" w:hanging="720"/>
      </w:pPr>
      <w:r w:rsidRPr="00F0145C">
        <w:t>Hussain, M. I., Reynolds, T. L. and Zheng, K. (2019) '</w:t>
      </w:r>
      <w:r w:rsidRPr="00F0145C">
        <w:rPr>
          <w:i/>
        </w:rPr>
        <w:t>Medication safety alert fatigue may be reduced via interaction design and clinical role tailoring: a systematic review</w:t>
      </w:r>
      <w:r w:rsidRPr="00F0145C">
        <w:t xml:space="preserve">', </w:t>
      </w:r>
      <w:r w:rsidRPr="00F0145C">
        <w:rPr>
          <w:i/>
        </w:rPr>
        <w:t>Journal of the American Medical Informatics Association,</w:t>
      </w:r>
      <w:r w:rsidRPr="00F0145C">
        <w:t xml:space="preserve"> Vol. 26 No. 10, pp. 1141-1149.10.1093/jamia/ocz095,Available at:</w:t>
      </w:r>
      <w:hyperlink r:id="rId21" w:history="1">
        <w:r w:rsidRPr="00F0145C">
          <w:rPr>
            <w:rStyle w:val="Hyperlink"/>
          </w:rPr>
          <w:t>https://doi.org/10.1093/jamia/ocz095</w:t>
        </w:r>
      </w:hyperlink>
      <w:r w:rsidRPr="00F0145C">
        <w:t xml:space="preserve"> (Accessed:</w:t>
      </w:r>
      <w:r w:rsidR="009D1729">
        <w:t>27/01</w:t>
      </w:r>
      <w:r w:rsidRPr="00F0145C">
        <w:t>/2023).</w:t>
      </w:r>
    </w:p>
    <w:p w14:paraId="2828C229" w14:textId="57533A03" w:rsidR="00F0145C" w:rsidRPr="00F0145C" w:rsidRDefault="00F0145C" w:rsidP="00F0145C">
      <w:pPr>
        <w:pStyle w:val="EndNoteBibliography"/>
        <w:spacing w:after="0"/>
        <w:ind w:left="720" w:hanging="720"/>
      </w:pPr>
      <w:r w:rsidRPr="00F0145C">
        <w:t xml:space="preserve">Joint Formulary Committee (2022) </w:t>
      </w:r>
      <w:r w:rsidRPr="00F0145C">
        <w:rPr>
          <w:i/>
        </w:rPr>
        <w:t>British National Formulary</w:t>
      </w:r>
      <w:r w:rsidRPr="00F0145C">
        <w:t>. Available at:</w:t>
      </w:r>
      <w:hyperlink r:id="rId22" w:history="1">
        <w:r w:rsidRPr="00F0145C">
          <w:rPr>
            <w:rStyle w:val="Hyperlink"/>
          </w:rPr>
          <w:t>https://bnf.nice.org.uk/</w:t>
        </w:r>
      </w:hyperlink>
      <w:r w:rsidRPr="00F0145C">
        <w:t xml:space="preserve"> </w:t>
      </w:r>
      <w:r w:rsidR="009D1729">
        <w:t>(Accessed: 04.02.2023)</w:t>
      </w:r>
    </w:p>
    <w:p w14:paraId="66A64645" w14:textId="2EE57A21" w:rsidR="00F0145C" w:rsidRPr="00F0145C" w:rsidRDefault="00F0145C" w:rsidP="00F0145C">
      <w:pPr>
        <w:pStyle w:val="EndNoteBibliography"/>
        <w:spacing w:after="0"/>
        <w:ind w:left="720" w:hanging="720"/>
      </w:pPr>
      <w:r w:rsidRPr="00F0145C">
        <w:t>Kaushal, R., Shojania, K. G. and Bates, D. W. (2003) '</w:t>
      </w:r>
      <w:r w:rsidRPr="00F0145C">
        <w:rPr>
          <w:i/>
        </w:rPr>
        <w:t>Effects of Computerized Physician Order Entry and Clinical Decision Support Systems on Medication Safety</w:t>
      </w:r>
      <w:r w:rsidRPr="00F0145C">
        <w:t xml:space="preserve">', </w:t>
      </w:r>
      <w:r w:rsidRPr="00F0145C">
        <w:rPr>
          <w:i/>
        </w:rPr>
        <w:t>Archives of Internal Medicine,</w:t>
      </w:r>
      <w:r w:rsidRPr="00F0145C">
        <w:t xml:space="preserve"> Vol. 163 No. 12, p. 1409.10.1001/archinte.163.12.1409,Available at:</w:t>
      </w:r>
      <w:hyperlink r:id="rId23" w:history="1">
        <w:r w:rsidRPr="00F0145C">
          <w:rPr>
            <w:rStyle w:val="Hyperlink"/>
          </w:rPr>
          <w:t>https://dx.doi.org/10.1001/archinte.163.12.1409</w:t>
        </w:r>
      </w:hyperlink>
      <w:r w:rsidRPr="00F0145C">
        <w:t xml:space="preserve"> </w:t>
      </w:r>
      <w:r w:rsidR="009D1729">
        <w:t>(Accessed: 04.02.2023)</w:t>
      </w:r>
    </w:p>
    <w:p w14:paraId="64197CFC" w14:textId="348B1330" w:rsidR="00F0145C" w:rsidRPr="00F0145C" w:rsidRDefault="00F0145C" w:rsidP="00F0145C">
      <w:pPr>
        <w:pStyle w:val="EndNoteBibliography"/>
        <w:spacing w:after="0"/>
        <w:ind w:left="720" w:hanging="720"/>
      </w:pPr>
      <w:r w:rsidRPr="00F0145C">
        <w:t>Kim, H.-S., Kwon, I. H. and Cha, W. C. (2021) '</w:t>
      </w:r>
      <w:r w:rsidRPr="00F0145C">
        <w:rPr>
          <w:i/>
        </w:rPr>
        <w:t>Future and Development Direction of Digital Healthcare</w:t>
      </w:r>
      <w:r w:rsidRPr="00F0145C">
        <w:t xml:space="preserve">', </w:t>
      </w:r>
      <w:r w:rsidRPr="00F0145C">
        <w:rPr>
          <w:i/>
        </w:rPr>
        <w:t>Healthcare Informatics Research,</w:t>
      </w:r>
      <w:r w:rsidRPr="00F0145C">
        <w:t xml:space="preserve"> Vol. 27 No. 2, pp. 95-101.10.4258/hir.2021.27.2.95,Available at:</w:t>
      </w:r>
      <w:hyperlink r:id="rId24" w:history="1">
        <w:r w:rsidRPr="00F0145C">
          <w:rPr>
            <w:rStyle w:val="Hyperlink"/>
          </w:rPr>
          <w:t>https://dx.doi.org/10.4258/hir.2021.27.2.95</w:t>
        </w:r>
      </w:hyperlink>
      <w:r w:rsidRPr="00F0145C">
        <w:t xml:space="preserve"> </w:t>
      </w:r>
      <w:r w:rsidR="009D1729">
        <w:t>(Accessed: 04.02.2023)</w:t>
      </w:r>
    </w:p>
    <w:p w14:paraId="0A7AA6B4" w14:textId="56307E61" w:rsidR="00F0145C" w:rsidRPr="00F0145C" w:rsidRDefault="00F0145C" w:rsidP="00F0145C">
      <w:pPr>
        <w:pStyle w:val="EndNoteBibliography"/>
        <w:ind w:left="720" w:hanging="720"/>
      </w:pPr>
      <w:r w:rsidRPr="00F0145C">
        <w:t>Kuperman, G. J., Bobb, A., Payne, T. H., Avery, A. J., Gandhi, T. K., Burns, G., Classen, D. C. and Bates, D. W. (2007) '</w:t>
      </w:r>
      <w:r w:rsidRPr="00F0145C">
        <w:rPr>
          <w:i/>
        </w:rPr>
        <w:t>Medication-related Clinical Decision Support in Computerized Provider Order Entry Systems: A Review</w:t>
      </w:r>
      <w:r w:rsidRPr="00F0145C">
        <w:t xml:space="preserve">', </w:t>
      </w:r>
      <w:r w:rsidRPr="00F0145C">
        <w:rPr>
          <w:i/>
        </w:rPr>
        <w:t>Journal of the American Medical Informatics Association,</w:t>
      </w:r>
      <w:r w:rsidRPr="00F0145C">
        <w:t xml:space="preserve"> Vol. 14(1), pp. 29-40.</w:t>
      </w:r>
      <w:hyperlink r:id="rId25" w:history="1">
        <w:r w:rsidRPr="00F0145C">
          <w:rPr>
            <w:rStyle w:val="Hyperlink"/>
          </w:rPr>
          <w:t>https://dx.doi.org/10.1197/jamia.M2170,Available</w:t>
        </w:r>
      </w:hyperlink>
      <w:r w:rsidRPr="00F0145C">
        <w:t xml:space="preserve"> at:</w:t>
      </w:r>
      <w:hyperlink r:id="rId26" w:history="1">
        <w:r w:rsidRPr="00F0145C">
          <w:rPr>
            <w:rStyle w:val="Hyperlink"/>
          </w:rPr>
          <w:t>https://ovidsp.ovid.com/athens/ovidweb.cgi?T=JS&amp;CSC=Y&amp;NEWS=N&amp;PAGE=fulltext&amp;D=emed10&amp;AN=44909484</w:t>
        </w:r>
      </w:hyperlink>
      <w:r w:rsidR="009D1729">
        <w:t xml:space="preserve"> (Accessed: 04.02.2023)</w:t>
      </w:r>
    </w:p>
    <w:p w14:paraId="50794D75" w14:textId="73BEB4CC" w:rsidR="00F0145C" w:rsidRPr="00F0145C" w:rsidRDefault="00F0145C" w:rsidP="00F0145C">
      <w:pPr>
        <w:pStyle w:val="EndNoteBibliography"/>
        <w:spacing w:after="0"/>
        <w:ind w:left="720" w:hanging="720"/>
      </w:pPr>
      <w:r w:rsidRPr="00F0145C">
        <w:t>Lainer, M., Mann, E. and Sönnichsen, A. (2013) '</w:t>
      </w:r>
      <w:r w:rsidRPr="00F0145C">
        <w:rPr>
          <w:i/>
        </w:rPr>
        <w:t>Information technology interventions to improve medication safety in primary care: a systematic review</w:t>
      </w:r>
      <w:r w:rsidRPr="00F0145C">
        <w:t xml:space="preserve">', </w:t>
      </w:r>
      <w:r w:rsidRPr="00F0145C">
        <w:rPr>
          <w:i/>
        </w:rPr>
        <w:t>International Journal for Quality in Health Care,</w:t>
      </w:r>
      <w:r w:rsidRPr="00F0145C">
        <w:t xml:space="preserve"> Vol. 25 No. 5, pp. 590-598.10.1093/intqhc/mzt043,Available at:</w:t>
      </w:r>
      <w:hyperlink r:id="rId27" w:history="1">
        <w:r w:rsidRPr="00F0145C">
          <w:rPr>
            <w:rStyle w:val="Hyperlink"/>
          </w:rPr>
          <w:t>https://doi.org/10.1093/intqhc/mzt043</w:t>
        </w:r>
      </w:hyperlink>
      <w:r w:rsidRPr="00F0145C">
        <w:t xml:space="preserve"> (Accessed:</w:t>
      </w:r>
      <w:r w:rsidR="009D1729">
        <w:t>23/12</w:t>
      </w:r>
      <w:r w:rsidRPr="00F0145C">
        <w:t>/2022).</w:t>
      </w:r>
    </w:p>
    <w:p w14:paraId="059EB275" w14:textId="762ADD5C" w:rsidR="00F0145C" w:rsidRPr="00F0145C" w:rsidRDefault="00F0145C" w:rsidP="00F0145C">
      <w:pPr>
        <w:pStyle w:val="EndNoteBibliography"/>
        <w:spacing w:after="0"/>
        <w:ind w:left="720" w:hanging="720"/>
      </w:pPr>
      <w:r w:rsidRPr="00F0145C">
        <w:lastRenderedPageBreak/>
        <w:t>Leung, A. A., Keohane, C., Amato, M., Simon, S. R., Coffey, M., Kaufman, N., Cadet, B., Schiff, G., Zimlichman, E., Seger, D. L., Yoon, C., Song, P. and Bates, D. W. (2012) '</w:t>
      </w:r>
      <w:r w:rsidRPr="00F0145C">
        <w:rPr>
          <w:i/>
        </w:rPr>
        <w:t>Impact of Vendor Computerized Physician Order Entry in Community Hospitals</w:t>
      </w:r>
      <w:r w:rsidRPr="00F0145C">
        <w:t xml:space="preserve">', </w:t>
      </w:r>
      <w:r w:rsidRPr="00F0145C">
        <w:rPr>
          <w:i/>
        </w:rPr>
        <w:t>Journal of General Internal Medicine,</w:t>
      </w:r>
      <w:r w:rsidRPr="00F0145C">
        <w:t xml:space="preserve"> Vol. 27 No. 7, pp. 801-807.10.1007/s11606-012-1987-7,Available at:</w:t>
      </w:r>
      <w:hyperlink r:id="rId28" w:history="1">
        <w:r w:rsidRPr="00F0145C">
          <w:rPr>
            <w:rStyle w:val="Hyperlink"/>
          </w:rPr>
          <w:t>https://dx.doi.org/10.1007/s11606-012-1987-7</w:t>
        </w:r>
      </w:hyperlink>
      <w:r w:rsidRPr="00F0145C">
        <w:t xml:space="preserve"> </w:t>
      </w:r>
      <w:r w:rsidR="009D1729">
        <w:t>(Accessed: 04.02.2023)</w:t>
      </w:r>
    </w:p>
    <w:p w14:paraId="78E2E6F3" w14:textId="657AF7F3" w:rsidR="00F0145C" w:rsidRPr="00F0145C" w:rsidRDefault="00F0145C" w:rsidP="00F0145C">
      <w:pPr>
        <w:pStyle w:val="EndNoteBibliography"/>
        <w:spacing w:after="0"/>
        <w:ind w:left="720" w:hanging="720"/>
      </w:pPr>
      <w:r w:rsidRPr="00F0145C">
        <w:t>Maxwell, S., Eichler, H.-G., Bucsics, A., Haefeli, W. E. and Gustafsson, L. L. (2012) '</w:t>
      </w:r>
      <w:r w:rsidRPr="00F0145C">
        <w:rPr>
          <w:i/>
        </w:rPr>
        <w:t>e-SPC: new approaches to delivering drug information</w:t>
      </w:r>
      <w:r w:rsidRPr="00F0145C">
        <w:t xml:space="preserve">', </w:t>
      </w:r>
      <w:r w:rsidRPr="00F0145C">
        <w:rPr>
          <w:i/>
        </w:rPr>
        <w:t>Future Prescriber,</w:t>
      </w:r>
      <w:r w:rsidRPr="00F0145C">
        <w:t xml:space="preserve"> Vol. 13 No. 2, pp. 17-19.10.1002/fps.94,Available at:</w:t>
      </w:r>
      <w:hyperlink r:id="rId29" w:history="1">
        <w:r w:rsidRPr="00F0145C">
          <w:rPr>
            <w:rStyle w:val="Hyperlink"/>
          </w:rPr>
          <w:t>https://dx.doi.org/10.1002/fps.94</w:t>
        </w:r>
      </w:hyperlink>
      <w:r w:rsidRPr="00F0145C">
        <w:t xml:space="preserve"> </w:t>
      </w:r>
      <w:r w:rsidR="009D1729">
        <w:t>(Accessed: 04.02.2023)</w:t>
      </w:r>
    </w:p>
    <w:p w14:paraId="440C77A5" w14:textId="0BADEB4C" w:rsidR="00F0145C" w:rsidRPr="00F0145C" w:rsidRDefault="00F0145C" w:rsidP="00F0145C">
      <w:pPr>
        <w:pStyle w:val="EndNoteBibliography"/>
        <w:spacing w:after="0"/>
        <w:ind w:left="720" w:hanging="720"/>
      </w:pPr>
      <w:r w:rsidRPr="00F0145C">
        <w:t>McEvoy, D. S., Sittig, D. F., Hickman, T. T., Aaron, S., Ai, A., Amato, M., Bauer, D. W., Fraser, G. M., Harper, J., Kennemer, A., Krall, M. A., Lehmann, C. U., Malhotra, S., Murphy, D. R., O'Kelley, B., Samal, L., Schreiber, R., Singh, H., Thomas, E. J., Vartian, C. V., Westmorland, J., McCoy, A. B. and Wright, A. (2017) '</w:t>
      </w:r>
      <w:r w:rsidRPr="00F0145C">
        <w:rPr>
          <w:i/>
        </w:rPr>
        <w:t>Variation in high-priority drug-drug interaction alerts across institutions and electronic health records</w:t>
      </w:r>
      <w:r w:rsidRPr="00F0145C">
        <w:t xml:space="preserve">', </w:t>
      </w:r>
      <w:r w:rsidRPr="00F0145C">
        <w:rPr>
          <w:i/>
        </w:rPr>
        <w:t>J Am Med Inform Assoc,</w:t>
      </w:r>
      <w:r w:rsidRPr="00F0145C">
        <w:t xml:space="preserve"> Vol. 24 No. 2, pp. 331-338.10.1093/jamia/ocw114, </w:t>
      </w:r>
    </w:p>
    <w:p w14:paraId="6A87C6A9" w14:textId="77777777" w:rsidR="00F0145C" w:rsidRPr="00F0145C" w:rsidRDefault="00F0145C" w:rsidP="00F0145C">
      <w:pPr>
        <w:pStyle w:val="EndNoteBibliography"/>
        <w:spacing w:after="0"/>
        <w:ind w:left="720" w:hanging="720"/>
      </w:pPr>
      <w:r w:rsidRPr="00F0145C">
        <w:t>Menendez, M., Alonso, J., Rancaño, I., Corte, J., Herranz, V. and Vazquez, F. (2012) '</w:t>
      </w:r>
      <w:r w:rsidRPr="00F0145C">
        <w:rPr>
          <w:i/>
        </w:rPr>
        <w:t>Impact of computerized physician order entry on medication errors</w:t>
      </w:r>
      <w:r w:rsidRPr="00F0145C">
        <w:t xml:space="preserve">', </w:t>
      </w:r>
      <w:r w:rsidRPr="00F0145C">
        <w:rPr>
          <w:i/>
        </w:rPr>
        <w:t>Revista de Calidad Asistencial,</w:t>
      </w:r>
      <w:r w:rsidRPr="00F0145C">
        <w:t xml:space="preserve"> Vol. 27 No. 6, pp. 334-340</w:t>
      </w:r>
    </w:p>
    <w:p w14:paraId="66025BB2" w14:textId="2A287A6F" w:rsidR="00F0145C" w:rsidRPr="00F0145C" w:rsidRDefault="00F0145C" w:rsidP="00F0145C">
      <w:pPr>
        <w:pStyle w:val="EndNoteBibliography"/>
        <w:spacing w:after="0"/>
        <w:ind w:left="720" w:hanging="720"/>
      </w:pPr>
      <w:r w:rsidRPr="00F0145C">
        <w:t>Michie, S., Van Stralen, M. M. and West, R. (2011) '</w:t>
      </w:r>
      <w:r w:rsidRPr="00F0145C">
        <w:rPr>
          <w:i/>
        </w:rPr>
        <w:t>The behaviour change wheel: A new method for characterising and designing behaviour change interventions</w:t>
      </w:r>
      <w:r w:rsidRPr="00F0145C">
        <w:t xml:space="preserve">', </w:t>
      </w:r>
      <w:r w:rsidRPr="00F0145C">
        <w:rPr>
          <w:i/>
        </w:rPr>
        <w:t>Implementation Science,</w:t>
      </w:r>
      <w:r w:rsidRPr="00F0145C">
        <w:t xml:space="preserve"> Vol. 6 No. 1, p. 42.10.1186/1748-5908-6-42,Available at:</w:t>
      </w:r>
      <w:hyperlink r:id="rId30" w:history="1">
        <w:r w:rsidRPr="00F0145C">
          <w:rPr>
            <w:rStyle w:val="Hyperlink"/>
          </w:rPr>
          <w:t>https://dx.doi.org/10.1186/1748-5908-6-42</w:t>
        </w:r>
      </w:hyperlink>
      <w:r w:rsidRPr="00F0145C">
        <w:t xml:space="preserve"> </w:t>
      </w:r>
      <w:r w:rsidR="009D1729">
        <w:t>(Accessed: 04.02.2023)</w:t>
      </w:r>
    </w:p>
    <w:p w14:paraId="5B98A198" w14:textId="6E530104" w:rsidR="00F0145C" w:rsidRPr="00F0145C" w:rsidRDefault="00F0145C" w:rsidP="00F0145C">
      <w:pPr>
        <w:pStyle w:val="EndNoteBibliography"/>
        <w:spacing w:after="0"/>
        <w:ind w:left="720" w:hanging="720"/>
      </w:pPr>
      <w:r w:rsidRPr="00F0145C">
        <w:t>Moxey, A., Robertson, J., Newby, D., Hains, I., Williamson, M. and Pearson, S.-A. (2010) '</w:t>
      </w:r>
      <w:r w:rsidRPr="00F0145C">
        <w:rPr>
          <w:i/>
        </w:rPr>
        <w:t>Computerized clinical decision support for prescribing: provision does not guarantee uptake</w:t>
      </w:r>
      <w:r w:rsidRPr="00F0145C">
        <w:t xml:space="preserve">', </w:t>
      </w:r>
      <w:r w:rsidRPr="00F0145C">
        <w:rPr>
          <w:i/>
        </w:rPr>
        <w:t>Journal of the American Medical Informatics Association,</w:t>
      </w:r>
      <w:r w:rsidRPr="00F0145C">
        <w:t xml:space="preserve"> Vol. 17 No. 1, pp. 25-33.10.1197/jamia.M3170,Available at:</w:t>
      </w:r>
      <w:hyperlink r:id="rId31" w:history="1">
        <w:r w:rsidRPr="00F0145C">
          <w:rPr>
            <w:rStyle w:val="Hyperlink"/>
          </w:rPr>
          <w:t>https://doi.org/10.1197/jamia.M3170</w:t>
        </w:r>
      </w:hyperlink>
      <w:r w:rsidRPr="00F0145C">
        <w:t xml:space="preserve"> (Accessed:</w:t>
      </w:r>
      <w:r w:rsidR="009D1729">
        <w:t>12/01</w:t>
      </w:r>
      <w:r w:rsidRPr="00F0145C">
        <w:t>/2023).</w:t>
      </w:r>
    </w:p>
    <w:p w14:paraId="1455EB3A" w14:textId="015ADD09" w:rsidR="00F0145C" w:rsidRPr="00F0145C" w:rsidRDefault="00F0145C" w:rsidP="00F0145C">
      <w:pPr>
        <w:pStyle w:val="EndNoteBibliography"/>
        <w:spacing w:after="0"/>
        <w:ind w:left="720" w:hanging="720"/>
      </w:pPr>
      <w:r w:rsidRPr="00F0145C">
        <w:t>Mozaffar, H., Cresswell, K. M., Williams, R., Bates, D. W. and Sheikh, A. (2017) '</w:t>
      </w:r>
      <w:r w:rsidRPr="00F0145C">
        <w:rPr>
          <w:i/>
        </w:rPr>
        <w:t>Exploring the roots of unintended safety threats associated with the introduction of hospital ePrescribing systems and candidate avoidance and/or mitigation strategies: a qualitative study</w:t>
      </w:r>
      <w:r w:rsidRPr="00F0145C">
        <w:t xml:space="preserve">', </w:t>
      </w:r>
      <w:r w:rsidRPr="00F0145C">
        <w:rPr>
          <w:i/>
        </w:rPr>
        <w:t>BMJ Qual Saf,</w:t>
      </w:r>
      <w:r w:rsidRPr="00F0145C">
        <w:t xml:space="preserve"> Vol. 26 No. 9, pp. 722-733.10.1136/bmjqs-2016-005879,Available at:</w:t>
      </w:r>
      <w:hyperlink r:id="rId32" w:history="1">
        <w:r w:rsidRPr="00F0145C">
          <w:rPr>
            <w:rStyle w:val="Hyperlink"/>
          </w:rPr>
          <w:t>https://www.ncbi.nlm.nih.gov/pubmed/28174319</w:t>
        </w:r>
      </w:hyperlink>
      <w:r w:rsidRPr="00F0145C">
        <w:t xml:space="preserve"> </w:t>
      </w:r>
      <w:r w:rsidR="009D1729">
        <w:t>(Accessed: 04.02.2023)</w:t>
      </w:r>
    </w:p>
    <w:p w14:paraId="58521370" w14:textId="569FC25C" w:rsidR="00F0145C" w:rsidRPr="00F0145C" w:rsidRDefault="00F0145C" w:rsidP="00F0145C">
      <w:pPr>
        <w:pStyle w:val="EndNoteBibliography"/>
        <w:spacing w:after="0"/>
        <w:ind w:left="720" w:hanging="720"/>
      </w:pPr>
      <w:r w:rsidRPr="00F0145C">
        <w:t>NCPDP (2016) '</w:t>
      </w:r>
      <w:r w:rsidRPr="00F0145C">
        <w:rPr>
          <w:i/>
        </w:rPr>
        <w:t>NCPDP recommendations for dose accumulation monitoring in the inpatient setting: Acetaminophen case model, version 1.0</w:t>
      </w:r>
      <w:r w:rsidRPr="00F0145C">
        <w:t>'. pp. 1144-1165, Available at:</w:t>
      </w:r>
      <w:hyperlink r:id="rId33" w:history="1">
        <w:r w:rsidRPr="00F0145C">
          <w:rPr>
            <w:rStyle w:val="Hyperlink"/>
          </w:rPr>
          <w:t>https://doi.org/10.2146/ajhp160215</w:t>
        </w:r>
      </w:hyperlink>
      <w:r w:rsidRPr="00F0145C">
        <w:t xml:space="preserve"> (Accessed:2/3/2023)</w:t>
      </w:r>
    </w:p>
    <w:p w14:paraId="225AA820" w14:textId="30FAB0A6" w:rsidR="00F0145C" w:rsidRPr="00F0145C" w:rsidRDefault="00F0145C" w:rsidP="00F0145C">
      <w:pPr>
        <w:pStyle w:val="EndNoteBibliography"/>
        <w:spacing w:after="0"/>
        <w:ind w:left="720" w:hanging="720"/>
      </w:pPr>
      <w:r w:rsidRPr="00F0145C">
        <w:t>NHS Digital (2021a) '</w:t>
      </w:r>
      <w:r w:rsidRPr="00F0145C">
        <w:rPr>
          <w:i/>
        </w:rPr>
        <w:t>DCB0129: Clinical risk management: its application in the manufacture of health IT systems. 2021</w:t>
      </w:r>
      <w:r w:rsidRPr="00F0145C">
        <w:t>'. Available at:</w:t>
      </w:r>
      <w:hyperlink r:id="rId34" w:history="1">
        <w:r w:rsidRPr="00F0145C">
          <w:rPr>
            <w:rStyle w:val="Hyperlink"/>
          </w:rPr>
          <w:t>https://digital.nhs.uk/data-and-information/information-standards/information-standards-and-data-collections-including-extractions/publications-and-notifications/standards-and-collections/dcb0129-clinical-risk-management-its-application-in-the-manufacture-of-health-it-systems</w:t>
        </w:r>
      </w:hyperlink>
      <w:r w:rsidRPr="00F0145C">
        <w:t xml:space="preserve"> (Accessed:27.01.2023)</w:t>
      </w:r>
    </w:p>
    <w:p w14:paraId="34FAB190" w14:textId="15DE4903" w:rsidR="00F0145C" w:rsidRPr="00F0145C" w:rsidRDefault="00F0145C" w:rsidP="00F0145C">
      <w:pPr>
        <w:pStyle w:val="EndNoteBibliography"/>
        <w:spacing w:after="0"/>
        <w:ind w:left="720" w:hanging="720"/>
      </w:pPr>
      <w:r w:rsidRPr="00F0145C">
        <w:t>NHS Digital (2021b) '</w:t>
      </w:r>
      <w:r w:rsidRPr="00F0145C">
        <w:rPr>
          <w:i/>
        </w:rPr>
        <w:t>DCB0160: Clinical risk management: its application in the deployment and use of health IT systems.</w:t>
      </w:r>
      <w:r w:rsidRPr="00F0145C">
        <w:t>'. Available at:</w:t>
      </w:r>
      <w:hyperlink r:id="rId35" w:history="1">
        <w:r w:rsidRPr="00F0145C">
          <w:rPr>
            <w:rStyle w:val="Hyperlink"/>
          </w:rPr>
          <w:t>https://digital.nhs.uk/data-and-information/information-standards/information-standards-and-data-collections-including-</w:t>
        </w:r>
        <w:r w:rsidRPr="00F0145C">
          <w:rPr>
            <w:rStyle w:val="Hyperlink"/>
          </w:rPr>
          <w:lastRenderedPageBreak/>
          <w:t>extractions/publications-and-notifications/standards-and-collections/dcb0160-clinical-risk-management-its-application-in-the-deployment-and-use-of-health-it-systems</w:t>
        </w:r>
      </w:hyperlink>
      <w:r w:rsidRPr="00F0145C">
        <w:t xml:space="preserve"> </w:t>
      </w:r>
      <w:r w:rsidR="009D1729">
        <w:t>(Accessed: 04.02.2023)</w:t>
      </w:r>
    </w:p>
    <w:p w14:paraId="4B45FF90" w14:textId="0BA3A80C" w:rsidR="00F0145C" w:rsidRPr="00F0145C" w:rsidRDefault="00F0145C" w:rsidP="00F0145C">
      <w:pPr>
        <w:pStyle w:val="EndNoteBibliography"/>
        <w:spacing w:after="0"/>
        <w:ind w:left="720" w:hanging="720"/>
      </w:pPr>
      <w:r w:rsidRPr="00F0145C">
        <w:t xml:space="preserve">NHS Digital (2023) </w:t>
      </w:r>
      <w:r w:rsidRPr="00F0145C">
        <w:rPr>
          <w:i/>
        </w:rPr>
        <w:t>Digital and Interoperable Medicines Programme</w:t>
      </w:r>
      <w:r w:rsidRPr="00F0145C">
        <w:t>. Available at:</w:t>
      </w:r>
      <w:hyperlink r:id="rId36" w:history="1">
        <w:r w:rsidRPr="00F0145C">
          <w:rPr>
            <w:rStyle w:val="Hyperlink"/>
          </w:rPr>
          <w:t>https://digital.nhs.uk/services/digital-and-interoperable-medicines</w:t>
        </w:r>
      </w:hyperlink>
      <w:r w:rsidRPr="00F0145C">
        <w:t xml:space="preserve"> </w:t>
      </w:r>
      <w:r w:rsidR="009D1729">
        <w:t>(Accessed: 04.02.2023)</w:t>
      </w:r>
    </w:p>
    <w:p w14:paraId="7CE189A0" w14:textId="260CBC97" w:rsidR="00F0145C" w:rsidRPr="00F0145C" w:rsidRDefault="00F0145C" w:rsidP="00F0145C">
      <w:pPr>
        <w:pStyle w:val="EndNoteBibliography"/>
        <w:spacing w:after="0"/>
        <w:ind w:left="720" w:hanging="720"/>
      </w:pPr>
      <w:r w:rsidRPr="00F0145C">
        <w:t xml:space="preserve">NHSBSA (2022) </w:t>
      </w:r>
      <w:r w:rsidRPr="00F0145C">
        <w:rPr>
          <w:i/>
        </w:rPr>
        <w:t>Dictionary of Medicines and Devices</w:t>
      </w:r>
      <w:r w:rsidRPr="00F0145C">
        <w:t>. Available at:</w:t>
      </w:r>
      <w:hyperlink r:id="rId37" w:history="1">
        <w:r w:rsidRPr="00F0145C">
          <w:rPr>
            <w:rStyle w:val="Hyperlink"/>
          </w:rPr>
          <w:t>https://www.nhsbsa.nhs.uk/pharmacies-gp-practices-and-appliance-contractors/dictionary-medicines-and-devices-dmd</w:t>
        </w:r>
      </w:hyperlink>
      <w:r w:rsidRPr="00F0145C">
        <w:t xml:space="preserve"> (Accessed:15/05/2022).</w:t>
      </w:r>
    </w:p>
    <w:p w14:paraId="4E8CBF79" w14:textId="507B1417" w:rsidR="00F0145C" w:rsidRPr="00F0145C" w:rsidRDefault="00F0145C" w:rsidP="00F0145C">
      <w:pPr>
        <w:pStyle w:val="EndNoteBibliography"/>
        <w:spacing w:after="0"/>
        <w:ind w:left="720" w:hanging="720"/>
      </w:pPr>
      <w:r w:rsidRPr="00F0145C">
        <w:t xml:space="preserve">NICE (2022) </w:t>
      </w:r>
      <w:r w:rsidRPr="00F0145C">
        <w:rPr>
          <w:i/>
        </w:rPr>
        <w:t>Medicines Optimisation</w:t>
      </w:r>
      <w:r w:rsidRPr="00F0145C">
        <w:t>. Available at:</w:t>
      </w:r>
      <w:hyperlink r:id="rId38" w:history="1">
        <w:r w:rsidRPr="00F0145C">
          <w:rPr>
            <w:rStyle w:val="Hyperlink"/>
          </w:rPr>
          <w:t>https://bnf.nice.org.uk/medicines-guidance/medicines-optimisation/</w:t>
        </w:r>
      </w:hyperlink>
      <w:r w:rsidRPr="00F0145C">
        <w:t xml:space="preserve"> (Accessed:23.12.2022).</w:t>
      </w:r>
    </w:p>
    <w:p w14:paraId="21A74DB9" w14:textId="2F1B126A" w:rsidR="00F0145C" w:rsidRPr="00F0145C" w:rsidRDefault="00F0145C" w:rsidP="00F0145C">
      <w:pPr>
        <w:pStyle w:val="EndNoteBibliography"/>
        <w:spacing w:after="0"/>
        <w:ind w:left="720" w:hanging="720"/>
      </w:pPr>
      <w:r w:rsidRPr="00F0145C">
        <w:t>Nuckols, T. K., Smith-Spangler, C., Morton, S. C., Asch, S. M., Patel, V. M., Anderson, L. J., Deichsel, E. L. and Shekelle, P. G. (2014) '</w:t>
      </w:r>
      <w:r w:rsidRPr="00F0145C">
        <w:rPr>
          <w:i/>
        </w:rPr>
        <w:t>The effectiveness of computerized order entry at reducing preventable adverse drug events and medication errors in hospital settings: a systematic review and meta-analysis</w:t>
      </w:r>
      <w:r w:rsidRPr="00F0145C">
        <w:t xml:space="preserve">', </w:t>
      </w:r>
      <w:r w:rsidRPr="00F0145C">
        <w:rPr>
          <w:i/>
        </w:rPr>
        <w:t>Systematic Reviews,</w:t>
      </w:r>
      <w:r w:rsidRPr="00F0145C">
        <w:t xml:space="preserve"> Vol. 3 No. 1, p. 56.10.1186/2046-4053-3-56,Available at:</w:t>
      </w:r>
      <w:hyperlink r:id="rId39" w:history="1">
        <w:r w:rsidRPr="00F0145C">
          <w:rPr>
            <w:rStyle w:val="Hyperlink"/>
          </w:rPr>
          <w:t>https://dx.doi.org/10.1186/2046-4053-3-56</w:t>
        </w:r>
      </w:hyperlink>
      <w:r w:rsidRPr="00F0145C">
        <w:t xml:space="preserve"> </w:t>
      </w:r>
      <w:r w:rsidR="00D84F87">
        <w:t>(Accessed: 04.02.2023)</w:t>
      </w:r>
    </w:p>
    <w:p w14:paraId="76565483" w14:textId="77777777" w:rsidR="00F0145C" w:rsidRPr="00F0145C" w:rsidRDefault="00F0145C" w:rsidP="00F0145C">
      <w:pPr>
        <w:pStyle w:val="EndNoteBibliography"/>
        <w:spacing w:after="0"/>
        <w:ind w:left="720" w:hanging="720"/>
      </w:pPr>
      <w:r w:rsidRPr="00F0145C">
        <w:t>Phansalkar, S., Desai, A. A., Bell, D., Yoshida, E., Doole, J., Czochanski, M., Middleton, B. and Bates, D. W. (2012) '</w:t>
      </w:r>
      <w:r w:rsidRPr="00F0145C">
        <w:rPr>
          <w:i/>
        </w:rPr>
        <w:t>High-priority drug-drug interactions for use in electronic health records</w:t>
      </w:r>
      <w:r w:rsidRPr="00F0145C">
        <w:t xml:space="preserve">', </w:t>
      </w:r>
      <w:r w:rsidRPr="00F0145C">
        <w:rPr>
          <w:i/>
        </w:rPr>
        <w:t>J Am Med Inform Assoc,</w:t>
      </w:r>
      <w:r w:rsidRPr="00F0145C">
        <w:t xml:space="preserve"> Vol. 19 No. 5, pp. 735-43.10.1136/amiajnl-2011-000612,Available </w:t>
      </w:r>
    </w:p>
    <w:p w14:paraId="1008434C" w14:textId="14D71C8E" w:rsidR="00F0145C" w:rsidRPr="00F0145C" w:rsidRDefault="00F0145C" w:rsidP="00D84F87">
      <w:pPr>
        <w:pStyle w:val="EndNoteBibliography"/>
        <w:ind w:left="720" w:hanging="720"/>
      </w:pPr>
      <w:r w:rsidRPr="00F0145C">
        <w:t>Pontefract, S. K., Hodson, J., Slee, A., Shah, S., Girling, A. J., Williams, R., Sheikh, A. and Coleman, J. J. (2018) '</w:t>
      </w:r>
      <w:r w:rsidRPr="00F0145C">
        <w:rPr>
          <w:i/>
        </w:rPr>
        <w:t>Impact of a commercial order entry system on prescribing errors amenable to computerised decision support in the hospital setting: a prospective pre-post study</w:t>
      </w:r>
      <w:r w:rsidRPr="00F0145C">
        <w:t xml:space="preserve">', </w:t>
      </w:r>
      <w:r w:rsidRPr="00F0145C">
        <w:rPr>
          <w:i/>
        </w:rPr>
        <w:t>BMJ Qual Saf,</w:t>
      </w:r>
      <w:r w:rsidRPr="00F0145C">
        <w:t xml:space="preserve"> Vol. 27 No. 9, pp. 725-736.10.1136/bmjqs-2017-007135,Available at:</w:t>
      </w:r>
      <w:hyperlink r:id="rId40" w:history="1">
        <w:r w:rsidRPr="00F0145C">
          <w:rPr>
            <w:rStyle w:val="Hyperlink"/>
          </w:rPr>
          <w:t>https://www.ncbi.nlm.nih.gov/pubmed/29572298</w:t>
        </w:r>
      </w:hyperlink>
      <w:r w:rsidR="00D84F87">
        <w:t xml:space="preserve">; </w:t>
      </w:r>
      <w:r w:rsidRPr="00D84F87">
        <w:t>https://qualitysafety.bmj.com/content/qhc/27/9/725.full.pdf</w:t>
      </w:r>
      <w:r w:rsidRPr="00F0145C">
        <w:t xml:space="preserve"> </w:t>
      </w:r>
      <w:r w:rsidR="00D84F87">
        <w:t>(Accessed: 04.02.2023)</w:t>
      </w:r>
    </w:p>
    <w:p w14:paraId="200FC2B2" w14:textId="77777777" w:rsidR="00F0145C" w:rsidRPr="00F0145C" w:rsidRDefault="00F0145C" w:rsidP="00F0145C">
      <w:pPr>
        <w:pStyle w:val="EndNoteBibliography"/>
        <w:spacing w:after="0"/>
        <w:ind w:left="720" w:hanging="720"/>
      </w:pPr>
      <w:r w:rsidRPr="00F0145C">
        <w:t>Prgomet, M., Georgiou, A., Callen, J. and Westbrook, J. (2019) '</w:t>
      </w:r>
      <w:r w:rsidRPr="00F0145C">
        <w:rPr>
          <w:i/>
        </w:rPr>
        <w:t>Fit between individuals, tasks, technology, and environment (FITTE) framework: A proposed extension of FITT to evaluate and optimise health information technology use</w:t>
      </w:r>
      <w:r w:rsidRPr="00F0145C">
        <w:t xml:space="preserve">'. </w:t>
      </w:r>
      <w:r w:rsidRPr="00F0145C">
        <w:rPr>
          <w:i/>
        </w:rPr>
        <w:t>MEDINFO 2019: Health and Wellbeing e-Networks for All</w:t>
      </w:r>
      <w:r w:rsidRPr="00F0145C">
        <w:t>, IOS Press, pp. 744-748.</w:t>
      </w:r>
    </w:p>
    <w:p w14:paraId="4A761CC1" w14:textId="122EE301" w:rsidR="00F0145C" w:rsidRPr="00F0145C" w:rsidRDefault="00F0145C" w:rsidP="00F0145C">
      <w:pPr>
        <w:pStyle w:val="EndNoteBibliography"/>
        <w:ind w:left="720" w:hanging="720"/>
      </w:pPr>
      <w:r w:rsidRPr="00F0145C">
        <w:t>Prgomet, M., Li, L., Niazkhani, Z., Georgiou, A. and Westbrook, J. I. (2017) '</w:t>
      </w:r>
      <w:r w:rsidRPr="00F0145C">
        <w:rPr>
          <w:i/>
        </w:rPr>
        <w:t>Impact of commercial computerized provider order entry (CPOE) and clinical decision support systems (CDSSs) on medication errors, length of stay, and mortality in intensive care units: a systematic review and meta-analysis</w:t>
      </w:r>
      <w:r w:rsidRPr="00F0145C">
        <w:t xml:space="preserve">', </w:t>
      </w:r>
      <w:r w:rsidRPr="00F0145C">
        <w:rPr>
          <w:i/>
        </w:rPr>
        <w:t>Journal of the American Medical Informatics Association,</w:t>
      </w:r>
      <w:r w:rsidRPr="00F0145C">
        <w:t xml:space="preserve"> Vol. 24 No. 2, pp. 413-422at:</w:t>
      </w:r>
      <w:hyperlink r:id="rId41" w:history="1">
        <w:r w:rsidRPr="00F0145C">
          <w:rPr>
            <w:rStyle w:val="Hyperlink"/>
          </w:rPr>
          <w:t>https://ovidsp.ovid.com/athens/ovidweb.cgi?T=JS&amp;CSC=Y&amp;NEWS=N&amp;PAGE=fulltext&amp;D=ovfts&amp;AN=00042637-201703000-00026</w:t>
        </w:r>
      </w:hyperlink>
      <w:r w:rsidR="00D84F87">
        <w:t xml:space="preserve"> (Accessed: 04.02.2023)</w:t>
      </w:r>
    </w:p>
    <w:p w14:paraId="319F9C47" w14:textId="5F39D331" w:rsidR="00F0145C" w:rsidRPr="00F0145C" w:rsidRDefault="00F0145C" w:rsidP="00F0145C">
      <w:pPr>
        <w:pStyle w:val="EndNoteBibliography"/>
        <w:spacing w:after="0"/>
        <w:ind w:left="720" w:hanging="720"/>
      </w:pPr>
      <w:r w:rsidRPr="00F0145C">
        <w:t>Qin, W., Lu, X., Shu, Q., Duan, H. and Li, H. (2022) '</w:t>
      </w:r>
      <w:r w:rsidRPr="00F0145C">
        <w:rPr>
          <w:i/>
        </w:rPr>
        <w:t>Building an information system to facilitate pharmacogenomics clinical translation with clinical decision support</w:t>
      </w:r>
      <w:r w:rsidRPr="00F0145C">
        <w:t xml:space="preserve">', </w:t>
      </w:r>
      <w:r w:rsidRPr="00F0145C">
        <w:rPr>
          <w:i/>
        </w:rPr>
        <w:t>Pharmacogenomics,</w:t>
      </w:r>
      <w:r w:rsidRPr="00F0145C">
        <w:t xml:space="preserve"> Vol. 23 No. 1, pp. 35-48.10.2217/pgs-2021-0110,Available at:</w:t>
      </w:r>
      <w:hyperlink r:id="rId42" w:history="1">
        <w:r w:rsidRPr="00F0145C">
          <w:rPr>
            <w:rStyle w:val="Hyperlink"/>
          </w:rPr>
          <w:t>https://www.futuremedicine.com/doi/abs/10.2217/pgs-2021-0110</w:t>
        </w:r>
      </w:hyperlink>
      <w:r w:rsidRPr="00F0145C">
        <w:t xml:space="preserve"> </w:t>
      </w:r>
      <w:r w:rsidR="00D84F87">
        <w:t xml:space="preserve"> (Accessed: 04.02.2023)</w:t>
      </w:r>
    </w:p>
    <w:p w14:paraId="1BFBC897" w14:textId="52DD9E06" w:rsidR="00F0145C" w:rsidRPr="00F0145C" w:rsidRDefault="00F0145C" w:rsidP="00F0145C">
      <w:pPr>
        <w:pStyle w:val="EndNoteBibliography"/>
        <w:spacing w:after="0"/>
        <w:ind w:left="720" w:hanging="720"/>
      </w:pPr>
      <w:r w:rsidRPr="00F0145C">
        <w:t xml:space="preserve">Schadow, G. and McDonald, C. J. (2022) </w:t>
      </w:r>
      <w:r w:rsidRPr="00F0145C">
        <w:rPr>
          <w:i/>
        </w:rPr>
        <w:t>The Unified Code for Units of Measure</w:t>
      </w:r>
      <w:r w:rsidRPr="00F0145C">
        <w:t>. Available at:</w:t>
      </w:r>
      <w:hyperlink r:id="rId43" w:history="1">
        <w:r w:rsidRPr="00F0145C">
          <w:rPr>
            <w:rStyle w:val="Hyperlink"/>
          </w:rPr>
          <w:t>https://ucum.org/ucum</w:t>
        </w:r>
      </w:hyperlink>
      <w:r w:rsidRPr="00F0145C">
        <w:t xml:space="preserve"> </w:t>
      </w:r>
      <w:r w:rsidR="00D84F87">
        <w:t xml:space="preserve"> (Accessed: 04.02.2023)</w:t>
      </w:r>
    </w:p>
    <w:p w14:paraId="77695414" w14:textId="0CD6B597" w:rsidR="00F0145C" w:rsidRPr="00F0145C" w:rsidRDefault="00F0145C" w:rsidP="00F0145C">
      <w:pPr>
        <w:pStyle w:val="EndNoteBibliography"/>
        <w:spacing w:after="0"/>
        <w:ind w:left="720" w:hanging="720"/>
      </w:pPr>
      <w:r w:rsidRPr="00F0145C">
        <w:lastRenderedPageBreak/>
        <w:t>Shamliyan, T. A., Duval, S., Du, J. and Kane, R. L. (2007) '</w:t>
      </w:r>
      <w:r w:rsidRPr="00F0145C">
        <w:rPr>
          <w:i/>
        </w:rPr>
        <w:t>Just What the Doctor Ordered. Review of the Evidence of the Impact of Computerized Physician Order Entry System on Medication Errors</w:t>
      </w:r>
      <w:r w:rsidRPr="00F0145C">
        <w:t xml:space="preserve">', </w:t>
      </w:r>
      <w:r w:rsidRPr="00F0145C">
        <w:rPr>
          <w:i/>
        </w:rPr>
        <w:t>Health Services Research,</w:t>
      </w:r>
      <w:r w:rsidRPr="00F0145C">
        <w:t xml:space="preserve"> Vol. 43 No. 1p1, pp. 32-53.10.1111/j.1475-6773.2007.00751.x,Available at:</w:t>
      </w:r>
      <w:hyperlink r:id="rId44" w:history="1">
        <w:r w:rsidRPr="00F0145C">
          <w:rPr>
            <w:rStyle w:val="Hyperlink"/>
          </w:rPr>
          <w:t>https://dx.doi.org/10.1111/j.1475-6773.2007.00751.x</w:t>
        </w:r>
      </w:hyperlink>
      <w:r w:rsidRPr="00F0145C">
        <w:t xml:space="preserve"> </w:t>
      </w:r>
      <w:r w:rsidR="00D84F87">
        <w:t xml:space="preserve"> (Accessed: 04.02.2023)</w:t>
      </w:r>
    </w:p>
    <w:p w14:paraId="06222286" w14:textId="59AA6365" w:rsidR="00F0145C" w:rsidRPr="00F0145C" w:rsidRDefault="00F0145C" w:rsidP="00F0145C">
      <w:pPr>
        <w:pStyle w:val="EndNoteBibliography"/>
        <w:ind w:left="720" w:hanging="720"/>
      </w:pPr>
      <w:r w:rsidRPr="00F0145C">
        <w:t>Shekelle, P. G., Pronovost, P. J., Wachter, R. M., Taylor, S. L., Dy, S. M., Foy, R., Hempel, S., McDonald, K. M., Ovretveit, J. and Rubenstein, L. V. (2011) '</w:t>
      </w:r>
      <w:r w:rsidRPr="00F0145C">
        <w:rPr>
          <w:i/>
        </w:rPr>
        <w:t>Advancing the science of patient safety</w:t>
      </w:r>
      <w:r w:rsidRPr="00F0145C">
        <w:t xml:space="preserve">'. American College of Physicians pp. 693-696. Available </w:t>
      </w:r>
    </w:p>
    <w:p w14:paraId="3772349B" w14:textId="77777777" w:rsidR="00F0145C" w:rsidRPr="00F0145C" w:rsidRDefault="00F0145C" w:rsidP="00F0145C">
      <w:pPr>
        <w:pStyle w:val="EndNoteBibliography"/>
        <w:spacing w:after="0"/>
      </w:pPr>
    </w:p>
    <w:p w14:paraId="777C783E" w14:textId="09B891C0" w:rsidR="00F0145C" w:rsidRPr="00F0145C" w:rsidRDefault="00F0145C" w:rsidP="00F0145C">
      <w:pPr>
        <w:pStyle w:val="EndNoteBibliography"/>
        <w:spacing w:after="0"/>
        <w:ind w:left="720" w:hanging="720"/>
      </w:pPr>
      <w:r w:rsidRPr="00F0145C">
        <w:t xml:space="preserve">SNOMED International. (2022) </w:t>
      </w:r>
      <w:r w:rsidRPr="00F0145C">
        <w:rPr>
          <w:i/>
        </w:rPr>
        <w:t>SNOMED International's Confluence</w:t>
      </w:r>
      <w:r w:rsidRPr="00F0145C">
        <w:t>. Available at:</w:t>
      </w:r>
      <w:hyperlink r:id="rId45" w:history="1">
        <w:r w:rsidRPr="00F0145C">
          <w:rPr>
            <w:rStyle w:val="Hyperlink"/>
          </w:rPr>
          <w:t>https://confluence.ihtsdotools.org/</w:t>
        </w:r>
      </w:hyperlink>
      <w:r w:rsidRPr="00F0145C">
        <w:t xml:space="preserve"> (Accessed:12/05/2022).</w:t>
      </w:r>
    </w:p>
    <w:p w14:paraId="7A8D998F" w14:textId="78B3EF55" w:rsidR="00F0145C" w:rsidRPr="00F0145C" w:rsidRDefault="00F0145C" w:rsidP="00F0145C">
      <w:pPr>
        <w:pStyle w:val="EndNoteBibliography"/>
        <w:spacing w:after="0"/>
        <w:ind w:left="720" w:hanging="720"/>
      </w:pPr>
      <w:r w:rsidRPr="00F0145C">
        <w:t xml:space="preserve">The Royal Pharmaceutical Society (2022) </w:t>
      </w:r>
      <w:r w:rsidRPr="00F0145C">
        <w:rPr>
          <w:i/>
        </w:rPr>
        <w:t>Medicines Complete</w:t>
      </w:r>
      <w:r w:rsidRPr="00F0145C">
        <w:t>. Available at:</w:t>
      </w:r>
      <w:hyperlink r:id="rId46" w:history="1">
        <w:r w:rsidRPr="00F0145C">
          <w:rPr>
            <w:rStyle w:val="Hyperlink"/>
          </w:rPr>
          <w:t>https://about.medicinescomplete.com/</w:t>
        </w:r>
      </w:hyperlink>
      <w:r w:rsidRPr="00F0145C">
        <w:t xml:space="preserve"> </w:t>
      </w:r>
      <w:r w:rsidR="00D84F87">
        <w:t>(Accessed: 04.02.2023)</w:t>
      </w:r>
    </w:p>
    <w:p w14:paraId="012C8E96" w14:textId="29F18152" w:rsidR="00F0145C" w:rsidRPr="00F0145C" w:rsidRDefault="00F0145C" w:rsidP="00F0145C">
      <w:pPr>
        <w:pStyle w:val="EndNoteBibliography"/>
        <w:spacing w:after="0"/>
        <w:ind w:left="720" w:hanging="720"/>
      </w:pPr>
      <w:r w:rsidRPr="00F0145C">
        <w:t>Thomas, S. K., McDowell, S. E., Hodson, J., Nwulu, U., Howard, R. L., Avery, A. J., Slee, A. and Coleman, J. J. (2013) '</w:t>
      </w:r>
      <w:r w:rsidRPr="00F0145C">
        <w:rPr>
          <w:i/>
        </w:rPr>
        <w:t>Developing consensus on hospital prescribing indicators of potential harms amenable to decision support</w:t>
      </w:r>
      <w:r w:rsidRPr="00F0145C">
        <w:t xml:space="preserve">', </w:t>
      </w:r>
      <w:r w:rsidRPr="00F0145C">
        <w:rPr>
          <w:i/>
        </w:rPr>
        <w:t>British Journal of Clinical Pharmacology,</w:t>
      </w:r>
      <w:r w:rsidRPr="00F0145C">
        <w:t xml:space="preserve"> Vol. 76 No. 5, pp. 797-809.10.1111/bcp.12087,Available at:</w:t>
      </w:r>
      <w:hyperlink r:id="rId47" w:history="1">
        <w:r w:rsidRPr="00F0145C">
          <w:rPr>
            <w:rStyle w:val="Hyperlink"/>
          </w:rPr>
          <w:t>https://dx.doi.org/10.1111/bcp.12087</w:t>
        </w:r>
      </w:hyperlink>
      <w:r w:rsidRPr="00F0145C">
        <w:t xml:space="preserve"> </w:t>
      </w:r>
      <w:r w:rsidR="00D84F87">
        <w:t>(Accessed: 04.02.2023)</w:t>
      </w:r>
    </w:p>
    <w:p w14:paraId="723C757B" w14:textId="30FB00EE" w:rsidR="00F0145C" w:rsidRPr="00F0145C" w:rsidRDefault="00F0145C" w:rsidP="00F0145C">
      <w:pPr>
        <w:pStyle w:val="EndNoteBibliography"/>
        <w:spacing w:after="0"/>
        <w:ind w:left="720" w:hanging="720"/>
      </w:pPr>
      <w:r w:rsidRPr="00F0145C">
        <w:t>Topol, E. (2019) '</w:t>
      </w:r>
      <w:r w:rsidRPr="00F0145C">
        <w:rPr>
          <w:i/>
        </w:rPr>
        <w:t>The Topol Review</w:t>
      </w:r>
      <w:r w:rsidRPr="00F0145C">
        <w:t xml:space="preserve">', </w:t>
      </w:r>
      <w:r w:rsidRPr="00F0145C">
        <w:rPr>
          <w:i/>
        </w:rPr>
        <w:t>Preparing the Healthcare Workforce to Deliver the Digital Future</w:t>
      </w:r>
      <w:r w:rsidRPr="00F0145C">
        <w:t>, at:</w:t>
      </w:r>
      <w:hyperlink r:id="rId48" w:history="1">
        <w:r w:rsidRPr="00F0145C">
          <w:rPr>
            <w:rStyle w:val="Hyperlink"/>
          </w:rPr>
          <w:t>https://topol.hee.nhs.uk/</w:t>
        </w:r>
      </w:hyperlink>
      <w:r w:rsidRPr="00F0145C">
        <w:t xml:space="preserve"> </w:t>
      </w:r>
      <w:r w:rsidR="00D84F87">
        <w:t>(Accessed: 04.02.2023)</w:t>
      </w:r>
    </w:p>
    <w:p w14:paraId="20FB50A3" w14:textId="285F71A5" w:rsidR="00F0145C" w:rsidRPr="00F0145C" w:rsidRDefault="00F0145C" w:rsidP="00F0145C">
      <w:pPr>
        <w:pStyle w:val="EndNoteBibliography"/>
        <w:spacing w:after="0"/>
        <w:ind w:left="720" w:hanging="720"/>
      </w:pPr>
      <w:r w:rsidRPr="00F0145C">
        <w:t>Van De Velde, S., Kunnamo, I., Roshanov, P., Kortteisto, T., Aertgeerts, B., Vandvik, P. O. and Flottorp, S. (2018) '</w:t>
      </w:r>
      <w:r w:rsidRPr="00F0145C">
        <w:rPr>
          <w:i/>
        </w:rPr>
        <w:t>The GUIDES checklist: development of a tool to improve the successful use of guideline-based computerised clinical decision support</w:t>
      </w:r>
      <w:r w:rsidRPr="00F0145C">
        <w:t xml:space="preserve">', </w:t>
      </w:r>
      <w:r w:rsidRPr="00F0145C">
        <w:rPr>
          <w:i/>
        </w:rPr>
        <w:t>Implementation Science,</w:t>
      </w:r>
      <w:r w:rsidRPr="00F0145C">
        <w:t xml:space="preserve"> Vol. 13 No. 1.10.1186/s13012-018-0772-3,Available at:</w:t>
      </w:r>
      <w:hyperlink r:id="rId49" w:history="1">
        <w:r w:rsidRPr="00F0145C">
          <w:rPr>
            <w:rStyle w:val="Hyperlink"/>
          </w:rPr>
          <w:t>https://dx.doi.org/10.1186/s13012-018-0772-3</w:t>
        </w:r>
      </w:hyperlink>
      <w:r w:rsidRPr="00F0145C">
        <w:t xml:space="preserve"> </w:t>
      </w:r>
      <w:r w:rsidR="00D84F87">
        <w:t>(Accessed: 04.02.2023)</w:t>
      </w:r>
    </w:p>
    <w:p w14:paraId="1A302331" w14:textId="77777777" w:rsidR="00F0145C" w:rsidRPr="00F0145C" w:rsidRDefault="00F0145C" w:rsidP="00F0145C">
      <w:pPr>
        <w:pStyle w:val="EndNoteBibliography"/>
        <w:spacing w:after="0"/>
        <w:ind w:left="720" w:hanging="720"/>
      </w:pPr>
      <w:r w:rsidRPr="00F0145C">
        <w:t>Wasylewicz, A. T. M. and Scheepers-Hoeks, A. M. J. W. (2019) '</w:t>
      </w:r>
      <w:r w:rsidRPr="00F0145C">
        <w:rPr>
          <w:i/>
        </w:rPr>
        <w:t>Clinical Decision Support Systems</w:t>
      </w:r>
      <w:r w:rsidRPr="00F0145C">
        <w:t>'. Springer International Publishing, pp. 153-169.</w:t>
      </w:r>
    </w:p>
    <w:p w14:paraId="2D1366DB" w14:textId="4B0620BA" w:rsidR="00F0145C" w:rsidRPr="00F0145C" w:rsidRDefault="00F0145C" w:rsidP="00F0145C">
      <w:pPr>
        <w:pStyle w:val="EndNoteBibliography"/>
        <w:spacing w:after="0"/>
        <w:ind w:left="720" w:hanging="720"/>
      </w:pPr>
      <w:r w:rsidRPr="00F0145C">
        <w:t>Wears, R. L. and Berg, M. (2005) '</w:t>
      </w:r>
      <w:r w:rsidRPr="00F0145C">
        <w:rPr>
          <w:i/>
        </w:rPr>
        <w:t>Computer Technology and Clinical WorkStill Waiting for Godot</w:t>
      </w:r>
      <w:r w:rsidRPr="00F0145C">
        <w:t xml:space="preserve">', </w:t>
      </w:r>
      <w:r w:rsidRPr="00F0145C">
        <w:rPr>
          <w:i/>
        </w:rPr>
        <w:t>JAMA,</w:t>
      </w:r>
      <w:r w:rsidRPr="00F0145C">
        <w:t xml:space="preserve"> Vol. 293 No. 10, pp. 1261-1263.10.1001/jama.293.10.1261,Available at:</w:t>
      </w:r>
      <w:hyperlink r:id="rId50" w:history="1">
        <w:r w:rsidRPr="00F0145C">
          <w:rPr>
            <w:rStyle w:val="Hyperlink"/>
          </w:rPr>
          <w:t>https://doi.org/10.1001/jama.293.10.1261</w:t>
        </w:r>
      </w:hyperlink>
      <w:r w:rsidRPr="00F0145C">
        <w:t xml:space="preserve"> (Accessed:1/3/2023).</w:t>
      </w:r>
    </w:p>
    <w:p w14:paraId="2D63C915" w14:textId="516A7F35" w:rsidR="00F0145C" w:rsidRPr="00F0145C" w:rsidRDefault="00F0145C" w:rsidP="00F0145C">
      <w:pPr>
        <w:pStyle w:val="EndNoteBibliography"/>
        <w:ind w:left="720" w:hanging="720"/>
      </w:pPr>
      <w:r w:rsidRPr="00F0145C">
        <w:t>World Health Organization (2019) '</w:t>
      </w:r>
      <w:r w:rsidRPr="00F0145C">
        <w:rPr>
          <w:i/>
        </w:rPr>
        <w:t>Medication safety in transitions of care: technical report</w:t>
      </w:r>
      <w:r w:rsidRPr="00F0145C">
        <w:t>'. Available at:</w:t>
      </w:r>
      <w:hyperlink r:id="rId51" w:history="1">
        <w:r w:rsidRPr="00F0145C">
          <w:rPr>
            <w:rStyle w:val="Hyperlink"/>
          </w:rPr>
          <w:t>https://www.who.int/initiatives/medication-without-harm</w:t>
        </w:r>
      </w:hyperlink>
      <w:r w:rsidRPr="00F0145C">
        <w:t xml:space="preserve"> (Accessed:04/04/2022)</w:t>
      </w:r>
    </w:p>
    <w:p w14:paraId="1C47930F" w14:textId="11455F40" w:rsidR="00002CE2" w:rsidRPr="00D27F57" w:rsidRDefault="009C1644" w:rsidP="00D27F57">
      <w:pPr>
        <w:pStyle w:val="NoSpacing"/>
      </w:pPr>
      <w:r>
        <w:fldChar w:fldCharType="end"/>
      </w:r>
      <w:r w:rsidR="00E8533D">
        <w:fldChar w:fldCharType="begin"/>
      </w:r>
      <w:r w:rsidR="00E8533D">
        <w:instrText xml:space="preserve"> ADDIN </w:instrText>
      </w:r>
      <w:r w:rsidR="00E8533D">
        <w:fldChar w:fldCharType="end"/>
      </w:r>
    </w:p>
    <w:sectPr w:rsidR="00002CE2" w:rsidRPr="00D27F57" w:rsidSect="000F0ED9">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47306" w14:textId="77777777" w:rsidR="005D63B0" w:rsidRDefault="005D63B0" w:rsidP="006355FF">
      <w:pPr>
        <w:spacing w:after="0" w:line="240" w:lineRule="auto"/>
      </w:pPr>
      <w:r>
        <w:separator/>
      </w:r>
    </w:p>
  </w:endnote>
  <w:endnote w:type="continuationSeparator" w:id="0">
    <w:p w14:paraId="5A03627E" w14:textId="77777777" w:rsidR="005D63B0" w:rsidRDefault="005D63B0" w:rsidP="006355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1B719" w14:textId="77777777" w:rsidR="005D63B0" w:rsidRDefault="005D63B0" w:rsidP="006355FF">
      <w:pPr>
        <w:spacing w:after="0" w:line="240" w:lineRule="auto"/>
      </w:pPr>
      <w:r>
        <w:separator/>
      </w:r>
    </w:p>
  </w:footnote>
  <w:footnote w:type="continuationSeparator" w:id="0">
    <w:p w14:paraId="68EB8861" w14:textId="77777777" w:rsidR="005D63B0" w:rsidRDefault="005D63B0" w:rsidP="006355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0167343"/>
      <w:docPartObj>
        <w:docPartGallery w:val="Page Numbers (Top of Page)"/>
        <w:docPartUnique/>
      </w:docPartObj>
    </w:sdtPr>
    <w:sdtContent>
      <w:p w14:paraId="0C2D7BE4" w14:textId="77777777" w:rsidR="00C77686" w:rsidRDefault="00C77686" w:rsidP="00C7768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3</w:t>
        </w:r>
        <w:r>
          <w:rPr>
            <w:rStyle w:val="PageNumber"/>
          </w:rPr>
          <w:fldChar w:fldCharType="end"/>
        </w:r>
      </w:p>
    </w:sdtContent>
  </w:sdt>
  <w:p w14:paraId="6F98D982" w14:textId="3F5071E0" w:rsidR="00782322" w:rsidRDefault="003D431A">
    <w:pPr>
      <w:pStyle w:val="Header"/>
    </w:pPr>
    <w:r>
      <w:t xml:space="preserve">James Goddard </w:t>
    </w:r>
    <w:r w:rsidR="00C77686">
      <w:t>2111623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247B9"/>
    <w:multiLevelType w:val="hybridMultilevel"/>
    <w:tmpl w:val="E25443C0"/>
    <w:lvl w:ilvl="0" w:tplc="3DF6632A">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15F16"/>
    <w:multiLevelType w:val="multilevel"/>
    <w:tmpl w:val="28E06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11159D"/>
    <w:multiLevelType w:val="hybridMultilevel"/>
    <w:tmpl w:val="1F9E5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E5645B"/>
    <w:multiLevelType w:val="hybridMultilevel"/>
    <w:tmpl w:val="63A2B0B0"/>
    <w:lvl w:ilvl="0" w:tplc="859AD4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F67FEE"/>
    <w:multiLevelType w:val="multilevel"/>
    <w:tmpl w:val="46BE5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5E2717"/>
    <w:multiLevelType w:val="hybridMultilevel"/>
    <w:tmpl w:val="CD861CDC"/>
    <w:lvl w:ilvl="0" w:tplc="0D420680">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4B55AE"/>
    <w:multiLevelType w:val="multilevel"/>
    <w:tmpl w:val="74AC7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47C2243"/>
    <w:multiLevelType w:val="multilevel"/>
    <w:tmpl w:val="50A0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683422"/>
    <w:multiLevelType w:val="hybridMultilevel"/>
    <w:tmpl w:val="8CC4B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4001726">
    <w:abstractNumId w:val="5"/>
  </w:num>
  <w:num w:numId="2" w16cid:durableId="1718779565">
    <w:abstractNumId w:val="2"/>
  </w:num>
  <w:num w:numId="3" w16cid:durableId="1147863917">
    <w:abstractNumId w:val="7"/>
  </w:num>
  <w:num w:numId="4" w16cid:durableId="147985480">
    <w:abstractNumId w:val="6"/>
  </w:num>
  <w:num w:numId="5" w16cid:durableId="963199892">
    <w:abstractNumId w:val="3"/>
  </w:num>
  <w:num w:numId="6" w16cid:durableId="91095737">
    <w:abstractNumId w:val="0"/>
  </w:num>
  <w:num w:numId="7" w16cid:durableId="2049640579">
    <w:abstractNumId w:val="8"/>
  </w:num>
  <w:num w:numId="8" w16cid:durableId="1264797580">
    <w:abstractNumId w:val="4"/>
    <w:lvlOverride w:ilvl="0">
      <w:startOverride w:val="1"/>
    </w:lvlOverride>
  </w:num>
  <w:num w:numId="9" w16cid:durableId="84189310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0&lt;/Enabled&gt;&lt;ScanUnformatted&gt;1&lt;/ScanUnformatted&gt;&lt;ScanChanges&gt;1&lt;/ScanChanges&gt;&lt;Suspended&gt;0&lt;/Suspended&gt;&lt;/ENInstantFormat&gt;"/>
    <w:docVar w:name="EN.Layout" w:val="&lt;ENLayout&gt;&lt;Style&gt;Harvard UWTSD&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xra20f03dt20kepwrwvfa0mvpxxeeezfaaz&quot;&gt;My EndNote Library&lt;record-ids&gt;&lt;item&gt;42&lt;/item&gt;&lt;item&gt;48&lt;/item&gt;&lt;item&gt;132&lt;/item&gt;&lt;item&gt;136&lt;/item&gt;&lt;item&gt;210&lt;/item&gt;&lt;item&gt;219&lt;/item&gt;&lt;item&gt;245&lt;/item&gt;&lt;item&gt;282&lt;/item&gt;&lt;item&gt;283&lt;/item&gt;&lt;item&gt;315&lt;/item&gt;&lt;item&gt;316&lt;/item&gt;&lt;item&gt;348&lt;/item&gt;&lt;item&gt;365&lt;/item&gt;&lt;item&gt;366&lt;/item&gt;&lt;item&gt;369&lt;/item&gt;&lt;item&gt;372&lt;/item&gt;&lt;item&gt;373&lt;/item&gt;&lt;item&gt;374&lt;/item&gt;&lt;item&gt;375&lt;/item&gt;&lt;item&gt;383&lt;/item&gt;&lt;item&gt;390&lt;/item&gt;&lt;item&gt;391&lt;/item&gt;&lt;item&gt;393&lt;/item&gt;&lt;item&gt;395&lt;/item&gt;&lt;item&gt;396&lt;/item&gt;&lt;item&gt;397&lt;/item&gt;&lt;item&gt;398&lt;/item&gt;&lt;item&gt;399&lt;/item&gt;&lt;item&gt;457&lt;/item&gt;&lt;item&gt;476&lt;/item&gt;&lt;item&gt;502&lt;/item&gt;&lt;item&gt;503&lt;/item&gt;&lt;item&gt;504&lt;/item&gt;&lt;item&gt;505&lt;/item&gt;&lt;item&gt;506&lt;/item&gt;&lt;item&gt;507&lt;/item&gt;&lt;item&gt;510&lt;/item&gt;&lt;item&gt;511&lt;/item&gt;&lt;item&gt;513&lt;/item&gt;&lt;item&gt;514&lt;/item&gt;&lt;item&gt;515&lt;/item&gt;&lt;item&gt;516&lt;/item&gt;&lt;item&gt;517&lt;/item&gt;&lt;item&gt;518&lt;/item&gt;&lt;item&gt;520&lt;/item&gt;&lt;item&gt;522&lt;/item&gt;&lt;item&gt;523&lt;/item&gt;&lt;item&gt;525&lt;/item&gt;&lt;item&gt;526&lt;/item&gt;&lt;item&gt;527&lt;/item&gt;&lt;item&gt;528&lt;/item&gt;&lt;item&gt;529&lt;/item&gt;&lt;/record-ids&gt;&lt;/item&gt;&lt;/Libraries&gt;"/>
  </w:docVars>
  <w:rsids>
    <w:rsidRoot w:val="006519AD"/>
    <w:rsid w:val="00000C1E"/>
    <w:rsid w:val="0000430C"/>
    <w:rsid w:val="000046E1"/>
    <w:rsid w:val="000047F8"/>
    <w:rsid w:val="0000557C"/>
    <w:rsid w:val="0000561A"/>
    <w:rsid w:val="000063A2"/>
    <w:rsid w:val="00007EA6"/>
    <w:rsid w:val="00011585"/>
    <w:rsid w:val="00011988"/>
    <w:rsid w:val="000124FD"/>
    <w:rsid w:val="000127EE"/>
    <w:rsid w:val="00014D29"/>
    <w:rsid w:val="000175A2"/>
    <w:rsid w:val="00017B5B"/>
    <w:rsid w:val="00017D3A"/>
    <w:rsid w:val="00017EA0"/>
    <w:rsid w:val="00022359"/>
    <w:rsid w:val="00023FFC"/>
    <w:rsid w:val="00024579"/>
    <w:rsid w:val="0002474B"/>
    <w:rsid w:val="00024BA9"/>
    <w:rsid w:val="0002565D"/>
    <w:rsid w:val="00026162"/>
    <w:rsid w:val="00026ADA"/>
    <w:rsid w:val="00026B42"/>
    <w:rsid w:val="000308EB"/>
    <w:rsid w:val="00030CC5"/>
    <w:rsid w:val="0003264A"/>
    <w:rsid w:val="00032A6D"/>
    <w:rsid w:val="00033BEB"/>
    <w:rsid w:val="00034B9E"/>
    <w:rsid w:val="00036573"/>
    <w:rsid w:val="000369DE"/>
    <w:rsid w:val="0003754B"/>
    <w:rsid w:val="00037E1F"/>
    <w:rsid w:val="00041120"/>
    <w:rsid w:val="0004180B"/>
    <w:rsid w:val="00041F26"/>
    <w:rsid w:val="00042863"/>
    <w:rsid w:val="00043962"/>
    <w:rsid w:val="000439C9"/>
    <w:rsid w:val="00045598"/>
    <w:rsid w:val="000456C7"/>
    <w:rsid w:val="0004570F"/>
    <w:rsid w:val="00046350"/>
    <w:rsid w:val="000473A2"/>
    <w:rsid w:val="0005049D"/>
    <w:rsid w:val="00050F6B"/>
    <w:rsid w:val="00051BD6"/>
    <w:rsid w:val="0005226E"/>
    <w:rsid w:val="000539B8"/>
    <w:rsid w:val="00054D46"/>
    <w:rsid w:val="00054F7D"/>
    <w:rsid w:val="00055502"/>
    <w:rsid w:val="000561CE"/>
    <w:rsid w:val="00057930"/>
    <w:rsid w:val="00057BFE"/>
    <w:rsid w:val="00061864"/>
    <w:rsid w:val="00061D47"/>
    <w:rsid w:val="00062086"/>
    <w:rsid w:val="0006249E"/>
    <w:rsid w:val="00062807"/>
    <w:rsid w:val="00065813"/>
    <w:rsid w:val="00065AC3"/>
    <w:rsid w:val="00065F0F"/>
    <w:rsid w:val="000717E5"/>
    <w:rsid w:val="00071A04"/>
    <w:rsid w:val="00071A85"/>
    <w:rsid w:val="00073F29"/>
    <w:rsid w:val="000740CA"/>
    <w:rsid w:val="00074AF1"/>
    <w:rsid w:val="00077DAF"/>
    <w:rsid w:val="00081BA8"/>
    <w:rsid w:val="00082030"/>
    <w:rsid w:val="00082552"/>
    <w:rsid w:val="0008293D"/>
    <w:rsid w:val="00082D50"/>
    <w:rsid w:val="000831A2"/>
    <w:rsid w:val="000837DC"/>
    <w:rsid w:val="000838D7"/>
    <w:rsid w:val="00083D72"/>
    <w:rsid w:val="00083E45"/>
    <w:rsid w:val="00084E8F"/>
    <w:rsid w:val="00085108"/>
    <w:rsid w:val="00085363"/>
    <w:rsid w:val="00085536"/>
    <w:rsid w:val="000865D2"/>
    <w:rsid w:val="000865F9"/>
    <w:rsid w:val="000903EB"/>
    <w:rsid w:val="00090CE6"/>
    <w:rsid w:val="00090D9C"/>
    <w:rsid w:val="00092930"/>
    <w:rsid w:val="00092FD2"/>
    <w:rsid w:val="0009325A"/>
    <w:rsid w:val="00094251"/>
    <w:rsid w:val="0009489A"/>
    <w:rsid w:val="000955AD"/>
    <w:rsid w:val="00095692"/>
    <w:rsid w:val="00095DFD"/>
    <w:rsid w:val="000967F9"/>
    <w:rsid w:val="000A0EE2"/>
    <w:rsid w:val="000A14DB"/>
    <w:rsid w:val="000A165C"/>
    <w:rsid w:val="000A2665"/>
    <w:rsid w:val="000A2759"/>
    <w:rsid w:val="000A4B0D"/>
    <w:rsid w:val="000A5F49"/>
    <w:rsid w:val="000A60B2"/>
    <w:rsid w:val="000A6226"/>
    <w:rsid w:val="000A6933"/>
    <w:rsid w:val="000A6B14"/>
    <w:rsid w:val="000A78B6"/>
    <w:rsid w:val="000B001D"/>
    <w:rsid w:val="000B2369"/>
    <w:rsid w:val="000B27D9"/>
    <w:rsid w:val="000B302E"/>
    <w:rsid w:val="000B531A"/>
    <w:rsid w:val="000B539F"/>
    <w:rsid w:val="000B593C"/>
    <w:rsid w:val="000B6889"/>
    <w:rsid w:val="000B6DAF"/>
    <w:rsid w:val="000B6FB7"/>
    <w:rsid w:val="000B7F42"/>
    <w:rsid w:val="000C3300"/>
    <w:rsid w:val="000C3855"/>
    <w:rsid w:val="000C5272"/>
    <w:rsid w:val="000C5F44"/>
    <w:rsid w:val="000C6284"/>
    <w:rsid w:val="000C6801"/>
    <w:rsid w:val="000C70EB"/>
    <w:rsid w:val="000C75CA"/>
    <w:rsid w:val="000C763F"/>
    <w:rsid w:val="000D135D"/>
    <w:rsid w:val="000D654A"/>
    <w:rsid w:val="000D74C7"/>
    <w:rsid w:val="000E085C"/>
    <w:rsid w:val="000E0D01"/>
    <w:rsid w:val="000E1488"/>
    <w:rsid w:val="000E4131"/>
    <w:rsid w:val="000E5054"/>
    <w:rsid w:val="000E58E5"/>
    <w:rsid w:val="000E6127"/>
    <w:rsid w:val="000E701D"/>
    <w:rsid w:val="000F0B1D"/>
    <w:rsid w:val="000F0BC7"/>
    <w:rsid w:val="000F0ED9"/>
    <w:rsid w:val="000F11BC"/>
    <w:rsid w:val="000F2C05"/>
    <w:rsid w:val="000F2E9A"/>
    <w:rsid w:val="000F35A7"/>
    <w:rsid w:val="000F4197"/>
    <w:rsid w:val="000F4FEA"/>
    <w:rsid w:val="000F56C5"/>
    <w:rsid w:val="000F7D79"/>
    <w:rsid w:val="00101BEB"/>
    <w:rsid w:val="00102697"/>
    <w:rsid w:val="001038E4"/>
    <w:rsid w:val="00104265"/>
    <w:rsid w:val="00105BEB"/>
    <w:rsid w:val="00107AB1"/>
    <w:rsid w:val="00107B21"/>
    <w:rsid w:val="00110D81"/>
    <w:rsid w:val="00112183"/>
    <w:rsid w:val="00112E78"/>
    <w:rsid w:val="00113799"/>
    <w:rsid w:val="0011552F"/>
    <w:rsid w:val="00115E37"/>
    <w:rsid w:val="00116593"/>
    <w:rsid w:val="00116F39"/>
    <w:rsid w:val="0011745C"/>
    <w:rsid w:val="00117ED3"/>
    <w:rsid w:val="001222EE"/>
    <w:rsid w:val="00122324"/>
    <w:rsid w:val="00122A33"/>
    <w:rsid w:val="00122AA3"/>
    <w:rsid w:val="00122DB7"/>
    <w:rsid w:val="001237F1"/>
    <w:rsid w:val="00124BD6"/>
    <w:rsid w:val="001253EE"/>
    <w:rsid w:val="00125772"/>
    <w:rsid w:val="001268E1"/>
    <w:rsid w:val="001303F2"/>
    <w:rsid w:val="00130C9A"/>
    <w:rsid w:val="00130EAA"/>
    <w:rsid w:val="00133ADE"/>
    <w:rsid w:val="00134ABE"/>
    <w:rsid w:val="001355AB"/>
    <w:rsid w:val="00135E5C"/>
    <w:rsid w:val="001367C2"/>
    <w:rsid w:val="001368B9"/>
    <w:rsid w:val="0013720C"/>
    <w:rsid w:val="001379E5"/>
    <w:rsid w:val="00140F2B"/>
    <w:rsid w:val="00142E21"/>
    <w:rsid w:val="0014675B"/>
    <w:rsid w:val="0014687D"/>
    <w:rsid w:val="00151008"/>
    <w:rsid w:val="001514E0"/>
    <w:rsid w:val="0015150C"/>
    <w:rsid w:val="00151ECB"/>
    <w:rsid w:val="00153087"/>
    <w:rsid w:val="00155267"/>
    <w:rsid w:val="001558BD"/>
    <w:rsid w:val="00155BB3"/>
    <w:rsid w:val="00156CA2"/>
    <w:rsid w:val="00157316"/>
    <w:rsid w:val="00157B7F"/>
    <w:rsid w:val="001608EE"/>
    <w:rsid w:val="00161DA4"/>
    <w:rsid w:val="00162D51"/>
    <w:rsid w:val="00164535"/>
    <w:rsid w:val="00164D1B"/>
    <w:rsid w:val="00164F68"/>
    <w:rsid w:val="001651FE"/>
    <w:rsid w:val="0016562C"/>
    <w:rsid w:val="00167321"/>
    <w:rsid w:val="0017041A"/>
    <w:rsid w:val="00171283"/>
    <w:rsid w:val="001715A6"/>
    <w:rsid w:val="00172495"/>
    <w:rsid w:val="00172D01"/>
    <w:rsid w:val="00172E39"/>
    <w:rsid w:val="00173699"/>
    <w:rsid w:val="00174948"/>
    <w:rsid w:val="00177AC8"/>
    <w:rsid w:val="0018597C"/>
    <w:rsid w:val="0018671E"/>
    <w:rsid w:val="001904D6"/>
    <w:rsid w:val="0019319C"/>
    <w:rsid w:val="001946C5"/>
    <w:rsid w:val="00195CA4"/>
    <w:rsid w:val="001967D6"/>
    <w:rsid w:val="00196D6B"/>
    <w:rsid w:val="00197CEE"/>
    <w:rsid w:val="00197EA9"/>
    <w:rsid w:val="001A05B0"/>
    <w:rsid w:val="001A0FAD"/>
    <w:rsid w:val="001A17BD"/>
    <w:rsid w:val="001A345A"/>
    <w:rsid w:val="001A3942"/>
    <w:rsid w:val="001A3A39"/>
    <w:rsid w:val="001A542B"/>
    <w:rsid w:val="001A5DBA"/>
    <w:rsid w:val="001A7812"/>
    <w:rsid w:val="001B0883"/>
    <w:rsid w:val="001B132E"/>
    <w:rsid w:val="001B2505"/>
    <w:rsid w:val="001B3199"/>
    <w:rsid w:val="001B5A8E"/>
    <w:rsid w:val="001B77C0"/>
    <w:rsid w:val="001C15EA"/>
    <w:rsid w:val="001C161B"/>
    <w:rsid w:val="001C47F0"/>
    <w:rsid w:val="001C48A7"/>
    <w:rsid w:val="001C48F6"/>
    <w:rsid w:val="001C4E97"/>
    <w:rsid w:val="001C5981"/>
    <w:rsid w:val="001C5F5D"/>
    <w:rsid w:val="001C5FEB"/>
    <w:rsid w:val="001C6841"/>
    <w:rsid w:val="001C71F5"/>
    <w:rsid w:val="001D096A"/>
    <w:rsid w:val="001D384E"/>
    <w:rsid w:val="001D420D"/>
    <w:rsid w:val="001D536F"/>
    <w:rsid w:val="001D5553"/>
    <w:rsid w:val="001D5F3D"/>
    <w:rsid w:val="001D6BC2"/>
    <w:rsid w:val="001D7CFB"/>
    <w:rsid w:val="001E0A1B"/>
    <w:rsid w:val="001E1B19"/>
    <w:rsid w:val="001E2885"/>
    <w:rsid w:val="001E4477"/>
    <w:rsid w:val="001E5CBD"/>
    <w:rsid w:val="001E6094"/>
    <w:rsid w:val="001E72CF"/>
    <w:rsid w:val="001E7577"/>
    <w:rsid w:val="001E7BB7"/>
    <w:rsid w:val="001F23A9"/>
    <w:rsid w:val="001F3A86"/>
    <w:rsid w:val="001F3CE5"/>
    <w:rsid w:val="001F4823"/>
    <w:rsid w:val="001F4F09"/>
    <w:rsid w:val="001F54BC"/>
    <w:rsid w:val="001F7223"/>
    <w:rsid w:val="00201E8E"/>
    <w:rsid w:val="00202B46"/>
    <w:rsid w:val="0020300C"/>
    <w:rsid w:val="00203F23"/>
    <w:rsid w:val="002040EC"/>
    <w:rsid w:val="00204456"/>
    <w:rsid w:val="0020472C"/>
    <w:rsid w:val="00206719"/>
    <w:rsid w:val="0020780D"/>
    <w:rsid w:val="002079EE"/>
    <w:rsid w:val="002112F4"/>
    <w:rsid w:val="00213076"/>
    <w:rsid w:val="00213D51"/>
    <w:rsid w:val="00215B4B"/>
    <w:rsid w:val="00220920"/>
    <w:rsid w:val="00220CB6"/>
    <w:rsid w:val="00224702"/>
    <w:rsid w:val="00225AFA"/>
    <w:rsid w:val="00227845"/>
    <w:rsid w:val="002325BE"/>
    <w:rsid w:val="00234987"/>
    <w:rsid w:val="002362BD"/>
    <w:rsid w:val="0024115A"/>
    <w:rsid w:val="0024196F"/>
    <w:rsid w:val="00242D53"/>
    <w:rsid w:val="00245457"/>
    <w:rsid w:val="00246AC7"/>
    <w:rsid w:val="0025001C"/>
    <w:rsid w:val="00250B79"/>
    <w:rsid w:val="00252C4F"/>
    <w:rsid w:val="00253120"/>
    <w:rsid w:val="00254D0D"/>
    <w:rsid w:val="002566A0"/>
    <w:rsid w:val="00257F5E"/>
    <w:rsid w:val="00261645"/>
    <w:rsid w:val="00261ADD"/>
    <w:rsid w:val="0026226B"/>
    <w:rsid w:val="00263950"/>
    <w:rsid w:val="002656AB"/>
    <w:rsid w:val="00266B83"/>
    <w:rsid w:val="0027083C"/>
    <w:rsid w:val="00270A74"/>
    <w:rsid w:val="00270BE7"/>
    <w:rsid w:val="0027135B"/>
    <w:rsid w:val="002727A6"/>
    <w:rsid w:val="00273132"/>
    <w:rsid w:val="002731E3"/>
    <w:rsid w:val="0027346F"/>
    <w:rsid w:val="00274335"/>
    <w:rsid w:val="002746B3"/>
    <w:rsid w:val="002747AD"/>
    <w:rsid w:val="00274F1B"/>
    <w:rsid w:val="00275CD9"/>
    <w:rsid w:val="00280BEB"/>
    <w:rsid w:val="00280C49"/>
    <w:rsid w:val="00280F82"/>
    <w:rsid w:val="0028129E"/>
    <w:rsid w:val="00281F4A"/>
    <w:rsid w:val="0028695F"/>
    <w:rsid w:val="00286987"/>
    <w:rsid w:val="00286A5A"/>
    <w:rsid w:val="00286D40"/>
    <w:rsid w:val="00290025"/>
    <w:rsid w:val="002916A3"/>
    <w:rsid w:val="002917C7"/>
    <w:rsid w:val="00291A0A"/>
    <w:rsid w:val="00293977"/>
    <w:rsid w:val="00294931"/>
    <w:rsid w:val="0029613D"/>
    <w:rsid w:val="002A1CF6"/>
    <w:rsid w:val="002A2846"/>
    <w:rsid w:val="002A2EF7"/>
    <w:rsid w:val="002A35A5"/>
    <w:rsid w:val="002A4529"/>
    <w:rsid w:val="002A4CF4"/>
    <w:rsid w:val="002A637E"/>
    <w:rsid w:val="002A6C07"/>
    <w:rsid w:val="002A6C22"/>
    <w:rsid w:val="002A7526"/>
    <w:rsid w:val="002A7B68"/>
    <w:rsid w:val="002A7F1A"/>
    <w:rsid w:val="002A7F80"/>
    <w:rsid w:val="002B03E9"/>
    <w:rsid w:val="002B4404"/>
    <w:rsid w:val="002B4589"/>
    <w:rsid w:val="002B4B13"/>
    <w:rsid w:val="002B60AD"/>
    <w:rsid w:val="002C023A"/>
    <w:rsid w:val="002C14C0"/>
    <w:rsid w:val="002C1F78"/>
    <w:rsid w:val="002C3F21"/>
    <w:rsid w:val="002C426C"/>
    <w:rsid w:val="002C596D"/>
    <w:rsid w:val="002C5D2B"/>
    <w:rsid w:val="002C7DBC"/>
    <w:rsid w:val="002D159D"/>
    <w:rsid w:val="002D1A0E"/>
    <w:rsid w:val="002D2CCD"/>
    <w:rsid w:val="002D4511"/>
    <w:rsid w:val="002D458C"/>
    <w:rsid w:val="002D5DF4"/>
    <w:rsid w:val="002D652C"/>
    <w:rsid w:val="002D6A6F"/>
    <w:rsid w:val="002D7DDE"/>
    <w:rsid w:val="002E0119"/>
    <w:rsid w:val="002E4D5F"/>
    <w:rsid w:val="002E4F0A"/>
    <w:rsid w:val="002E6DAC"/>
    <w:rsid w:val="002E740F"/>
    <w:rsid w:val="002E781F"/>
    <w:rsid w:val="002F0F73"/>
    <w:rsid w:val="002F55DA"/>
    <w:rsid w:val="002F5BA0"/>
    <w:rsid w:val="002F78F9"/>
    <w:rsid w:val="00300633"/>
    <w:rsid w:val="00301E82"/>
    <w:rsid w:val="00302055"/>
    <w:rsid w:val="0030750D"/>
    <w:rsid w:val="00307D8C"/>
    <w:rsid w:val="00312509"/>
    <w:rsid w:val="00312682"/>
    <w:rsid w:val="0031308B"/>
    <w:rsid w:val="00313CC5"/>
    <w:rsid w:val="0031503C"/>
    <w:rsid w:val="003150D4"/>
    <w:rsid w:val="00315B5C"/>
    <w:rsid w:val="00323936"/>
    <w:rsid w:val="00326323"/>
    <w:rsid w:val="00330232"/>
    <w:rsid w:val="003302FD"/>
    <w:rsid w:val="0033108F"/>
    <w:rsid w:val="00331481"/>
    <w:rsid w:val="00331D6A"/>
    <w:rsid w:val="0033461D"/>
    <w:rsid w:val="003375C1"/>
    <w:rsid w:val="00340553"/>
    <w:rsid w:val="003412A7"/>
    <w:rsid w:val="00341733"/>
    <w:rsid w:val="00341C2A"/>
    <w:rsid w:val="00342803"/>
    <w:rsid w:val="00343700"/>
    <w:rsid w:val="003451B2"/>
    <w:rsid w:val="00345C81"/>
    <w:rsid w:val="0034678C"/>
    <w:rsid w:val="0034754F"/>
    <w:rsid w:val="00347E9E"/>
    <w:rsid w:val="003517DB"/>
    <w:rsid w:val="00353CF8"/>
    <w:rsid w:val="00354E75"/>
    <w:rsid w:val="00355310"/>
    <w:rsid w:val="00357137"/>
    <w:rsid w:val="00357B5F"/>
    <w:rsid w:val="0036078C"/>
    <w:rsid w:val="00361C0B"/>
    <w:rsid w:val="00362988"/>
    <w:rsid w:val="00362C66"/>
    <w:rsid w:val="00363231"/>
    <w:rsid w:val="00363319"/>
    <w:rsid w:val="003634B3"/>
    <w:rsid w:val="0036468C"/>
    <w:rsid w:val="00364BEE"/>
    <w:rsid w:val="0036565F"/>
    <w:rsid w:val="00367582"/>
    <w:rsid w:val="003675A5"/>
    <w:rsid w:val="0037061A"/>
    <w:rsid w:val="00370B38"/>
    <w:rsid w:val="00370C6F"/>
    <w:rsid w:val="00371CCF"/>
    <w:rsid w:val="003724E0"/>
    <w:rsid w:val="0037295E"/>
    <w:rsid w:val="00372CB2"/>
    <w:rsid w:val="00373230"/>
    <w:rsid w:val="00380518"/>
    <w:rsid w:val="00381BFD"/>
    <w:rsid w:val="00382134"/>
    <w:rsid w:val="003830BF"/>
    <w:rsid w:val="00385BF1"/>
    <w:rsid w:val="0038694A"/>
    <w:rsid w:val="00387BE4"/>
    <w:rsid w:val="00390766"/>
    <w:rsid w:val="00391AD1"/>
    <w:rsid w:val="00392078"/>
    <w:rsid w:val="003926AF"/>
    <w:rsid w:val="003932A0"/>
    <w:rsid w:val="003947A4"/>
    <w:rsid w:val="003947B6"/>
    <w:rsid w:val="0039493F"/>
    <w:rsid w:val="00394AE2"/>
    <w:rsid w:val="003957D9"/>
    <w:rsid w:val="00396B6C"/>
    <w:rsid w:val="00396CEB"/>
    <w:rsid w:val="00397DF4"/>
    <w:rsid w:val="00397FF1"/>
    <w:rsid w:val="003A199A"/>
    <w:rsid w:val="003A2838"/>
    <w:rsid w:val="003A3CCC"/>
    <w:rsid w:val="003A6417"/>
    <w:rsid w:val="003B13EA"/>
    <w:rsid w:val="003B1ED3"/>
    <w:rsid w:val="003B24F6"/>
    <w:rsid w:val="003B40D0"/>
    <w:rsid w:val="003B6976"/>
    <w:rsid w:val="003C1E12"/>
    <w:rsid w:val="003C36BA"/>
    <w:rsid w:val="003C3CE4"/>
    <w:rsid w:val="003C437D"/>
    <w:rsid w:val="003C4A0E"/>
    <w:rsid w:val="003C5E3C"/>
    <w:rsid w:val="003C61D5"/>
    <w:rsid w:val="003C62B2"/>
    <w:rsid w:val="003C69DE"/>
    <w:rsid w:val="003C6F51"/>
    <w:rsid w:val="003C7176"/>
    <w:rsid w:val="003C741B"/>
    <w:rsid w:val="003D30E4"/>
    <w:rsid w:val="003D431A"/>
    <w:rsid w:val="003D4869"/>
    <w:rsid w:val="003D5C7E"/>
    <w:rsid w:val="003D5F8E"/>
    <w:rsid w:val="003D61CA"/>
    <w:rsid w:val="003D6342"/>
    <w:rsid w:val="003D7254"/>
    <w:rsid w:val="003E1B3A"/>
    <w:rsid w:val="003E2418"/>
    <w:rsid w:val="003E3560"/>
    <w:rsid w:val="003E4393"/>
    <w:rsid w:val="003E6215"/>
    <w:rsid w:val="003E6304"/>
    <w:rsid w:val="003E6386"/>
    <w:rsid w:val="003E638F"/>
    <w:rsid w:val="003E683C"/>
    <w:rsid w:val="003E7AF8"/>
    <w:rsid w:val="003F2052"/>
    <w:rsid w:val="003F3661"/>
    <w:rsid w:val="003F3F8E"/>
    <w:rsid w:val="003F4236"/>
    <w:rsid w:val="003F4343"/>
    <w:rsid w:val="003F4F37"/>
    <w:rsid w:val="003F5BA0"/>
    <w:rsid w:val="003F71C2"/>
    <w:rsid w:val="00401239"/>
    <w:rsid w:val="00401BA4"/>
    <w:rsid w:val="004047DB"/>
    <w:rsid w:val="004074AE"/>
    <w:rsid w:val="004112B1"/>
    <w:rsid w:val="00411656"/>
    <w:rsid w:val="00412CF1"/>
    <w:rsid w:val="00412ED3"/>
    <w:rsid w:val="00413FFA"/>
    <w:rsid w:val="00420E5E"/>
    <w:rsid w:val="00422A74"/>
    <w:rsid w:val="00423630"/>
    <w:rsid w:val="00424E05"/>
    <w:rsid w:val="0042589E"/>
    <w:rsid w:val="00426656"/>
    <w:rsid w:val="004268C1"/>
    <w:rsid w:val="004269E3"/>
    <w:rsid w:val="004277FE"/>
    <w:rsid w:val="004312EF"/>
    <w:rsid w:val="004319C1"/>
    <w:rsid w:val="004331A7"/>
    <w:rsid w:val="004340AA"/>
    <w:rsid w:val="004345D2"/>
    <w:rsid w:val="0043782F"/>
    <w:rsid w:val="0043792B"/>
    <w:rsid w:val="00437C6F"/>
    <w:rsid w:val="004411C4"/>
    <w:rsid w:val="00442E30"/>
    <w:rsid w:val="00443B37"/>
    <w:rsid w:val="00447873"/>
    <w:rsid w:val="00450FC0"/>
    <w:rsid w:val="00450FC4"/>
    <w:rsid w:val="004527EE"/>
    <w:rsid w:val="00452CE7"/>
    <w:rsid w:val="00453038"/>
    <w:rsid w:val="00453F61"/>
    <w:rsid w:val="004544B3"/>
    <w:rsid w:val="00455953"/>
    <w:rsid w:val="0045633B"/>
    <w:rsid w:val="00457AE1"/>
    <w:rsid w:val="00460524"/>
    <w:rsid w:val="00460672"/>
    <w:rsid w:val="004622EA"/>
    <w:rsid w:val="00462A39"/>
    <w:rsid w:val="004671AE"/>
    <w:rsid w:val="00467BAB"/>
    <w:rsid w:val="00467CF3"/>
    <w:rsid w:val="00467FD7"/>
    <w:rsid w:val="00470657"/>
    <w:rsid w:val="00471A48"/>
    <w:rsid w:val="00471B25"/>
    <w:rsid w:val="00472B55"/>
    <w:rsid w:val="00472E70"/>
    <w:rsid w:val="004733AB"/>
    <w:rsid w:val="0047394B"/>
    <w:rsid w:val="00475199"/>
    <w:rsid w:val="00475EBF"/>
    <w:rsid w:val="00480B0C"/>
    <w:rsid w:val="0048168A"/>
    <w:rsid w:val="00481AA4"/>
    <w:rsid w:val="004837F0"/>
    <w:rsid w:val="00483A8A"/>
    <w:rsid w:val="004840BC"/>
    <w:rsid w:val="0048627D"/>
    <w:rsid w:val="004862FA"/>
    <w:rsid w:val="00486381"/>
    <w:rsid w:val="00486D9F"/>
    <w:rsid w:val="00490F7C"/>
    <w:rsid w:val="0049192D"/>
    <w:rsid w:val="0049259E"/>
    <w:rsid w:val="00495AB9"/>
    <w:rsid w:val="00495B77"/>
    <w:rsid w:val="00495D93"/>
    <w:rsid w:val="00496936"/>
    <w:rsid w:val="004970C4"/>
    <w:rsid w:val="004979B3"/>
    <w:rsid w:val="004A1518"/>
    <w:rsid w:val="004A2029"/>
    <w:rsid w:val="004A2CE4"/>
    <w:rsid w:val="004A347A"/>
    <w:rsid w:val="004A3F3E"/>
    <w:rsid w:val="004A4651"/>
    <w:rsid w:val="004A7A66"/>
    <w:rsid w:val="004B041C"/>
    <w:rsid w:val="004B1B45"/>
    <w:rsid w:val="004B1C83"/>
    <w:rsid w:val="004B32ED"/>
    <w:rsid w:val="004B4BF5"/>
    <w:rsid w:val="004B68AE"/>
    <w:rsid w:val="004B7815"/>
    <w:rsid w:val="004C1F74"/>
    <w:rsid w:val="004C30FD"/>
    <w:rsid w:val="004C3800"/>
    <w:rsid w:val="004C38AB"/>
    <w:rsid w:val="004C3FA6"/>
    <w:rsid w:val="004C4BA3"/>
    <w:rsid w:val="004C634D"/>
    <w:rsid w:val="004D0B6C"/>
    <w:rsid w:val="004D16FC"/>
    <w:rsid w:val="004D3BBF"/>
    <w:rsid w:val="004D4060"/>
    <w:rsid w:val="004D594D"/>
    <w:rsid w:val="004D67C8"/>
    <w:rsid w:val="004D6DCA"/>
    <w:rsid w:val="004D76B8"/>
    <w:rsid w:val="004D7B32"/>
    <w:rsid w:val="004E032C"/>
    <w:rsid w:val="004E09CE"/>
    <w:rsid w:val="004E0B18"/>
    <w:rsid w:val="004E1F0C"/>
    <w:rsid w:val="004E25D9"/>
    <w:rsid w:val="004E282F"/>
    <w:rsid w:val="004E2916"/>
    <w:rsid w:val="004E2F73"/>
    <w:rsid w:val="004E5382"/>
    <w:rsid w:val="004E6668"/>
    <w:rsid w:val="004F2D0B"/>
    <w:rsid w:val="004F4241"/>
    <w:rsid w:val="004F5D76"/>
    <w:rsid w:val="004F5FEF"/>
    <w:rsid w:val="004F6405"/>
    <w:rsid w:val="004F7D1C"/>
    <w:rsid w:val="00501171"/>
    <w:rsid w:val="00501DD2"/>
    <w:rsid w:val="005027EF"/>
    <w:rsid w:val="00503733"/>
    <w:rsid w:val="005069C3"/>
    <w:rsid w:val="005074EA"/>
    <w:rsid w:val="005116B9"/>
    <w:rsid w:val="00511C97"/>
    <w:rsid w:val="005126A7"/>
    <w:rsid w:val="00513F2C"/>
    <w:rsid w:val="005147B7"/>
    <w:rsid w:val="00515686"/>
    <w:rsid w:val="00516182"/>
    <w:rsid w:val="005163A8"/>
    <w:rsid w:val="00516F3D"/>
    <w:rsid w:val="0051720D"/>
    <w:rsid w:val="0052238B"/>
    <w:rsid w:val="00522E5C"/>
    <w:rsid w:val="00523039"/>
    <w:rsid w:val="00523E09"/>
    <w:rsid w:val="00524C90"/>
    <w:rsid w:val="005254F7"/>
    <w:rsid w:val="00525FE4"/>
    <w:rsid w:val="00526873"/>
    <w:rsid w:val="005274E8"/>
    <w:rsid w:val="00527A14"/>
    <w:rsid w:val="0053156F"/>
    <w:rsid w:val="00533BDF"/>
    <w:rsid w:val="00534149"/>
    <w:rsid w:val="00535C14"/>
    <w:rsid w:val="00537289"/>
    <w:rsid w:val="00537B32"/>
    <w:rsid w:val="00537F6C"/>
    <w:rsid w:val="00543AC6"/>
    <w:rsid w:val="0054483B"/>
    <w:rsid w:val="00545D7C"/>
    <w:rsid w:val="00545E9E"/>
    <w:rsid w:val="00546269"/>
    <w:rsid w:val="00546911"/>
    <w:rsid w:val="005506C4"/>
    <w:rsid w:val="00551074"/>
    <w:rsid w:val="0055389B"/>
    <w:rsid w:val="00554F35"/>
    <w:rsid w:val="005553AA"/>
    <w:rsid w:val="0055709B"/>
    <w:rsid w:val="00561BB2"/>
    <w:rsid w:val="00561FBC"/>
    <w:rsid w:val="0056346D"/>
    <w:rsid w:val="00564358"/>
    <w:rsid w:val="00567117"/>
    <w:rsid w:val="00567B58"/>
    <w:rsid w:val="00572893"/>
    <w:rsid w:val="00572CA0"/>
    <w:rsid w:val="00572ED2"/>
    <w:rsid w:val="00575049"/>
    <w:rsid w:val="0057507F"/>
    <w:rsid w:val="005751F6"/>
    <w:rsid w:val="00575DB4"/>
    <w:rsid w:val="00576928"/>
    <w:rsid w:val="0057703D"/>
    <w:rsid w:val="00577191"/>
    <w:rsid w:val="00577C50"/>
    <w:rsid w:val="00577D9D"/>
    <w:rsid w:val="00580505"/>
    <w:rsid w:val="00580BD7"/>
    <w:rsid w:val="00581718"/>
    <w:rsid w:val="005831C0"/>
    <w:rsid w:val="00584CFD"/>
    <w:rsid w:val="005879DA"/>
    <w:rsid w:val="005879E0"/>
    <w:rsid w:val="005902B0"/>
    <w:rsid w:val="005922B2"/>
    <w:rsid w:val="00592FA2"/>
    <w:rsid w:val="005935AF"/>
    <w:rsid w:val="00593D0A"/>
    <w:rsid w:val="00594DF7"/>
    <w:rsid w:val="00595496"/>
    <w:rsid w:val="005A40EA"/>
    <w:rsid w:val="005A4285"/>
    <w:rsid w:val="005A4733"/>
    <w:rsid w:val="005A670B"/>
    <w:rsid w:val="005A7E4B"/>
    <w:rsid w:val="005B0966"/>
    <w:rsid w:val="005B0B26"/>
    <w:rsid w:val="005B0E5C"/>
    <w:rsid w:val="005B12F3"/>
    <w:rsid w:val="005B1473"/>
    <w:rsid w:val="005B32D7"/>
    <w:rsid w:val="005B34BE"/>
    <w:rsid w:val="005B5754"/>
    <w:rsid w:val="005B6158"/>
    <w:rsid w:val="005B62D8"/>
    <w:rsid w:val="005B7013"/>
    <w:rsid w:val="005B752A"/>
    <w:rsid w:val="005B764E"/>
    <w:rsid w:val="005C0D32"/>
    <w:rsid w:val="005C146F"/>
    <w:rsid w:val="005C266B"/>
    <w:rsid w:val="005C272E"/>
    <w:rsid w:val="005C2EC0"/>
    <w:rsid w:val="005C369A"/>
    <w:rsid w:val="005C3CE6"/>
    <w:rsid w:val="005C4CB4"/>
    <w:rsid w:val="005C567E"/>
    <w:rsid w:val="005C59A5"/>
    <w:rsid w:val="005C5BE1"/>
    <w:rsid w:val="005C6EF2"/>
    <w:rsid w:val="005C7169"/>
    <w:rsid w:val="005C71A7"/>
    <w:rsid w:val="005D00B1"/>
    <w:rsid w:val="005D3218"/>
    <w:rsid w:val="005D5B88"/>
    <w:rsid w:val="005D5C71"/>
    <w:rsid w:val="005D5D45"/>
    <w:rsid w:val="005D63B0"/>
    <w:rsid w:val="005D720E"/>
    <w:rsid w:val="005D7BB1"/>
    <w:rsid w:val="005E099C"/>
    <w:rsid w:val="005E21B1"/>
    <w:rsid w:val="005E2AB7"/>
    <w:rsid w:val="005E2C6B"/>
    <w:rsid w:val="005E2E40"/>
    <w:rsid w:val="005E3C1B"/>
    <w:rsid w:val="005E4611"/>
    <w:rsid w:val="005E6261"/>
    <w:rsid w:val="005E7344"/>
    <w:rsid w:val="005F06E7"/>
    <w:rsid w:val="005F1B7E"/>
    <w:rsid w:val="005F1E30"/>
    <w:rsid w:val="005F2379"/>
    <w:rsid w:val="005F4AC6"/>
    <w:rsid w:val="005F65E6"/>
    <w:rsid w:val="005F792E"/>
    <w:rsid w:val="006004CD"/>
    <w:rsid w:val="006005A7"/>
    <w:rsid w:val="006029C5"/>
    <w:rsid w:val="00603284"/>
    <w:rsid w:val="00604FD9"/>
    <w:rsid w:val="006050E8"/>
    <w:rsid w:val="00606EF6"/>
    <w:rsid w:val="00610AFE"/>
    <w:rsid w:val="00612228"/>
    <w:rsid w:val="006126BB"/>
    <w:rsid w:val="00612ADC"/>
    <w:rsid w:val="006132FC"/>
    <w:rsid w:val="0061603E"/>
    <w:rsid w:val="00616E4F"/>
    <w:rsid w:val="00621A3D"/>
    <w:rsid w:val="00621AC1"/>
    <w:rsid w:val="00622763"/>
    <w:rsid w:val="006229B8"/>
    <w:rsid w:val="00622F21"/>
    <w:rsid w:val="006233FA"/>
    <w:rsid w:val="00624792"/>
    <w:rsid w:val="006247E4"/>
    <w:rsid w:val="0062656E"/>
    <w:rsid w:val="00627674"/>
    <w:rsid w:val="006276C3"/>
    <w:rsid w:val="006321A3"/>
    <w:rsid w:val="006336F3"/>
    <w:rsid w:val="006355FF"/>
    <w:rsid w:val="00635B6B"/>
    <w:rsid w:val="00637169"/>
    <w:rsid w:val="0063721D"/>
    <w:rsid w:val="00640E31"/>
    <w:rsid w:val="00642350"/>
    <w:rsid w:val="00643857"/>
    <w:rsid w:val="00644F13"/>
    <w:rsid w:val="006458A9"/>
    <w:rsid w:val="00646C19"/>
    <w:rsid w:val="00646F1B"/>
    <w:rsid w:val="00647606"/>
    <w:rsid w:val="0064779C"/>
    <w:rsid w:val="006519AD"/>
    <w:rsid w:val="00651DD8"/>
    <w:rsid w:val="0065243D"/>
    <w:rsid w:val="0065248B"/>
    <w:rsid w:val="0065416F"/>
    <w:rsid w:val="006547E0"/>
    <w:rsid w:val="00656D4C"/>
    <w:rsid w:val="00657E22"/>
    <w:rsid w:val="0066573A"/>
    <w:rsid w:val="00665996"/>
    <w:rsid w:val="00665DA0"/>
    <w:rsid w:val="00666DC9"/>
    <w:rsid w:val="006677F1"/>
    <w:rsid w:val="00671251"/>
    <w:rsid w:val="00671382"/>
    <w:rsid w:val="006715C1"/>
    <w:rsid w:val="006723F2"/>
    <w:rsid w:val="00672987"/>
    <w:rsid w:val="00672FCE"/>
    <w:rsid w:val="0067349C"/>
    <w:rsid w:val="00673A77"/>
    <w:rsid w:val="00674260"/>
    <w:rsid w:val="00674E5B"/>
    <w:rsid w:val="00675B5B"/>
    <w:rsid w:val="00675BA4"/>
    <w:rsid w:val="0067693E"/>
    <w:rsid w:val="00676E7A"/>
    <w:rsid w:val="00677ABA"/>
    <w:rsid w:val="00680C2E"/>
    <w:rsid w:val="00680D1A"/>
    <w:rsid w:val="00681C2F"/>
    <w:rsid w:val="006824C9"/>
    <w:rsid w:val="0068268B"/>
    <w:rsid w:val="00682F92"/>
    <w:rsid w:val="00684603"/>
    <w:rsid w:val="0068553B"/>
    <w:rsid w:val="00686657"/>
    <w:rsid w:val="006875DA"/>
    <w:rsid w:val="00691681"/>
    <w:rsid w:val="0069198E"/>
    <w:rsid w:val="006930C3"/>
    <w:rsid w:val="00693EC8"/>
    <w:rsid w:val="00695C1E"/>
    <w:rsid w:val="00695ED3"/>
    <w:rsid w:val="006965CE"/>
    <w:rsid w:val="0069683A"/>
    <w:rsid w:val="00696ADB"/>
    <w:rsid w:val="00696D29"/>
    <w:rsid w:val="006A0C27"/>
    <w:rsid w:val="006A1DBA"/>
    <w:rsid w:val="006A21F1"/>
    <w:rsid w:val="006A3BE7"/>
    <w:rsid w:val="006A48A5"/>
    <w:rsid w:val="006A53D1"/>
    <w:rsid w:val="006B087F"/>
    <w:rsid w:val="006B1BB9"/>
    <w:rsid w:val="006B2A7B"/>
    <w:rsid w:val="006B5268"/>
    <w:rsid w:val="006B57E1"/>
    <w:rsid w:val="006B67E5"/>
    <w:rsid w:val="006B7743"/>
    <w:rsid w:val="006C0AF9"/>
    <w:rsid w:val="006C0F2D"/>
    <w:rsid w:val="006C15A6"/>
    <w:rsid w:val="006C1B25"/>
    <w:rsid w:val="006C1D23"/>
    <w:rsid w:val="006C224A"/>
    <w:rsid w:val="006C2ABE"/>
    <w:rsid w:val="006C3880"/>
    <w:rsid w:val="006C3E40"/>
    <w:rsid w:val="006C48D3"/>
    <w:rsid w:val="006C5852"/>
    <w:rsid w:val="006C7884"/>
    <w:rsid w:val="006C7C24"/>
    <w:rsid w:val="006C7FBF"/>
    <w:rsid w:val="006D09B8"/>
    <w:rsid w:val="006D1465"/>
    <w:rsid w:val="006D3A3F"/>
    <w:rsid w:val="006D4731"/>
    <w:rsid w:val="006D5669"/>
    <w:rsid w:val="006D5B6C"/>
    <w:rsid w:val="006D5FF8"/>
    <w:rsid w:val="006D62D3"/>
    <w:rsid w:val="006D6E15"/>
    <w:rsid w:val="006D7285"/>
    <w:rsid w:val="006D7C13"/>
    <w:rsid w:val="006E14DF"/>
    <w:rsid w:val="006E1972"/>
    <w:rsid w:val="006E1CBB"/>
    <w:rsid w:val="006E1E56"/>
    <w:rsid w:val="006E2027"/>
    <w:rsid w:val="006E56F1"/>
    <w:rsid w:val="006E5F73"/>
    <w:rsid w:val="006E7903"/>
    <w:rsid w:val="006F1CA2"/>
    <w:rsid w:val="006F2174"/>
    <w:rsid w:val="006F421A"/>
    <w:rsid w:val="006F49DC"/>
    <w:rsid w:val="006F4F89"/>
    <w:rsid w:val="006F6B9A"/>
    <w:rsid w:val="007000EE"/>
    <w:rsid w:val="0070042C"/>
    <w:rsid w:val="0070099C"/>
    <w:rsid w:val="00700B17"/>
    <w:rsid w:val="00702C23"/>
    <w:rsid w:val="00702D42"/>
    <w:rsid w:val="00704F40"/>
    <w:rsid w:val="007056AB"/>
    <w:rsid w:val="00705F57"/>
    <w:rsid w:val="0071025D"/>
    <w:rsid w:val="00710499"/>
    <w:rsid w:val="0071053D"/>
    <w:rsid w:val="00710D71"/>
    <w:rsid w:val="0071165B"/>
    <w:rsid w:val="007117AB"/>
    <w:rsid w:val="00712790"/>
    <w:rsid w:val="00712B25"/>
    <w:rsid w:val="0071328F"/>
    <w:rsid w:val="00713B0F"/>
    <w:rsid w:val="00713B38"/>
    <w:rsid w:val="00713C81"/>
    <w:rsid w:val="007143FE"/>
    <w:rsid w:val="0071490C"/>
    <w:rsid w:val="007151F8"/>
    <w:rsid w:val="00715DF6"/>
    <w:rsid w:val="0071671D"/>
    <w:rsid w:val="007167F2"/>
    <w:rsid w:val="0071716C"/>
    <w:rsid w:val="00721E58"/>
    <w:rsid w:val="0072386C"/>
    <w:rsid w:val="0072480C"/>
    <w:rsid w:val="0072487D"/>
    <w:rsid w:val="00725E1E"/>
    <w:rsid w:val="00726017"/>
    <w:rsid w:val="0072622A"/>
    <w:rsid w:val="0072674B"/>
    <w:rsid w:val="00726CDA"/>
    <w:rsid w:val="007276EA"/>
    <w:rsid w:val="007327DF"/>
    <w:rsid w:val="00733117"/>
    <w:rsid w:val="0073402D"/>
    <w:rsid w:val="00734634"/>
    <w:rsid w:val="00736EED"/>
    <w:rsid w:val="00737495"/>
    <w:rsid w:val="007378D9"/>
    <w:rsid w:val="00740DEB"/>
    <w:rsid w:val="007426CD"/>
    <w:rsid w:val="00742A59"/>
    <w:rsid w:val="007435B5"/>
    <w:rsid w:val="00743B6B"/>
    <w:rsid w:val="007441F4"/>
    <w:rsid w:val="00745A33"/>
    <w:rsid w:val="00746124"/>
    <w:rsid w:val="00747A21"/>
    <w:rsid w:val="00747F82"/>
    <w:rsid w:val="007506CF"/>
    <w:rsid w:val="007513D5"/>
    <w:rsid w:val="00756D30"/>
    <w:rsid w:val="00763DE9"/>
    <w:rsid w:val="00763E94"/>
    <w:rsid w:val="007651E7"/>
    <w:rsid w:val="0076527C"/>
    <w:rsid w:val="0076634A"/>
    <w:rsid w:val="0076719A"/>
    <w:rsid w:val="00767CA5"/>
    <w:rsid w:val="00770F58"/>
    <w:rsid w:val="00772312"/>
    <w:rsid w:val="00772D17"/>
    <w:rsid w:val="0077307C"/>
    <w:rsid w:val="007757FC"/>
    <w:rsid w:val="00777909"/>
    <w:rsid w:val="00777DF3"/>
    <w:rsid w:val="00777F15"/>
    <w:rsid w:val="00780FFE"/>
    <w:rsid w:val="007813B2"/>
    <w:rsid w:val="00782298"/>
    <w:rsid w:val="00782322"/>
    <w:rsid w:val="00782F34"/>
    <w:rsid w:val="0078318B"/>
    <w:rsid w:val="00786606"/>
    <w:rsid w:val="00787308"/>
    <w:rsid w:val="007879B6"/>
    <w:rsid w:val="00787EEE"/>
    <w:rsid w:val="0079019A"/>
    <w:rsid w:val="007910ED"/>
    <w:rsid w:val="00793BDF"/>
    <w:rsid w:val="007940A1"/>
    <w:rsid w:val="00795A24"/>
    <w:rsid w:val="00796DCB"/>
    <w:rsid w:val="00797A79"/>
    <w:rsid w:val="00797DD6"/>
    <w:rsid w:val="00797FB6"/>
    <w:rsid w:val="007A119C"/>
    <w:rsid w:val="007A16D0"/>
    <w:rsid w:val="007A2345"/>
    <w:rsid w:val="007A3439"/>
    <w:rsid w:val="007A3A50"/>
    <w:rsid w:val="007A459F"/>
    <w:rsid w:val="007A4B34"/>
    <w:rsid w:val="007A6629"/>
    <w:rsid w:val="007A7089"/>
    <w:rsid w:val="007A7CED"/>
    <w:rsid w:val="007B097B"/>
    <w:rsid w:val="007B0E2D"/>
    <w:rsid w:val="007B16D1"/>
    <w:rsid w:val="007B1784"/>
    <w:rsid w:val="007B2491"/>
    <w:rsid w:val="007B377B"/>
    <w:rsid w:val="007B3FFC"/>
    <w:rsid w:val="007B6318"/>
    <w:rsid w:val="007B7318"/>
    <w:rsid w:val="007C0F7C"/>
    <w:rsid w:val="007C1875"/>
    <w:rsid w:val="007C2449"/>
    <w:rsid w:val="007C27E9"/>
    <w:rsid w:val="007C3E9D"/>
    <w:rsid w:val="007C4989"/>
    <w:rsid w:val="007C69CD"/>
    <w:rsid w:val="007C7129"/>
    <w:rsid w:val="007C7498"/>
    <w:rsid w:val="007D12B8"/>
    <w:rsid w:val="007D23C1"/>
    <w:rsid w:val="007D5AA1"/>
    <w:rsid w:val="007D5AFB"/>
    <w:rsid w:val="007D5F3E"/>
    <w:rsid w:val="007D664B"/>
    <w:rsid w:val="007D72B3"/>
    <w:rsid w:val="007D79EA"/>
    <w:rsid w:val="007E060E"/>
    <w:rsid w:val="007E16BA"/>
    <w:rsid w:val="007E181F"/>
    <w:rsid w:val="007E233F"/>
    <w:rsid w:val="007E29A0"/>
    <w:rsid w:val="007E40E7"/>
    <w:rsid w:val="007E4815"/>
    <w:rsid w:val="007E6737"/>
    <w:rsid w:val="007F21CD"/>
    <w:rsid w:val="007F350D"/>
    <w:rsid w:val="007F470B"/>
    <w:rsid w:val="007F5696"/>
    <w:rsid w:val="007F58E2"/>
    <w:rsid w:val="007F7034"/>
    <w:rsid w:val="007F70AB"/>
    <w:rsid w:val="007F714C"/>
    <w:rsid w:val="008013B6"/>
    <w:rsid w:val="00801C23"/>
    <w:rsid w:val="00804347"/>
    <w:rsid w:val="0080562B"/>
    <w:rsid w:val="008067CD"/>
    <w:rsid w:val="00806BC6"/>
    <w:rsid w:val="00806D3E"/>
    <w:rsid w:val="00807A97"/>
    <w:rsid w:val="00807BF0"/>
    <w:rsid w:val="00811FD9"/>
    <w:rsid w:val="00812266"/>
    <w:rsid w:val="00812944"/>
    <w:rsid w:val="00812E1F"/>
    <w:rsid w:val="00813BD9"/>
    <w:rsid w:val="00813C8C"/>
    <w:rsid w:val="00813CF4"/>
    <w:rsid w:val="0081471F"/>
    <w:rsid w:val="0081480E"/>
    <w:rsid w:val="00814F1E"/>
    <w:rsid w:val="00816253"/>
    <w:rsid w:val="0081731C"/>
    <w:rsid w:val="00820677"/>
    <w:rsid w:val="00823029"/>
    <w:rsid w:val="008237BE"/>
    <w:rsid w:val="008255CE"/>
    <w:rsid w:val="00826668"/>
    <w:rsid w:val="0082667E"/>
    <w:rsid w:val="00826C06"/>
    <w:rsid w:val="008308F4"/>
    <w:rsid w:val="0083105C"/>
    <w:rsid w:val="008317D5"/>
    <w:rsid w:val="00832827"/>
    <w:rsid w:val="00832CA6"/>
    <w:rsid w:val="0083304A"/>
    <w:rsid w:val="00833952"/>
    <w:rsid w:val="00835265"/>
    <w:rsid w:val="00836D5E"/>
    <w:rsid w:val="00836F27"/>
    <w:rsid w:val="00837A7B"/>
    <w:rsid w:val="0084063D"/>
    <w:rsid w:val="00840D2B"/>
    <w:rsid w:val="00844C93"/>
    <w:rsid w:val="00845CE9"/>
    <w:rsid w:val="00846800"/>
    <w:rsid w:val="00847AE3"/>
    <w:rsid w:val="0085155F"/>
    <w:rsid w:val="00851CDC"/>
    <w:rsid w:val="00852956"/>
    <w:rsid w:val="00852FC0"/>
    <w:rsid w:val="0085336F"/>
    <w:rsid w:val="00855856"/>
    <w:rsid w:val="00855DA9"/>
    <w:rsid w:val="0085744C"/>
    <w:rsid w:val="008575EE"/>
    <w:rsid w:val="00860117"/>
    <w:rsid w:val="0086149E"/>
    <w:rsid w:val="00861A57"/>
    <w:rsid w:val="00862930"/>
    <w:rsid w:val="00862965"/>
    <w:rsid w:val="00863488"/>
    <w:rsid w:val="00863606"/>
    <w:rsid w:val="00863D8F"/>
    <w:rsid w:val="00864980"/>
    <w:rsid w:val="00865C7C"/>
    <w:rsid w:val="0086660E"/>
    <w:rsid w:val="008666BE"/>
    <w:rsid w:val="008674A5"/>
    <w:rsid w:val="008674BF"/>
    <w:rsid w:val="0087017B"/>
    <w:rsid w:val="00870617"/>
    <w:rsid w:val="00870B98"/>
    <w:rsid w:val="00871E31"/>
    <w:rsid w:val="00873BD2"/>
    <w:rsid w:val="00874233"/>
    <w:rsid w:val="00874BEF"/>
    <w:rsid w:val="008766CF"/>
    <w:rsid w:val="008772D4"/>
    <w:rsid w:val="00880673"/>
    <w:rsid w:val="00881576"/>
    <w:rsid w:val="008815C8"/>
    <w:rsid w:val="00882378"/>
    <w:rsid w:val="008827BD"/>
    <w:rsid w:val="00884309"/>
    <w:rsid w:val="00884C90"/>
    <w:rsid w:val="0088544A"/>
    <w:rsid w:val="0088548F"/>
    <w:rsid w:val="00886044"/>
    <w:rsid w:val="00887DD8"/>
    <w:rsid w:val="00894671"/>
    <w:rsid w:val="00894716"/>
    <w:rsid w:val="00895F4C"/>
    <w:rsid w:val="00897571"/>
    <w:rsid w:val="0089785A"/>
    <w:rsid w:val="00897C4C"/>
    <w:rsid w:val="008A24A9"/>
    <w:rsid w:val="008A2CC8"/>
    <w:rsid w:val="008A2DA0"/>
    <w:rsid w:val="008A3664"/>
    <w:rsid w:val="008A5225"/>
    <w:rsid w:val="008A5F79"/>
    <w:rsid w:val="008A64B8"/>
    <w:rsid w:val="008A6728"/>
    <w:rsid w:val="008A76BC"/>
    <w:rsid w:val="008A7E11"/>
    <w:rsid w:val="008B135E"/>
    <w:rsid w:val="008B22CC"/>
    <w:rsid w:val="008B22DA"/>
    <w:rsid w:val="008B2974"/>
    <w:rsid w:val="008B2CF0"/>
    <w:rsid w:val="008B316E"/>
    <w:rsid w:val="008B58AA"/>
    <w:rsid w:val="008B6B49"/>
    <w:rsid w:val="008C12E6"/>
    <w:rsid w:val="008C1FDF"/>
    <w:rsid w:val="008C2124"/>
    <w:rsid w:val="008C2696"/>
    <w:rsid w:val="008C2C2D"/>
    <w:rsid w:val="008C381C"/>
    <w:rsid w:val="008C3A4A"/>
    <w:rsid w:val="008C3BC3"/>
    <w:rsid w:val="008C41D9"/>
    <w:rsid w:val="008C5BDE"/>
    <w:rsid w:val="008C61AD"/>
    <w:rsid w:val="008D0563"/>
    <w:rsid w:val="008D0924"/>
    <w:rsid w:val="008D0DF3"/>
    <w:rsid w:val="008D2B54"/>
    <w:rsid w:val="008D3741"/>
    <w:rsid w:val="008D3B2A"/>
    <w:rsid w:val="008D5117"/>
    <w:rsid w:val="008D71DA"/>
    <w:rsid w:val="008E28F2"/>
    <w:rsid w:val="008E370F"/>
    <w:rsid w:val="008E43FE"/>
    <w:rsid w:val="008E4846"/>
    <w:rsid w:val="008E4F12"/>
    <w:rsid w:val="008E58F3"/>
    <w:rsid w:val="008E73F2"/>
    <w:rsid w:val="008E7DBB"/>
    <w:rsid w:val="008E7E7A"/>
    <w:rsid w:val="008F12E5"/>
    <w:rsid w:val="008F1984"/>
    <w:rsid w:val="008F2853"/>
    <w:rsid w:val="008F2C20"/>
    <w:rsid w:val="008F488D"/>
    <w:rsid w:val="008F4A82"/>
    <w:rsid w:val="008F6520"/>
    <w:rsid w:val="008F67A4"/>
    <w:rsid w:val="009019D7"/>
    <w:rsid w:val="00902211"/>
    <w:rsid w:val="00903AA3"/>
    <w:rsid w:val="00903F11"/>
    <w:rsid w:val="00904CF9"/>
    <w:rsid w:val="00905C66"/>
    <w:rsid w:val="00905C7A"/>
    <w:rsid w:val="00906176"/>
    <w:rsid w:val="009066F9"/>
    <w:rsid w:val="009103A7"/>
    <w:rsid w:val="00910EF9"/>
    <w:rsid w:val="009148B5"/>
    <w:rsid w:val="00914E06"/>
    <w:rsid w:val="00916FDF"/>
    <w:rsid w:val="00921D70"/>
    <w:rsid w:val="009223CA"/>
    <w:rsid w:val="009238F8"/>
    <w:rsid w:val="009258B2"/>
    <w:rsid w:val="00926959"/>
    <w:rsid w:val="00927817"/>
    <w:rsid w:val="00930325"/>
    <w:rsid w:val="009309CE"/>
    <w:rsid w:val="00932028"/>
    <w:rsid w:val="00932806"/>
    <w:rsid w:val="00932ECC"/>
    <w:rsid w:val="0093580C"/>
    <w:rsid w:val="009358DE"/>
    <w:rsid w:val="00936A35"/>
    <w:rsid w:val="00940D12"/>
    <w:rsid w:val="00940EEA"/>
    <w:rsid w:val="009416B8"/>
    <w:rsid w:val="0094356C"/>
    <w:rsid w:val="00943D37"/>
    <w:rsid w:val="00946EF5"/>
    <w:rsid w:val="00947F15"/>
    <w:rsid w:val="00951736"/>
    <w:rsid w:val="00951CAD"/>
    <w:rsid w:val="009548A7"/>
    <w:rsid w:val="009551FD"/>
    <w:rsid w:val="009555F7"/>
    <w:rsid w:val="009567B2"/>
    <w:rsid w:val="00956898"/>
    <w:rsid w:val="00956C55"/>
    <w:rsid w:val="00960A34"/>
    <w:rsid w:val="009624AD"/>
    <w:rsid w:val="00963075"/>
    <w:rsid w:val="00963279"/>
    <w:rsid w:val="00963ED3"/>
    <w:rsid w:val="00964B11"/>
    <w:rsid w:val="00964F07"/>
    <w:rsid w:val="009657D6"/>
    <w:rsid w:val="00965CB0"/>
    <w:rsid w:val="00965D0E"/>
    <w:rsid w:val="0096603C"/>
    <w:rsid w:val="00967E70"/>
    <w:rsid w:val="009704FA"/>
    <w:rsid w:val="00971697"/>
    <w:rsid w:val="0097336C"/>
    <w:rsid w:val="0097364C"/>
    <w:rsid w:val="00974861"/>
    <w:rsid w:val="00976A97"/>
    <w:rsid w:val="00977ADA"/>
    <w:rsid w:val="00977CC4"/>
    <w:rsid w:val="009800B8"/>
    <w:rsid w:val="00981227"/>
    <w:rsid w:val="009826E5"/>
    <w:rsid w:val="00983F0B"/>
    <w:rsid w:val="00985405"/>
    <w:rsid w:val="00985E08"/>
    <w:rsid w:val="00987C62"/>
    <w:rsid w:val="00987C80"/>
    <w:rsid w:val="009900F7"/>
    <w:rsid w:val="00990384"/>
    <w:rsid w:val="009915A2"/>
    <w:rsid w:val="00991F8D"/>
    <w:rsid w:val="00992000"/>
    <w:rsid w:val="00992ADE"/>
    <w:rsid w:val="00993EC9"/>
    <w:rsid w:val="009A53FC"/>
    <w:rsid w:val="009A63A5"/>
    <w:rsid w:val="009A739B"/>
    <w:rsid w:val="009B0EDE"/>
    <w:rsid w:val="009B17C5"/>
    <w:rsid w:val="009B3963"/>
    <w:rsid w:val="009B3BA6"/>
    <w:rsid w:val="009B40C1"/>
    <w:rsid w:val="009B483F"/>
    <w:rsid w:val="009B5675"/>
    <w:rsid w:val="009B6224"/>
    <w:rsid w:val="009B6691"/>
    <w:rsid w:val="009B6997"/>
    <w:rsid w:val="009B76C6"/>
    <w:rsid w:val="009C1644"/>
    <w:rsid w:val="009C60AA"/>
    <w:rsid w:val="009C6325"/>
    <w:rsid w:val="009C68E9"/>
    <w:rsid w:val="009D1729"/>
    <w:rsid w:val="009D3612"/>
    <w:rsid w:val="009D3EBE"/>
    <w:rsid w:val="009D5464"/>
    <w:rsid w:val="009D5A4B"/>
    <w:rsid w:val="009D69D6"/>
    <w:rsid w:val="009D7326"/>
    <w:rsid w:val="009E1C43"/>
    <w:rsid w:val="009E1CA9"/>
    <w:rsid w:val="009E30AE"/>
    <w:rsid w:val="009E3638"/>
    <w:rsid w:val="009E40D8"/>
    <w:rsid w:val="009E4A18"/>
    <w:rsid w:val="009E4EE6"/>
    <w:rsid w:val="009E5646"/>
    <w:rsid w:val="009E6473"/>
    <w:rsid w:val="009E68DC"/>
    <w:rsid w:val="009E6B88"/>
    <w:rsid w:val="009E703C"/>
    <w:rsid w:val="009F0C01"/>
    <w:rsid w:val="009F0FE8"/>
    <w:rsid w:val="009F2084"/>
    <w:rsid w:val="009F23DF"/>
    <w:rsid w:val="009F4841"/>
    <w:rsid w:val="009F68DE"/>
    <w:rsid w:val="00A008DB"/>
    <w:rsid w:val="00A02769"/>
    <w:rsid w:val="00A02B75"/>
    <w:rsid w:val="00A033D5"/>
    <w:rsid w:val="00A06031"/>
    <w:rsid w:val="00A0608A"/>
    <w:rsid w:val="00A06AC2"/>
    <w:rsid w:val="00A06FD6"/>
    <w:rsid w:val="00A07317"/>
    <w:rsid w:val="00A07D0E"/>
    <w:rsid w:val="00A07D6D"/>
    <w:rsid w:val="00A10277"/>
    <w:rsid w:val="00A113EC"/>
    <w:rsid w:val="00A12AF3"/>
    <w:rsid w:val="00A14827"/>
    <w:rsid w:val="00A149BA"/>
    <w:rsid w:val="00A14F55"/>
    <w:rsid w:val="00A1526A"/>
    <w:rsid w:val="00A159BF"/>
    <w:rsid w:val="00A168F0"/>
    <w:rsid w:val="00A201CC"/>
    <w:rsid w:val="00A20605"/>
    <w:rsid w:val="00A20873"/>
    <w:rsid w:val="00A208DC"/>
    <w:rsid w:val="00A2415A"/>
    <w:rsid w:val="00A24487"/>
    <w:rsid w:val="00A248F9"/>
    <w:rsid w:val="00A2507A"/>
    <w:rsid w:val="00A261EE"/>
    <w:rsid w:val="00A2779F"/>
    <w:rsid w:val="00A3112B"/>
    <w:rsid w:val="00A31C52"/>
    <w:rsid w:val="00A31C79"/>
    <w:rsid w:val="00A32981"/>
    <w:rsid w:val="00A32C1D"/>
    <w:rsid w:val="00A331ED"/>
    <w:rsid w:val="00A3444C"/>
    <w:rsid w:val="00A34E93"/>
    <w:rsid w:val="00A350C5"/>
    <w:rsid w:val="00A351F9"/>
    <w:rsid w:val="00A3567D"/>
    <w:rsid w:val="00A35B1D"/>
    <w:rsid w:val="00A37A37"/>
    <w:rsid w:val="00A40351"/>
    <w:rsid w:val="00A407DD"/>
    <w:rsid w:val="00A411C4"/>
    <w:rsid w:val="00A42376"/>
    <w:rsid w:val="00A42664"/>
    <w:rsid w:val="00A42916"/>
    <w:rsid w:val="00A43DBA"/>
    <w:rsid w:val="00A4551A"/>
    <w:rsid w:val="00A4660A"/>
    <w:rsid w:val="00A478F1"/>
    <w:rsid w:val="00A507EB"/>
    <w:rsid w:val="00A50D0E"/>
    <w:rsid w:val="00A514D0"/>
    <w:rsid w:val="00A51718"/>
    <w:rsid w:val="00A5241F"/>
    <w:rsid w:val="00A52B76"/>
    <w:rsid w:val="00A54FFA"/>
    <w:rsid w:val="00A569CE"/>
    <w:rsid w:val="00A56DDD"/>
    <w:rsid w:val="00A57E0E"/>
    <w:rsid w:val="00A605B9"/>
    <w:rsid w:val="00A62249"/>
    <w:rsid w:val="00A64A2C"/>
    <w:rsid w:val="00A661D2"/>
    <w:rsid w:val="00A67674"/>
    <w:rsid w:val="00A708D5"/>
    <w:rsid w:val="00A709DE"/>
    <w:rsid w:val="00A71512"/>
    <w:rsid w:val="00A7267B"/>
    <w:rsid w:val="00A727E4"/>
    <w:rsid w:val="00A73DEC"/>
    <w:rsid w:val="00A755CC"/>
    <w:rsid w:val="00A76C97"/>
    <w:rsid w:val="00A80390"/>
    <w:rsid w:val="00A81059"/>
    <w:rsid w:val="00A8184B"/>
    <w:rsid w:val="00A82488"/>
    <w:rsid w:val="00A82DFC"/>
    <w:rsid w:val="00A84248"/>
    <w:rsid w:val="00A84494"/>
    <w:rsid w:val="00A84794"/>
    <w:rsid w:val="00A86632"/>
    <w:rsid w:val="00A90A6F"/>
    <w:rsid w:val="00A9305A"/>
    <w:rsid w:val="00A93068"/>
    <w:rsid w:val="00A9505B"/>
    <w:rsid w:val="00A95104"/>
    <w:rsid w:val="00A97CF1"/>
    <w:rsid w:val="00AA093F"/>
    <w:rsid w:val="00AA0EF0"/>
    <w:rsid w:val="00AA466A"/>
    <w:rsid w:val="00AA72A3"/>
    <w:rsid w:val="00AB2341"/>
    <w:rsid w:val="00AB2460"/>
    <w:rsid w:val="00AB2E27"/>
    <w:rsid w:val="00AB4392"/>
    <w:rsid w:val="00AB4AA0"/>
    <w:rsid w:val="00AB4D1D"/>
    <w:rsid w:val="00AB610C"/>
    <w:rsid w:val="00AC3404"/>
    <w:rsid w:val="00AC3978"/>
    <w:rsid w:val="00AC573E"/>
    <w:rsid w:val="00AC5B05"/>
    <w:rsid w:val="00AC6B3A"/>
    <w:rsid w:val="00AC6D73"/>
    <w:rsid w:val="00AC6E3E"/>
    <w:rsid w:val="00AD10DD"/>
    <w:rsid w:val="00AD14FD"/>
    <w:rsid w:val="00AD15DA"/>
    <w:rsid w:val="00AD2853"/>
    <w:rsid w:val="00AD3814"/>
    <w:rsid w:val="00AD3841"/>
    <w:rsid w:val="00AD6C14"/>
    <w:rsid w:val="00AD76C2"/>
    <w:rsid w:val="00AD7D89"/>
    <w:rsid w:val="00AE2271"/>
    <w:rsid w:val="00AE2495"/>
    <w:rsid w:val="00AE267B"/>
    <w:rsid w:val="00AE300F"/>
    <w:rsid w:val="00AE32E0"/>
    <w:rsid w:val="00AE3EEA"/>
    <w:rsid w:val="00AE4CC7"/>
    <w:rsid w:val="00AF030C"/>
    <w:rsid w:val="00AF06EC"/>
    <w:rsid w:val="00AF0EE4"/>
    <w:rsid w:val="00AF16B3"/>
    <w:rsid w:val="00AF1B64"/>
    <w:rsid w:val="00AF293C"/>
    <w:rsid w:val="00AF3CD6"/>
    <w:rsid w:val="00AF4933"/>
    <w:rsid w:val="00AF6587"/>
    <w:rsid w:val="00AF6F02"/>
    <w:rsid w:val="00AF7270"/>
    <w:rsid w:val="00B046A5"/>
    <w:rsid w:val="00B04C37"/>
    <w:rsid w:val="00B0579B"/>
    <w:rsid w:val="00B06515"/>
    <w:rsid w:val="00B06817"/>
    <w:rsid w:val="00B07836"/>
    <w:rsid w:val="00B10AED"/>
    <w:rsid w:val="00B10BB3"/>
    <w:rsid w:val="00B11860"/>
    <w:rsid w:val="00B11A25"/>
    <w:rsid w:val="00B13F27"/>
    <w:rsid w:val="00B14ADA"/>
    <w:rsid w:val="00B14FD0"/>
    <w:rsid w:val="00B2228F"/>
    <w:rsid w:val="00B2235C"/>
    <w:rsid w:val="00B2577C"/>
    <w:rsid w:val="00B25E1D"/>
    <w:rsid w:val="00B261E3"/>
    <w:rsid w:val="00B262C8"/>
    <w:rsid w:val="00B275C5"/>
    <w:rsid w:val="00B2796A"/>
    <w:rsid w:val="00B27D98"/>
    <w:rsid w:val="00B30B36"/>
    <w:rsid w:val="00B30BBB"/>
    <w:rsid w:val="00B3191B"/>
    <w:rsid w:val="00B31B93"/>
    <w:rsid w:val="00B32B38"/>
    <w:rsid w:val="00B33899"/>
    <w:rsid w:val="00B348B0"/>
    <w:rsid w:val="00B34E29"/>
    <w:rsid w:val="00B34E43"/>
    <w:rsid w:val="00B35255"/>
    <w:rsid w:val="00B358B4"/>
    <w:rsid w:val="00B35B5F"/>
    <w:rsid w:val="00B36F0A"/>
    <w:rsid w:val="00B37E15"/>
    <w:rsid w:val="00B42697"/>
    <w:rsid w:val="00B42B32"/>
    <w:rsid w:val="00B42F19"/>
    <w:rsid w:val="00B437CE"/>
    <w:rsid w:val="00B4446D"/>
    <w:rsid w:val="00B449F0"/>
    <w:rsid w:val="00B44E5B"/>
    <w:rsid w:val="00B46642"/>
    <w:rsid w:val="00B4671A"/>
    <w:rsid w:val="00B46C5F"/>
    <w:rsid w:val="00B47A8C"/>
    <w:rsid w:val="00B53295"/>
    <w:rsid w:val="00B54320"/>
    <w:rsid w:val="00B54D6C"/>
    <w:rsid w:val="00B54D95"/>
    <w:rsid w:val="00B579F6"/>
    <w:rsid w:val="00B607FF"/>
    <w:rsid w:val="00B60879"/>
    <w:rsid w:val="00B615DF"/>
    <w:rsid w:val="00B619EC"/>
    <w:rsid w:val="00B63C3B"/>
    <w:rsid w:val="00B64591"/>
    <w:rsid w:val="00B6606C"/>
    <w:rsid w:val="00B669A7"/>
    <w:rsid w:val="00B67749"/>
    <w:rsid w:val="00B67B59"/>
    <w:rsid w:val="00B70805"/>
    <w:rsid w:val="00B70B03"/>
    <w:rsid w:val="00B70FAF"/>
    <w:rsid w:val="00B710F1"/>
    <w:rsid w:val="00B712C9"/>
    <w:rsid w:val="00B7139A"/>
    <w:rsid w:val="00B73DFC"/>
    <w:rsid w:val="00B742B3"/>
    <w:rsid w:val="00B74EDF"/>
    <w:rsid w:val="00B76292"/>
    <w:rsid w:val="00B80BB4"/>
    <w:rsid w:val="00B8196F"/>
    <w:rsid w:val="00B822FB"/>
    <w:rsid w:val="00B8351F"/>
    <w:rsid w:val="00B843DE"/>
    <w:rsid w:val="00B85121"/>
    <w:rsid w:val="00B85AC6"/>
    <w:rsid w:val="00B862A8"/>
    <w:rsid w:val="00B863A3"/>
    <w:rsid w:val="00B87B9D"/>
    <w:rsid w:val="00B90060"/>
    <w:rsid w:val="00B90E67"/>
    <w:rsid w:val="00B928CF"/>
    <w:rsid w:val="00B92A85"/>
    <w:rsid w:val="00B93126"/>
    <w:rsid w:val="00B94824"/>
    <w:rsid w:val="00B952C8"/>
    <w:rsid w:val="00B96611"/>
    <w:rsid w:val="00BA018E"/>
    <w:rsid w:val="00BA205E"/>
    <w:rsid w:val="00BA25EC"/>
    <w:rsid w:val="00BA36BF"/>
    <w:rsid w:val="00BA4AC5"/>
    <w:rsid w:val="00BA5015"/>
    <w:rsid w:val="00BA5982"/>
    <w:rsid w:val="00BA6396"/>
    <w:rsid w:val="00BA692C"/>
    <w:rsid w:val="00BA6A49"/>
    <w:rsid w:val="00BA6E45"/>
    <w:rsid w:val="00BB0E89"/>
    <w:rsid w:val="00BB2756"/>
    <w:rsid w:val="00BB520C"/>
    <w:rsid w:val="00BB593F"/>
    <w:rsid w:val="00BB76D8"/>
    <w:rsid w:val="00BC0B72"/>
    <w:rsid w:val="00BC1112"/>
    <w:rsid w:val="00BC14DF"/>
    <w:rsid w:val="00BC19A6"/>
    <w:rsid w:val="00BC25DA"/>
    <w:rsid w:val="00BC2D80"/>
    <w:rsid w:val="00BC3C78"/>
    <w:rsid w:val="00BC5846"/>
    <w:rsid w:val="00BC6182"/>
    <w:rsid w:val="00BC7514"/>
    <w:rsid w:val="00BC7887"/>
    <w:rsid w:val="00BD0672"/>
    <w:rsid w:val="00BD4C6A"/>
    <w:rsid w:val="00BD4F00"/>
    <w:rsid w:val="00BE13BC"/>
    <w:rsid w:val="00BE255F"/>
    <w:rsid w:val="00BE2B63"/>
    <w:rsid w:val="00BE2CAC"/>
    <w:rsid w:val="00BE35D5"/>
    <w:rsid w:val="00BE3A5B"/>
    <w:rsid w:val="00BE419C"/>
    <w:rsid w:val="00BE4204"/>
    <w:rsid w:val="00BE66B5"/>
    <w:rsid w:val="00BE7AB3"/>
    <w:rsid w:val="00BF0F26"/>
    <w:rsid w:val="00BF172E"/>
    <w:rsid w:val="00BF1A04"/>
    <w:rsid w:val="00BF1AC9"/>
    <w:rsid w:val="00BF2915"/>
    <w:rsid w:val="00BF3415"/>
    <w:rsid w:val="00BF3662"/>
    <w:rsid w:val="00BF5224"/>
    <w:rsid w:val="00BF5930"/>
    <w:rsid w:val="00C01D2A"/>
    <w:rsid w:val="00C02659"/>
    <w:rsid w:val="00C0271D"/>
    <w:rsid w:val="00C028AD"/>
    <w:rsid w:val="00C03201"/>
    <w:rsid w:val="00C03C62"/>
    <w:rsid w:val="00C073D1"/>
    <w:rsid w:val="00C07806"/>
    <w:rsid w:val="00C111D2"/>
    <w:rsid w:val="00C12A50"/>
    <w:rsid w:val="00C149D8"/>
    <w:rsid w:val="00C1743F"/>
    <w:rsid w:val="00C17A68"/>
    <w:rsid w:val="00C17AB9"/>
    <w:rsid w:val="00C17D7D"/>
    <w:rsid w:val="00C22A4B"/>
    <w:rsid w:val="00C22CD9"/>
    <w:rsid w:val="00C23C52"/>
    <w:rsid w:val="00C23CE5"/>
    <w:rsid w:val="00C26A87"/>
    <w:rsid w:val="00C318D7"/>
    <w:rsid w:val="00C31C9C"/>
    <w:rsid w:val="00C343A6"/>
    <w:rsid w:val="00C34549"/>
    <w:rsid w:val="00C3603B"/>
    <w:rsid w:val="00C3677E"/>
    <w:rsid w:val="00C36C72"/>
    <w:rsid w:val="00C377EF"/>
    <w:rsid w:val="00C4062A"/>
    <w:rsid w:val="00C406C5"/>
    <w:rsid w:val="00C42B51"/>
    <w:rsid w:val="00C44F7E"/>
    <w:rsid w:val="00C4500B"/>
    <w:rsid w:val="00C45050"/>
    <w:rsid w:val="00C452E3"/>
    <w:rsid w:val="00C4652D"/>
    <w:rsid w:val="00C47B85"/>
    <w:rsid w:val="00C47E5D"/>
    <w:rsid w:val="00C507A9"/>
    <w:rsid w:val="00C51313"/>
    <w:rsid w:val="00C51974"/>
    <w:rsid w:val="00C52AAE"/>
    <w:rsid w:val="00C53060"/>
    <w:rsid w:val="00C53554"/>
    <w:rsid w:val="00C53F89"/>
    <w:rsid w:val="00C544B6"/>
    <w:rsid w:val="00C544DD"/>
    <w:rsid w:val="00C549FC"/>
    <w:rsid w:val="00C54D99"/>
    <w:rsid w:val="00C55025"/>
    <w:rsid w:val="00C55DCD"/>
    <w:rsid w:val="00C57D1A"/>
    <w:rsid w:val="00C61A53"/>
    <w:rsid w:val="00C61ABD"/>
    <w:rsid w:val="00C62440"/>
    <w:rsid w:val="00C67EC1"/>
    <w:rsid w:val="00C706B8"/>
    <w:rsid w:val="00C70C18"/>
    <w:rsid w:val="00C7155B"/>
    <w:rsid w:val="00C7233A"/>
    <w:rsid w:val="00C73CB6"/>
    <w:rsid w:val="00C7425F"/>
    <w:rsid w:val="00C77686"/>
    <w:rsid w:val="00C82173"/>
    <w:rsid w:val="00C82E55"/>
    <w:rsid w:val="00C83099"/>
    <w:rsid w:val="00C83DC0"/>
    <w:rsid w:val="00C845B2"/>
    <w:rsid w:val="00C85EC6"/>
    <w:rsid w:val="00C90328"/>
    <w:rsid w:val="00C907EC"/>
    <w:rsid w:val="00C9296E"/>
    <w:rsid w:val="00C929BB"/>
    <w:rsid w:val="00C92B2D"/>
    <w:rsid w:val="00C951EA"/>
    <w:rsid w:val="00C9718C"/>
    <w:rsid w:val="00CA0A61"/>
    <w:rsid w:val="00CA217B"/>
    <w:rsid w:val="00CA2632"/>
    <w:rsid w:val="00CA4078"/>
    <w:rsid w:val="00CA425F"/>
    <w:rsid w:val="00CA4C5F"/>
    <w:rsid w:val="00CA5278"/>
    <w:rsid w:val="00CA5987"/>
    <w:rsid w:val="00CA6173"/>
    <w:rsid w:val="00CA76AC"/>
    <w:rsid w:val="00CB09A5"/>
    <w:rsid w:val="00CB0AF2"/>
    <w:rsid w:val="00CB1EC0"/>
    <w:rsid w:val="00CB1F3A"/>
    <w:rsid w:val="00CB488A"/>
    <w:rsid w:val="00CB49BF"/>
    <w:rsid w:val="00CB58AE"/>
    <w:rsid w:val="00CB5F3B"/>
    <w:rsid w:val="00CB77CC"/>
    <w:rsid w:val="00CC117B"/>
    <w:rsid w:val="00CC1A38"/>
    <w:rsid w:val="00CC3608"/>
    <w:rsid w:val="00CC3734"/>
    <w:rsid w:val="00CC41D1"/>
    <w:rsid w:val="00CC45A0"/>
    <w:rsid w:val="00CC6E36"/>
    <w:rsid w:val="00CC7DDD"/>
    <w:rsid w:val="00CD0097"/>
    <w:rsid w:val="00CD142C"/>
    <w:rsid w:val="00CD15AA"/>
    <w:rsid w:val="00CD1BE7"/>
    <w:rsid w:val="00CD2ECB"/>
    <w:rsid w:val="00CD3018"/>
    <w:rsid w:val="00CD33C5"/>
    <w:rsid w:val="00CD4271"/>
    <w:rsid w:val="00CD6E39"/>
    <w:rsid w:val="00CD749A"/>
    <w:rsid w:val="00CD7FB4"/>
    <w:rsid w:val="00CE1935"/>
    <w:rsid w:val="00CE1B5E"/>
    <w:rsid w:val="00CE2631"/>
    <w:rsid w:val="00CE2E52"/>
    <w:rsid w:val="00CE4826"/>
    <w:rsid w:val="00CE7446"/>
    <w:rsid w:val="00CF0BC2"/>
    <w:rsid w:val="00CF1C2B"/>
    <w:rsid w:val="00CF2DA5"/>
    <w:rsid w:val="00CF30DA"/>
    <w:rsid w:val="00CF3B02"/>
    <w:rsid w:val="00CF4417"/>
    <w:rsid w:val="00CF668D"/>
    <w:rsid w:val="00CF712E"/>
    <w:rsid w:val="00D0025C"/>
    <w:rsid w:val="00D005FA"/>
    <w:rsid w:val="00D01B30"/>
    <w:rsid w:val="00D02127"/>
    <w:rsid w:val="00D0236E"/>
    <w:rsid w:val="00D023B8"/>
    <w:rsid w:val="00D02AA4"/>
    <w:rsid w:val="00D0325A"/>
    <w:rsid w:val="00D03917"/>
    <w:rsid w:val="00D03C0E"/>
    <w:rsid w:val="00D062C6"/>
    <w:rsid w:val="00D06A66"/>
    <w:rsid w:val="00D07F86"/>
    <w:rsid w:val="00D120E3"/>
    <w:rsid w:val="00D135D1"/>
    <w:rsid w:val="00D13BD9"/>
    <w:rsid w:val="00D14879"/>
    <w:rsid w:val="00D14CAC"/>
    <w:rsid w:val="00D17534"/>
    <w:rsid w:val="00D17B9E"/>
    <w:rsid w:val="00D17C34"/>
    <w:rsid w:val="00D17DA5"/>
    <w:rsid w:val="00D2071C"/>
    <w:rsid w:val="00D2101D"/>
    <w:rsid w:val="00D214CC"/>
    <w:rsid w:val="00D215C9"/>
    <w:rsid w:val="00D218E4"/>
    <w:rsid w:val="00D2193B"/>
    <w:rsid w:val="00D21940"/>
    <w:rsid w:val="00D21F28"/>
    <w:rsid w:val="00D2212D"/>
    <w:rsid w:val="00D241A1"/>
    <w:rsid w:val="00D25DE2"/>
    <w:rsid w:val="00D25FE5"/>
    <w:rsid w:val="00D26A9D"/>
    <w:rsid w:val="00D26C97"/>
    <w:rsid w:val="00D27F57"/>
    <w:rsid w:val="00D30516"/>
    <w:rsid w:val="00D30FEE"/>
    <w:rsid w:val="00D32213"/>
    <w:rsid w:val="00D3305B"/>
    <w:rsid w:val="00D33705"/>
    <w:rsid w:val="00D33A73"/>
    <w:rsid w:val="00D33EF0"/>
    <w:rsid w:val="00D34803"/>
    <w:rsid w:val="00D36ABB"/>
    <w:rsid w:val="00D37066"/>
    <w:rsid w:val="00D4087C"/>
    <w:rsid w:val="00D4293F"/>
    <w:rsid w:val="00D44887"/>
    <w:rsid w:val="00D452B2"/>
    <w:rsid w:val="00D45604"/>
    <w:rsid w:val="00D45883"/>
    <w:rsid w:val="00D46C06"/>
    <w:rsid w:val="00D4749C"/>
    <w:rsid w:val="00D475F7"/>
    <w:rsid w:val="00D51A47"/>
    <w:rsid w:val="00D52E2E"/>
    <w:rsid w:val="00D52ECA"/>
    <w:rsid w:val="00D5424A"/>
    <w:rsid w:val="00D55397"/>
    <w:rsid w:val="00D55F4D"/>
    <w:rsid w:val="00D5653E"/>
    <w:rsid w:val="00D5665D"/>
    <w:rsid w:val="00D57258"/>
    <w:rsid w:val="00D578CF"/>
    <w:rsid w:val="00D61CCB"/>
    <w:rsid w:val="00D64D76"/>
    <w:rsid w:val="00D65506"/>
    <w:rsid w:val="00D65E82"/>
    <w:rsid w:val="00D67EDF"/>
    <w:rsid w:val="00D71697"/>
    <w:rsid w:val="00D71C7C"/>
    <w:rsid w:val="00D71EF6"/>
    <w:rsid w:val="00D72C26"/>
    <w:rsid w:val="00D740E0"/>
    <w:rsid w:val="00D742BA"/>
    <w:rsid w:val="00D74B1D"/>
    <w:rsid w:val="00D76B94"/>
    <w:rsid w:val="00D8145F"/>
    <w:rsid w:val="00D81FC5"/>
    <w:rsid w:val="00D8445B"/>
    <w:rsid w:val="00D84F87"/>
    <w:rsid w:val="00D860AB"/>
    <w:rsid w:val="00D86286"/>
    <w:rsid w:val="00D87112"/>
    <w:rsid w:val="00D87955"/>
    <w:rsid w:val="00D87976"/>
    <w:rsid w:val="00D903B6"/>
    <w:rsid w:val="00D9182B"/>
    <w:rsid w:val="00D92639"/>
    <w:rsid w:val="00D92C78"/>
    <w:rsid w:val="00D94C7D"/>
    <w:rsid w:val="00D955C6"/>
    <w:rsid w:val="00DA0CA6"/>
    <w:rsid w:val="00DA12DC"/>
    <w:rsid w:val="00DA12DE"/>
    <w:rsid w:val="00DA13DD"/>
    <w:rsid w:val="00DA1C50"/>
    <w:rsid w:val="00DA2C3B"/>
    <w:rsid w:val="00DA3BEB"/>
    <w:rsid w:val="00DA441E"/>
    <w:rsid w:val="00DA4E61"/>
    <w:rsid w:val="00DA5120"/>
    <w:rsid w:val="00DA6F81"/>
    <w:rsid w:val="00DB2655"/>
    <w:rsid w:val="00DB3395"/>
    <w:rsid w:val="00DB390F"/>
    <w:rsid w:val="00DB4504"/>
    <w:rsid w:val="00DB4628"/>
    <w:rsid w:val="00DB69F8"/>
    <w:rsid w:val="00DB772D"/>
    <w:rsid w:val="00DC0B62"/>
    <w:rsid w:val="00DC22F0"/>
    <w:rsid w:val="00DC308D"/>
    <w:rsid w:val="00DC3A78"/>
    <w:rsid w:val="00DC43BB"/>
    <w:rsid w:val="00DC451A"/>
    <w:rsid w:val="00DC6A5B"/>
    <w:rsid w:val="00DC7886"/>
    <w:rsid w:val="00DC7DAE"/>
    <w:rsid w:val="00DC7F85"/>
    <w:rsid w:val="00DD0A46"/>
    <w:rsid w:val="00DD0E8C"/>
    <w:rsid w:val="00DD102E"/>
    <w:rsid w:val="00DD4473"/>
    <w:rsid w:val="00DD5916"/>
    <w:rsid w:val="00DD769B"/>
    <w:rsid w:val="00DE08B3"/>
    <w:rsid w:val="00DE19DD"/>
    <w:rsid w:val="00DE29F9"/>
    <w:rsid w:val="00DE3972"/>
    <w:rsid w:val="00DE3A71"/>
    <w:rsid w:val="00DE5858"/>
    <w:rsid w:val="00DE5E57"/>
    <w:rsid w:val="00DE6839"/>
    <w:rsid w:val="00DE78D1"/>
    <w:rsid w:val="00DF043F"/>
    <w:rsid w:val="00DF1305"/>
    <w:rsid w:val="00DF215A"/>
    <w:rsid w:val="00DF42AE"/>
    <w:rsid w:val="00DF446F"/>
    <w:rsid w:val="00DF50B7"/>
    <w:rsid w:val="00E00AE1"/>
    <w:rsid w:val="00E014AC"/>
    <w:rsid w:val="00E0241B"/>
    <w:rsid w:val="00E029DE"/>
    <w:rsid w:val="00E02F69"/>
    <w:rsid w:val="00E0462B"/>
    <w:rsid w:val="00E04887"/>
    <w:rsid w:val="00E0593C"/>
    <w:rsid w:val="00E05D12"/>
    <w:rsid w:val="00E05D2A"/>
    <w:rsid w:val="00E067C8"/>
    <w:rsid w:val="00E06A76"/>
    <w:rsid w:val="00E06BF0"/>
    <w:rsid w:val="00E1098F"/>
    <w:rsid w:val="00E10DA1"/>
    <w:rsid w:val="00E10DDF"/>
    <w:rsid w:val="00E126DA"/>
    <w:rsid w:val="00E135B3"/>
    <w:rsid w:val="00E15EC1"/>
    <w:rsid w:val="00E16CF3"/>
    <w:rsid w:val="00E20866"/>
    <w:rsid w:val="00E20901"/>
    <w:rsid w:val="00E20B6C"/>
    <w:rsid w:val="00E21CCD"/>
    <w:rsid w:val="00E2264A"/>
    <w:rsid w:val="00E226F1"/>
    <w:rsid w:val="00E2455B"/>
    <w:rsid w:val="00E2545D"/>
    <w:rsid w:val="00E25C85"/>
    <w:rsid w:val="00E31543"/>
    <w:rsid w:val="00E31C8F"/>
    <w:rsid w:val="00E31E12"/>
    <w:rsid w:val="00E31E2C"/>
    <w:rsid w:val="00E32FDF"/>
    <w:rsid w:val="00E33105"/>
    <w:rsid w:val="00E33875"/>
    <w:rsid w:val="00E34DE1"/>
    <w:rsid w:val="00E3516A"/>
    <w:rsid w:val="00E35CC4"/>
    <w:rsid w:val="00E369D4"/>
    <w:rsid w:val="00E37EAD"/>
    <w:rsid w:val="00E4048C"/>
    <w:rsid w:val="00E41A94"/>
    <w:rsid w:val="00E41F3C"/>
    <w:rsid w:val="00E43C77"/>
    <w:rsid w:val="00E445DC"/>
    <w:rsid w:val="00E469C0"/>
    <w:rsid w:val="00E46BF9"/>
    <w:rsid w:val="00E52213"/>
    <w:rsid w:val="00E55749"/>
    <w:rsid w:val="00E577EE"/>
    <w:rsid w:val="00E60A15"/>
    <w:rsid w:val="00E60F24"/>
    <w:rsid w:val="00E6154D"/>
    <w:rsid w:val="00E62889"/>
    <w:rsid w:val="00E62FB2"/>
    <w:rsid w:val="00E632A4"/>
    <w:rsid w:val="00E636A8"/>
    <w:rsid w:val="00E63F85"/>
    <w:rsid w:val="00E6443B"/>
    <w:rsid w:val="00E6451D"/>
    <w:rsid w:val="00E64F7F"/>
    <w:rsid w:val="00E65411"/>
    <w:rsid w:val="00E663E2"/>
    <w:rsid w:val="00E66DC4"/>
    <w:rsid w:val="00E71941"/>
    <w:rsid w:val="00E7252B"/>
    <w:rsid w:val="00E72A88"/>
    <w:rsid w:val="00E75077"/>
    <w:rsid w:val="00E76426"/>
    <w:rsid w:val="00E76C06"/>
    <w:rsid w:val="00E76D31"/>
    <w:rsid w:val="00E81A27"/>
    <w:rsid w:val="00E841DC"/>
    <w:rsid w:val="00E84393"/>
    <w:rsid w:val="00E84C27"/>
    <w:rsid w:val="00E84D11"/>
    <w:rsid w:val="00E84F9A"/>
    <w:rsid w:val="00E8533D"/>
    <w:rsid w:val="00E86243"/>
    <w:rsid w:val="00E872E8"/>
    <w:rsid w:val="00E9010B"/>
    <w:rsid w:val="00E913D9"/>
    <w:rsid w:val="00E914B7"/>
    <w:rsid w:val="00E923F0"/>
    <w:rsid w:val="00E929D9"/>
    <w:rsid w:val="00E93290"/>
    <w:rsid w:val="00E932DB"/>
    <w:rsid w:val="00E96035"/>
    <w:rsid w:val="00E97FD6"/>
    <w:rsid w:val="00EA35BA"/>
    <w:rsid w:val="00EA4715"/>
    <w:rsid w:val="00EA5956"/>
    <w:rsid w:val="00EA7B5C"/>
    <w:rsid w:val="00EB168A"/>
    <w:rsid w:val="00EB185F"/>
    <w:rsid w:val="00EB3671"/>
    <w:rsid w:val="00EB5093"/>
    <w:rsid w:val="00EB5E4E"/>
    <w:rsid w:val="00EB5F08"/>
    <w:rsid w:val="00EB7239"/>
    <w:rsid w:val="00EB7343"/>
    <w:rsid w:val="00EB744C"/>
    <w:rsid w:val="00EB793A"/>
    <w:rsid w:val="00EC51A4"/>
    <w:rsid w:val="00EC6BB3"/>
    <w:rsid w:val="00ED0E42"/>
    <w:rsid w:val="00ED1267"/>
    <w:rsid w:val="00ED3DAF"/>
    <w:rsid w:val="00ED4377"/>
    <w:rsid w:val="00ED4A2E"/>
    <w:rsid w:val="00ED4FA2"/>
    <w:rsid w:val="00ED6523"/>
    <w:rsid w:val="00ED6690"/>
    <w:rsid w:val="00ED6D0C"/>
    <w:rsid w:val="00ED79E8"/>
    <w:rsid w:val="00EE04B0"/>
    <w:rsid w:val="00EE078A"/>
    <w:rsid w:val="00EE08EA"/>
    <w:rsid w:val="00EE1554"/>
    <w:rsid w:val="00EE491C"/>
    <w:rsid w:val="00EE5692"/>
    <w:rsid w:val="00EE773E"/>
    <w:rsid w:val="00EF03A2"/>
    <w:rsid w:val="00EF067A"/>
    <w:rsid w:val="00EF0A14"/>
    <w:rsid w:val="00EF5491"/>
    <w:rsid w:val="00EF5732"/>
    <w:rsid w:val="00F012F4"/>
    <w:rsid w:val="00F0145C"/>
    <w:rsid w:val="00F0146B"/>
    <w:rsid w:val="00F0238C"/>
    <w:rsid w:val="00F024BF"/>
    <w:rsid w:val="00F0470F"/>
    <w:rsid w:val="00F05391"/>
    <w:rsid w:val="00F06756"/>
    <w:rsid w:val="00F07BA4"/>
    <w:rsid w:val="00F07C3F"/>
    <w:rsid w:val="00F1086E"/>
    <w:rsid w:val="00F10962"/>
    <w:rsid w:val="00F1133C"/>
    <w:rsid w:val="00F11B5C"/>
    <w:rsid w:val="00F12034"/>
    <w:rsid w:val="00F13F57"/>
    <w:rsid w:val="00F140D0"/>
    <w:rsid w:val="00F14B53"/>
    <w:rsid w:val="00F152A2"/>
    <w:rsid w:val="00F15DB1"/>
    <w:rsid w:val="00F15EED"/>
    <w:rsid w:val="00F16385"/>
    <w:rsid w:val="00F21D2D"/>
    <w:rsid w:val="00F21FA7"/>
    <w:rsid w:val="00F22D77"/>
    <w:rsid w:val="00F237EE"/>
    <w:rsid w:val="00F247DB"/>
    <w:rsid w:val="00F26380"/>
    <w:rsid w:val="00F26FD1"/>
    <w:rsid w:val="00F309BB"/>
    <w:rsid w:val="00F30F25"/>
    <w:rsid w:val="00F32008"/>
    <w:rsid w:val="00F3445C"/>
    <w:rsid w:val="00F36024"/>
    <w:rsid w:val="00F36FA8"/>
    <w:rsid w:val="00F37C0D"/>
    <w:rsid w:val="00F40360"/>
    <w:rsid w:val="00F4145B"/>
    <w:rsid w:val="00F415AD"/>
    <w:rsid w:val="00F41D57"/>
    <w:rsid w:val="00F452A5"/>
    <w:rsid w:val="00F45A4F"/>
    <w:rsid w:val="00F45B7B"/>
    <w:rsid w:val="00F45CCA"/>
    <w:rsid w:val="00F45DEC"/>
    <w:rsid w:val="00F462CD"/>
    <w:rsid w:val="00F46A54"/>
    <w:rsid w:val="00F46C5E"/>
    <w:rsid w:val="00F505AF"/>
    <w:rsid w:val="00F5316D"/>
    <w:rsid w:val="00F5335F"/>
    <w:rsid w:val="00F54486"/>
    <w:rsid w:val="00F557EE"/>
    <w:rsid w:val="00F55E1D"/>
    <w:rsid w:val="00F56A7A"/>
    <w:rsid w:val="00F6042E"/>
    <w:rsid w:val="00F622B1"/>
    <w:rsid w:val="00F62C0D"/>
    <w:rsid w:val="00F62CD5"/>
    <w:rsid w:val="00F6522E"/>
    <w:rsid w:val="00F656DE"/>
    <w:rsid w:val="00F66D28"/>
    <w:rsid w:val="00F67198"/>
    <w:rsid w:val="00F70C07"/>
    <w:rsid w:val="00F71B08"/>
    <w:rsid w:val="00F71FD1"/>
    <w:rsid w:val="00F726AB"/>
    <w:rsid w:val="00F727C5"/>
    <w:rsid w:val="00F73E32"/>
    <w:rsid w:val="00F756EA"/>
    <w:rsid w:val="00F76F50"/>
    <w:rsid w:val="00F772FE"/>
    <w:rsid w:val="00F80337"/>
    <w:rsid w:val="00F8159C"/>
    <w:rsid w:val="00F81DAE"/>
    <w:rsid w:val="00F82AE9"/>
    <w:rsid w:val="00F833A2"/>
    <w:rsid w:val="00F83FA4"/>
    <w:rsid w:val="00F84F53"/>
    <w:rsid w:val="00F85D98"/>
    <w:rsid w:val="00F87568"/>
    <w:rsid w:val="00F9087E"/>
    <w:rsid w:val="00F93B7C"/>
    <w:rsid w:val="00F93B8D"/>
    <w:rsid w:val="00F9518F"/>
    <w:rsid w:val="00F95F31"/>
    <w:rsid w:val="00F96844"/>
    <w:rsid w:val="00F97884"/>
    <w:rsid w:val="00F97F6D"/>
    <w:rsid w:val="00FA08F3"/>
    <w:rsid w:val="00FA1038"/>
    <w:rsid w:val="00FA208A"/>
    <w:rsid w:val="00FA2910"/>
    <w:rsid w:val="00FA35F6"/>
    <w:rsid w:val="00FA373F"/>
    <w:rsid w:val="00FA6331"/>
    <w:rsid w:val="00FA694F"/>
    <w:rsid w:val="00FA7544"/>
    <w:rsid w:val="00FB1FE8"/>
    <w:rsid w:val="00FB5A44"/>
    <w:rsid w:val="00FB5EC8"/>
    <w:rsid w:val="00FB73E0"/>
    <w:rsid w:val="00FC02B3"/>
    <w:rsid w:val="00FC1845"/>
    <w:rsid w:val="00FC192B"/>
    <w:rsid w:val="00FC40C0"/>
    <w:rsid w:val="00FC57F7"/>
    <w:rsid w:val="00FC6E97"/>
    <w:rsid w:val="00FC733C"/>
    <w:rsid w:val="00FC73CF"/>
    <w:rsid w:val="00FC75E0"/>
    <w:rsid w:val="00FD0682"/>
    <w:rsid w:val="00FD143C"/>
    <w:rsid w:val="00FD17A2"/>
    <w:rsid w:val="00FD2F7E"/>
    <w:rsid w:val="00FD30A3"/>
    <w:rsid w:val="00FD33FF"/>
    <w:rsid w:val="00FD38A9"/>
    <w:rsid w:val="00FD40F6"/>
    <w:rsid w:val="00FD4310"/>
    <w:rsid w:val="00FD455D"/>
    <w:rsid w:val="00FD4E56"/>
    <w:rsid w:val="00FD634B"/>
    <w:rsid w:val="00FD6A0E"/>
    <w:rsid w:val="00FE1087"/>
    <w:rsid w:val="00FE35E3"/>
    <w:rsid w:val="00FE3E16"/>
    <w:rsid w:val="00FE5BEB"/>
    <w:rsid w:val="00FE62E0"/>
    <w:rsid w:val="00FF1CA0"/>
    <w:rsid w:val="00FF2453"/>
    <w:rsid w:val="00FF29E7"/>
    <w:rsid w:val="00FF2A15"/>
    <w:rsid w:val="00FF3C5D"/>
    <w:rsid w:val="00FF5F55"/>
    <w:rsid w:val="00FF62AD"/>
    <w:rsid w:val="00FF62FF"/>
    <w:rsid w:val="00FF6372"/>
    <w:rsid w:val="00FF7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AD2B9E"/>
  <w15:chartTrackingRefBased/>
  <w15:docId w15:val="{D9F7B3C4-309B-4598-88A9-962EA3832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19AD"/>
    <w:rPr>
      <w:rFonts w:ascii="Arial" w:hAnsi="Arial"/>
      <w:sz w:val="24"/>
    </w:rPr>
  </w:style>
  <w:style w:type="paragraph" w:styleId="Heading1">
    <w:name w:val="heading 1"/>
    <w:basedOn w:val="Normal"/>
    <w:next w:val="Normal"/>
    <w:link w:val="Heading1Char"/>
    <w:uiPriority w:val="9"/>
    <w:qFormat/>
    <w:rsid w:val="006519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45C"/>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1745C"/>
    <w:pPr>
      <w:keepNext/>
      <w:keepLines/>
      <w:spacing w:before="40" w:after="0"/>
      <w:outlineLvl w:val="2"/>
    </w:pPr>
    <w:rPr>
      <w:rFonts w:asciiTheme="majorHAnsi" w:eastAsiaTheme="majorEastAsia" w:hAnsiTheme="majorHAnsi" w:cstheme="majorBidi"/>
      <w:b/>
      <w:color w:val="1F3763" w:themeColor="accent1" w:themeShade="7F"/>
      <w:szCs w:val="24"/>
    </w:rPr>
  </w:style>
  <w:style w:type="paragraph" w:styleId="Heading4">
    <w:name w:val="heading 4"/>
    <w:basedOn w:val="Normal"/>
    <w:next w:val="Normal"/>
    <w:link w:val="Heading4Char"/>
    <w:uiPriority w:val="9"/>
    <w:unhideWhenUsed/>
    <w:qFormat/>
    <w:rsid w:val="008C269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9A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D27F57"/>
    <w:pPr>
      <w:spacing w:before="100" w:beforeAutospacing="1" w:after="100" w:afterAutospacing="1" w:line="240" w:lineRule="auto"/>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D27F57"/>
    <w:rPr>
      <w:color w:val="0000FF"/>
      <w:u w:val="single"/>
    </w:rPr>
  </w:style>
  <w:style w:type="paragraph" w:styleId="NoSpacing">
    <w:name w:val="No Spacing"/>
    <w:uiPriority w:val="1"/>
    <w:qFormat/>
    <w:rsid w:val="00D27F57"/>
    <w:pPr>
      <w:spacing w:after="0" w:line="240" w:lineRule="auto"/>
    </w:pPr>
    <w:rPr>
      <w:rFonts w:ascii="Arial" w:hAnsi="Arial"/>
      <w:sz w:val="24"/>
    </w:rPr>
  </w:style>
  <w:style w:type="character" w:styleId="FollowedHyperlink">
    <w:name w:val="FollowedHyperlink"/>
    <w:basedOn w:val="DefaultParagraphFont"/>
    <w:uiPriority w:val="99"/>
    <w:semiHidden/>
    <w:unhideWhenUsed/>
    <w:rsid w:val="00A113EC"/>
    <w:rPr>
      <w:color w:val="954F72" w:themeColor="followedHyperlink"/>
      <w:u w:val="single"/>
    </w:rPr>
  </w:style>
  <w:style w:type="paragraph" w:customStyle="1" w:styleId="EndNoteBibliographyTitle">
    <w:name w:val="EndNote Bibliography Title"/>
    <w:basedOn w:val="Normal"/>
    <w:link w:val="EndNoteBibliographyTitleChar"/>
    <w:rsid w:val="009C1644"/>
    <w:pPr>
      <w:spacing w:after="0"/>
      <w:jc w:val="center"/>
    </w:pPr>
    <w:rPr>
      <w:rFonts w:cs="Arial"/>
      <w:noProof/>
      <w:lang w:val="en-US"/>
    </w:rPr>
  </w:style>
  <w:style w:type="character" w:customStyle="1" w:styleId="EndNoteBibliographyTitleChar">
    <w:name w:val="EndNote Bibliography Title Char"/>
    <w:basedOn w:val="DefaultParagraphFont"/>
    <w:link w:val="EndNoteBibliographyTitle"/>
    <w:rsid w:val="009C1644"/>
    <w:rPr>
      <w:rFonts w:ascii="Arial" w:hAnsi="Arial" w:cs="Arial"/>
      <w:noProof/>
      <w:sz w:val="24"/>
      <w:lang w:val="en-US"/>
    </w:rPr>
  </w:style>
  <w:style w:type="paragraph" w:customStyle="1" w:styleId="EndNoteBibliography">
    <w:name w:val="EndNote Bibliography"/>
    <w:basedOn w:val="Normal"/>
    <w:link w:val="EndNoteBibliographyChar"/>
    <w:rsid w:val="009C1644"/>
    <w:pPr>
      <w:spacing w:line="240" w:lineRule="auto"/>
    </w:pPr>
    <w:rPr>
      <w:rFonts w:cs="Arial"/>
      <w:noProof/>
      <w:lang w:val="en-US"/>
    </w:rPr>
  </w:style>
  <w:style w:type="character" w:customStyle="1" w:styleId="EndNoteBibliographyChar">
    <w:name w:val="EndNote Bibliography Char"/>
    <w:basedOn w:val="DefaultParagraphFont"/>
    <w:link w:val="EndNoteBibliography"/>
    <w:rsid w:val="009C1644"/>
    <w:rPr>
      <w:rFonts w:ascii="Arial" w:hAnsi="Arial" w:cs="Arial"/>
      <w:noProof/>
      <w:sz w:val="24"/>
      <w:lang w:val="en-US"/>
    </w:rPr>
  </w:style>
  <w:style w:type="paragraph" w:styleId="TOCHeading">
    <w:name w:val="TOC Heading"/>
    <w:basedOn w:val="Heading1"/>
    <w:next w:val="Normal"/>
    <w:uiPriority w:val="39"/>
    <w:unhideWhenUsed/>
    <w:qFormat/>
    <w:rsid w:val="007F70AB"/>
    <w:pPr>
      <w:outlineLvl w:val="9"/>
    </w:pPr>
    <w:rPr>
      <w:lang w:val="en-US"/>
    </w:rPr>
  </w:style>
  <w:style w:type="paragraph" w:styleId="TOC1">
    <w:name w:val="toc 1"/>
    <w:basedOn w:val="Normal"/>
    <w:next w:val="Normal"/>
    <w:autoRedefine/>
    <w:uiPriority w:val="39"/>
    <w:unhideWhenUsed/>
    <w:rsid w:val="007F70AB"/>
    <w:pPr>
      <w:spacing w:after="100"/>
    </w:pPr>
  </w:style>
  <w:style w:type="character" w:styleId="UnresolvedMention">
    <w:name w:val="Unresolved Mention"/>
    <w:basedOn w:val="DefaultParagraphFont"/>
    <w:uiPriority w:val="99"/>
    <w:semiHidden/>
    <w:unhideWhenUsed/>
    <w:rsid w:val="001A5DBA"/>
    <w:rPr>
      <w:color w:val="605E5C"/>
      <w:shd w:val="clear" w:color="auto" w:fill="E1DFDD"/>
    </w:rPr>
  </w:style>
  <w:style w:type="character" w:customStyle="1" w:styleId="Heading2Char">
    <w:name w:val="Heading 2 Char"/>
    <w:basedOn w:val="DefaultParagraphFont"/>
    <w:link w:val="Heading2"/>
    <w:uiPriority w:val="9"/>
    <w:rsid w:val="0011745C"/>
    <w:rPr>
      <w:rFonts w:asciiTheme="majorHAnsi" w:eastAsiaTheme="majorEastAsia" w:hAnsiTheme="majorHAnsi" w:cstheme="majorBidi"/>
      <w:b/>
      <w:color w:val="2F5496" w:themeColor="accent1" w:themeShade="BF"/>
      <w:sz w:val="26"/>
      <w:szCs w:val="26"/>
    </w:rPr>
  </w:style>
  <w:style w:type="paragraph" w:styleId="EndnoteText">
    <w:name w:val="endnote text"/>
    <w:basedOn w:val="Normal"/>
    <w:link w:val="EndnoteTextChar"/>
    <w:uiPriority w:val="99"/>
    <w:semiHidden/>
    <w:unhideWhenUsed/>
    <w:rsid w:val="006355F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355FF"/>
    <w:rPr>
      <w:rFonts w:ascii="Arial" w:hAnsi="Arial"/>
      <w:sz w:val="20"/>
      <w:szCs w:val="20"/>
    </w:rPr>
  </w:style>
  <w:style w:type="character" w:styleId="EndnoteReference">
    <w:name w:val="endnote reference"/>
    <w:basedOn w:val="DefaultParagraphFont"/>
    <w:uiPriority w:val="99"/>
    <w:semiHidden/>
    <w:unhideWhenUsed/>
    <w:rsid w:val="006355FF"/>
    <w:rPr>
      <w:vertAlign w:val="superscript"/>
    </w:rPr>
  </w:style>
  <w:style w:type="table" w:styleId="TableGrid">
    <w:name w:val="Table Grid"/>
    <w:basedOn w:val="TableNormal"/>
    <w:uiPriority w:val="39"/>
    <w:rsid w:val="00D44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22CD9"/>
    <w:pPr>
      <w:ind w:left="720"/>
      <w:contextualSpacing/>
    </w:pPr>
  </w:style>
  <w:style w:type="paragraph" w:styleId="Caption">
    <w:name w:val="caption"/>
    <w:basedOn w:val="Normal"/>
    <w:next w:val="Normal"/>
    <w:uiPriority w:val="35"/>
    <w:unhideWhenUsed/>
    <w:qFormat/>
    <w:rsid w:val="002E6DA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9B483F"/>
    <w:pPr>
      <w:spacing w:after="100"/>
      <w:ind w:left="240"/>
    </w:pPr>
  </w:style>
  <w:style w:type="character" w:customStyle="1" w:styleId="Heading3Char">
    <w:name w:val="Heading 3 Char"/>
    <w:basedOn w:val="DefaultParagraphFont"/>
    <w:link w:val="Heading3"/>
    <w:uiPriority w:val="9"/>
    <w:rsid w:val="0011745C"/>
    <w:rPr>
      <w:rFonts w:asciiTheme="majorHAnsi" w:eastAsiaTheme="majorEastAsia" w:hAnsiTheme="majorHAnsi" w:cstheme="majorBidi"/>
      <w:b/>
      <w:color w:val="1F3763" w:themeColor="accent1" w:themeShade="7F"/>
      <w:sz w:val="24"/>
      <w:szCs w:val="24"/>
    </w:rPr>
  </w:style>
  <w:style w:type="paragraph" w:styleId="TOC3">
    <w:name w:val="toc 3"/>
    <w:basedOn w:val="Normal"/>
    <w:next w:val="Normal"/>
    <w:autoRedefine/>
    <w:uiPriority w:val="39"/>
    <w:unhideWhenUsed/>
    <w:rsid w:val="00AC3404"/>
    <w:pPr>
      <w:spacing w:after="100"/>
      <w:ind w:left="480"/>
    </w:pPr>
  </w:style>
  <w:style w:type="character" w:customStyle="1" w:styleId="Heading4Char">
    <w:name w:val="Heading 4 Char"/>
    <w:basedOn w:val="DefaultParagraphFont"/>
    <w:link w:val="Heading4"/>
    <w:uiPriority w:val="9"/>
    <w:rsid w:val="008C2696"/>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qFormat/>
    <w:rsid w:val="00782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322"/>
    <w:rPr>
      <w:rFonts w:ascii="Arial" w:hAnsi="Arial"/>
      <w:sz w:val="24"/>
    </w:rPr>
  </w:style>
  <w:style w:type="paragraph" w:styleId="Footer">
    <w:name w:val="footer"/>
    <w:basedOn w:val="Normal"/>
    <w:link w:val="FooterChar"/>
    <w:uiPriority w:val="99"/>
    <w:unhideWhenUsed/>
    <w:rsid w:val="00782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322"/>
    <w:rPr>
      <w:rFonts w:ascii="Arial" w:hAnsi="Arial"/>
      <w:sz w:val="24"/>
    </w:rPr>
  </w:style>
  <w:style w:type="character" w:styleId="PageNumber">
    <w:name w:val="page number"/>
    <w:basedOn w:val="DefaultParagraphFont"/>
    <w:uiPriority w:val="99"/>
    <w:semiHidden/>
    <w:unhideWhenUsed/>
    <w:rsid w:val="00C77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7000">
      <w:bodyDiv w:val="1"/>
      <w:marLeft w:val="0"/>
      <w:marRight w:val="0"/>
      <w:marTop w:val="0"/>
      <w:marBottom w:val="0"/>
      <w:divBdr>
        <w:top w:val="none" w:sz="0" w:space="0" w:color="auto"/>
        <w:left w:val="none" w:sz="0" w:space="0" w:color="auto"/>
        <w:bottom w:val="none" w:sz="0" w:space="0" w:color="auto"/>
        <w:right w:val="none" w:sz="0" w:space="0" w:color="auto"/>
      </w:divBdr>
    </w:div>
    <w:div w:id="52239812">
      <w:bodyDiv w:val="1"/>
      <w:marLeft w:val="0"/>
      <w:marRight w:val="0"/>
      <w:marTop w:val="0"/>
      <w:marBottom w:val="0"/>
      <w:divBdr>
        <w:top w:val="none" w:sz="0" w:space="0" w:color="auto"/>
        <w:left w:val="none" w:sz="0" w:space="0" w:color="auto"/>
        <w:bottom w:val="none" w:sz="0" w:space="0" w:color="auto"/>
        <w:right w:val="none" w:sz="0" w:space="0" w:color="auto"/>
      </w:divBdr>
    </w:div>
    <w:div w:id="86582541">
      <w:bodyDiv w:val="1"/>
      <w:marLeft w:val="0"/>
      <w:marRight w:val="0"/>
      <w:marTop w:val="0"/>
      <w:marBottom w:val="0"/>
      <w:divBdr>
        <w:top w:val="none" w:sz="0" w:space="0" w:color="auto"/>
        <w:left w:val="none" w:sz="0" w:space="0" w:color="auto"/>
        <w:bottom w:val="none" w:sz="0" w:space="0" w:color="auto"/>
        <w:right w:val="none" w:sz="0" w:space="0" w:color="auto"/>
      </w:divBdr>
    </w:div>
    <w:div w:id="205946770">
      <w:bodyDiv w:val="1"/>
      <w:marLeft w:val="0"/>
      <w:marRight w:val="0"/>
      <w:marTop w:val="0"/>
      <w:marBottom w:val="0"/>
      <w:divBdr>
        <w:top w:val="none" w:sz="0" w:space="0" w:color="auto"/>
        <w:left w:val="none" w:sz="0" w:space="0" w:color="auto"/>
        <w:bottom w:val="none" w:sz="0" w:space="0" w:color="auto"/>
        <w:right w:val="none" w:sz="0" w:space="0" w:color="auto"/>
      </w:divBdr>
    </w:div>
    <w:div w:id="401875307">
      <w:bodyDiv w:val="1"/>
      <w:marLeft w:val="0"/>
      <w:marRight w:val="0"/>
      <w:marTop w:val="0"/>
      <w:marBottom w:val="0"/>
      <w:divBdr>
        <w:top w:val="none" w:sz="0" w:space="0" w:color="auto"/>
        <w:left w:val="none" w:sz="0" w:space="0" w:color="auto"/>
        <w:bottom w:val="none" w:sz="0" w:space="0" w:color="auto"/>
        <w:right w:val="none" w:sz="0" w:space="0" w:color="auto"/>
      </w:divBdr>
    </w:div>
    <w:div w:id="644314612">
      <w:bodyDiv w:val="1"/>
      <w:marLeft w:val="0"/>
      <w:marRight w:val="0"/>
      <w:marTop w:val="0"/>
      <w:marBottom w:val="0"/>
      <w:divBdr>
        <w:top w:val="none" w:sz="0" w:space="0" w:color="auto"/>
        <w:left w:val="none" w:sz="0" w:space="0" w:color="auto"/>
        <w:bottom w:val="none" w:sz="0" w:space="0" w:color="auto"/>
        <w:right w:val="none" w:sz="0" w:space="0" w:color="auto"/>
      </w:divBdr>
    </w:div>
    <w:div w:id="710569280">
      <w:bodyDiv w:val="1"/>
      <w:marLeft w:val="0"/>
      <w:marRight w:val="0"/>
      <w:marTop w:val="0"/>
      <w:marBottom w:val="0"/>
      <w:divBdr>
        <w:top w:val="none" w:sz="0" w:space="0" w:color="auto"/>
        <w:left w:val="none" w:sz="0" w:space="0" w:color="auto"/>
        <w:bottom w:val="none" w:sz="0" w:space="0" w:color="auto"/>
        <w:right w:val="none" w:sz="0" w:space="0" w:color="auto"/>
      </w:divBdr>
    </w:div>
    <w:div w:id="777602127">
      <w:bodyDiv w:val="1"/>
      <w:marLeft w:val="0"/>
      <w:marRight w:val="0"/>
      <w:marTop w:val="0"/>
      <w:marBottom w:val="0"/>
      <w:divBdr>
        <w:top w:val="none" w:sz="0" w:space="0" w:color="auto"/>
        <w:left w:val="none" w:sz="0" w:space="0" w:color="auto"/>
        <w:bottom w:val="none" w:sz="0" w:space="0" w:color="auto"/>
        <w:right w:val="none" w:sz="0" w:space="0" w:color="auto"/>
      </w:divBdr>
    </w:div>
    <w:div w:id="858859065">
      <w:bodyDiv w:val="1"/>
      <w:marLeft w:val="0"/>
      <w:marRight w:val="0"/>
      <w:marTop w:val="0"/>
      <w:marBottom w:val="0"/>
      <w:divBdr>
        <w:top w:val="none" w:sz="0" w:space="0" w:color="auto"/>
        <w:left w:val="none" w:sz="0" w:space="0" w:color="auto"/>
        <w:bottom w:val="none" w:sz="0" w:space="0" w:color="auto"/>
        <w:right w:val="none" w:sz="0" w:space="0" w:color="auto"/>
      </w:divBdr>
    </w:div>
    <w:div w:id="870412011">
      <w:bodyDiv w:val="1"/>
      <w:marLeft w:val="0"/>
      <w:marRight w:val="0"/>
      <w:marTop w:val="0"/>
      <w:marBottom w:val="0"/>
      <w:divBdr>
        <w:top w:val="none" w:sz="0" w:space="0" w:color="auto"/>
        <w:left w:val="none" w:sz="0" w:space="0" w:color="auto"/>
        <w:bottom w:val="none" w:sz="0" w:space="0" w:color="auto"/>
        <w:right w:val="none" w:sz="0" w:space="0" w:color="auto"/>
      </w:divBdr>
    </w:div>
    <w:div w:id="930815442">
      <w:bodyDiv w:val="1"/>
      <w:marLeft w:val="0"/>
      <w:marRight w:val="0"/>
      <w:marTop w:val="0"/>
      <w:marBottom w:val="0"/>
      <w:divBdr>
        <w:top w:val="none" w:sz="0" w:space="0" w:color="auto"/>
        <w:left w:val="none" w:sz="0" w:space="0" w:color="auto"/>
        <w:bottom w:val="none" w:sz="0" w:space="0" w:color="auto"/>
        <w:right w:val="none" w:sz="0" w:space="0" w:color="auto"/>
      </w:divBdr>
    </w:div>
    <w:div w:id="1009408328">
      <w:bodyDiv w:val="1"/>
      <w:marLeft w:val="0"/>
      <w:marRight w:val="0"/>
      <w:marTop w:val="0"/>
      <w:marBottom w:val="0"/>
      <w:divBdr>
        <w:top w:val="none" w:sz="0" w:space="0" w:color="auto"/>
        <w:left w:val="none" w:sz="0" w:space="0" w:color="auto"/>
        <w:bottom w:val="none" w:sz="0" w:space="0" w:color="auto"/>
        <w:right w:val="none" w:sz="0" w:space="0" w:color="auto"/>
      </w:divBdr>
    </w:div>
    <w:div w:id="1039865036">
      <w:bodyDiv w:val="1"/>
      <w:marLeft w:val="0"/>
      <w:marRight w:val="0"/>
      <w:marTop w:val="0"/>
      <w:marBottom w:val="0"/>
      <w:divBdr>
        <w:top w:val="none" w:sz="0" w:space="0" w:color="auto"/>
        <w:left w:val="none" w:sz="0" w:space="0" w:color="auto"/>
        <w:bottom w:val="none" w:sz="0" w:space="0" w:color="auto"/>
        <w:right w:val="none" w:sz="0" w:space="0" w:color="auto"/>
      </w:divBdr>
    </w:div>
    <w:div w:id="1063024002">
      <w:bodyDiv w:val="1"/>
      <w:marLeft w:val="0"/>
      <w:marRight w:val="0"/>
      <w:marTop w:val="0"/>
      <w:marBottom w:val="0"/>
      <w:divBdr>
        <w:top w:val="none" w:sz="0" w:space="0" w:color="auto"/>
        <w:left w:val="none" w:sz="0" w:space="0" w:color="auto"/>
        <w:bottom w:val="none" w:sz="0" w:space="0" w:color="auto"/>
        <w:right w:val="none" w:sz="0" w:space="0" w:color="auto"/>
      </w:divBdr>
    </w:div>
    <w:div w:id="1246919239">
      <w:bodyDiv w:val="1"/>
      <w:marLeft w:val="0"/>
      <w:marRight w:val="0"/>
      <w:marTop w:val="0"/>
      <w:marBottom w:val="0"/>
      <w:divBdr>
        <w:top w:val="none" w:sz="0" w:space="0" w:color="auto"/>
        <w:left w:val="none" w:sz="0" w:space="0" w:color="auto"/>
        <w:bottom w:val="none" w:sz="0" w:space="0" w:color="auto"/>
        <w:right w:val="none" w:sz="0" w:space="0" w:color="auto"/>
      </w:divBdr>
    </w:div>
    <w:div w:id="1346323560">
      <w:bodyDiv w:val="1"/>
      <w:marLeft w:val="0"/>
      <w:marRight w:val="0"/>
      <w:marTop w:val="0"/>
      <w:marBottom w:val="0"/>
      <w:divBdr>
        <w:top w:val="none" w:sz="0" w:space="0" w:color="auto"/>
        <w:left w:val="none" w:sz="0" w:space="0" w:color="auto"/>
        <w:bottom w:val="none" w:sz="0" w:space="0" w:color="auto"/>
        <w:right w:val="none" w:sz="0" w:space="0" w:color="auto"/>
      </w:divBdr>
    </w:div>
    <w:div w:id="1824394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1136/emermed-2020-210401" TargetMode="External"/><Relationship Id="rId18" Type="http://schemas.openxmlformats.org/officeDocument/2006/relationships/hyperlink" Target="https://www.fdbhealth.co.uk/solutions/multilex-clinical-decision-support" TargetMode="External"/><Relationship Id="rId26" Type="http://schemas.openxmlformats.org/officeDocument/2006/relationships/hyperlink" Target="https://ovidsp.ovid.com/athens/ovidweb.cgi?T=JS&amp;CSC=Y&amp;NEWS=N&amp;PAGE=fulltext&amp;D=emed10&amp;AN=44909484" TargetMode="External"/><Relationship Id="rId39" Type="http://schemas.openxmlformats.org/officeDocument/2006/relationships/hyperlink" Target="https://dx.doi.org/10.1186/2046-4053-3-56" TargetMode="External"/><Relationship Id="rId21" Type="http://schemas.openxmlformats.org/officeDocument/2006/relationships/hyperlink" Target="https://doi.org/10.1093/jamia/ocz095" TargetMode="External"/><Relationship Id="rId34" Type="http://schemas.openxmlformats.org/officeDocument/2006/relationships/hyperlink" Target="https://digital.nhs.uk/data-and-information/information-standards/information-standards-and-data-collections-including-extractions/publications-and-notifications/standards-and-collections/dcb0129-clinical-risk-management-its-application-in-the-manufacture-of-health-it-systems" TargetMode="External"/><Relationship Id="rId42" Type="http://schemas.openxmlformats.org/officeDocument/2006/relationships/hyperlink" Target="https://www.futuremedicine.com/doi/abs/10.2217/pgs-2021-0110" TargetMode="External"/><Relationship Id="rId47" Type="http://schemas.openxmlformats.org/officeDocument/2006/relationships/hyperlink" Target="https://dx.doi.org/10.1111/bcp.12087" TargetMode="External"/><Relationship Id="rId50" Type="http://schemas.openxmlformats.org/officeDocument/2006/relationships/hyperlink" Target="https://doi.org/10.1001/jama.293.10.126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x.doi.org/10.1136/amiajnl-2013-001684" TargetMode="External"/><Relationship Id="rId29" Type="http://schemas.openxmlformats.org/officeDocument/2006/relationships/hyperlink" Target="https://dx.doi.org/10.1002/fps.94" TargetMode="External"/><Relationship Id="rId11" Type="http://schemas.openxmlformats.org/officeDocument/2006/relationships/image" Target="media/image4.png"/><Relationship Id="rId24" Type="http://schemas.openxmlformats.org/officeDocument/2006/relationships/hyperlink" Target="https://dx.doi.org/10.4258/hir.2021.27.2.95" TargetMode="External"/><Relationship Id="rId32" Type="http://schemas.openxmlformats.org/officeDocument/2006/relationships/hyperlink" Target="https://www.ncbi.nlm.nih.gov/pubmed/28174319" TargetMode="External"/><Relationship Id="rId37" Type="http://schemas.openxmlformats.org/officeDocument/2006/relationships/hyperlink" Target="https://www.nhsbsa.nhs.uk/pharmacies-gp-practices-and-appliance-contractors/dictionary-medicines-and-devices-dmd" TargetMode="External"/><Relationship Id="rId40" Type="http://schemas.openxmlformats.org/officeDocument/2006/relationships/hyperlink" Target="https://www.ncbi.nlm.nih.gov/pubmed/29572298" TargetMode="External"/><Relationship Id="rId45" Type="http://schemas.openxmlformats.org/officeDocument/2006/relationships/hyperlink" Target="https://confluence.ihtsdotools.org/"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x.doi.org/10.1177/1460458219833112" TargetMode="External"/><Relationship Id="rId31" Type="http://schemas.openxmlformats.org/officeDocument/2006/relationships/hyperlink" Target="https://doi.org/10.1197/jamia.M3170" TargetMode="External"/><Relationship Id="rId44" Type="http://schemas.openxmlformats.org/officeDocument/2006/relationships/hyperlink" Target="https://dx.doi.org/10.1111/j.1475-6773.2007.00751.x"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x.doi.org/10.1186/1471-2288-6-54" TargetMode="External"/><Relationship Id="rId22" Type="http://schemas.openxmlformats.org/officeDocument/2006/relationships/hyperlink" Target="https://bnf.nice.org.uk/" TargetMode="External"/><Relationship Id="rId27" Type="http://schemas.openxmlformats.org/officeDocument/2006/relationships/hyperlink" Target="https://doi.org/10.1093/intqhc/mzt043" TargetMode="External"/><Relationship Id="rId30" Type="http://schemas.openxmlformats.org/officeDocument/2006/relationships/hyperlink" Target="https://dx.doi.org/10.1186/1748-5908-6-42" TargetMode="External"/><Relationship Id="rId35" Type="http://schemas.openxmlformats.org/officeDocument/2006/relationships/hyperlink" Target="https://digital.nhs.uk/data-and-information/information-standards/information-standards-and-data-collections-including-extractions/publications-and-notifications/standards-and-collections/dcb0160-clinical-risk-management-its-application-in-the-deployment-and-use-of-health-it-systems" TargetMode="External"/><Relationship Id="rId43" Type="http://schemas.openxmlformats.org/officeDocument/2006/relationships/hyperlink" Target="https://ucum.org/ucum" TargetMode="External"/><Relationship Id="rId48" Type="http://schemas.openxmlformats.org/officeDocument/2006/relationships/hyperlink" Target="https://topol.hee.nhs.uk/" TargetMode="External"/><Relationship Id="rId8" Type="http://schemas.openxmlformats.org/officeDocument/2006/relationships/image" Target="media/image1.png"/><Relationship Id="rId51" Type="http://schemas.openxmlformats.org/officeDocument/2006/relationships/hyperlink" Target="https://www.who.int/initiatives/medication-without-harm" TargetMode="External"/><Relationship Id="rId3" Type="http://schemas.openxmlformats.org/officeDocument/2006/relationships/styles" Target="styles.xml"/><Relationship Id="rId12" Type="http://schemas.openxmlformats.org/officeDocument/2006/relationships/hyperlink" Target="https://dx.doi.org/10.1136/ejhpharm-2017-001483" TargetMode="External"/><Relationship Id="rId17" Type="http://schemas.openxmlformats.org/officeDocument/2006/relationships/hyperlink" Target="https://doi.org/10.1136/amiajnl-2011-000360" TargetMode="External"/><Relationship Id="rId25" Type="http://schemas.openxmlformats.org/officeDocument/2006/relationships/hyperlink" Target="https://dx.doi.org/10.1197/jamia.M2170,Available" TargetMode="External"/><Relationship Id="rId33" Type="http://schemas.openxmlformats.org/officeDocument/2006/relationships/hyperlink" Target="https://doi.org/10.2146/ajhp160215" TargetMode="External"/><Relationship Id="rId38" Type="http://schemas.openxmlformats.org/officeDocument/2006/relationships/hyperlink" Target="https://bnf.nice.org.uk/medicines-guidance/medicines-optimisation/" TargetMode="External"/><Relationship Id="rId46" Type="http://schemas.openxmlformats.org/officeDocument/2006/relationships/hyperlink" Target="https://about.medicinescomplete.com/" TargetMode="External"/><Relationship Id="rId20" Type="http://schemas.openxmlformats.org/officeDocument/2006/relationships/hyperlink" Target="https://dx.doi.org/10.1136/pgmj.2011.117879" TargetMode="External"/><Relationship Id="rId41" Type="http://schemas.openxmlformats.org/officeDocument/2006/relationships/hyperlink" Target="https://ovidsp.ovid.com/athens/ovidweb.cgi?T=JS&amp;CSC=Y&amp;NEWS=N&amp;PAGE=fulltext&amp;D=ovfts&amp;AN=00042637-201703000-00026"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x.doi.org/10.3346/jkms.2016.31.12.1887" TargetMode="External"/><Relationship Id="rId23" Type="http://schemas.openxmlformats.org/officeDocument/2006/relationships/hyperlink" Target="https://dx.doi.org/10.1001/archinte.163.12.1409" TargetMode="External"/><Relationship Id="rId28" Type="http://schemas.openxmlformats.org/officeDocument/2006/relationships/hyperlink" Target="https://dx.doi.org/10.1007/s11606-012-1987-7" TargetMode="External"/><Relationship Id="rId36" Type="http://schemas.openxmlformats.org/officeDocument/2006/relationships/hyperlink" Target="https://digital.nhs.uk/services/digital-and-interoperable-medicines" TargetMode="External"/><Relationship Id="rId49" Type="http://schemas.openxmlformats.org/officeDocument/2006/relationships/hyperlink" Target="https://dx.doi.org/10.1186/s13012-018-077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F6CB4-EFED-4BD7-8ECA-38ABB13FE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3776</TotalTime>
  <Pages>28</Pages>
  <Words>19872</Words>
  <Characters>113276</Characters>
  <Application>Microsoft Office Word</Application>
  <DocSecurity>0</DocSecurity>
  <Lines>943</Lines>
  <Paragraphs>265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G</dc:creator>
  <cp:keywords/>
  <dc:description/>
  <cp:lastModifiedBy>J G</cp:lastModifiedBy>
  <cp:revision>2137</cp:revision>
  <dcterms:created xsi:type="dcterms:W3CDTF">2021-12-31T11:35:00Z</dcterms:created>
  <dcterms:modified xsi:type="dcterms:W3CDTF">2023-02-21T14:17:00Z</dcterms:modified>
</cp:coreProperties>
</file>