
<file path=[Content_Types].xml><?xml version="1.0" encoding="utf-8"?>
<Types xmlns="http://schemas.openxmlformats.org/package/2006/content-types">
  <Default Extension="wmf" ContentType="image/x-wmf"/>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37F732D">
      <w:pPr>
        <w:spacing w:before="1200"/>
        <w:rPr>
          <w:rFonts w:cs="Arial"/>
          <w:sz w:val="24"/>
          <w:szCs w:val="24"/>
        </w:rPr>
      </w:pPr>
    </w:p>
    <w:p w14:paraId="7B727417">
      <w:pPr>
        <w:pStyle w:val="10"/>
        <w:spacing w:before="11"/>
        <w:ind w:left="0"/>
        <w:jc w:val="left"/>
        <w:rPr>
          <w:rFonts w:ascii="Arial" w:hAnsi="Arial" w:cs="Arial"/>
          <w:sz w:val="4"/>
          <w:szCs w:val="28"/>
        </w:rPr>
      </w:pPr>
    </w:p>
    <w:p w14:paraId="70DC8206">
      <w:pPr>
        <w:ind w:left="2010"/>
        <w:rPr>
          <w:rFonts w:cs="Arial"/>
          <w:sz w:val="21"/>
          <w:szCs w:val="24"/>
        </w:rPr>
      </w:pPr>
      <w:r>
        <w:rPr>
          <w:rFonts w:cs="Arial"/>
          <w:sz w:val="21"/>
          <w:szCs w:val="24"/>
        </w:rPr>
        <w:drawing>
          <wp:inline distT="0" distB="0" distL="0" distR="0">
            <wp:extent cx="3065780" cy="1094740"/>
            <wp:effectExtent l="0" t="0" r="0" b="0"/>
            <wp:docPr id="2" name="Image 2"/>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6" cstate="print"/>
                    <a:stretch>
                      <a:fillRect/>
                    </a:stretch>
                  </pic:blipFill>
                  <pic:spPr>
                    <a:xfrm>
                      <a:off x="0" y="0"/>
                      <a:ext cx="3082489" cy="1100901"/>
                    </a:xfrm>
                    <a:prstGeom prst="rect">
                      <a:avLst/>
                    </a:prstGeom>
                  </pic:spPr>
                </pic:pic>
              </a:graphicData>
            </a:graphic>
          </wp:inline>
        </w:drawing>
      </w:r>
    </w:p>
    <w:p w14:paraId="47C556A9">
      <w:pPr>
        <w:spacing w:before="400"/>
      </w:pPr>
    </w:p>
    <w:p w14:paraId="789A6DC7">
      <w:pPr>
        <w:spacing w:after="160"/>
        <w:jc w:val="center"/>
        <w:rPr>
          <w:b/>
          <w:bCs/>
          <w:sz w:val="32"/>
          <w:szCs w:val="32"/>
        </w:rPr>
      </w:pPr>
      <w:r>
        <w:rPr>
          <w:b/>
          <w:bCs/>
          <w:sz w:val="36"/>
          <w:szCs w:val="36"/>
        </w:rPr>
        <w:t>Master of Business Administration</w:t>
      </w:r>
    </w:p>
    <w:p w14:paraId="57726A12">
      <w:pPr>
        <w:spacing w:after="160"/>
        <w:jc w:val="center"/>
        <w:rPr>
          <w:b/>
          <w:bCs/>
          <w:sz w:val="32"/>
          <w:szCs w:val="32"/>
        </w:rPr>
      </w:pPr>
      <w:r>
        <w:rPr>
          <w:b/>
          <w:bCs/>
          <w:sz w:val="36"/>
          <w:szCs w:val="36"/>
        </w:rPr>
        <w:t>International Marketing: Principles and Practices</w:t>
      </w:r>
    </w:p>
    <w:p w14:paraId="5B5C1B44">
      <w:pPr>
        <w:spacing w:after="160"/>
        <w:jc w:val="center"/>
        <w:rPr>
          <w:b/>
          <w:bCs/>
          <w:sz w:val="32"/>
          <w:szCs w:val="32"/>
        </w:rPr>
      </w:pPr>
      <w:r>
        <w:rPr>
          <w:b/>
          <w:bCs/>
          <w:sz w:val="32"/>
          <w:szCs w:val="32"/>
        </w:rPr>
        <w:t>Module Code: LCMB7026</w:t>
      </w:r>
    </w:p>
    <w:p w14:paraId="778EDAAA">
      <w:pPr>
        <w:spacing w:before="500"/>
      </w:pPr>
    </w:p>
    <w:p w14:paraId="3E67993A">
      <w:pPr>
        <w:spacing w:after="160"/>
        <w:jc w:val="center"/>
      </w:pPr>
      <w:r>
        <w:rPr>
          <w:b/>
          <w:bCs/>
          <w:sz w:val="28"/>
          <w:szCs w:val="28"/>
        </w:rPr>
        <w:t>International Marketing Analysis:</w:t>
      </w:r>
    </w:p>
    <w:p w14:paraId="276E2E72">
      <w:pPr>
        <w:spacing w:after="160"/>
        <w:jc w:val="center"/>
      </w:pPr>
      <w:r>
        <w:rPr>
          <w:b/>
          <w:bCs/>
          <w:sz w:val="28"/>
          <w:szCs w:val="28"/>
        </w:rPr>
        <w:t>Adidas In Germany and the United States</w:t>
      </w:r>
    </w:p>
    <w:p w14:paraId="48F8A63A">
      <w:pPr>
        <w:spacing w:before="300"/>
        <w:rPr>
          <w:sz w:val="28"/>
          <w:szCs w:val="28"/>
        </w:rPr>
      </w:pPr>
    </w:p>
    <w:p w14:paraId="5D21AA7C">
      <w:pPr>
        <w:spacing w:before="500"/>
        <w:rPr>
          <w:sz w:val="28"/>
          <w:szCs w:val="28"/>
        </w:rPr>
      </w:pPr>
    </w:p>
    <w:p w14:paraId="6F965081">
      <w:pPr>
        <w:spacing w:after="160"/>
        <w:jc w:val="center"/>
        <w:rPr>
          <w:sz w:val="28"/>
          <w:szCs w:val="28"/>
        </w:rPr>
      </w:pPr>
      <w:r>
        <w:rPr>
          <w:sz w:val="28"/>
          <w:szCs w:val="28"/>
        </w:rPr>
        <w:t xml:space="preserve">Lecturer: </w:t>
      </w:r>
      <w:r>
        <w:rPr>
          <w:rFonts w:ascii="Arial" w:hAnsi="Arial" w:eastAsia="Arial" w:cs="Arial"/>
          <w:b/>
          <w:bCs/>
          <w:sz w:val="24"/>
          <w:szCs w:val="24"/>
          <w:lang w:val="en-US" w:eastAsia="zh-CN" w:bidi="ar"/>
        </w:rPr>
        <w:t>Tushara Balendran</w:t>
      </w:r>
      <w:bookmarkStart w:id="117" w:name="_GoBack"/>
      <w:bookmarkEnd w:id="117"/>
    </w:p>
    <w:p w14:paraId="749B4F8F">
      <w:pPr>
        <w:spacing w:after="160"/>
        <w:jc w:val="center"/>
        <w:rPr>
          <w:sz w:val="28"/>
          <w:szCs w:val="28"/>
        </w:rPr>
      </w:pPr>
      <w:r>
        <w:rPr>
          <w:sz w:val="28"/>
          <w:szCs w:val="28"/>
        </w:rPr>
        <w:t>Student Name: KEVIN GOSAI</w:t>
      </w:r>
    </w:p>
    <w:p w14:paraId="054813F8">
      <w:pPr>
        <w:spacing w:after="160"/>
        <w:jc w:val="center"/>
        <w:rPr>
          <w:sz w:val="28"/>
          <w:szCs w:val="28"/>
        </w:rPr>
      </w:pPr>
      <w:r>
        <w:rPr>
          <w:sz w:val="28"/>
          <w:szCs w:val="28"/>
        </w:rPr>
        <w:t>Student ID: 2531973</w:t>
      </w:r>
    </w:p>
    <w:p w14:paraId="0F3BC90F">
      <w:pPr>
        <w:spacing w:before="400" w:after="160"/>
        <w:jc w:val="center"/>
        <w:rPr>
          <w:b/>
          <w:bCs/>
        </w:rPr>
      </w:pPr>
    </w:p>
    <w:p w14:paraId="39897DA1">
      <w:pPr>
        <w:spacing w:before="400" w:after="160"/>
        <w:jc w:val="center"/>
        <w:rPr>
          <w:b/>
          <w:bCs/>
        </w:rPr>
      </w:pPr>
    </w:p>
    <w:p w14:paraId="3DF951C2">
      <w:pPr>
        <w:spacing w:before="400" w:after="160"/>
        <w:jc w:val="center"/>
        <w:rPr>
          <w:b/>
          <w:bCs/>
        </w:rPr>
      </w:pPr>
    </w:p>
    <w:p w14:paraId="5CF4728F">
      <w:pPr>
        <w:spacing w:before="400" w:after="160"/>
        <w:jc w:val="center"/>
        <w:rPr>
          <w:b/>
          <w:bCs/>
        </w:rPr>
      </w:pPr>
    </w:p>
    <w:p w14:paraId="11C44717">
      <w:pPr>
        <w:spacing w:before="400" w:after="160"/>
        <w:jc w:val="center"/>
        <w:rPr>
          <w:b/>
          <w:bCs/>
        </w:rPr>
      </w:pPr>
    </w:p>
    <w:p w14:paraId="0216700F">
      <w:pPr>
        <w:spacing w:before="400" w:after="160"/>
        <w:rPr>
          <w:b/>
          <w:bCs/>
        </w:rPr>
      </w:pPr>
    </w:p>
    <w:p w14:paraId="2242379B">
      <w:pPr>
        <w:spacing w:before="400" w:after="160"/>
        <w:rPr>
          <w:b/>
          <w:bCs/>
        </w:rPr>
      </w:pPr>
    </w:p>
    <w:p w14:paraId="49ABCB5B">
      <w:pPr>
        <w:spacing w:before="400" w:after="160"/>
        <w:jc w:val="center"/>
        <w:rPr>
          <w:b/>
          <w:bCs/>
        </w:rPr>
      </w:pPr>
    </w:p>
    <w:p w14:paraId="3932BDAB">
      <w:pPr>
        <w:spacing w:before="400" w:after="160"/>
        <w:jc w:val="center"/>
      </w:pPr>
      <w:r>
        <w:rPr>
          <w:b/>
          <w:bCs/>
        </w:rPr>
        <w:t>Declaration of AI Tool Use</w:t>
      </w:r>
    </w:p>
    <w:p w14:paraId="3932BDAC">
      <w:pPr>
        <w:spacing w:after="160"/>
        <w:jc w:val="both"/>
      </w:pPr>
      <w:r>
        <w:t>In preparing this assignment, I used Claude (Anthropic) as an AI drafting and structuring aid. It was used to help organise the report's structure, draft and revise sections for clarity and academic tone, and format tables and diagrams. All research, source selection, referencing, factual claims and analytical judgements are my own, and I have reviewed and take full responsibility for the final content of this report.</w:t>
      </w:r>
    </w:p>
    <w:p w14:paraId="3932BDAD">
      <w:r>
        <w:br w:type="page"/>
      </w:r>
    </w:p>
    <w:p w14:paraId="6AA3729B">
      <w:pPr>
        <w:pStyle w:val="2"/>
        <w:spacing w:before="400" w:after="200"/>
      </w:pPr>
      <w:bookmarkStart w:id="0" w:name="_Toc237533406"/>
      <w:bookmarkStart w:id="1" w:name="_Toc236638045"/>
      <w:r>
        <w:t>Table of Contents</w:t>
      </w:r>
      <w:bookmarkEnd w:id="0"/>
      <w:bookmarkEnd w:id="1"/>
    </w:p>
    <w:p w14:paraId="02DB1E48">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TOC \o "1-3" \h \z \u </w:instrText>
      </w:r>
      <w:r>
        <w:fldChar w:fldCharType="separate"/>
      </w:r>
      <w:r>
        <w:fldChar w:fldCharType="begin"/>
      </w:r>
      <w:r>
        <w:instrText xml:space="preserve"> HYPERLINK \l "_Toc237533406" </w:instrText>
      </w:r>
      <w:r>
        <w:fldChar w:fldCharType="separate"/>
      </w:r>
      <w:r>
        <w:rPr>
          <w:rStyle w:val="16"/>
        </w:rPr>
        <w:t>Table of Contents</w:t>
      </w:r>
      <w:r>
        <w:tab/>
      </w:r>
      <w:r>
        <w:fldChar w:fldCharType="begin"/>
      </w:r>
      <w:r>
        <w:instrText xml:space="preserve"> PAGEREF _Toc237533406 \h </w:instrText>
      </w:r>
      <w:r>
        <w:fldChar w:fldCharType="separate"/>
      </w:r>
      <w:r>
        <w:t>3</w:t>
      </w:r>
      <w:r>
        <w:fldChar w:fldCharType="end"/>
      </w:r>
      <w:r>
        <w:fldChar w:fldCharType="end"/>
      </w:r>
    </w:p>
    <w:p w14:paraId="2B256150">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"_Toc237533407" </w:instrText>
      </w:r>
      <w:r>
        <w:fldChar w:fldCharType="separate"/>
      </w:r>
      <w:r>
        <w:rPr>
          <w:rStyle w:val="16"/>
        </w:rPr>
        <w:t>1. Introduction</w:t>
      </w:r>
      <w:r>
        <w:tab/>
      </w:r>
      <w:r>
        <w:fldChar w:fldCharType="begin"/>
      </w:r>
      <w:r>
        <w:instrText xml:space="preserve"> PAGEREF _Toc237533407 \h </w:instrText>
      </w:r>
      <w:r>
        <w:fldChar w:fldCharType="separate"/>
      </w:r>
      <w:r>
        <w:t>5</w:t>
      </w:r>
      <w:r>
        <w:fldChar w:fldCharType="end"/>
      </w:r>
      <w:r>
        <w:fldChar w:fldCharType="end"/>
      </w:r>
    </w:p>
    <w:p w14:paraId="5412F389">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"_Toc237533408" </w:instrText>
      </w:r>
      <w:r>
        <w:fldChar w:fldCharType="separate"/>
      </w:r>
      <w:r>
        <w:rPr>
          <w:rStyle w:val="16"/>
        </w:rPr>
        <w:t>2. Company Background</w:t>
      </w:r>
      <w:r>
        <w:tab/>
      </w:r>
      <w:r>
        <w:fldChar w:fldCharType="begin"/>
      </w:r>
      <w:r>
        <w:instrText xml:space="preserve"> PAGEREF _Toc237533408 \h </w:instrText>
      </w:r>
      <w:r>
        <w:fldChar w:fldCharType="separate"/>
      </w:r>
      <w:r>
        <w:t>5</w:t>
      </w:r>
      <w:r>
        <w:fldChar w:fldCharType="end"/>
      </w:r>
      <w:r>
        <w:fldChar w:fldCharType="end"/>
      </w:r>
    </w:p>
    <w:p w14:paraId="7615A575">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"_Toc237533409" </w:instrText>
      </w:r>
      <w:r>
        <w:fldChar w:fldCharType="separate"/>
      </w:r>
      <w:r>
        <w:rPr>
          <w:rStyle w:val="16"/>
        </w:rPr>
        <w:t>2.1 Mission and Purpose</w:t>
      </w:r>
      <w:r>
        <w:tab/>
      </w:r>
      <w:r>
        <w:fldChar w:fldCharType="begin"/>
      </w:r>
      <w:r>
        <w:instrText xml:space="preserve"> PAGEREF _Toc237533409 \h </w:instrText>
      </w:r>
      <w:r>
        <w:fldChar w:fldCharType="separate"/>
      </w:r>
      <w:r>
        <w:t>5</w:t>
      </w:r>
      <w:r>
        <w:fldChar w:fldCharType="end"/>
      </w:r>
      <w:r>
        <w:fldChar w:fldCharType="end"/>
      </w:r>
    </w:p>
    <w:p w14:paraId="37797FC7">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"_Toc237533410" </w:instrText>
      </w:r>
      <w:r>
        <w:fldChar w:fldCharType="separate"/>
      </w:r>
      <w:r>
        <w:rPr>
          <w:rStyle w:val="16"/>
        </w:rPr>
        <w:t>3. Macro-Environmental Analysis (PESTEL)</w:t>
      </w:r>
      <w:r>
        <w:tab/>
      </w:r>
      <w:r>
        <w:fldChar w:fldCharType="begin"/>
      </w:r>
      <w:r>
        <w:instrText xml:space="preserve"> PAGEREF _Toc237533410 \h </w:instrText>
      </w:r>
      <w:r>
        <w:fldChar w:fldCharType="separate"/>
      </w:r>
      <w:r>
        <w:t>6</w:t>
      </w:r>
      <w:r>
        <w:fldChar w:fldCharType="end"/>
      </w:r>
      <w:r>
        <w:fldChar w:fldCharType="end"/>
      </w:r>
    </w:p>
    <w:p w14:paraId="4B27BBF3">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"_Toc237533411" </w:instrText>
      </w:r>
      <w:r>
        <w:fldChar w:fldCharType="separate"/>
      </w:r>
      <w:r>
        <w:rPr>
          <w:rStyle w:val="16"/>
        </w:rPr>
        <w:t>3.1 Political</w:t>
      </w:r>
      <w:r>
        <w:tab/>
      </w:r>
      <w:r>
        <w:fldChar w:fldCharType="begin"/>
      </w:r>
      <w:r>
        <w:instrText xml:space="preserve"> PAGEREF _Toc237533411 \h </w:instrText>
      </w:r>
      <w:r>
        <w:fldChar w:fldCharType="separate"/>
      </w:r>
      <w:r>
        <w:t>6</w:t>
      </w:r>
      <w:r>
        <w:fldChar w:fldCharType="end"/>
      </w:r>
      <w:r>
        <w:fldChar w:fldCharType="end"/>
      </w:r>
    </w:p>
    <w:p w14:paraId="4E623E21">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"_Toc237533412" </w:instrText>
      </w:r>
      <w:r>
        <w:fldChar w:fldCharType="separate"/>
      </w:r>
      <w:r>
        <w:rPr>
          <w:rStyle w:val="16"/>
        </w:rPr>
        <w:t>3.2 Economic</w:t>
      </w:r>
      <w:r>
        <w:tab/>
      </w:r>
      <w:r>
        <w:fldChar w:fldCharType="begin"/>
      </w:r>
      <w:r>
        <w:instrText xml:space="preserve"> PAGEREF _Toc237533412 \h </w:instrText>
      </w:r>
      <w:r>
        <w:fldChar w:fldCharType="separate"/>
      </w:r>
      <w:r>
        <w:t>7</w:t>
      </w:r>
      <w:r>
        <w:fldChar w:fldCharType="end"/>
      </w:r>
      <w:r>
        <w:fldChar w:fldCharType="end"/>
      </w:r>
    </w:p>
    <w:p w14:paraId="29F66490">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"_Toc237533413" </w:instrText>
      </w:r>
      <w:r>
        <w:fldChar w:fldCharType="separate"/>
      </w:r>
      <w:r>
        <w:rPr>
          <w:rStyle w:val="16"/>
        </w:rPr>
        <w:t>3.3 Social</w:t>
      </w:r>
      <w:r>
        <w:tab/>
      </w:r>
      <w:r>
        <w:fldChar w:fldCharType="begin"/>
      </w:r>
      <w:r>
        <w:instrText xml:space="preserve"> PAGEREF _Toc237533413 \h </w:instrText>
      </w:r>
      <w:r>
        <w:fldChar w:fldCharType="separate"/>
      </w:r>
      <w:r>
        <w:t>7</w:t>
      </w:r>
      <w:r>
        <w:fldChar w:fldCharType="end"/>
      </w:r>
      <w:r>
        <w:fldChar w:fldCharType="end"/>
      </w:r>
    </w:p>
    <w:p w14:paraId="6C7CA35B">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"_Toc237533414" </w:instrText>
      </w:r>
      <w:r>
        <w:fldChar w:fldCharType="separate"/>
      </w:r>
      <w:r>
        <w:rPr>
          <w:rStyle w:val="16"/>
        </w:rPr>
        <w:t>3.4 Technological</w:t>
      </w:r>
      <w:r>
        <w:tab/>
      </w:r>
      <w:r>
        <w:fldChar w:fldCharType="begin"/>
      </w:r>
      <w:r>
        <w:instrText xml:space="preserve"> PAGEREF _Toc237533414 \h </w:instrText>
      </w:r>
      <w:r>
        <w:fldChar w:fldCharType="separate"/>
      </w:r>
      <w:r>
        <w:t>8</w:t>
      </w:r>
      <w:r>
        <w:fldChar w:fldCharType="end"/>
      </w:r>
      <w:r>
        <w:fldChar w:fldCharType="end"/>
      </w:r>
    </w:p>
    <w:p w14:paraId="0493B8FF">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"_Toc237533415" </w:instrText>
      </w:r>
      <w:r>
        <w:fldChar w:fldCharType="separate"/>
      </w:r>
      <w:r>
        <w:rPr>
          <w:rStyle w:val="16"/>
        </w:rPr>
        <w:t>3.5 Environmental</w:t>
      </w:r>
      <w:r>
        <w:tab/>
      </w:r>
      <w:r>
        <w:fldChar w:fldCharType="begin"/>
      </w:r>
      <w:r>
        <w:instrText xml:space="preserve"> PAGEREF _Toc237533415 \h </w:instrText>
      </w:r>
      <w:r>
        <w:fldChar w:fldCharType="separate"/>
      </w:r>
      <w:r>
        <w:t>8</w:t>
      </w:r>
      <w:r>
        <w:fldChar w:fldCharType="end"/>
      </w:r>
      <w:r>
        <w:fldChar w:fldCharType="end"/>
      </w:r>
    </w:p>
    <w:p w14:paraId="322CC782">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"_Toc237533416" </w:instrText>
      </w:r>
      <w:r>
        <w:fldChar w:fldCharType="separate"/>
      </w:r>
      <w:r>
        <w:rPr>
          <w:rStyle w:val="16"/>
        </w:rPr>
        <w:t>3.6 Legal</w:t>
      </w:r>
      <w:r>
        <w:tab/>
      </w:r>
      <w:r>
        <w:fldChar w:fldCharType="begin"/>
      </w:r>
      <w:r>
        <w:instrText xml:space="preserve"> PAGEREF _Toc237533416 \h </w:instrText>
      </w:r>
      <w:r>
        <w:fldChar w:fldCharType="separate"/>
      </w:r>
      <w:r>
        <w:t>9</w:t>
      </w:r>
      <w:r>
        <w:fldChar w:fldCharType="end"/>
      </w:r>
      <w:r>
        <w:fldChar w:fldCharType="end"/>
      </w:r>
    </w:p>
    <w:p w14:paraId="7AEE9AE4">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"_Toc237533417" </w:instrText>
      </w:r>
      <w:r>
        <w:fldChar w:fldCharType="separate"/>
      </w:r>
      <w:r>
        <w:rPr>
          <w:rStyle w:val="16"/>
        </w:rPr>
        <w:t>3.7 Similarities and Differences of PESTEL</w:t>
      </w:r>
      <w:r>
        <w:tab/>
      </w:r>
      <w:r>
        <w:fldChar w:fldCharType="begin"/>
      </w:r>
      <w:r>
        <w:instrText xml:space="preserve"> PAGEREF _Toc237533417 \h </w:instrText>
      </w:r>
      <w:r>
        <w:fldChar w:fldCharType="separate"/>
      </w:r>
      <w:r>
        <w:t>9</w:t>
      </w:r>
      <w:r>
        <w:fldChar w:fldCharType="end"/>
      </w:r>
      <w:r>
        <w:fldChar w:fldCharType="end"/>
      </w:r>
    </w:p>
    <w:p w14:paraId="2EB926C6">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"_Toc237533418" </w:instrText>
      </w:r>
      <w:r>
        <w:fldChar w:fldCharType="separate"/>
      </w:r>
      <w:r>
        <w:rPr>
          <w:rStyle w:val="16"/>
        </w:rPr>
        <w:t>4. Comparative Cultural Analysis (Hofstede)</w:t>
      </w:r>
      <w:r>
        <w:tab/>
      </w:r>
      <w:r>
        <w:fldChar w:fldCharType="begin"/>
      </w:r>
      <w:r>
        <w:instrText xml:space="preserve"> PAGEREF _Toc237533418 \h </w:instrText>
      </w:r>
      <w:r>
        <w:fldChar w:fldCharType="separate"/>
      </w:r>
      <w:r>
        <w:t>10</w:t>
      </w:r>
      <w:r>
        <w:fldChar w:fldCharType="end"/>
      </w:r>
      <w:r>
        <w:fldChar w:fldCharType="end"/>
      </w:r>
    </w:p>
    <w:p w14:paraId="10113CD8">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"_Toc237533419" </w:instrText>
      </w:r>
      <w:r>
        <w:fldChar w:fldCharType="separate"/>
      </w:r>
      <w:r>
        <w:tab/>
      </w:r>
      <w:r>
        <w:fldChar w:fldCharType="begin"/>
      </w:r>
      <w:r>
        <w:instrText xml:space="preserve"> PAGEREF _Toc237533419 \h </w:instrText>
      </w:r>
      <w:r>
        <w:fldChar w:fldCharType="separate"/>
      </w:r>
      <w:r>
        <w:t>11</w:t>
      </w:r>
      <w:r>
        <w:fldChar w:fldCharType="end"/>
      </w:r>
      <w:r>
        <w:fldChar w:fldCharType="end"/>
      </w:r>
    </w:p>
    <w:p w14:paraId="0057E5D1">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"_Toc237533420" </w:instrText>
      </w:r>
      <w:r>
        <w:fldChar w:fldCharType="separate"/>
      </w:r>
      <w:r>
        <w:rPr>
          <w:rStyle w:val="16"/>
        </w:rPr>
        <w:t>Power Distance</w:t>
      </w:r>
      <w:r>
        <w:tab/>
      </w:r>
      <w:r>
        <w:fldChar w:fldCharType="begin"/>
      </w:r>
      <w:r>
        <w:instrText xml:space="preserve"> PAGEREF _Toc237533420 \h </w:instrText>
      </w:r>
      <w:r>
        <w:fldChar w:fldCharType="separate"/>
      </w:r>
      <w:r>
        <w:t>11</w:t>
      </w:r>
      <w:r>
        <w:fldChar w:fldCharType="end"/>
      </w:r>
      <w:r>
        <w:fldChar w:fldCharType="end"/>
      </w:r>
    </w:p>
    <w:p w14:paraId="47183102">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"_Toc237533421" </w:instrText>
      </w:r>
      <w:r>
        <w:fldChar w:fldCharType="separate"/>
      </w:r>
      <w:r>
        <w:rPr>
          <w:rStyle w:val="16"/>
        </w:rPr>
        <w:t>Individualism</w:t>
      </w:r>
      <w:r>
        <w:tab/>
      </w:r>
      <w:r>
        <w:fldChar w:fldCharType="begin"/>
      </w:r>
      <w:r>
        <w:instrText xml:space="preserve"> PAGEREF _Toc237533421 \h </w:instrText>
      </w:r>
      <w:r>
        <w:fldChar w:fldCharType="separate"/>
      </w:r>
      <w:r>
        <w:t>11</w:t>
      </w:r>
      <w:r>
        <w:fldChar w:fldCharType="end"/>
      </w:r>
      <w:r>
        <w:fldChar w:fldCharType="end"/>
      </w:r>
    </w:p>
    <w:p w14:paraId="061CE868">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"_Toc237533422" </w:instrText>
      </w:r>
      <w:r>
        <w:fldChar w:fldCharType="separate"/>
      </w:r>
      <w:r>
        <w:rPr>
          <w:rStyle w:val="16"/>
        </w:rPr>
        <w:t>Masculinity</w:t>
      </w:r>
      <w:r>
        <w:tab/>
      </w:r>
      <w:r>
        <w:fldChar w:fldCharType="begin"/>
      </w:r>
      <w:r>
        <w:instrText xml:space="preserve"> PAGEREF _Toc237533422 \h </w:instrText>
      </w:r>
      <w:r>
        <w:fldChar w:fldCharType="separate"/>
      </w:r>
      <w:r>
        <w:t>11</w:t>
      </w:r>
      <w:r>
        <w:fldChar w:fldCharType="end"/>
      </w:r>
      <w:r>
        <w:fldChar w:fldCharType="end"/>
      </w:r>
    </w:p>
    <w:p w14:paraId="1E0C9501">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"_Toc237533423" </w:instrText>
      </w:r>
      <w:r>
        <w:fldChar w:fldCharType="separate"/>
      </w:r>
      <w:r>
        <w:rPr>
          <w:rStyle w:val="16"/>
        </w:rPr>
        <w:t>Uncertainty Avoidance</w:t>
      </w:r>
      <w:r>
        <w:tab/>
      </w:r>
      <w:r>
        <w:fldChar w:fldCharType="begin"/>
      </w:r>
      <w:r>
        <w:instrText xml:space="preserve"> PAGEREF _Toc237533423 \h </w:instrText>
      </w:r>
      <w:r>
        <w:fldChar w:fldCharType="separate"/>
      </w:r>
      <w:r>
        <w:t>12</w:t>
      </w:r>
      <w:r>
        <w:fldChar w:fldCharType="end"/>
      </w:r>
      <w:r>
        <w:fldChar w:fldCharType="end"/>
      </w:r>
    </w:p>
    <w:p w14:paraId="63BD1C2E">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"_Toc237533424" </w:instrText>
      </w:r>
      <w:r>
        <w:fldChar w:fldCharType="separate"/>
      </w:r>
      <w:r>
        <w:rPr>
          <w:rStyle w:val="16"/>
        </w:rPr>
        <w:t>Long-Term Orientation</w:t>
      </w:r>
      <w:r>
        <w:tab/>
      </w:r>
      <w:r>
        <w:fldChar w:fldCharType="begin"/>
      </w:r>
      <w:r>
        <w:instrText xml:space="preserve"> PAGEREF _Toc237533424 \h </w:instrText>
      </w:r>
      <w:r>
        <w:fldChar w:fldCharType="separate"/>
      </w:r>
      <w:r>
        <w:t>12</w:t>
      </w:r>
      <w:r>
        <w:fldChar w:fldCharType="end"/>
      </w:r>
      <w:r>
        <w:fldChar w:fldCharType="end"/>
      </w:r>
    </w:p>
    <w:p w14:paraId="68EF023A">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"_Toc237533425" </w:instrText>
      </w:r>
      <w:r>
        <w:fldChar w:fldCharType="separate"/>
      </w:r>
      <w:r>
        <w:rPr>
          <w:rStyle w:val="16"/>
        </w:rPr>
        <w:t>Indulgence</w:t>
      </w:r>
      <w:r>
        <w:tab/>
      </w:r>
      <w:r>
        <w:fldChar w:fldCharType="begin"/>
      </w:r>
      <w:r>
        <w:instrText xml:space="preserve"> PAGEREF _Toc237533425 \h </w:instrText>
      </w:r>
      <w:r>
        <w:fldChar w:fldCharType="separate"/>
      </w:r>
      <w:r>
        <w:t>12</w:t>
      </w:r>
      <w:r>
        <w:fldChar w:fldCharType="end"/>
      </w:r>
      <w:r>
        <w:fldChar w:fldCharType="end"/>
      </w:r>
    </w:p>
    <w:p w14:paraId="34354C07">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"_Toc237533426" </w:instrText>
      </w:r>
      <w:r>
        <w:fldChar w:fldCharType="separate"/>
      </w:r>
      <w:r>
        <w:rPr>
          <w:rStyle w:val="16"/>
        </w:rPr>
        <w:t>Advantages of the Hofstede Model</w:t>
      </w:r>
      <w:r>
        <w:tab/>
      </w:r>
      <w:r>
        <w:fldChar w:fldCharType="begin"/>
      </w:r>
      <w:r>
        <w:instrText xml:space="preserve"> PAGEREF _Toc237533426 \h </w:instrText>
      </w:r>
      <w:r>
        <w:fldChar w:fldCharType="separate"/>
      </w:r>
      <w:r>
        <w:t>12</w:t>
      </w:r>
      <w:r>
        <w:fldChar w:fldCharType="end"/>
      </w:r>
      <w:r>
        <w:fldChar w:fldCharType="end"/>
      </w:r>
    </w:p>
    <w:p w14:paraId="7BB28407">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"_Toc237533427" </w:instrText>
      </w:r>
      <w:r>
        <w:fldChar w:fldCharType="separate"/>
      </w:r>
      <w:r>
        <w:rPr>
          <w:rStyle w:val="16"/>
        </w:rPr>
        <w:t>Disadvantages of the Hofstede Model</w:t>
      </w:r>
      <w:r>
        <w:tab/>
      </w:r>
      <w:r>
        <w:fldChar w:fldCharType="begin"/>
      </w:r>
      <w:r>
        <w:instrText xml:space="preserve"> PAGEREF _Toc237533427 \h </w:instrText>
      </w:r>
      <w:r>
        <w:fldChar w:fldCharType="separate"/>
      </w:r>
      <w:r>
        <w:t>12</w:t>
      </w:r>
      <w:r>
        <w:fldChar w:fldCharType="end"/>
      </w:r>
      <w:r>
        <w:fldChar w:fldCharType="end"/>
      </w:r>
    </w:p>
    <w:p w14:paraId="0A7FF86F">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"_Toc237533428" </w:instrText>
      </w:r>
      <w:r>
        <w:fldChar w:fldCharType="separate"/>
      </w:r>
      <w:r>
        <w:rPr>
          <w:rStyle w:val="16"/>
        </w:rPr>
        <w:t>5. STP</w:t>
      </w:r>
      <w:r>
        <w:tab/>
      </w:r>
      <w:r>
        <w:fldChar w:fldCharType="begin"/>
      </w:r>
      <w:r>
        <w:instrText xml:space="preserve"> PAGEREF _Toc237533428 \h </w:instrText>
      </w:r>
      <w:r>
        <w:fldChar w:fldCharType="separate"/>
      </w:r>
      <w:r>
        <w:t>13</w:t>
      </w:r>
      <w:r>
        <w:fldChar w:fldCharType="end"/>
      </w:r>
      <w:r>
        <w:fldChar w:fldCharType="end"/>
      </w:r>
    </w:p>
    <w:p w14:paraId="6A6A5F69">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"_Toc237533429" </w:instrText>
      </w:r>
      <w:r>
        <w:fldChar w:fldCharType="separate"/>
      </w:r>
      <w:r>
        <w:rPr>
          <w:rStyle w:val="16"/>
        </w:rPr>
        <w:t>5.1 Segmentation</w:t>
      </w:r>
      <w:r>
        <w:tab/>
      </w:r>
      <w:r>
        <w:fldChar w:fldCharType="begin"/>
      </w:r>
      <w:r>
        <w:instrText xml:space="preserve"> PAGEREF _Toc237533429 \h </w:instrText>
      </w:r>
      <w:r>
        <w:fldChar w:fldCharType="separate"/>
      </w:r>
      <w:r>
        <w:t>13</w:t>
      </w:r>
      <w:r>
        <w:fldChar w:fldCharType="end"/>
      </w:r>
      <w:r>
        <w:fldChar w:fldCharType="end"/>
      </w:r>
    </w:p>
    <w:p w14:paraId="0DDB3BFA">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"_Toc237533430" </w:instrText>
      </w:r>
      <w:r>
        <w:fldChar w:fldCharType="separate"/>
      </w:r>
      <w:r>
        <w:rPr>
          <w:rStyle w:val="16"/>
        </w:rPr>
        <w:t>5.1.1 Demographic Segmentation</w:t>
      </w:r>
      <w:r>
        <w:tab/>
      </w:r>
      <w:r>
        <w:fldChar w:fldCharType="begin"/>
      </w:r>
      <w:r>
        <w:instrText xml:space="preserve"> PAGEREF _Toc237533430 \h </w:instrText>
      </w:r>
      <w:r>
        <w:fldChar w:fldCharType="separate"/>
      </w:r>
      <w:r>
        <w:t>13</w:t>
      </w:r>
      <w:r>
        <w:fldChar w:fldCharType="end"/>
      </w:r>
      <w:r>
        <w:fldChar w:fldCharType="end"/>
      </w:r>
    </w:p>
    <w:p w14:paraId="2E98B0D3">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"_Toc237533431" </w:instrText>
      </w:r>
      <w:r>
        <w:fldChar w:fldCharType="separate"/>
      </w:r>
      <w:r>
        <w:rPr>
          <w:rStyle w:val="16"/>
        </w:rPr>
        <w:t>5.1.2 Geographic Segmentation</w:t>
      </w:r>
      <w:r>
        <w:tab/>
      </w:r>
      <w:r>
        <w:fldChar w:fldCharType="begin"/>
      </w:r>
      <w:r>
        <w:instrText xml:space="preserve"> PAGEREF _Toc237533431 \h </w:instrText>
      </w:r>
      <w:r>
        <w:fldChar w:fldCharType="separate"/>
      </w:r>
      <w:r>
        <w:t>13</w:t>
      </w:r>
      <w:r>
        <w:fldChar w:fldCharType="end"/>
      </w:r>
      <w:r>
        <w:fldChar w:fldCharType="end"/>
      </w:r>
    </w:p>
    <w:p w14:paraId="32C461AD">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"_Toc237533432" </w:instrText>
      </w:r>
      <w:r>
        <w:fldChar w:fldCharType="separate"/>
      </w:r>
      <w:r>
        <w:rPr>
          <w:rStyle w:val="16"/>
        </w:rPr>
        <w:t>5.1.3 Psychographic Segmentation</w:t>
      </w:r>
      <w:r>
        <w:tab/>
      </w:r>
      <w:r>
        <w:fldChar w:fldCharType="begin"/>
      </w:r>
      <w:r>
        <w:instrText xml:space="preserve"> PAGEREF _Toc237533432 \h </w:instrText>
      </w:r>
      <w:r>
        <w:fldChar w:fldCharType="separate"/>
      </w:r>
      <w:r>
        <w:t>13</w:t>
      </w:r>
      <w:r>
        <w:fldChar w:fldCharType="end"/>
      </w:r>
      <w:r>
        <w:fldChar w:fldCharType="end"/>
      </w:r>
    </w:p>
    <w:p w14:paraId="32E3E737">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"_Toc237533433" </w:instrText>
      </w:r>
      <w:r>
        <w:fldChar w:fldCharType="separate"/>
      </w:r>
      <w:r>
        <w:rPr>
          <w:rStyle w:val="16"/>
        </w:rPr>
        <w:t>5.1.4 VALS Segmentation</w:t>
      </w:r>
      <w:r>
        <w:tab/>
      </w:r>
      <w:r>
        <w:fldChar w:fldCharType="begin"/>
      </w:r>
      <w:r>
        <w:instrText xml:space="preserve"> PAGEREF _Toc237533433 \h </w:instrText>
      </w:r>
      <w:r>
        <w:fldChar w:fldCharType="separate"/>
      </w:r>
      <w:r>
        <w:t>13</w:t>
      </w:r>
      <w:r>
        <w:fldChar w:fldCharType="end"/>
      </w:r>
      <w:r>
        <w:fldChar w:fldCharType="end"/>
      </w:r>
    </w:p>
    <w:p w14:paraId="6C29F9C0">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"_Toc237533434" </w:instrText>
      </w:r>
      <w:r>
        <w:fldChar w:fldCharType="separate"/>
      </w:r>
      <w:r>
        <w:rPr>
          <w:rStyle w:val="16"/>
        </w:rPr>
        <w:t>5.2 Targeting</w:t>
      </w:r>
      <w:r>
        <w:tab/>
      </w:r>
      <w:r>
        <w:fldChar w:fldCharType="begin"/>
      </w:r>
      <w:r>
        <w:instrText xml:space="preserve"> PAGEREF _Toc237533434 \h </w:instrText>
      </w:r>
      <w:r>
        <w:fldChar w:fldCharType="separate"/>
      </w:r>
      <w:r>
        <w:t>14</w:t>
      </w:r>
      <w:r>
        <w:fldChar w:fldCharType="end"/>
      </w:r>
      <w:r>
        <w:fldChar w:fldCharType="end"/>
      </w:r>
    </w:p>
    <w:p w14:paraId="215F339D">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"_Toc237533435" </w:instrText>
      </w:r>
      <w:r>
        <w:fldChar w:fldCharType="separate"/>
      </w:r>
      <w:r>
        <w:rPr>
          <w:rStyle w:val="16"/>
        </w:rPr>
        <w:t>5.3 Positioning</w:t>
      </w:r>
      <w:r>
        <w:tab/>
      </w:r>
      <w:r>
        <w:fldChar w:fldCharType="begin"/>
      </w:r>
      <w:r>
        <w:instrText xml:space="preserve"> PAGEREF _Toc237533435 \h </w:instrText>
      </w:r>
      <w:r>
        <w:fldChar w:fldCharType="separate"/>
      </w:r>
      <w:r>
        <w:t>14</w:t>
      </w:r>
      <w:r>
        <w:fldChar w:fldCharType="end"/>
      </w:r>
      <w:r>
        <w:fldChar w:fldCharType="end"/>
      </w:r>
    </w:p>
    <w:p w14:paraId="5C4BC10F">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"_Toc237533436" </w:instrText>
      </w:r>
      <w:r>
        <w:fldChar w:fldCharType="separate"/>
      </w:r>
      <w:r>
        <w:rPr>
          <w:rStyle w:val="16"/>
        </w:rPr>
        <w:t>5.3.1 Positioning Perception</w:t>
      </w:r>
      <w:r>
        <w:tab/>
      </w:r>
      <w:r>
        <w:fldChar w:fldCharType="begin"/>
      </w:r>
      <w:r>
        <w:instrText xml:space="preserve"> PAGEREF _Toc237533436 \h </w:instrText>
      </w:r>
      <w:r>
        <w:fldChar w:fldCharType="separate"/>
      </w:r>
      <w:r>
        <w:t>14</w:t>
      </w:r>
      <w:r>
        <w:fldChar w:fldCharType="end"/>
      </w:r>
      <w:r>
        <w:fldChar w:fldCharType="end"/>
      </w:r>
    </w:p>
    <w:p w14:paraId="613A5109">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"_Toc237533437" </w:instrText>
      </w:r>
      <w:r>
        <w:fldChar w:fldCharType="separate"/>
      </w:r>
      <w:r>
        <w:rPr>
          <w:rStyle w:val="16"/>
        </w:rPr>
        <w:t>5.3.2 Positioning Variables</w:t>
      </w:r>
      <w:r>
        <w:tab/>
      </w:r>
      <w:r>
        <w:fldChar w:fldCharType="begin"/>
      </w:r>
      <w:r>
        <w:instrText xml:space="preserve"> PAGEREF _Toc237533437 \h </w:instrText>
      </w:r>
      <w:r>
        <w:fldChar w:fldCharType="separate"/>
      </w:r>
      <w:r>
        <w:t>15</w:t>
      </w:r>
      <w:r>
        <w:fldChar w:fldCharType="end"/>
      </w:r>
      <w:r>
        <w:fldChar w:fldCharType="end"/>
      </w:r>
    </w:p>
    <w:p w14:paraId="1543B863">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"_Toc237533438" </w:instrText>
      </w:r>
      <w:r>
        <w:fldChar w:fldCharType="separate"/>
      </w:r>
      <w:r>
        <w:rPr>
          <w:rStyle w:val="16"/>
        </w:rPr>
        <w:t>5.3.3 Similarities and Differences in STP</w:t>
      </w:r>
      <w:r>
        <w:tab/>
      </w:r>
      <w:r>
        <w:fldChar w:fldCharType="begin"/>
      </w:r>
      <w:r>
        <w:instrText xml:space="preserve"> PAGEREF _Toc237533438 \h </w:instrText>
      </w:r>
      <w:r>
        <w:fldChar w:fldCharType="separate"/>
      </w:r>
      <w:r>
        <w:t>15</w:t>
      </w:r>
      <w:r>
        <w:fldChar w:fldCharType="end"/>
      </w:r>
      <w:r>
        <w:fldChar w:fldCharType="end"/>
      </w:r>
    </w:p>
    <w:p w14:paraId="620579F1">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"_Toc237533439" </w:instrText>
      </w:r>
      <w:r>
        <w:fldChar w:fldCharType="separate"/>
      </w:r>
      <w:r>
        <w:rPr>
          <w:rStyle w:val="16"/>
        </w:rPr>
        <w:t>5.4 The 7Ps Marketing Mix</w:t>
      </w:r>
      <w:r>
        <w:tab/>
      </w:r>
      <w:r>
        <w:fldChar w:fldCharType="begin"/>
      </w:r>
      <w:r>
        <w:instrText xml:space="preserve"> PAGEREF _Toc237533439 \h </w:instrText>
      </w:r>
      <w:r>
        <w:fldChar w:fldCharType="separate"/>
      </w:r>
      <w:r>
        <w:t>16</w:t>
      </w:r>
      <w:r>
        <w:fldChar w:fldCharType="end"/>
      </w:r>
      <w:r>
        <w:fldChar w:fldCharType="end"/>
      </w:r>
    </w:p>
    <w:p w14:paraId="0723F370">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"_Toc237533440" </w:instrText>
      </w:r>
      <w:r>
        <w:fldChar w:fldCharType="separate"/>
      </w:r>
      <w:r>
        <w:rPr>
          <w:rStyle w:val="16"/>
        </w:rPr>
        <w:t>5.4.1 Product</w:t>
      </w:r>
      <w:r>
        <w:tab/>
      </w:r>
      <w:r>
        <w:fldChar w:fldCharType="begin"/>
      </w:r>
      <w:r>
        <w:instrText xml:space="preserve"> PAGEREF _Toc237533440 \h </w:instrText>
      </w:r>
      <w:r>
        <w:fldChar w:fldCharType="separate"/>
      </w:r>
      <w:r>
        <w:t>16</w:t>
      </w:r>
      <w:r>
        <w:fldChar w:fldCharType="end"/>
      </w:r>
      <w:r>
        <w:fldChar w:fldCharType="end"/>
      </w:r>
    </w:p>
    <w:p w14:paraId="093EBDD9">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"_Toc237533441" </w:instrText>
      </w:r>
      <w:r>
        <w:fldChar w:fldCharType="separate"/>
      </w:r>
      <w:r>
        <w:rPr>
          <w:rStyle w:val="16"/>
        </w:rPr>
        <w:t>5.4.2 Price</w:t>
      </w:r>
      <w:r>
        <w:tab/>
      </w:r>
      <w:r>
        <w:fldChar w:fldCharType="begin"/>
      </w:r>
      <w:r>
        <w:instrText xml:space="preserve"> PAGEREF _Toc237533441 \h </w:instrText>
      </w:r>
      <w:r>
        <w:fldChar w:fldCharType="separate"/>
      </w:r>
      <w:r>
        <w:t>18</w:t>
      </w:r>
      <w:r>
        <w:fldChar w:fldCharType="end"/>
      </w:r>
      <w:r>
        <w:fldChar w:fldCharType="end"/>
      </w:r>
    </w:p>
    <w:p w14:paraId="4705DD1D">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"_Toc237533442" </w:instrText>
      </w:r>
      <w:r>
        <w:fldChar w:fldCharType="separate"/>
      </w:r>
      <w:r>
        <w:rPr>
          <w:rStyle w:val="16"/>
        </w:rPr>
        <w:t>5.4.3 Place</w:t>
      </w:r>
      <w:r>
        <w:tab/>
      </w:r>
      <w:r>
        <w:fldChar w:fldCharType="begin"/>
      </w:r>
      <w:r>
        <w:instrText xml:space="preserve"> PAGEREF _Toc237533442 \h </w:instrText>
      </w:r>
      <w:r>
        <w:fldChar w:fldCharType="separate"/>
      </w:r>
      <w:r>
        <w:t>18</w:t>
      </w:r>
      <w:r>
        <w:fldChar w:fldCharType="end"/>
      </w:r>
      <w:r>
        <w:fldChar w:fldCharType="end"/>
      </w:r>
    </w:p>
    <w:p w14:paraId="47006C9D">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"_Toc237533443" </w:instrText>
      </w:r>
      <w:r>
        <w:fldChar w:fldCharType="separate"/>
      </w:r>
      <w:r>
        <w:rPr>
          <w:rStyle w:val="16"/>
        </w:rPr>
        <w:t>5.4.4 Promotion and Integrated Marketing Communications</w:t>
      </w:r>
      <w:r>
        <w:tab/>
      </w:r>
      <w:r>
        <w:fldChar w:fldCharType="begin"/>
      </w:r>
      <w:r>
        <w:instrText xml:space="preserve"> PAGEREF _Toc237533443 \h </w:instrText>
      </w:r>
      <w:r>
        <w:fldChar w:fldCharType="separate"/>
      </w:r>
      <w:r>
        <w:t>19</w:t>
      </w:r>
      <w:r>
        <w:fldChar w:fldCharType="end"/>
      </w:r>
      <w:r>
        <w:fldChar w:fldCharType="end"/>
      </w:r>
    </w:p>
    <w:p w14:paraId="76539D05">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"_Toc237533444" </w:instrText>
      </w:r>
      <w:r>
        <w:fldChar w:fldCharType="separate"/>
      </w:r>
      <w:r>
        <w:rPr>
          <w:rStyle w:val="16"/>
        </w:rPr>
        <w:t>5.4.5 People</w:t>
      </w:r>
      <w:r>
        <w:tab/>
      </w:r>
      <w:r>
        <w:fldChar w:fldCharType="begin"/>
      </w:r>
      <w:r>
        <w:instrText xml:space="preserve"> PAGEREF _Toc237533444 \h </w:instrText>
      </w:r>
      <w:r>
        <w:fldChar w:fldCharType="separate"/>
      </w:r>
      <w:r>
        <w:t>20</w:t>
      </w:r>
      <w:r>
        <w:fldChar w:fldCharType="end"/>
      </w:r>
      <w:r>
        <w:fldChar w:fldCharType="end"/>
      </w:r>
    </w:p>
    <w:p w14:paraId="00BBCECB">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"_Toc237533445" </w:instrText>
      </w:r>
      <w:r>
        <w:fldChar w:fldCharType="separate"/>
      </w:r>
      <w:r>
        <w:rPr>
          <w:rStyle w:val="16"/>
        </w:rPr>
        <w:t>5.4.6 Process</w:t>
      </w:r>
      <w:r>
        <w:tab/>
      </w:r>
      <w:r>
        <w:fldChar w:fldCharType="begin"/>
      </w:r>
      <w:r>
        <w:instrText xml:space="preserve"> PAGEREF _Toc237533445 \h </w:instrText>
      </w:r>
      <w:r>
        <w:fldChar w:fldCharType="separate"/>
      </w:r>
      <w:r>
        <w:t>20</w:t>
      </w:r>
      <w:r>
        <w:fldChar w:fldCharType="end"/>
      </w:r>
      <w:r>
        <w:fldChar w:fldCharType="end"/>
      </w:r>
    </w:p>
    <w:p w14:paraId="3FF8EC88">
      <w:pPr>
        <w:pStyle w:val="20"/>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"_Toc237533446" </w:instrText>
      </w:r>
      <w:r>
        <w:fldChar w:fldCharType="separate"/>
      </w:r>
      <w:r>
        <w:rPr>
          <w:rStyle w:val="16"/>
        </w:rPr>
        <w:t>5.4.7 Physical Evidence</w:t>
      </w:r>
      <w:r>
        <w:tab/>
      </w:r>
      <w:r>
        <w:fldChar w:fldCharType="begin"/>
      </w:r>
      <w:r>
        <w:instrText xml:space="preserve"> PAGEREF _Toc237533446 \h </w:instrText>
      </w:r>
      <w:r>
        <w:fldChar w:fldCharType="separate"/>
      </w:r>
      <w:r>
        <w:t>21</w:t>
      </w:r>
      <w:r>
        <w:fldChar w:fldCharType="end"/>
      </w:r>
      <w:r>
        <w:fldChar w:fldCharType="end"/>
      </w:r>
    </w:p>
    <w:p w14:paraId="4B96EC62">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"_Toc237533447" </w:instrText>
      </w:r>
      <w:r>
        <w:fldChar w:fldCharType="separate"/>
      </w:r>
      <w:r>
        <w:rPr>
          <w:rStyle w:val="16"/>
        </w:rPr>
        <w:t>6. Customer Service and Complaint Process</w:t>
      </w:r>
      <w:r>
        <w:tab/>
      </w:r>
      <w:r>
        <w:fldChar w:fldCharType="begin"/>
      </w:r>
      <w:r>
        <w:instrText xml:space="preserve"> PAGEREF _Toc237533447 \h </w:instrText>
      </w:r>
      <w:r>
        <w:fldChar w:fldCharType="separate"/>
      </w:r>
      <w:r>
        <w:t>21</w:t>
      </w:r>
      <w:r>
        <w:fldChar w:fldCharType="end"/>
      </w:r>
      <w:r>
        <w:fldChar w:fldCharType="end"/>
      </w:r>
    </w:p>
    <w:p w14:paraId="77F73BC6">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"_Toc237533448" </w:instrText>
      </w:r>
      <w:r>
        <w:fldChar w:fldCharType="separate"/>
      </w:r>
      <w:r>
        <w:rPr>
          <w:rStyle w:val="16"/>
        </w:rPr>
        <w:t>7. Adidas Websites: Germany vs United States</w:t>
      </w:r>
      <w:r>
        <w:tab/>
      </w:r>
      <w:r>
        <w:fldChar w:fldCharType="begin"/>
      </w:r>
      <w:r>
        <w:instrText xml:space="preserve"> PAGEREF _Toc237533448 \h </w:instrText>
      </w:r>
      <w:r>
        <w:fldChar w:fldCharType="separate"/>
      </w:r>
      <w:r>
        <w:t>21</w:t>
      </w:r>
      <w:r>
        <w:fldChar w:fldCharType="end"/>
      </w:r>
      <w:r>
        <w:fldChar w:fldCharType="end"/>
      </w:r>
    </w:p>
    <w:p w14:paraId="62BD0267">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"_Toc237533449" </w:instrText>
      </w:r>
      <w:r>
        <w:fldChar w:fldCharType="separate"/>
      </w:r>
      <w:r>
        <w:rPr>
          <w:rStyle w:val="16"/>
        </w:rPr>
        <w:t>8. Market Entry Strategy: United States</w:t>
      </w:r>
      <w:r>
        <w:tab/>
      </w:r>
      <w:r>
        <w:fldChar w:fldCharType="begin"/>
      </w:r>
      <w:r>
        <w:instrText xml:space="preserve"> PAGEREF _Toc237533449 \h </w:instrText>
      </w:r>
      <w:r>
        <w:fldChar w:fldCharType="separate"/>
      </w:r>
      <w:r>
        <w:t>22</w:t>
      </w:r>
      <w:r>
        <w:fldChar w:fldCharType="end"/>
      </w:r>
      <w:r>
        <w:fldChar w:fldCharType="end"/>
      </w:r>
    </w:p>
    <w:p w14:paraId="081223C8">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"_Toc237533450" </w:instrText>
      </w:r>
      <w:r>
        <w:fldChar w:fldCharType="separate"/>
      </w:r>
      <w:r>
        <w:rPr>
          <w:rStyle w:val="16"/>
        </w:rPr>
        <w:t>9. Ethical Evaluation</w:t>
      </w:r>
      <w:r>
        <w:tab/>
      </w:r>
      <w:r>
        <w:fldChar w:fldCharType="begin"/>
      </w:r>
      <w:r>
        <w:instrText xml:space="preserve"> PAGEREF _Toc237533450 \h </w:instrText>
      </w:r>
      <w:r>
        <w:fldChar w:fldCharType="separate"/>
      </w:r>
      <w:r>
        <w:t>24</w:t>
      </w:r>
      <w:r>
        <w:fldChar w:fldCharType="end"/>
      </w:r>
      <w:r>
        <w:fldChar w:fldCharType="end"/>
      </w:r>
    </w:p>
    <w:p w14:paraId="3AF35486">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"_Toc237533451" </w:instrText>
      </w:r>
      <w:r>
        <w:fldChar w:fldCharType="separate"/>
      </w:r>
      <w:r>
        <w:rPr>
          <w:rStyle w:val="16"/>
        </w:rPr>
        <w:t>9.1 Ethical Business Practices</w:t>
      </w:r>
      <w:r>
        <w:tab/>
      </w:r>
      <w:r>
        <w:fldChar w:fldCharType="begin"/>
      </w:r>
      <w:r>
        <w:instrText xml:space="preserve"> PAGEREF _Toc237533451 \h </w:instrText>
      </w:r>
      <w:r>
        <w:fldChar w:fldCharType="separate"/>
      </w:r>
      <w:r>
        <w:t>24</w:t>
      </w:r>
      <w:r>
        <w:fldChar w:fldCharType="end"/>
      </w:r>
      <w:r>
        <w:fldChar w:fldCharType="end"/>
      </w:r>
    </w:p>
    <w:p w14:paraId="23FE5A3E">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"_Toc237533452" </w:instrText>
      </w:r>
      <w:r>
        <w:fldChar w:fldCharType="separate"/>
      </w:r>
      <w:r>
        <w:rPr>
          <w:rStyle w:val="16"/>
        </w:rPr>
        <w:t>9.2 Unethical or Controversial Business Practices</w:t>
      </w:r>
      <w:r>
        <w:tab/>
      </w:r>
      <w:r>
        <w:fldChar w:fldCharType="begin"/>
      </w:r>
      <w:r>
        <w:instrText xml:space="preserve"> PAGEREF _Toc237533452 \h </w:instrText>
      </w:r>
      <w:r>
        <w:fldChar w:fldCharType="separate"/>
      </w:r>
      <w:r>
        <w:t>25</w:t>
      </w:r>
      <w:r>
        <w:fldChar w:fldCharType="end"/>
      </w:r>
      <w:r>
        <w:fldChar w:fldCharType="end"/>
      </w:r>
    </w:p>
    <w:p w14:paraId="6FD8D3E3">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"_Toc237533453" </w:instrText>
      </w:r>
      <w:r>
        <w:fldChar w:fldCharType="separate"/>
      </w:r>
      <w:r>
        <w:rPr>
          <w:rStyle w:val="16"/>
        </w:rPr>
        <w:t>10. Recommendations</w:t>
      </w:r>
      <w:r>
        <w:tab/>
      </w:r>
      <w:r>
        <w:fldChar w:fldCharType="begin"/>
      </w:r>
      <w:r>
        <w:instrText xml:space="preserve"> PAGEREF _Toc237533453 \h </w:instrText>
      </w:r>
      <w:r>
        <w:fldChar w:fldCharType="separate"/>
      </w:r>
      <w:r>
        <w:t>26</w:t>
      </w:r>
      <w:r>
        <w:fldChar w:fldCharType="end"/>
      </w:r>
      <w:r>
        <w:fldChar w:fldCharType="end"/>
      </w:r>
    </w:p>
    <w:p w14:paraId="6C45A3B9">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"_Toc237533454" </w:instrText>
      </w:r>
      <w:r>
        <w:fldChar w:fldCharType="separate"/>
      </w:r>
      <w:r>
        <w:rPr>
          <w:rStyle w:val="16"/>
        </w:rPr>
        <w:t>10.1 Marketing Strategy</w:t>
      </w:r>
      <w:r>
        <w:tab/>
      </w:r>
      <w:r>
        <w:fldChar w:fldCharType="begin"/>
      </w:r>
      <w:r>
        <w:instrText xml:space="preserve"> PAGEREF _Toc237533454 \h </w:instrText>
      </w:r>
      <w:r>
        <w:fldChar w:fldCharType="separate"/>
      </w:r>
      <w:r>
        <w:t>26</w:t>
      </w:r>
      <w:r>
        <w:fldChar w:fldCharType="end"/>
      </w:r>
      <w:r>
        <w:fldChar w:fldCharType="end"/>
      </w:r>
    </w:p>
    <w:p w14:paraId="46A6DE94">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"_Toc237533455" </w:instrText>
      </w:r>
      <w:r>
        <w:fldChar w:fldCharType="separate"/>
      </w:r>
      <w:r>
        <w:rPr>
          <w:rStyle w:val="16"/>
        </w:rPr>
        <w:t>10.2 Customer Service</w:t>
      </w:r>
      <w:r>
        <w:tab/>
      </w:r>
      <w:r>
        <w:fldChar w:fldCharType="begin"/>
      </w:r>
      <w:r>
        <w:instrText xml:space="preserve"> PAGEREF _Toc237533455 \h </w:instrText>
      </w:r>
      <w:r>
        <w:fldChar w:fldCharType="separate"/>
      </w:r>
      <w:r>
        <w:t>26</w:t>
      </w:r>
      <w:r>
        <w:fldChar w:fldCharType="end"/>
      </w:r>
      <w:r>
        <w:fldChar w:fldCharType="end"/>
      </w:r>
    </w:p>
    <w:p w14:paraId="0AB59CAD">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"_Toc237533456" </w:instrText>
      </w:r>
      <w:r>
        <w:fldChar w:fldCharType="separate"/>
      </w:r>
      <w:r>
        <w:rPr>
          <w:rStyle w:val="16"/>
        </w:rPr>
        <w:t>10.3 Sustainability</w:t>
      </w:r>
      <w:r>
        <w:tab/>
      </w:r>
      <w:r>
        <w:fldChar w:fldCharType="begin"/>
      </w:r>
      <w:r>
        <w:instrText xml:space="preserve"> PAGEREF _Toc237533456 \h </w:instrText>
      </w:r>
      <w:r>
        <w:fldChar w:fldCharType="separate"/>
      </w:r>
      <w:r>
        <w:t>26</w:t>
      </w:r>
      <w:r>
        <w:fldChar w:fldCharType="end"/>
      </w:r>
      <w:r>
        <w:fldChar w:fldCharType="end"/>
      </w:r>
    </w:p>
    <w:p w14:paraId="74484235">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"_Toc237533457" </w:instrText>
      </w:r>
      <w:r>
        <w:fldChar w:fldCharType="separate"/>
      </w:r>
      <w:r>
        <w:rPr>
          <w:rStyle w:val="16"/>
        </w:rPr>
        <w:t>10.4 Employee Development</w:t>
      </w:r>
      <w:r>
        <w:tab/>
      </w:r>
      <w:r>
        <w:fldChar w:fldCharType="begin"/>
      </w:r>
      <w:r>
        <w:instrText xml:space="preserve"> PAGEREF _Toc237533457 \h </w:instrText>
      </w:r>
      <w:r>
        <w:fldChar w:fldCharType="separate"/>
      </w:r>
      <w:r>
        <w:t>26</w:t>
      </w:r>
      <w:r>
        <w:fldChar w:fldCharType="end"/>
      </w:r>
      <w:r>
        <w:fldChar w:fldCharType="end"/>
      </w:r>
    </w:p>
    <w:p w14:paraId="1320CF49">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"_Toc237533458" </w:instrText>
      </w:r>
      <w:r>
        <w:fldChar w:fldCharType="separate"/>
      </w:r>
      <w:r>
        <w:rPr>
          <w:rStyle w:val="16"/>
        </w:rPr>
        <w:t>10.5 Product Offerings</w:t>
      </w:r>
      <w:r>
        <w:tab/>
      </w:r>
      <w:r>
        <w:fldChar w:fldCharType="begin"/>
      </w:r>
      <w:r>
        <w:instrText xml:space="preserve"> PAGEREF _Toc237533458 \h </w:instrText>
      </w:r>
      <w:r>
        <w:fldChar w:fldCharType="separate"/>
      </w:r>
      <w:r>
        <w:t>26</w:t>
      </w:r>
      <w:r>
        <w:fldChar w:fldCharType="end"/>
      </w:r>
      <w:r>
        <w:fldChar w:fldCharType="end"/>
      </w:r>
    </w:p>
    <w:p w14:paraId="6CBCE9E0">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"_Toc237533459" </w:instrText>
      </w:r>
      <w:r>
        <w:fldChar w:fldCharType="separate"/>
      </w:r>
      <w:r>
        <w:rPr>
          <w:rStyle w:val="16"/>
        </w:rPr>
        <w:t>10.6 Promotion and Distribution</w:t>
      </w:r>
      <w:r>
        <w:tab/>
      </w:r>
      <w:r>
        <w:fldChar w:fldCharType="begin"/>
      </w:r>
      <w:r>
        <w:instrText xml:space="preserve"> PAGEREF _Toc237533459 \h </w:instrText>
      </w:r>
      <w:r>
        <w:fldChar w:fldCharType="separate"/>
      </w:r>
      <w:r>
        <w:t>26</w:t>
      </w:r>
      <w:r>
        <w:fldChar w:fldCharType="end"/>
      </w:r>
      <w:r>
        <w:fldChar w:fldCharType="end"/>
      </w:r>
    </w:p>
    <w:p w14:paraId="266525B8">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"_Toc237533460" </w:instrText>
      </w:r>
      <w:r>
        <w:fldChar w:fldCharType="separate"/>
      </w:r>
      <w:r>
        <w:rPr>
          <w:rStyle w:val="16"/>
        </w:rPr>
        <w:t>10.7 Country-Specific Recommendations</w:t>
      </w:r>
      <w:r>
        <w:tab/>
      </w:r>
      <w:r>
        <w:fldChar w:fldCharType="begin"/>
      </w:r>
      <w:r>
        <w:instrText xml:space="preserve"> PAGEREF _Toc237533460 \h </w:instrText>
      </w:r>
      <w:r>
        <w:fldChar w:fldCharType="separate"/>
      </w:r>
      <w:r>
        <w:t>27</w:t>
      </w:r>
      <w:r>
        <w:fldChar w:fldCharType="end"/>
      </w:r>
      <w:r>
        <w:fldChar w:fldCharType="end"/>
      </w:r>
    </w:p>
    <w:p w14:paraId="1164DA8A">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"_Toc237533461" </w:instrText>
      </w:r>
      <w:r>
        <w:fldChar w:fldCharType="separate"/>
      </w:r>
      <w:r>
        <w:rPr>
          <w:rStyle w:val="16"/>
        </w:rPr>
        <w:t>Section 2: Reflective Account (Gibbs’ Reflective Cycle)</w:t>
      </w:r>
      <w:r>
        <w:tab/>
      </w:r>
      <w:r>
        <w:fldChar w:fldCharType="begin"/>
      </w:r>
      <w:r>
        <w:instrText xml:space="preserve"> PAGEREF _Toc237533461 \h </w:instrText>
      </w:r>
      <w:r>
        <w:fldChar w:fldCharType="separate"/>
      </w:r>
      <w:r>
        <w:t>28</w:t>
      </w:r>
      <w:r>
        <w:fldChar w:fldCharType="end"/>
      </w:r>
      <w:r>
        <w:fldChar w:fldCharType="end"/>
      </w:r>
    </w:p>
    <w:p w14:paraId="652099AD">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"_Toc237533462" </w:instrText>
      </w:r>
      <w:r>
        <w:fldChar w:fldCharType="separate"/>
      </w:r>
      <w:r>
        <w:rPr>
          <w:rStyle w:val="16"/>
        </w:rPr>
        <w:t>Description</w:t>
      </w:r>
      <w:r>
        <w:tab/>
      </w:r>
      <w:r>
        <w:fldChar w:fldCharType="begin"/>
      </w:r>
      <w:r>
        <w:instrText xml:space="preserve"> PAGEREF _Toc237533462 \h </w:instrText>
      </w:r>
      <w:r>
        <w:fldChar w:fldCharType="separate"/>
      </w:r>
      <w:r>
        <w:t>28</w:t>
      </w:r>
      <w:r>
        <w:fldChar w:fldCharType="end"/>
      </w:r>
      <w:r>
        <w:fldChar w:fldCharType="end"/>
      </w:r>
    </w:p>
    <w:p w14:paraId="2EB46EDF">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"_Toc237533463" </w:instrText>
      </w:r>
      <w:r>
        <w:fldChar w:fldCharType="separate"/>
      </w:r>
      <w:r>
        <w:rPr>
          <w:rStyle w:val="16"/>
        </w:rPr>
        <w:t>Feelings</w:t>
      </w:r>
      <w:r>
        <w:tab/>
      </w:r>
      <w:r>
        <w:fldChar w:fldCharType="begin"/>
      </w:r>
      <w:r>
        <w:instrText xml:space="preserve"> PAGEREF _Toc237533463 \h </w:instrText>
      </w:r>
      <w:r>
        <w:fldChar w:fldCharType="separate"/>
      </w:r>
      <w:r>
        <w:t>28</w:t>
      </w:r>
      <w:r>
        <w:fldChar w:fldCharType="end"/>
      </w:r>
      <w:r>
        <w:fldChar w:fldCharType="end"/>
      </w:r>
    </w:p>
    <w:p w14:paraId="5B0E1F80">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"_Toc237533464" </w:instrText>
      </w:r>
      <w:r>
        <w:fldChar w:fldCharType="separate"/>
      </w:r>
      <w:r>
        <w:rPr>
          <w:rStyle w:val="16"/>
        </w:rPr>
        <w:t>Evaluation</w:t>
      </w:r>
      <w:r>
        <w:tab/>
      </w:r>
      <w:r>
        <w:fldChar w:fldCharType="begin"/>
      </w:r>
      <w:r>
        <w:instrText xml:space="preserve"> PAGEREF _Toc237533464 \h </w:instrText>
      </w:r>
      <w:r>
        <w:fldChar w:fldCharType="separate"/>
      </w:r>
      <w:r>
        <w:t>28</w:t>
      </w:r>
      <w:r>
        <w:fldChar w:fldCharType="end"/>
      </w:r>
      <w:r>
        <w:fldChar w:fldCharType="end"/>
      </w:r>
    </w:p>
    <w:p w14:paraId="47DB5E12">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"_Toc237533465" </w:instrText>
      </w:r>
      <w:r>
        <w:fldChar w:fldCharType="separate"/>
      </w:r>
      <w:r>
        <w:rPr>
          <w:rStyle w:val="16"/>
        </w:rPr>
        <w:t>Analysis</w:t>
      </w:r>
      <w:r>
        <w:tab/>
      </w:r>
      <w:r>
        <w:fldChar w:fldCharType="begin"/>
      </w:r>
      <w:r>
        <w:instrText xml:space="preserve"> PAGEREF _Toc237533465 \h </w:instrText>
      </w:r>
      <w:r>
        <w:fldChar w:fldCharType="separate"/>
      </w:r>
      <w:r>
        <w:t>28</w:t>
      </w:r>
      <w:r>
        <w:fldChar w:fldCharType="end"/>
      </w:r>
      <w:r>
        <w:fldChar w:fldCharType="end"/>
      </w:r>
    </w:p>
    <w:p w14:paraId="45B4B9F2">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"_Toc237533466" </w:instrText>
      </w:r>
      <w:r>
        <w:fldChar w:fldCharType="separate"/>
      </w:r>
      <w:r>
        <w:rPr>
          <w:rStyle w:val="16"/>
        </w:rPr>
        <w:t>Conclusion</w:t>
      </w:r>
      <w:r>
        <w:tab/>
      </w:r>
      <w:r>
        <w:fldChar w:fldCharType="begin"/>
      </w:r>
      <w:r>
        <w:instrText xml:space="preserve"> PAGEREF _Toc237533466 \h </w:instrText>
      </w:r>
      <w:r>
        <w:fldChar w:fldCharType="separate"/>
      </w:r>
      <w:r>
        <w:t>29</w:t>
      </w:r>
      <w:r>
        <w:fldChar w:fldCharType="end"/>
      </w:r>
      <w:r>
        <w:fldChar w:fldCharType="end"/>
      </w:r>
    </w:p>
    <w:p w14:paraId="414E57D9">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"_Toc237533467" </w:instrText>
      </w:r>
      <w:r>
        <w:fldChar w:fldCharType="separate"/>
      </w:r>
      <w:r>
        <w:rPr>
          <w:rStyle w:val="16"/>
        </w:rPr>
        <w:t>Action Plan</w:t>
      </w:r>
      <w:r>
        <w:tab/>
      </w:r>
      <w:r>
        <w:fldChar w:fldCharType="begin"/>
      </w:r>
      <w:r>
        <w:instrText xml:space="preserve"> PAGEREF _Toc237533467 \h </w:instrText>
      </w:r>
      <w:r>
        <w:fldChar w:fldCharType="separate"/>
      </w:r>
      <w:r>
        <w:t>29</w:t>
      </w:r>
      <w:r>
        <w:fldChar w:fldCharType="end"/>
      </w:r>
      <w:r>
        <w:fldChar w:fldCharType="end"/>
      </w:r>
    </w:p>
    <w:p w14:paraId="758CFEFD">
      <w:pPr>
        <w:pStyle w:val="19"/>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"_Toc237533468" </w:instrText>
      </w:r>
      <w:r>
        <w:fldChar w:fldCharType="separate"/>
      </w:r>
      <w:r>
        <w:rPr>
          <w:rStyle w:val="16"/>
        </w:rPr>
        <w:t>Evaluation and Skills Development</w:t>
      </w:r>
      <w:r>
        <w:tab/>
      </w:r>
      <w:r>
        <w:fldChar w:fldCharType="begin"/>
      </w:r>
      <w:r>
        <w:instrText xml:space="preserve"> PAGEREF _Toc237533468 \h </w:instrText>
      </w:r>
      <w:r>
        <w:fldChar w:fldCharType="separate"/>
      </w:r>
      <w:r>
        <w:t>29</w:t>
      </w:r>
      <w:r>
        <w:fldChar w:fldCharType="end"/>
      </w:r>
      <w:r>
        <w:fldChar w:fldCharType="end"/>
      </w:r>
    </w:p>
    <w:p w14:paraId="3D1F23F9">
      <w:pPr>
        <w:pStyle w:val="18"/>
        <w:tabs>
          <w:tab w:val="right" w:leader="dot" w:pos="9350"/>
        </w:tabs>
        <w:rPr>
          <w:rFonts w:asciiTheme="minorHAnsi" w:hAnsiTheme="minorHAnsi" w:eastAsiaTheme="minorEastAsia" w:cstheme="minorBidi"/>
          <w:kern w:val="2"/>
          <w:sz w:val="24"/>
          <w:szCs w:val="24"/>
          <w14:ligatures w14:val="standardContextual"/>
        </w:rPr>
      </w:pPr>
      <w:r>
        <w:fldChar w:fldCharType="begin"/>
      </w:r>
      <w:r>
        <w:instrText xml:space="preserve"> HYPERLINK \l "_Toc237533469" </w:instrText>
      </w:r>
      <w:r>
        <w:fldChar w:fldCharType="separate"/>
      </w:r>
      <w:r>
        <w:rPr>
          <w:rStyle w:val="16"/>
        </w:rPr>
        <w:t>Reference List</w:t>
      </w:r>
      <w:r>
        <w:tab/>
      </w:r>
      <w:r>
        <w:fldChar w:fldCharType="begin"/>
      </w:r>
      <w:r>
        <w:instrText xml:space="preserve"> PAGEREF _Toc237533469 \h </w:instrText>
      </w:r>
      <w:r>
        <w:fldChar w:fldCharType="separate"/>
      </w:r>
      <w:r>
        <w:t>29</w:t>
      </w:r>
      <w:r>
        <w:fldChar w:fldCharType="end"/>
      </w:r>
      <w:r>
        <w:fldChar w:fldCharType="end"/>
      </w:r>
    </w:p>
    <w:p w14:paraId="3DB0CE24">
      <w:pPr>
        <w:pStyle w:val="18"/>
      </w:pPr>
      <w:r>
        <w:fldChar w:fldCharType="end"/>
      </w:r>
    </w:p>
    <w:p w14:paraId="42E10196">
      <w:r>
        <w:br w:type="page"/>
      </w:r>
    </w:p>
    <w:p w14:paraId="4D06AE69">
      <w:pPr>
        <w:pStyle w:val="2"/>
        <w:spacing w:before="400" w:after="200"/>
      </w:pPr>
      <w:bookmarkStart w:id="2" w:name="_Toc237533407"/>
      <w:bookmarkStart w:id="3" w:name="_Toc236638046"/>
      <w:r>
        <w:t>1. Introduction</w:t>
      </w:r>
      <w:bookmarkEnd w:id="2"/>
      <w:bookmarkEnd w:id="3"/>
    </w:p>
    <w:p w14:paraId="145DC099">
      <w:pPr>
        <w:spacing w:after="200" w:line="276" w:lineRule="auto"/>
        <w:jc w:val="both"/>
      </w:pPr>
      <w:r>
        <w:t>Adidas is one of only two truly global sportswear manufacturers, alongside Nike, and its position at that scale means the brand cannot market itself the same way everywhere. This report compares Adidas's international marketing strategy in two very different environments: Germany, the company's home market and the country in which its identity as a football and engineering brand was forged, and the United States, its largest single overseas market and the arena in which its rivalry with Nike is most commercially consequential. The analysis uses PESTEL to compare the macro-environments of both countries, weighing up what works in Adidas's favour and what works against it, and Hofstede's cultural dimensions to explain differences in consumer behaviour. It then applies Segmentation, Targeting and Positioning (STP) and the 7Ps marketing mix comparatively across both markets, before examining Adidas's market entry strategy in the United States, its customer service model, and its ethical record in more depth. The report closes with a set of recommendations for the brand's future international strategy. A reflective account of the report is provided immediately after this introduction using Gibbs’ Reflective Cycle, before the main comparative analysis.</w:t>
      </w:r>
    </w:p>
    <w:p w14:paraId="62F2EA17">
      <w:pPr>
        <w:pStyle w:val="2"/>
        <w:spacing w:before="400" w:after="200"/>
      </w:pPr>
      <w:bookmarkStart w:id="4" w:name="_Toc236638047"/>
      <w:bookmarkStart w:id="5" w:name="_Toc237533408"/>
      <w:r>
        <w:t>2. Company Background</w:t>
      </w:r>
      <w:bookmarkEnd w:id="4"/>
      <w:bookmarkEnd w:id="5"/>
    </w:p>
    <w:p w14:paraId="1C0B72B0">
      <w:pPr>
        <w:spacing w:after="200" w:line="276" w:lineRule="auto"/>
        <w:jc w:val="both"/>
      </w:pPr>
      <w:r>
        <w:t>Adidas was founded in 1949 in Herzogenaurach, Bavaria, after a split between brothers Adolf and Rudolf Dassler, whose earlier joint shoemaking business had also outfitted German athletes before and during the Nazi era; Rudolf went on to found the rival firm Puma in the same town. Adidas remains headquartered in Herzogenaurach and is listed on the Frankfurt Stock Exchange under CEO Bjørn Gulden. The company enjoyed its strongest year on record in 2025, with group revenue rising 5% in euro terms, and 13% on a currency-neutral basis, to €24.8 billion, while operating profit climbed 54% to just over €2 billion (adidas Group, 2026a; Worldfootwear, 2026). Europe remains Adidas's largest region at around 33% of net sales, with North America the second-largest at roughly 20.5% and Greater China third at around 14.6% (Statista, 2026a). Notably, the 2025 results were the first in several years not to include any revenue from the Yeezy line: having sold off the last of its Yeezy inventory during 2024, Adidas's 2025 growth came entirely from its core business rather than the Kanye West collaboration that once generated close to €650 million a year, or almost 10% of group revenue (adidas Group, 2026b; Time, 2022a).</w:t>
      </w:r>
    </w:p>
    <w:p w14:paraId="7E3B86DA">
      <w:pPr>
        <w:pStyle w:val="3"/>
        <w:spacing w:before="300" w:after="150"/>
      </w:pPr>
      <w:bookmarkStart w:id="6" w:name="_Toc236638048"/>
      <w:bookmarkStart w:id="7" w:name="_Toc237533409"/>
      <w:r>
        <w:t>2.1 Mission and Purpose</w:t>
      </w:r>
      <w:bookmarkEnd w:id="6"/>
      <w:bookmarkEnd w:id="7"/>
    </w:p>
    <w:p w14:paraId="4CB14CE2">
      <w:pPr>
        <w:spacing w:after="200" w:line="276" w:lineRule="auto"/>
        <w:jc w:val="both"/>
      </w:pPr>
      <w:r>
        <w:t>Adidas states its mission as being the best sports brand in the world, sitting beneath a broader purpose statement: that through sport, the company has the power to change lives (BusinessModelAnalyst, 2026). Six stated values — courage, ownership, innovation, teamplay, integrity and respect — sit underneath both and are intended to guide day-to-day decisions on product, marketing and sustainability (BusinessModelAnalyst, 2026). In practice, this mission maps fairly directly onto what the brand does: the "best sports brand" claim is tested continuously through investment in performance product, such as the record-setting Adizero running range, while the "change lives through sport" purpose underpins participation-focused activity such as the Run for the Oceans campaign and grassroots football programmes. The mission is arguably at its most exposed in the United States, where Adidas holds a considerably smaller share of the sportswear category than Nike; claiming to be the best sports brand in the world is a harder claim to sustain in the one major market where the closest rival is both larger and based at home.</w:t>
      </w:r>
    </w:p>
    <w:p w14:paraId="48DF6553">
      <w:pPr>
        <w:pStyle w:val="2"/>
        <w:spacing w:before="400" w:after="200"/>
      </w:pPr>
      <w:bookmarkStart w:id="8" w:name="_Toc237533410"/>
      <w:bookmarkStart w:id="9" w:name="_Toc236638049"/>
      <w:r>
        <w:t>3. Macro-Environmental Analysis (PESTEL)</w:t>
      </w:r>
      <w:bookmarkEnd w:id="8"/>
      <w:bookmarkEnd w:id="9"/>
    </w:p>
    <w:p w14:paraId="3D3EF838">
      <w:pPr>
        <w:spacing w:after="200" w:line="276" w:lineRule="auto"/>
        <w:jc w:val="both"/>
      </w:pPr>
      <w:r>
        <w:t>The PESTEL framework is used below to weigh up what is actually working in Adidas's favour in each country against what is working against it, factor by factor, rather than simply describing Germany and the United States side by side. The diagram below summarises the net assessment reached for each factor, before each is discussed in turn.</w:t>
      </w:r>
    </w:p>
    <w:p w14:paraId="33C558BB">
      <w:pPr>
        <w:spacing w:before="200" w:after="100"/>
        <w:jc w:val="center"/>
      </w:pPr>
      <w:r>
        <w:drawing>
          <wp:inline distT="0" distB="0" distL="0" distR="0">
            <wp:extent cx="45720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rcRect/>
                    <a:stretch>
                      <a:fillRect/>
                    </a:stretch>
                  </pic:blipFill>
                  <pic:spPr>
                    <a:xfrm>
                      <a:off x="0" y="0"/>
                      <a:ext cx="4572000" cy="2857500"/>
                    </a:xfrm>
                    <a:prstGeom prst="rect">
                      <a:avLst/>
                    </a:prstGeom>
                  </pic:spPr>
                </pic:pic>
              </a:graphicData>
            </a:graphic>
          </wp:inline>
        </w:drawing>
      </w:r>
    </w:p>
    <w:p w14:paraId="34E9D65A">
      <w:pPr>
        <w:spacing w:after="300"/>
        <w:jc w:val="center"/>
      </w:pPr>
      <w:r>
        <w:rPr>
          <w:i/>
          <w:iCs/>
          <w:color w:val="555555"/>
          <w:sz w:val="18"/>
          <w:szCs w:val="18"/>
        </w:rPr>
        <w:t>Figure 1: PESTEL net assessment for Adidas in Germany and the United States (own analysis, based on the sources cited in this section).</w:t>
      </w:r>
    </w:p>
    <w:p w14:paraId="09D0FB10">
      <w:pPr>
        <w:pStyle w:val="3"/>
        <w:spacing w:before="300" w:after="150"/>
      </w:pPr>
      <w:bookmarkStart w:id="10" w:name="_Toc237533411"/>
      <w:bookmarkStart w:id="11" w:name="_Toc236638050"/>
      <w:r>
        <w:t>3.1 Political</w:t>
      </w:r>
      <w:bookmarkEnd w:id="10"/>
      <w:bookmarkEnd w:id="11"/>
    </w:p>
    <w:p w14:paraId="313C496A">
      <w:pPr>
        <w:spacing w:after="200" w:line="276" w:lineRule="auto"/>
        <w:jc w:val="both"/>
      </w:pPr>
      <w:r>
        <w:t>In Germany, the political backdrop is largely favourable: the country is a founding EU member with a stable, predictable, rules-based system, and in 2025 the government pushed through a historic reform of the constitutional "debt brake" to unlock a €500 billion infrastructure and defence spending package, a signal of political will to fix the underlying economy (Bundesregierung, 2026; CTMfile, 2026). The less favourable side is that this reform was only needed because years of coalition politics had left the government slow to respond to industrial decline, meaning policy has often lagged the problem rather than pre-empted it.</w:t>
      </w:r>
    </w:p>
    <w:p w14:paraId="70D92E9D">
      <w:pPr>
        <w:spacing w:after="200" w:line="276" w:lineRule="auto"/>
        <w:jc w:val="both"/>
      </w:pPr>
      <w:r>
        <w:t>In the United States, the political environment is considerably more mixed. On the unfavourable side, trade policy has been genuinely disruptive: a February 2026 Supreme Court ruling struck down the Trump administration's earlier "reciprocal" tariffs, replacing country-specific rates that had reached as high as 46% for major sourcing countries with a flat 10% Section 122 surcharge, though even that arrangement is considered temporary, and the American Apparel and Footwear Association has flagged fresh Section 301 investigations into sourcing countries central to Adidas's supply chain (Tariffstool, 2026; AAFA, 2026). On the favourable side, the underlying US political and legal system remains stable and predictable at the institutional level, and the sheer size of the market means Adidas cannot afford to scale back its presence regardless of short-term policy noise.</w:t>
      </w:r>
    </w:p>
    <w:p w14:paraId="56DE2556">
      <w:pPr>
        <w:spacing w:after="200" w:line="276" w:lineRule="auto"/>
        <w:jc w:val="both"/>
      </w:pPr>
      <w:r>
        <w:t>Overall, Germany's political environment is favourable for Adidas as a stable home base, whereas the United States is more of a mixed picture: institutionally reliable, but currently the more politically unpredictable market from a trade-policy standpoint.</w:t>
      </w:r>
    </w:p>
    <w:p w14:paraId="234B2817">
      <w:pPr>
        <w:pStyle w:val="3"/>
        <w:spacing w:before="300" w:after="150"/>
      </w:pPr>
      <w:bookmarkStart w:id="12" w:name="_Toc237533412"/>
      <w:bookmarkStart w:id="13" w:name="_Toc236638051"/>
      <w:r>
        <w:t>3.2 Economic</w:t>
      </w:r>
      <w:bookmarkEnd w:id="12"/>
      <w:bookmarkEnd w:id="13"/>
    </w:p>
    <w:p w14:paraId="154DB7A6">
      <w:pPr>
        <w:spacing w:after="200" w:line="276" w:lineRule="auto"/>
        <w:jc w:val="both"/>
      </w:pPr>
      <w:r>
        <w:t>Germany's economic picture is currently more unfavourable than favourable. GDP grew by only around 0.2% in 2025 after two years of outright contraction, and forecasts for 2026 range from roughly 0.5% to 1.2% depending on the institution (European Commission, 2026; CTMfile, 2026). The downturn has been structural, with industrial production well down from its peak, Volkswagen cutting around 35,000 jobs, national unemployment passing three million for the first time in over a decade, and German exports to the United States falling by roughly 9.4% in the first eleven months of 2025 (Statistics of the World, 2026; CTMfile, 2026). Inflation adds a further squeeze: Germany's harmonised inflation rate stood at around 2.8% in July 2026, driven largely by a renewed rise in energy prices, which erodes real household spending power just as growth has stalled (Destatis, 2026). The clearer favourable is that Germany remains a wealthy, high-income economy overall, and the new infrastructure fund could support consumer confidence over time; Adidas's own European sales, in fact, still grew 10% on a currency-neutral basis in 2025, showing the brand has so far outperformed the wider economic backdrop rather than being dragged down by it (adidas Group, 2026a).</w:t>
      </w:r>
    </w:p>
    <w:p w14:paraId="618B251B">
      <w:pPr>
        <w:spacing w:after="200" w:line="276" w:lineRule="auto"/>
        <w:jc w:val="both"/>
      </w:pPr>
      <w:r>
        <w:t>The United States presents a more favourable economic backdrop for Adidas on the demand side: it remains the world's largest consumer market, and spending on sportswear and "athleisure" categories has stayed comparatively resilient, with Adidas's own North American sales also growing 10% on a currency-neutral basis in 2025 (Business of Fashion, 2026; adidas Group, 2026a). The clear unfavourable factor is cost: tariffs are pushing up landed costs across the industry, and Adidas's own 2026 guidance already absorbs a combined tariff and currency drag of around €400 million (Sporting Goods Intelligence, 2026). Inflation compounds this from a different angle: US headline CPI inflation stood at 3.5% in the year to June 2026, and apparel prices specifically were still running almost 4% higher year-on-year even as overall inflation cooled, a category-specific pressure widely linked to tariff pass-through rather than general consumer demand (BLS, 2026; Trading Economics, 2026).</w:t>
      </w:r>
    </w:p>
    <w:p w14:paraId="321B79CA">
      <w:pPr>
        <w:spacing w:after="200" w:line="276" w:lineRule="auto"/>
        <w:jc w:val="both"/>
      </w:pPr>
      <w:r>
        <w:t>Overall, the US economic environment is more favourable on the demand side, while Germany's is currently more unfavourable on growth and confidence, even though the German consumer base remains fundamentally wealthier per capita and Adidas's own sales growth has so far held up in both markets regardless of the wider economic noise.</w:t>
      </w:r>
    </w:p>
    <w:p w14:paraId="631C1352">
      <w:pPr>
        <w:pStyle w:val="3"/>
        <w:spacing w:before="300" w:after="150"/>
      </w:pPr>
      <w:bookmarkStart w:id="14" w:name="_Toc236638052"/>
      <w:bookmarkStart w:id="15" w:name="_Toc237533413"/>
      <w:r>
        <w:t>3.3 Social</w:t>
      </w:r>
      <w:bookmarkEnd w:id="14"/>
      <w:bookmarkEnd w:id="15"/>
    </w:p>
    <w:p w14:paraId="471E21EE">
      <w:pPr>
        <w:spacing w:after="200" w:line="276" w:lineRule="auto"/>
        <w:jc w:val="both"/>
      </w:pPr>
      <w:r>
        <w:t>Germany's social environment is favourable for Adidas mainly through football: the brand supplies kit to the German national team and several Bundesliga clubs, and football carries a level of cultural weight there that gives Adidas an authenticity advantage over Nike, which is viewed more as an outsider brand. There are also specific lifestyle trends worth noting: fitness formats such as Hyrox, a hybrid running-and-strength competition that originated in Germany, have grown rapidly in popularity domestically, feeding demand for both performance training gear and the wider athleisure category, and German consumers tend on average to be more receptive to sustainability credentials in a purchase decision, a function of both EU regulation and a culturally strong environmental movement. The less favourable side is that a weaker economy and squeezed household budgets have made German consumers somewhat more cautious and value-conscious, which can dampen impulse and premium purchases.</w:t>
      </w:r>
    </w:p>
    <w:p w14:paraId="6A088BF0">
      <w:pPr>
        <w:spacing w:after="200" w:line="276" w:lineRule="auto"/>
        <w:jc w:val="both"/>
      </w:pPr>
      <w:r>
        <w:t>In the United States, the social environment is favourable in the sense that sneaker and streetwear culture, basketball, running and hype-driven product drops are deeply embedded, giving Adidas a large and engaged cultural audience with no real German equivalent. Fashion and fitness trends there also move fast and are heavily pop-culture led: the current pull toward "quiet luxury" terrace sneakers such as the Samba and Gazelle sits alongside a parallel boom in performance-run culture and city run clubs, while sustainability, though growing in importance, still tends to rank behind price and style in the average American purchase decision compared with Germany. The unfavourable side is that this same culture is fickle: American consumers move quickly between brands chasing the newest trend, and competitors such as On and Hoka have shown how fast a new entrant can capture attention and share.</w:t>
      </w:r>
    </w:p>
    <w:p w14:paraId="64ED6647">
      <w:pPr>
        <w:spacing w:after="200" w:line="276" w:lineRule="auto"/>
        <w:jc w:val="both"/>
      </w:pPr>
      <w:r>
        <w:t>Overall, both markets offer Adidas a genuine cultural hook, but Germany's is steadier, slower-moving and increasingly sustainability-conscious, while the US advantage is larger but far more exposed to trend fatigue and fast-moving fashion cycles.</w:t>
      </w:r>
    </w:p>
    <w:p w14:paraId="61847913">
      <w:pPr>
        <w:pStyle w:val="3"/>
        <w:spacing w:before="300" w:after="150"/>
      </w:pPr>
      <w:bookmarkStart w:id="16" w:name="_Toc236638062"/>
      <w:bookmarkStart w:id="17" w:name="_Toc237533414"/>
      <w:r>
        <w:t>3.4 Technological</w:t>
      </w:r>
      <w:bookmarkEnd w:id="16"/>
      <w:bookmarkEnd w:id="17"/>
    </w:p>
    <w:p w14:paraId="3225B12F">
      <w:pPr>
        <w:spacing w:after="200" w:line="276" w:lineRule="auto"/>
        <w:jc w:val="both"/>
      </w:pPr>
      <w:r>
        <w:t>Germany's technological environment is broadly favourable for Adidas: its manufacturing and engineering base has supported the brand's periodic experiments in localised, automated production, and Adidas continues to route a meaningful share of its product innovation and materials science work through its Bavarian home base. There is little downside here beyond the general cost of maintaining that R&amp;D investment.</w:t>
      </w:r>
    </w:p>
    <w:p w14:paraId="6B0B2566">
      <w:pPr>
        <w:spacing w:after="200" w:line="276" w:lineRule="auto"/>
        <w:jc w:val="both"/>
      </w:pPr>
      <w:r>
        <w:t>The United States is favourable in a different way: it is where Adidas leans hardest on its direct-to-consumer digital infrastructure, including the Adidas app and AdiClub loyalty programme, which had grown to more than 300 million members globally by 2025, supported by AI-driven personalisation and short-form video content on TikTok and Instagram (MatrixBCG, 2026a). The less favourable side is that this also means Adidas is competing on the same digital turf as Nike and a fast-growing number of digitally native challenger brands, where the barriers to entry are lower than in physical retail.</w:t>
      </w:r>
    </w:p>
    <w:p w14:paraId="25A6A547">
      <w:pPr>
        <w:pStyle w:val="3"/>
        <w:spacing w:before="300" w:after="150"/>
      </w:pPr>
      <w:bookmarkStart w:id="18" w:name="_Toc236638063"/>
      <w:bookmarkStart w:id="19" w:name="_Toc237533415"/>
      <w:r>
        <w:t>3.5 Environmental</w:t>
      </w:r>
      <w:bookmarkEnd w:id="18"/>
      <w:bookmarkEnd w:id="19"/>
    </w:p>
    <w:p w14:paraId="051F6BF0">
      <w:pPr>
        <w:spacing w:after="200" w:line="276" w:lineRule="auto"/>
        <w:jc w:val="both"/>
      </w:pPr>
      <w:r>
        <w:t>Germany's environmental regulation is a double-edged sword. On the favourable side, meeting EU-level frameworks such as the Corporate Sustainability Due Diligence Directive and the bloc's sustainable textiles strategy gives Adidas credibility with increasingly sustainability-conscious German consumers. On the unfavourable side, the compliance and reporting burden is genuinely heavy and adds cost that competitors outside the EU do not face.</w:t>
      </w:r>
    </w:p>
    <w:p w14:paraId="217C932E">
      <w:pPr>
        <w:spacing w:after="200" w:line="276" w:lineRule="auto"/>
        <w:jc w:val="both"/>
      </w:pPr>
      <w:r>
        <w:t>The United States is more favourable from a pure compliance-cost perspective, since there is no single federal framework equivalent to the EU's. The trade-off is that this patchwork of state-level rules, such as California's extended producer responsibility requirements for textiles, is unpredictable and harder to plan around than one consistent EU-wide standard.</w:t>
      </w:r>
    </w:p>
    <w:p w14:paraId="43272001">
      <w:pPr>
        <w:pStyle w:val="3"/>
        <w:spacing w:before="300" w:after="150"/>
      </w:pPr>
      <w:bookmarkStart w:id="20" w:name="_Toc237533416"/>
      <w:bookmarkStart w:id="21" w:name="_Toc236638064"/>
      <w:r>
        <w:t>3.6 Legal</w:t>
      </w:r>
      <w:bookmarkEnd w:id="20"/>
      <w:bookmarkEnd w:id="21"/>
    </w:p>
    <w:p w14:paraId="4F03AD77">
      <w:pPr>
        <w:spacing w:after="200" w:line="276" w:lineRule="auto"/>
        <w:jc w:val="both"/>
      </w:pPr>
      <w:r>
        <w:t>Germany's legal environment is favourable in that GDPR, EU product-safety and textile-labelling rules, and EU advertising regulation are strict but consistent and well understood, giving Adidas legal certainty across its home market. The unfavourable side is simply that compliance obligations are extensive and apply uniformly, leaving little room for flexibility.</w:t>
      </w:r>
    </w:p>
    <w:p w14:paraId="5B2285AC">
      <w:pPr>
        <w:spacing w:after="200" w:line="276" w:lineRule="auto"/>
        <w:jc w:val="both"/>
      </w:pPr>
      <w:r>
        <w:t>The United States is more mixed: Adidas benefits from an active, well-established trademark-litigation environment that has generally helped it defend its three-stripe design, but it also operates under FTC rules on influencer and endorsement disclosure that became directly and painfully relevant to the brand during the Yeezy controversy discussed later in this report.</w:t>
      </w:r>
    </w:p>
    <w:p w14:paraId="566EF059">
      <w:pPr>
        <w:pStyle w:val="3"/>
        <w:spacing w:before="300" w:after="150"/>
      </w:pPr>
      <w:bookmarkStart w:id="22" w:name="_Toc236638065"/>
      <w:bookmarkStart w:id="23" w:name="_Toc237533417"/>
      <w:r>
        <w:t>3.7 Similarities and Differences of PESTEL</w:t>
      </w:r>
      <w:bookmarkEnd w:id="22"/>
      <w:bookmarkEnd w:id="23"/>
    </w:p>
    <w:p w14:paraId="12D80F13">
      <w:pPr>
        <w:spacing w:after="200" w:line="276" w:lineRule="auto"/>
        <w:jc w:val="both"/>
      </w:pPr>
      <w:r>
        <w:t>Taken together, the two markets are similar in that both offer Adidas political and legal stability at the institutional level, and both give the brand a genuine cultural hook to build marketing around, football in Germany and streetwear/sneaker culture in the US. The clearest difference is economic: Germany is currently working through a real growth slowdown while the US consumer market remains resilient, even though US costs are being squeezed by tariffs that Germany does not face in the same way. Culturally, the Hofstede comparison shows the two markets are furthest apart on long-term orientation and indulgence, which is really the underlying reason Adidas's German communications read as measured and heritage-led while its American communications read as fast-moving and hype-driven.</w:t>
      </w:r>
    </w:p>
    <w:p w14:paraId="4D6D3746">
      <w:pPr>
        <w:pStyle w:val="3"/>
        <w:spacing w:before="300" w:after="150"/>
      </w:pPr>
      <w:bookmarkStart w:id="24" w:name="_Toc236638053"/>
    </w:p>
    <w:p w14:paraId="60ED9AAF">
      <w:pPr>
        <w:pStyle w:val="3"/>
        <w:spacing w:before="300" w:after="150"/>
      </w:pPr>
    </w:p>
    <w:p w14:paraId="306C04AA">
      <w:pPr>
        <w:pStyle w:val="3"/>
        <w:spacing w:before="300" w:after="150"/>
      </w:pPr>
    </w:p>
    <w:p w14:paraId="659B677B">
      <w:pPr>
        <w:pStyle w:val="3"/>
        <w:spacing w:before="300" w:after="150"/>
      </w:pPr>
    </w:p>
    <w:p w14:paraId="76C3DBC3">
      <w:pPr>
        <w:pStyle w:val="3"/>
        <w:spacing w:before="300" w:after="150"/>
      </w:pPr>
    </w:p>
    <w:bookmarkEnd w:id="24"/>
    <w:p w14:paraId="43D76F87">
      <w:pPr>
        <w:pStyle w:val="2"/>
        <w:spacing w:before="400" w:after="200"/>
      </w:pPr>
      <w:bookmarkStart w:id="25" w:name="_Toc237533418"/>
      <w:r>
        <w:t>4. Comparative Cultural Analysis (Hofstede)</w:t>
      </w:r>
      <w:bookmarkEnd w:id="25"/>
    </w:p>
    <w:p w14:paraId="11BBE5ED">
      <w:pPr>
        <w:spacing w:after="200" w:line="276" w:lineRule="auto"/>
        <w:jc w:val="both"/>
      </w:pPr>
      <w:r>
        <w:t>Beyond the macro-environment, Hofstede's cultural dimensions help explain why Adidas's tone of voice differs so much between Germany and the United States. The scores below are drawn from the Hofstede Insights country comparison tool (Hofstede Insights, 2024).</w:t>
      </w:r>
    </w:p>
    <w:p w14:paraId="70707C80">
      <w:pPr>
        <w:spacing w:before="200" w:after="100"/>
        <w:jc w:val="center"/>
      </w:pPr>
      <w:r>
        <w:drawing>
          <wp:inline distT="0" distB="0" distL="0" distR="0">
            <wp:extent cx="4476750" cy="2486025"/>
            <wp:effectExtent l="0" t="0" r="0" b="0"/>
            <wp:docPr id="1630234011" name="Picture 1630234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234011" name="Picture 1630234011"/>
                    <pic:cNvPicPr>
                      <a:picLocks noChangeAspect="1" noChangeArrowheads="1"/>
                    </pic:cNvPicPr>
                  </pic:nvPicPr>
                  <pic:blipFill>
                    <a:blip r:embed="rId8"/>
                    <a:srcRect/>
                    <a:stretch>
                      <a:fillRect/>
                    </a:stretch>
                  </pic:blipFill>
                  <pic:spPr>
                    <a:xfrm>
                      <a:off x="0" y="0"/>
                      <a:ext cx="4476750" cy="2486025"/>
                    </a:xfrm>
                    <a:prstGeom prst="rect">
                      <a:avLst/>
                    </a:prstGeom>
                  </pic:spPr>
                </pic:pic>
              </a:graphicData>
            </a:graphic>
          </wp:inline>
        </w:drawing>
      </w:r>
    </w:p>
    <w:p w14:paraId="26653EAD">
      <w:pPr>
        <w:spacing w:after="300"/>
        <w:jc w:val="center"/>
      </w:pPr>
      <w:r>
        <w:rPr>
          <w:i/>
          <w:iCs/>
          <w:color w:val="555555"/>
          <w:sz w:val="18"/>
          <w:szCs w:val="18"/>
        </w:rPr>
        <w:t>Figure 2: Hofstede's six cultural dimensions, Germany vs United States (Hofstede Insights, 2024).</w:t>
      </w:r>
    </w:p>
    <w:p w14:paraId="15223636">
      <w:r>
        <w:t>Table 2: Hofstede’s six dimensions and their marketing implications (Hofstede Insights, 2024; own analysis).</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38"/>
        <w:gridCol w:w="2337"/>
        <w:gridCol w:w="2337"/>
        <w:gridCol w:w="2338"/>
      </w:tblGrid>
      <w:tr w14:paraId="1637CC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5C867468">
            <w:pPr>
              <w:spacing w:before="40" w:after="40"/>
            </w:pPr>
            <w:r>
              <w:rPr>
                <w:b/>
                <w:sz w:val="19"/>
              </w:rPr>
              <w:t>Dimension</w:t>
            </w:r>
          </w:p>
        </w:tc>
        <w:tc>
          <w:tcPr>
            <w:tcW w:w="2337" w:type="dxa"/>
            <w:vAlign w:val="center"/>
          </w:tcPr>
          <w:p w14:paraId="2D2C9BDD">
            <w:pPr>
              <w:spacing w:before="40" w:after="40"/>
            </w:pPr>
            <w:r>
              <w:rPr>
                <w:b/>
                <w:sz w:val="19"/>
              </w:rPr>
              <w:t>Germany</w:t>
            </w:r>
          </w:p>
        </w:tc>
        <w:tc>
          <w:tcPr>
            <w:tcW w:w="2337" w:type="dxa"/>
            <w:vAlign w:val="center"/>
          </w:tcPr>
          <w:p w14:paraId="23643E36">
            <w:pPr>
              <w:spacing w:before="40" w:after="40"/>
            </w:pPr>
            <w:r>
              <w:rPr>
                <w:b/>
                <w:sz w:val="19"/>
              </w:rPr>
              <w:t>United States</w:t>
            </w:r>
          </w:p>
        </w:tc>
        <w:tc>
          <w:tcPr>
            <w:tcW w:w="2338" w:type="dxa"/>
            <w:vAlign w:val="center"/>
          </w:tcPr>
          <w:p w14:paraId="57B357AF">
            <w:pPr>
              <w:spacing w:before="40" w:after="40"/>
            </w:pPr>
            <w:r>
              <w:rPr>
                <w:b/>
                <w:sz w:val="19"/>
              </w:rPr>
              <w:t>Marketing implication for Adidas</w:t>
            </w:r>
          </w:p>
        </w:tc>
      </w:tr>
      <w:tr w14:paraId="7ED381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759A5718">
            <w:pPr>
              <w:spacing w:before="40" w:after="40"/>
            </w:pPr>
            <w:r>
              <w:rPr>
                <w:sz w:val="19"/>
              </w:rPr>
              <w:t>Power Distance</w:t>
            </w:r>
          </w:p>
        </w:tc>
        <w:tc>
          <w:tcPr>
            <w:tcW w:w="2337" w:type="dxa"/>
            <w:vAlign w:val="center"/>
          </w:tcPr>
          <w:p w14:paraId="3D0C22EA">
            <w:pPr>
              <w:spacing w:before="40" w:after="40"/>
            </w:pPr>
            <w:r>
              <w:rPr>
                <w:sz w:val="19"/>
              </w:rPr>
              <w:t>35</w:t>
            </w:r>
          </w:p>
        </w:tc>
        <w:tc>
          <w:tcPr>
            <w:tcW w:w="2337" w:type="dxa"/>
            <w:vAlign w:val="center"/>
          </w:tcPr>
          <w:p w14:paraId="15A433C4">
            <w:pPr>
              <w:spacing w:before="40" w:after="40"/>
            </w:pPr>
            <w:r>
              <w:rPr>
                <w:sz w:val="19"/>
              </w:rPr>
              <w:t>40</w:t>
            </w:r>
          </w:p>
        </w:tc>
        <w:tc>
          <w:tcPr>
            <w:tcW w:w="2338" w:type="dxa"/>
            <w:vAlign w:val="center"/>
          </w:tcPr>
          <w:p w14:paraId="5762A7FD">
            <w:pPr>
              <w:spacing w:before="40" w:after="40"/>
              <w:jc w:val="both"/>
            </w:pPr>
            <w:r>
              <w:rPr>
                <w:sz w:val="19"/>
              </w:rPr>
              <w:t>Both are relatively low; use accessible, peer-level communication rather than highly hierarchical appeals.</w:t>
            </w:r>
          </w:p>
        </w:tc>
      </w:tr>
      <w:tr w14:paraId="2532C7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130FAD9C">
            <w:pPr>
              <w:spacing w:before="40" w:after="40"/>
            </w:pPr>
            <w:r>
              <w:rPr>
                <w:sz w:val="19"/>
              </w:rPr>
              <w:t>Individualism</w:t>
            </w:r>
          </w:p>
        </w:tc>
        <w:tc>
          <w:tcPr>
            <w:tcW w:w="2337" w:type="dxa"/>
            <w:vAlign w:val="center"/>
          </w:tcPr>
          <w:p w14:paraId="5B8402BA">
            <w:pPr>
              <w:spacing w:before="40" w:after="40"/>
            </w:pPr>
            <w:r>
              <w:rPr>
                <w:sz w:val="19"/>
              </w:rPr>
              <w:t>67</w:t>
            </w:r>
          </w:p>
        </w:tc>
        <w:tc>
          <w:tcPr>
            <w:tcW w:w="2337" w:type="dxa"/>
            <w:vAlign w:val="center"/>
          </w:tcPr>
          <w:p w14:paraId="7269773A">
            <w:pPr>
              <w:spacing w:before="40" w:after="40"/>
            </w:pPr>
            <w:r>
              <w:rPr>
                <w:sz w:val="19"/>
              </w:rPr>
              <w:t>91</w:t>
            </w:r>
          </w:p>
        </w:tc>
        <w:tc>
          <w:tcPr>
            <w:tcW w:w="2338" w:type="dxa"/>
            <w:vAlign w:val="center"/>
          </w:tcPr>
          <w:p w14:paraId="530FEE38">
            <w:pPr>
              <w:spacing w:before="40" w:after="40"/>
              <w:jc w:val="both"/>
            </w:pPr>
            <w:r>
              <w:rPr>
                <w:sz w:val="19"/>
              </w:rPr>
              <w:t>US marketing can emphasise personal identity and self-expression more strongly; Germany can use both individual and team/football identity.</w:t>
            </w:r>
          </w:p>
        </w:tc>
      </w:tr>
      <w:tr w14:paraId="0939C2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28285EDD">
            <w:pPr>
              <w:spacing w:before="40" w:after="40"/>
            </w:pPr>
            <w:r>
              <w:rPr>
                <w:sz w:val="19"/>
              </w:rPr>
              <w:t>Masculinity</w:t>
            </w:r>
          </w:p>
        </w:tc>
        <w:tc>
          <w:tcPr>
            <w:tcW w:w="2337" w:type="dxa"/>
            <w:vAlign w:val="center"/>
          </w:tcPr>
          <w:p w14:paraId="2FCC1822">
            <w:pPr>
              <w:spacing w:before="40" w:after="40"/>
            </w:pPr>
            <w:r>
              <w:rPr>
                <w:sz w:val="19"/>
              </w:rPr>
              <w:t>66</w:t>
            </w:r>
          </w:p>
        </w:tc>
        <w:tc>
          <w:tcPr>
            <w:tcW w:w="2337" w:type="dxa"/>
            <w:vAlign w:val="center"/>
          </w:tcPr>
          <w:p w14:paraId="43C68DA5">
            <w:pPr>
              <w:spacing w:before="40" w:after="40"/>
            </w:pPr>
            <w:r>
              <w:rPr>
                <w:sz w:val="19"/>
              </w:rPr>
              <w:t>62</w:t>
            </w:r>
          </w:p>
        </w:tc>
        <w:tc>
          <w:tcPr>
            <w:tcW w:w="2338" w:type="dxa"/>
            <w:vAlign w:val="center"/>
          </w:tcPr>
          <w:p w14:paraId="3334BCBF">
            <w:pPr>
              <w:spacing w:before="40" w:after="40"/>
              <w:jc w:val="both"/>
            </w:pPr>
            <w:r>
              <w:rPr>
                <w:sz w:val="19"/>
              </w:rPr>
              <w:t>Both support achievement and performance-oriented messaging.</w:t>
            </w:r>
          </w:p>
        </w:tc>
      </w:tr>
      <w:tr w14:paraId="72EFC6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07D4794F">
            <w:pPr>
              <w:spacing w:before="40" w:after="40"/>
            </w:pPr>
            <w:r>
              <w:rPr>
                <w:sz w:val="19"/>
              </w:rPr>
              <w:t>Uncertainty Avoidance</w:t>
            </w:r>
          </w:p>
        </w:tc>
        <w:tc>
          <w:tcPr>
            <w:tcW w:w="2337" w:type="dxa"/>
            <w:vAlign w:val="center"/>
          </w:tcPr>
          <w:p w14:paraId="7D3E701C">
            <w:pPr>
              <w:spacing w:before="40" w:after="40"/>
            </w:pPr>
            <w:r>
              <w:rPr>
                <w:sz w:val="19"/>
              </w:rPr>
              <w:t>65</w:t>
            </w:r>
          </w:p>
        </w:tc>
        <w:tc>
          <w:tcPr>
            <w:tcW w:w="2337" w:type="dxa"/>
            <w:vAlign w:val="center"/>
          </w:tcPr>
          <w:p w14:paraId="5F5FED03">
            <w:pPr>
              <w:spacing w:before="40" w:after="40"/>
            </w:pPr>
            <w:r>
              <w:rPr>
                <w:sz w:val="19"/>
              </w:rPr>
              <w:t>46</w:t>
            </w:r>
          </w:p>
        </w:tc>
        <w:tc>
          <w:tcPr>
            <w:tcW w:w="2338" w:type="dxa"/>
            <w:vAlign w:val="center"/>
          </w:tcPr>
          <w:p w14:paraId="7E147C41">
            <w:pPr>
              <w:spacing w:before="40" w:after="40"/>
              <w:jc w:val="both"/>
            </w:pPr>
            <w:r>
              <w:rPr>
                <w:sz w:val="19"/>
              </w:rPr>
              <w:t>Germany benefits more from evidence, technical proof and reliability; the US allows greater novelty and experimentation.</w:t>
            </w:r>
          </w:p>
        </w:tc>
      </w:tr>
      <w:tr w14:paraId="6302C4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73A28E28">
            <w:pPr>
              <w:spacing w:before="40" w:after="40"/>
            </w:pPr>
            <w:r>
              <w:rPr>
                <w:sz w:val="19"/>
              </w:rPr>
              <w:t>Long-Term Orientation</w:t>
            </w:r>
          </w:p>
        </w:tc>
        <w:tc>
          <w:tcPr>
            <w:tcW w:w="2337" w:type="dxa"/>
            <w:vAlign w:val="center"/>
          </w:tcPr>
          <w:p w14:paraId="3E3485C0">
            <w:pPr>
              <w:spacing w:before="40" w:after="40"/>
            </w:pPr>
            <w:r>
              <w:rPr>
                <w:sz w:val="19"/>
              </w:rPr>
              <w:t>83</w:t>
            </w:r>
          </w:p>
        </w:tc>
        <w:tc>
          <w:tcPr>
            <w:tcW w:w="2337" w:type="dxa"/>
            <w:vAlign w:val="center"/>
          </w:tcPr>
          <w:p w14:paraId="7FFBDBE8">
            <w:pPr>
              <w:spacing w:before="40" w:after="40"/>
            </w:pPr>
            <w:r>
              <w:rPr>
                <w:sz w:val="19"/>
              </w:rPr>
              <w:t>26</w:t>
            </w:r>
          </w:p>
        </w:tc>
        <w:tc>
          <w:tcPr>
            <w:tcW w:w="2338" w:type="dxa"/>
            <w:vAlign w:val="center"/>
          </w:tcPr>
          <w:p w14:paraId="7C304638">
            <w:pPr>
              <w:spacing w:before="40" w:after="40"/>
              <w:jc w:val="both"/>
            </w:pPr>
            <w:r>
              <w:rPr>
                <w:sz w:val="19"/>
              </w:rPr>
              <w:t>Germany is more compatible with long-term value and heritage narratives; US campaigns can favour shorter-cycle cultural relevance.</w:t>
            </w:r>
          </w:p>
        </w:tc>
      </w:tr>
      <w:tr w14:paraId="2D13EB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38" w:type="dxa"/>
            <w:vAlign w:val="center"/>
          </w:tcPr>
          <w:p w14:paraId="7C3D6EA8">
            <w:pPr>
              <w:spacing w:before="40" w:after="40"/>
            </w:pPr>
            <w:r>
              <w:rPr>
                <w:sz w:val="19"/>
              </w:rPr>
              <w:t>Indulgence</w:t>
            </w:r>
          </w:p>
        </w:tc>
        <w:tc>
          <w:tcPr>
            <w:tcW w:w="2337" w:type="dxa"/>
            <w:vAlign w:val="center"/>
          </w:tcPr>
          <w:p w14:paraId="5BCB2900">
            <w:pPr>
              <w:spacing w:before="40" w:after="40"/>
            </w:pPr>
            <w:r>
              <w:rPr>
                <w:sz w:val="19"/>
              </w:rPr>
              <w:t>40</w:t>
            </w:r>
          </w:p>
        </w:tc>
        <w:tc>
          <w:tcPr>
            <w:tcW w:w="2337" w:type="dxa"/>
            <w:vAlign w:val="center"/>
          </w:tcPr>
          <w:p w14:paraId="1BF0DC83">
            <w:pPr>
              <w:spacing w:before="40" w:after="40"/>
            </w:pPr>
            <w:r>
              <w:rPr>
                <w:sz w:val="19"/>
              </w:rPr>
              <w:t>68</w:t>
            </w:r>
          </w:p>
        </w:tc>
        <w:tc>
          <w:tcPr>
            <w:tcW w:w="2338" w:type="dxa"/>
            <w:vAlign w:val="center"/>
          </w:tcPr>
          <w:p w14:paraId="02485C91">
            <w:pPr>
              <w:spacing w:before="40" w:after="40"/>
              <w:jc w:val="both"/>
            </w:pPr>
            <w:r>
              <w:rPr>
                <w:sz w:val="19"/>
              </w:rPr>
              <w:t>US consumers may respond more readily to expressive and gratification-led lifestyle communication; Germany suits a more measured tone.</w:t>
            </w:r>
          </w:p>
        </w:tc>
      </w:tr>
    </w:tbl>
    <w:p w14:paraId="1F73AC6F">
      <w:pPr>
        <w:pStyle w:val="4"/>
        <w:spacing w:before="200" w:after="120"/>
      </w:pPr>
      <w:bookmarkStart w:id="26" w:name="_Toc237533419"/>
      <w:bookmarkStart w:id="27" w:name="_Toc236638054"/>
      <w:r>
        <w:rPr>
          <w:rFonts w:cs="Arial"/>
        </w:rPr>
        <w:drawing>
          <wp:anchor distT="0" distB="0" distL="114300" distR="114300" simplePos="0" relativeHeight="251659264" behindDoc="0" locked="0" layoutInCell="1" allowOverlap="1">
            <wp:simplePos x="0" y="0"/>
            <wp:positionH relativeFrom="column">
              <wp:posOffset>1188085</wp:posOffset>
            </wp:positionH>
            <wp:positionV relativeFrom="paragraph">
              <wp:posOffset>290830</wp:posOffset>
            </wp:positionV>
            <wp:extent cx="3145155" cy="2684780"/>
            <wp:effectExtent l="0" t="0" r="4445" b="0"/>
            <wp:wrapTopAndBottom/>
            <wp:docPr id="1810231952" name="Picture 1810231952" descr="Macintosh HD:Users:seikhnurulhassan:Desktop:1_pADt42gTvARFMXDe2T1Dq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231952" name="Picture 1810231952" descr="Macintosh HD:Users:seikhnurulhassan:Desktop:1_pADt42gTvARFMXDe2T1Dqw.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3145155" cy="2684780"/>
                    </a:xfrm>
                    <a:prstGeom prst="rect">
                      <a:avLst/>
                    </a:prstGeom>
                    <a:noFill/>
                    <a:ln>
                      <a:noFill/>
                    </a:ln>
                  </pic:spPr>
                </pic:pic>
              </a:graphicData>
            </a:graphic>
          </wp:anchor>
        </w:drawing>
      </w:r>
      <w:bookmarkEnd w:id="26"/>
    </w:p>
    <w:p w14:paraId="7039FE18">
      <w:pPr>
        <w:pStyle w:val="4"/>
        <w:spacing w:before="200" w:after="120"/>
      </w:pPr>
      <w:bookmarkStart w:id="28" w:name="_Toc237533420"/>
      <w:r>
        <w:t>Power Distance</w:t>
      </w:r>
      <w:bookmarkEnd w:id="27"/>
      <w:bookmarkEnd w:id="28"/>
    </w:p>
    <w:p w14:paraId="7BD5DA59">
      <w:pPr>
        <w:spacing w:after="200" w:line="276" w:lineRule="auto"/>
        <w:jc w:val="both"/>
      </w:pPr>
      <w:r>
        <w:t>Germany scores 35 and the United States scores 40 on power distance, both comparatively low. Neither culture responds well to marketing that leans on authority or hierarchy, which is one reason Adidas's messaging in both countries favours peer-level, aspirational tones rather than a top-down "expert tells you what to buy" approach.</w:t>
      </w:r>
    </w:p>
    <w:p w14:paraId="56267D4B">
      <w:pPr>
        <w:pStyle w:val="4"/>
        <w:spacing w:before="200" w:after="120"/>
      </w:pPr>
      <w:bookmarkStart w:id="29" w:name="_Toc236638055"/>
      <w:bookmarkStart w:id="30" w:name="_Toc237533421"/>
      <w:r>
        <w:t>Individualism</w:t>
      </w:r>
      <w:bookmarkEnd w:id="29"/>
      <w:bookmarkEnd w:id="30"/>
    </w:p>
    <w:p w14:paraId="1DA194EB">
      <w:pPr>
        <w:spacing w:after="200" w:line="276" w:lineRule="auto"/>
        <w:jc w:val="both"/>
      </w:pPr>
      <w:r>
        <w:t>Germany scores 67 and the United States scores 91, meaning both are individualistic societies, but the US is dramatically more so. This gives American marketing more licence to centre the individual — self-expression, personal style, "be yourself" messaging — while German campaigns can still lean on team and national identity through football without feeling out of step with the culture.</w:t>
      </w:r>
    </w:p>
    <w:p w14:paraId="5ADAB9B6">
      <w:pPr>
        <w:pStyle w:val="4"/>
        <w:spacing w:before="200" w:after="120"/>
      </w:pPr>
      <w:bookmarkStart w:id="31" w:name="_Toc237533422"/>
      <w:bookmarkStart w:id="32" w:name="_Toc236638056"/>
      <w:r>
        <w:t>Masculinity</w:t>
      </w:r>
      <w:bookmarkEnd w:id="31"/>
      <w:bookmarkEnd w:id="32"/>
    </w:p>
    <w:p w14:paraId="141359C1">
      <w:pPr>
        <w:spacing w:after="200" w:line="276" w:lineRule="auto"/>
        <w:jc w:val="both"/>
      </w:pPr>
      <w:r>
        <w:t>Germany scores 66 and the United States scores 62, both firmly on the achievement-oriented, competitive side of the scale. This supports performance- and success-led messaging working comfortably in both markets, which is one dimension where Adidas does not need to adapt much between the two.</w:t>
      </w:r>
    </w:p>
    <w:p w14:paraId="45670466">
      <w:pPr>
        <w:pStyle w:val="4"/>
        <w:spacing w:before="200" w:after="120"/>
      </w:pPr>
      <w:bookmarkStart w:id="33" w:name="_Toc237533423"/>
      <w:bookmarkStart w:id="34" w:name="_Toc236638057"/>
      <w:r>
        <w:t>Uncertainty Avoidance</w:t>
      </w:r>
      <w:bookmarkEnd w:id="33"/>
      <w:bookmarkEnd w:id="34"/>
    </w:p>
    <w:p w14:paraId="1C209B3E">
      <w:pPr>
        <w:spacing w:after="200" w:line="276" w:lineRule="auto"/>
        <w:jc w:val="both"/>
      </w:pPr>
      <w:r>
        <w:t>This is one of the sharper divides: Germany scores 65 against 46 for the United States. German consumers are more inclined to want proof, precision and a track record before buying, which favours Adidas's engineering-and-heritage narrative there. American consumers are more comfortable with risk and novelty, which helps explain why hype-driven, limited-edition drops work so well in the US but would likely feel gimmicky if used the same way in Germany.</w:t>
      </w:r>
    </w:p>
    <w:p w14:paraId="29F0595D">
      <w:pPr>
        <w:pStyle w:val="4"/>
        <w:spacing w:before="200" w:after="120"/>
      </w:pPr>
      <w:bookmarkStart w:id="35" w:name="_Toc236638058"/>
      <w:bookmarkStart w:id="36" w:name="_Toc237533424"/>
      <w:r>
        <w:t>Long-Term Orientation</w:t>
      </w:r>
      <w:bookmarkEnd w:id="35"/>
      <w:bookmarkEnd w:id="36"/>
    </w:p>
    <w:p w14:paraId="04A11556">
      <w:pPr>
        <w:spacing w:after="200" w:line="276" w:lineRule="auto"/>
        <w:jc w:val="both"/>
      </w:pPr>
      <w:r>
        <w:t>The gap here is the largest of all six dimensions: Germany scores 83, a strongly pragmatic, long-term-oriented culture, against just 26 for the United States, which is comparatively short-term and normative. This lines up closely with what Adidas actually does in each market — a slow-building heritage narrative in Germany versus a marketing calendar in the US built around quarter-by-quarter hype cycles and the next big drop.</w:t>
      </w:r>
    </w:p>
    <w:p w14:paraId="32BC41D6">
      <w:pPr>
        <w:pStyle w:val="4"/>
        <w:spacing w:before="200" w:after="120"/>
      </w:pPr>
      <w:bookmarkStart w:id="37" w:name="_Toc236638059"/>
      <w:bookmarkStart w:id="38" w:name="_Toc237533425"/>
      <w:r>
        <w:t>Indulgence</w:t>
      </w:r>
      <w:bookmarkEnd w:id="37"/>
      <w:bookmarkEnd w:id="38"/>
    </w:p>
    <w:p w14:paraId="7B366E0E">
      <w:pPr>
        <w:spacing w:after="200" w:line="276" w:lineRule="auto"/>
        <w:jc w:val="both"/>
      </w:pPr>
      <w:r>
        <w:t>Germany scores 40, a relatively restrained culture, while the United States scores 68, a clearly indulgent one. This helps explain why "you deserve this", gratification-driven messaging and expressive, self-rewarding sneaker culture resonate more naturally in the US, whereas German advertising tends to keep a more measured, quality-first tone even when selling the same product.</w:t>
      </w:r>
    </w:p>
    <w:p w14:paraId="7228FB94">
      <w:pPr>
        <w:pStyle w:val="4"/>
        <w:spacing w:before="200" w:after="120"/>
      </w:pPr>
      <w:bookmarkStart w:id="39" w:name="_Toc236638060"/>
      <w:bookmarkStart w:id="40" w:name="_Toc237533426"/>
      <w:r>
        <w:t>Advantages of the Hofstede Model</w:t>
      </w:r>
      <w:bookmarkEnd w:id="39"/>
      <w:bookmarkEnd w:id="40"/>
    </w:p>
    <w:p w14:paraId="29485D92">
      <w:pPr>
        <w:pStyle w:val="22"/>
        <w:numPr>
          <w:ilvl w:val="0"/>
          <w:numId w:val="1"/>
        </w:numPr>
        <w:spacing w:after="120" w:line="276" w:lineRule="auto"/>
      </w:pPr>
      <w:r>
        <w:t>It gives a standardised, numerical basis for comparing two very different cultures, which makes it easy to justify why Adidas's German and American campaigns should not simply be copy-pasted versions of each other.</w:t>
      </w:r>
    </w:p>
    <w:p w14:paraId="583A66CE">
      <w:pPr>
        <w:pStyle w:val="22"/>
        <w:numPr>
          <w:ilvl w:val="0"/>
          <w:numId w:val="1"/>
        </w:numPr>
        <w:spacing w:after="120" w:line="276" w:lineRule="auto"/>
      </w:pPr>
      <w:r>
        <w:t>It turns fairly abstract cultural differences into something Adidas's marketing team can actually act on, such as leaning into proof and heritage in Germany versus hype and self-expression in the US.</w:t>
      </w:r>
    </w:p>
    <w:p w14:paraId="5386D296">
      <w:pPr>
        <w:pStyle w:val="22"/>
        <w:numPr>
          <w:ilvl w:val="0"/>
          <w:numId w:val="1"/>
        </w:numPr>
        <w:spacing w:after="120" w:line="276" w:lineRule="auto"/>
      </w:pPr>
      <w:r>
        <w:t>It is good at showing the size of the gap between a home market and a host market, which helps explain in advance why a strategy that works domestically might not transfer directly.</w:t>
      </w:r>
    </w:p>
    <w:p w14:paraId="7649B7F4">
      <w:pPr>
        <w:pStyle w:val="4"/>
        <w:spacing w:before="200" w:after="120"/>
      </w:pPr>
      <w:bookmarkStart w:id="41" w:name="_Toc236638061"/>
      <w:bookmarkStart w:id="42" w:name="_Toc237533427"/>
      <w:r>
        <w:t>Disadvantages of the Hofstede Model</w:t>
      </w:r>
      <w:bookmarkEnd w:id="41"/>
      <w:bookmarkEnd w:id="42"/>
    </w:p>
    <w:p w14:paraId="05230853"/>
    <w:p w14:paraId="2F104B0B">
      <w:pPr>
        <w:pStyle w:val="22"/>
        <w:numPr>
          <w:ilvl w:val="0"/>
          <w:numId w:val="1"/>
        </w:numPr>
        <w:spacing w:after="120" w:line="276" w:lineRule="auto"/>
      </w:pPr>
      <w:r>
        <w:t>The scores describe a national average, not individuals, so they risk stereotyping — a German sneaker collector in Berlin may behave far more like an "indulgent" American consumer than the national score suggests.</w:t>
      </w:r>
    </w:p>
    <w:p w14:paraId="1F1BB971">
      <w:pPr>
        <w:pStyle w:val="22"/>
        <w:numPr>
          <w:ilvl w:val="0"/>
          <w:numId w:val="1"/>
        </w:numPr>
        <w:spacing w:after="120" w:line="276" w:lineRule="auto"/>
      </w:pPr>
      <w:r>
        <w:t>Some of the underlying data is decades old, and youth culture in particular, largely shaped now by global social media rather than national upbringing, can shift faster than the model is able to capture.</w:t>
      </w:r>
    </w:p>
    <w:p w14:paraId="05A5F2BB">
      <w:pPr>
        <w:pStyle w:val="22"/>
        <w:numPr>
          <w:ilvl w:val="0"/>
          <w:numId w:val="1"/>
        </w:numPr>
        <w:spacing w:after="120" w:line="276" w:lineRule="auto"/>
      </w:pPr>
      <w:r>
        <w:t>The model only measures national culture and says nothing about regional, generational or subcultural differences, so it cannot on its own explain why, for example, sneaker culture in a US coastal city looks so different from a small Midwestern town.</w:t>
      </w:r>
    </w:p>
    <w:p w14:paraId="115FCA1E">
      <w:pPr>
        <w:spacing w:after="200" w:line="276" w:lineRule="auto"/>
        <w:jc w:val="both"/>
      </w:pPr>
    </w:p>
    <w:p w14:paraId="2D73ED77">
      <w:pPr>
        <w:pStyle w:val="2"/>
        <w:spacing w:before="400" w:after="200"/>
      </w:pPr>
      <w:bookmarkStart w:id="43" w:name="_Toc236638066"/>
      <w:bookmarkStart w:id="44" w:name="_Toc237533428"/>
      <w:r>
        <w:t>5. STP</w:t>
      </w:r>
      <w:bookmarkEnd w:id="43"/>
      <w:bookmarkEnd w:id="44"/>
    </w:p>
    <w:p w14:paraId="5369B796">
      <w:pPr>
        <w:pStyle w:val="3"/>
        <w:spacing w:before="300" w:after="150"/>
      </w:pPr>
      <w:bookmarkStart w:id="45" w:name="_Toc237533429"/>
      <w:bookmarkStart w:id="46" w:name="_Toc236638067"/>
      <w:r>
        <w:t>5.1 Segmentation</w:t>
      </w:r>
      <w:bookmarkEnd w:id="45"/>
      <w:bookmarkEnd w:id="46"/>
    </w:p>
    <w:p w14:paraId="19B4C8AA">
      <w:pPr>
        <w:spacing w:after="200" w:line="276" w:lineRule="auto"/>
        <w:jc w:val="both"/>
      </w:pPr>
      <w:r>
        <w:t>Adidas segments its market using a mix of demographic, geographic, psychographic and VALS-based criteria, but the weighting of these differs between Germany and the United States (Business Strategy Hub, 2025; PortersFiveForce, 2025).</w:t>
      </w:r>
    </w:p>
    <w:p w14:paraId="4782ED10">
      <w:pPr>
        <w:pStyle w:val="4"/>
        <w:spacing w:before="200" w:after="120"/>
      </w:pPr>
      <w:bookmarkStart w:id="47" w:name="_Toc237533430"/>
      <w:bookmarkStart w:id="48" w:name="_Toc236638068"/>
      <w:r>
        <w:t>5.1.1 Demographic Segmentation</w:t>
      </w:r>
      <w:bookmarkEnd w:id="47"/>
      <w:bookmarkEnd w:id="48"/>
    </w:p>
    <w:p w14:paraId="04CD4759">
      <w:pPr>
        <w:spacing w:after="200" w:line="276" w:lineRule="auto"/>
        <w:jc w:val="both"/>
      </w:pPr>
      <w:r>
        <w:t>In Germany, Adidas's core demographic is broad but skews towards a mainstream age range of roughly 16 to 45, spanning both dedicated football players and general sports fans across income levels, reflecting how embedded football is in everyday German life rather than being a niche interest. In the United States, the demographic centre of gravity is younger, roughly 15 to 35, with particular strategic emphasis on basketball, running and lifestyle categories, and a deliberate push into the women's segment, which grew to close to 30% of overall sales following a run of targeted training and lifestyle launches (MatrixBCG, 2026b).</w:t>
      </w:r>
    </w:p>
    <w:p w14:paraId="5236CE37">
      <w:pPr>
        <w:pStyle w:val="4"/>
        <w:spacing w:before="200" w:after="120"/>
      </w:pPr>
      <w:bookmarkStart w:id="49" w:name="_Toc236638069"/>
      <w:bookmarkStart w:id="50" w:name="_Toc237533431"/>
      <w:r>
        <w:t>5.1.2 Geographic Segmentation</w:t>
      </w:r>
      <w:bookmarkEnd w:id="49"/>
      <w:bookmarkEnd w:id="50"/>
    </w:p>
    <w:p w14:paraId="1B91E641">
      <w:pPr>
        <w:spacing w:after="200" w:line="276" w:lineRule="auto"/>
        <w:jc w:val="both"/>
      </w:pPr>
      <w:r>
        <w:t>Geographically, Adidas's German strategy is concentrated around football heartlands and major Bundesliga cities such as Munich, Berlin, Dortmund and Cologne, supported by a dense network of specialist sports retailers and heritage-linked flagship stores. In the United States, the geographic picture is more dispersed: cultural trends tend to originate in coastal hype cities such as New York and Los Angeles, but Adidas's actual sales reach is much wider, spread across the country through large wholesale partners such as Foot Locker and JD Sports rather than concentrated in a handful of flagship locations (MatrixBCG, 2026a).</w:t>
      </w:r>
    </w:p>
    <w:p w14:paraId="473B1006">
      <w:pPr>
        <w:pStyle w:val="4"/>
        <w:spacing w:before="200" w:after="120"/>
      </w:pPr>
      <w:bookmarkStart w:id="51" w:name="_Toc237533432"/>
      <w:bookmarkStart w:id="52" w:name="_Toc236638070"/>
      <w:r>
        <w:t>5.1.3 Psychographic Segmentation</w:t>
      </w:r>
      <w:bookmarkEnd w:id="51"/>
      <w:bookmarkEnd w:id="52"/>
    </w:p>
    <w:p w14:paraId="3FE289CD">
      <w:pPr>
        <w:spacing w:after="200" w:line="276" w:lineRule="auto"/>
        <w:jc w:val="both"/>
      </w:pPr>
      <w:r>
        <w:t>Beyond demographics and geography, Adidas also segments psychographically, around lifestyle, attitudes and self-image rather than simply who someone is or where they live. In Germany, the core psychographic segment is best described as the committed performer: someone who takes sport seriously, whether as a competitive footballer or a dedicated amateur runner, and who buys into Adidas's engineering credibility as part of their own self-image. In the United States, the dominant psychographic segment is closer to the cultural participant: someone whose interest in Adidas product is at least as much about identity, status and self-expression as it is about the underlying sport, which helps explain why lifestyle silhouettes such as the Samba and Gazelle have outperformed pure performance product there in recent years.</w:t>
      </w:r>
    </w:p>
    <w:p w14:paraId="70CD4C38">
      <w:pPr>
        <w:pStyle w:val="4"/>
        <w:spacing w:before="200" w:after="120"/>
      </w:pPr>
      <w:bookmarkStart w:id="53" w:name="_Toc237533433"/>
      <w:bookmarkStart w:id="54" w:name="_Toc236638071"/>
      <w:r>
        <w:t>5.1.4 VALS Segmentation</w:t>
      </w:r>
      <w:bookmarkEnd w:id="53"/>
      <w:bookmarkEnd w:id="54"/>
    </w:p>
    <w:p w14:paraId="0EF1FCE1">
      <w:pPr>
        <w:spacing w:after="200" w:line="276" w:lineRule="auto"/>
        <w:jc w:val="both"/>
      </w:pPr>
      <w:r>
        <w:t>Using the VALS (Values, Attitudes and Lifestyles) framework, Adidas's core buyers map most closely onto two categories: Achievers and Experiencers. Achievers are career- and goal-oriented consumers who use recognisable, quality-branded products to signal competence and success; this group is relevant to Adidas's performance and training lines in both countries, but especially to the mainstream, image-conscious German buyer described above. Experiencers are younger, more impulsive and trend-led consumers who spend disproportionately on fashion, entertainment and self-expression; this more accurately describes Adidas's core US streetwear and sneaker-culture buyer, who is drawn to novelty, limited drops and cultural relevance over technical specification. Adidas is relevant to both groups because it can credibly serve the practical, proof-driven Achiever through performance product and the expressive, novelty-seeking Experiencer through lifestyle product, without either segment feeling like an afterthought.</w:t>
      </w:r>
    </w:p>
    <w:p w14:paraId="747EF2DE">
      <w:pPr>
        <w:pStyle w:val="3"/>
        <w:spacing w:before="300" w:after="150"/>
      </w:pPr>
      <w:bookmarkStart w:id="55" w:name="_Toc236638072"/>
      <w:bookmarkStart w:id="56" w:name="_Toc237533434"/>
      <w:r>
        <w:t>5.2 Targeting</w:t>
      </w:r>
      <w:bookmarkEnd w:id="55"/>
      <w:bookmarkEnd w:id="56"/>
    </w:p>
    <w:p w14:paraId="45381227">
      <w:pPr>
        <w:spacing w:after="200" w:line="276" w:lineRule="auto"/>
        <w:jc w:val="both"/>
      </w:pPr>
      <w:r>
        <w:t>In Germany, Adidas's target market remains the performance-athlete and football-fan segment, reflecting both the brand's own heritage and the cultural weight of the sport domestically; this group values technical credibility and long-term product reliability, consistent with Germany's high uncertainty-avoidance culture. In the United States, the target market is younger and more culturally engaged, centred on basketball, running and lifestyle/Originals buyers, with growing strategic weight given to the women's segment. Rather than targeting everyone the same way, Adidas effectively runs two different target strategies side by side: a fairly broad, mainstream target in Germany built around one dominant cultural interest, and a narrower, trend-led target in the US built around several overlapping youth subcultures.</w:t>
      </w:r>
    </w:p>
    <w:p w14:paraId="131D4467">
      <w:pPr>
        <w:pStyle w:val="3"/>
        <w:spacing w:before="300" w:after="150"/>
      </w:pPr>
      <w:bookmarkStart w:id="57" w:name="_Toc236638073"/>
      <w:bookmarkStart w:id="58" w:name="_Toc237533435"/>
      <w:r>
        <w:t>5.3 Positioning</w:t>
      </w:r>
      <w:bookmarkEnd w:id="57"/>
      <w:bookmarkEnd w:id="58"/>
    </w:p>
    <w:p w14:paraId="64D5DBE9">
      <w:pPr>
        <w:spacing w:after="200" w:line="276" w:lineRule="auto"/>
        <w:jc w:val="both"/>
      </w:pPr>
      <w:r>
        <w:t>In Germany, Adidas is positioned as the credible, engineering-led choice for serious footballers and sports fans, built on authenticity and technical trust. In the United States, Adidas is positioned as a lifestyle and streetwear authority that competes with Nike as much on cultural credibility as on athletic performance, historically leaning on high-profile collaborations, including the now-terminated Yeezy partnership. Both positions sit under the same global purpose-led idea that sport has the power to change lives, expressed most recently through the 2025 "You Got This" campaign fronted by athletes including Mohamed Salah (Business Strategy Hub, 2025).</w:t>
      </w:r>
    </w:p>
    <w:p w14:paraId="7B627832">
      <w:pPr>
        <w:pStyle w:val="4"/>
        <w:spacing w:before="200" w:after="120"/>
      </w:pPr>
      <w:bookmarkStart w:id="59" w:name="_Toc237533436"/>
      <w:bookmarkStart w:id="60" w:name="_Toc236638074"/>
      <w:r>
        <w:t>5.3.1 Positioning Perception</w:t>
      </w:r>
      <w:bookmarkEnd w:id="59"/>
      <w:bookmarkEnd w:id="60"/>
    </w:p>
    <w:p w14:paraId="0BAA0E5A">
      <w:pPr>
        <w:spacing w:after="200" w:line="276" w:lineRule="auto"/>
        <w:jc w:val="both"/>
      </w:pPr>
      <w:r>
        <w:t>How consumers actually perceive Adidas relative to its rivals differs quite a bit by market. In Germany, Adidas is generally perceived as the more "authentic" and technically credible of the two major sportswear brands, with Nike seen as the flashier, more American challenger; this perception works in Adidas's favour precisely because German consumers place a premium on proof and heritage. In the United States, the perception gap is narrower and harder-fought: Adidas is seen as culturally relevant and design-forward, but it competes head-on with Nike for cultural credibility and now also has to defend that space against newer, fast-growing entrants such as On and Hoka, who are increasingly perceived as the more "authentic" choice among performance-running consumers specifically. The map below plots Adidas and its main rivals along two axes commonly used in sportswear positioning: technical/performance credibility versus lifestyle/self-expression, and heritage versus trend-led relevance. It is a conceptual map built from the qualitative evidence discussed throughout this report rather than a formal survey-based study, but it illustrates the point clearly: Adidas Germany sits in the heritage/technical quadrant, while Adidas US sits closer to the lifestyle quadrant, nearer to Nike than to the more purely technical challengers On and Hoka.</w:t>
      </w:r>
    </w:p>
    <w:p w14:paraId="15F553A9">
      <w:pPr>
        <w:spacing w:before="200" w:after="100"/>
        <w:jc w:val="center"/>
      </w:pPr>
      <w:r>
        <w:drawing>
          <wp:inline distT="0" distB="0" distL="0" distR="0">
            <wp:extent cx="3619500" cy="3619500"/>
            <wp:effectExtent l="0" t="0" r="0" b="0"/>
            <wp:docPr id="383213442" name="Picture 383213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3442" name="Picture 383213442"/>
                    <pic:cNvPicPr>
                      <a:picLocks noChangeAspect="1" noChangeArrowheads="1"/>
                    </pic:cNvPicPr>
                  </pic:nvPicPr>
                  <pic:blipFill>
                    <a:blip r:embed="rId10"/>
                    <a:srcRect/>
                    <a:stretch>
                      <a:fillRect/>
                    </a:stretch>
                  </pic:blipFill>
                  <pic:spPr>
                    <a:xfrm>
                      <a:off x="0" y="0"/>
                      <a:ext cx="3619500" cy="3619500"/>
                    </a:xfrm>
                    <a:prstGeom prst="rect">
                      <a:avLst/>
                    </a:prstGeom>
                  </pic:spPr>
                </pic:pic>
              </a:graphicData>
            </a:graphic>
          </wp:inline>
        </w:drawing>
      </w:r>
    </w:p>
    <w:p w14:paraId="7F974060">
      <w:pPr>
        <w:spacing w:after="300"/>
        <w:jc w:val="center"/>
      </w:pPr>
      <w:r>
        <w:rPr>
          <w:i/>
          <w:iCs/>
          <w:color w:val="555555"/>
          <w:sz w:val="18"/>
          <w:szCs w:val="18"/>
        </w:rPr>
        <w:t>Figure 3: Conceptual perceptual map of Adidas and key competitors (own analysis).</w:t>
      </w:r>
    </w:p>
    <w:p w14:paraId="688D95BD">
      <w:pPr>
        <w:pStyle w:val="4"/>
        <w:spacing w:before="200" w:after="120"/>
      </w:pPr>
      <w:bookmarkStart w:id="61" w:name="_Toc237533437"/>
      <w:bookmarkStart w:id="62" w:name="_Toc236638075"/>
      <w:r>
        <w:t>5.3.2 Positioning Variables</w:t>
      </w:r>
      <w:bookmarkEnd w:id="61"/>
      <w:bookmarkEnd w:id="62"/>
    </w:p>
    <w:p w14:paraId="1AB65F09">
      <w:pPr>
        <w:spacing w:after="200" w:line="276" w:lineRule="auto"/>
        <w:jc w:val="both"/>
      </w:pPr>
      <w:r>
        <w:t>Adidas leans on different positioning variables in each market. In Germany, the dominant variable is benefit positioning, built around the functional and technical benefits of performance and reliability. In the United States, the dominant variable is closer to user positioning, built around the identity and lifestyle of the person buying the product, that is, someone plugged into streetwear and sneaker culture, rather than the technical specification of the shoe itself. Put simply, the German pitch is largely "this product performs", while the American pitch is largely "this product says something about who you are".</w:t>
      </w:r>
    </w:p>
    <w:p w14:paraId="61689AE8">
      <w:pPr>
        <w:pStyle w:val="4"/>
        <w:spacing w:before="200" w:after="120"/>
      </w:pPr>
      <w:bookmarkStart w:id="63" w:name="_Toc236638076"/>
      <w:bookmarkStart w:id="64" w:name="_Toc237533438"/>
      <w:r>
        <w:t>5.3.3 Similarities and Differences in STP</w:t>
      </w:r>
      <w:bookmarkEnd w:id="63"/>
      <w:bookmarkEnd w:id="64"/>
    </w:p>
    <w:p w14:paraId="2C8A0E8D">
      <w:pPr>
        <w:spacing w:after="200" w:line="276" w:lineRule="auto"/>
        <w:jc w:val="both"/>
      </w:pPr>
      <w:r>
        <w:t xml:space="preserve">Standing back, Adidas's STP approach in Germany and the United States shares a common skeleton — the same segmentation criteria, the same overarching brand purpose, and the same two VALS groups being served — but the emphasis within that skeleton is close to inverted. Germany's STP leans on the Achiever/performance side of the business: a broad, mainstream target unified by one dominant national sport, positioned on technical benefit. The United States leans on the Experiencer/lifestyle side: a narrower, trend-driven target spread across several youth subcultures, positioned on user identity. The similarity that matters most is that both strategies are internally coherent — the segmentation, targeting and positioning choices reinforce each other within each country — even though the two countries would look almost like different </w:t>
      </w:r>
    </w:p>
    <w:p w14:paraId="7BB523CE">
      <w:pPr>
        <w:pStyle w:val="2"/>
        <w:spacing w:before="400" w:after="200"/>
      </w:pPr>
      <w:bookmarkStart w:id="65" w:name="_Toc237533439"/>
      <w:r>
        <w:t>5.4 The 7Ps Marketing Mix</w:t>
      </w:r>
      <w:bookmarkEnd w:id="65"/>
    </w:p>
    <w:p w14:paraId="475CF08B">
      <w:r>
        <w:t>Marketing mix definition: The marketing mix is the set of controllable marketing decisions a firm combines to influence customer demand and deliver its value proposition. The traditional 4Ps are Product, Price, Place and Promotion; the extended 7Ps add People, Process and Physical Evidence, which are particularly relevant to service delivery and customer experience (Kotler and Armstrong, 2021).</w:t>
      </w:r>
    </w:p>
    <w:p w14:paraId="5384DC9C">
      <w:pPr>
        <w:jc w:val="center"/>
      </w:pPr>
      <w:r>
        <w:drawing>
          <wp:inline distT="0" distB="0" distL="0" distR="0">
            <wp:extent cx="5760720" cy="3420110"/>
            <wp:effectExtent l="0" t="0" r="0" b="0"/>
            <wp:docPr id="1998842618" name="Picture 1998842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42618" name="Picture 1998842618"/>
                    <pic:cNvPicPr>
                      <a:picLocks noChangeAspect="1"/>
                    </pic:cNvPicPr>
                  </pic:nvPicPr>
                  <pic:blipFill>
                    <a:blip r:embed="rId11"/>
                    <a:stretch>
                      <a:fillRect/>
                    </a:stretch>
                  </pic:blipFill>
                  <pic:spPr>
                    <a:xfrm>
                      <a:off x="0" y="0"/>
                      <a:ext cx="5760720" cy="3420427"/>
                    </a:xfrm>
                    <a:prstGeom prst="rect">
                      <a:avLst/>
                    </a:prstGeom>
                  </pic:spPr>
                </pic:pic>
              </a:graphicData>
            </a:graphic>
          </wp:inline>
        </w:drawing>
      </w:r>
    </w:p>
    <w:p w14:paraId="2B103DE4">
      <w:r>
        <w:t>Figure 7: The 7Ps marketing mix applied to Adidas (own analysis, based on Kotler and Armstrong, 2021).</w:t>
      </w:r>
    </w:p>
    <w:p w14:paraId="292318EA">
      <w:pPr>
        <w:pStyle w:val="4"/>
        <w:spacing w:before="200" w:after="120"/>
      </w:pPr>
      <w:bookmarkStart w:id="66" w:name="_Toc236638078"/>
      <w:bookmarkStart w:id="67" w:name="_Toc237533440"/>
      <w:r>
        <w:t>5.4.1 Product</w:t>
      </w:r>
      <w:bookmarkEnd w:id="66"/>
      <w:bookmarkEnd w:id="67"/>
    </w:p>
    <w:p w14:paraId="427F8E9E">
      <w:pPr>
        <w:spacing w:after="200" w:line="276" w:lineRule="auto"/>
        <w:jc w:val="both"/>
      </w:pPr>
      <w:r>
        <w:t>Two concepts are useful for understanding Adidas's product strategy. Product width refers to the number of different product lines or categories a company offers; Adidas has considerable width, selling not just footwear but apparel, and equipment and accessories such as footballs, bags and training gear. Product depth refers to the number of variants available within any one of those lines; Adidas has considerable depth too, with its running footwear line alone spanning multiple technologies and price points, from entry-level trainers to the premium, marathon-record-holding Adizero Prime X Evo. The diagram below sets out this structure schematically.</w:t>
      </w:r>
    </w:p>
    <w:p w14:paraId="328F136C">
      <w:pPr>
        <w:spacing w:before="200" w:after="100"/>
        <w:jc w:val="center"/>
      </w:pPr>
      <w:r>
        <w:drawing>
          <wp:inline distT="0" distB="0" distL="0" distR="0">
            <wp:extent cx="4572000" cy="2647950"/>
            <wp:effectExtent l="0" t="0" r="0" b="0"/>
            <wp:docPr id="1482895042" name="Picture 14828950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95042" name="Picture 1482895042"/>
                    <pic:cNvPicPr>
                      <a:picLocks noChangeAspect="1" noChangeArrowheads="1"/>
                    </pic:cNvPicPr>
                  </pic:nvPicPr>
                  <pic:blipFill>
                    <a:blip r:embed="rId12"/>
                    <a:srcRect/>
                    <a:stretch>
                      <a:fillRect/>
                    </a:stretch>
                  </pic:blipFill>
                  <pic:spPr>
                    <a:xfrm>
                      <a:off x="0" y="0"/>
                      <a:ext cx="4572000" cy="2647950"/>
                    </a:xfrm>
                    <a:prstGeom prst="rect">
                      <a:avLst/>
                    </a:prstGeom>
                  </pic:spPr>
                </pic:pic>
              </a:graphicData>
            </a:graphic>
          </wp:inline>
        </w:drawing>
      </w:r>
    </w:p>
    <w:p w14:paraId="35E8EFC6">
      <w:pPr>
        <w:spacing w:after="300"/>
        <w:jc w:val="center"/>
      </w:pPr>
      <w:r>
        <w:rPr>
          <w:i/>
          <w:iCs/>
          <w:color w:val="555555"/>
          <w:sz w:val="18"/>
          <w:szCs w:val="18"/>
        </w:rPr>
        <w:t>Figure 4: Adidas product width and depth, illustrative examples (own analysis).</w:t>
      </w:r>
    </w:p>
    <w:p w14:paraId="44435B17">
      <w:pPr>
        <w:jc w:val="center"/>
      </w:pPr>
      <w:r>
        <w:drawing>
          <wp:inline distT="0" distB="0" distL="0" distR="0">
            <wp:extent cx="5852160" cy="3413760"/>
            <wp:effectExtent l="0" t="0" r="0" b="0"/>
            <wp:docPr id="1998842619" name="Picture 19988426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42619" name="Picture 1998842619"/>
                    <pic:cNvPicPr>
                      <a:picLocks noChangeAspect="1"/>
                    </pic:cNvPicPr>
                  </pic:nvPicPr>
                  <pic:blipFill>
                    <a:blip r:embed="rId13"/>
                    <a:stretch>
                      <a:fillRect/>
                    </a:stretch>
                  </pic:blipFill>
                  <pic:spPr>
                    <a:xfrm>
                      <a:off x="0" y="0"/>
                      <a:ext cx="5852160" cy="3413760"/>
                    </a:xfrm>
                    <a:prstGeom prst="rect">
                      <a:avLst/>
                    </a:prstGeom>
                  </pic:spPr>
                </pic:pic>
              </a:graphicData>
            </a:graphic>
          </wp:inline>
        </w:drawing>
      </w:r>
    </w:p>
    <w:p w14:paraId="670A6B3A">
      <w:r>
        <w:t>Figure 8: Representative Adidas footwear examples in Germany and the United States (visual reconstruction based on adidas.de and adidas.com/us, accessed 11 August 2026).</w:t>
      </w:r>
    </w:p>
    <w:p w14:paraId="15C0832A">
      <w:r>
        <w:t>Table 4: Examples of Adidas footwear variety in Germany and the United States (adidas, 2026a; adidas, 2026b).</w:t>
      </w:r>
    </w:p>
    <w:tbl>
      <w:tblPr>
        <w:tblStyle w:val="9"/>
        <w:tblW w:w="0" w:type="auto"/>
        <w:jc w:val="center"/>
        <w:tblLayout w:type="autofit"/>
        <w:tblCellMar>
          <w:top w:w="0" w:type="dxa"/>
          <w:left w:w="108" w:type="dxa"/>
          <w:bottom w:w="0" w:type="dxa"/>
          <w:right w:w="108" w:type="dxa"/>
        </w:tblCellMar>
      </w:tblPr>
      <w:tblGrid>
        <w:gridCol w:w="2340"/>
        <w:gridCol w:w="2340"/>
        <w:gridCol w:w="2340"/>
        <w:gridCol w:w="2340"/>
      </w:tblGrid>
      <w:tr w14:paraId="4241312F">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157495BD">
            <w:pPr>
              <w:spacing w:before="40" w:after="40"/>
            </w:pPr>
            <w:r>
              <w:rPr>
                <w:b/>
                <w:sz w:val="19"/>
              </w:rPr>
              <w:t>Category</w:t>
            </w:r>
          </w:p>
        </w:tc>
        <w:tc>
          <w:tcPr>
            <w:tcW w:w="2340" w:type="dxa"/>
            <w:tcBorders>
              <w:top w:val="single" w:color="auto" w:sz="4" w:space="0"/>
              <w:left w:val="single" w:color="auto" w:sz="4" w:space="0"/>
              <w:bottom w:val="single" w:color="auto" w:sz="4" w:space="0"/>
              <w:right w:val="single" w:color="auto" w:sz="4" w:space="0"/>
            </w:tcBorders>
            <w:vAlign w:val="center"/>
          </w:tcPr>
          <w:p w14:paraId="34A11EF8">
            <w:pPr>
              <w:spacing w:before="40" w:after="40"/>
            </w:pPr>
            <w:r>
              <w:rPr>
                <w:b/>
                <w:sz w:val="19"/>
              </w:rPr>
              <w:t>Germany examples</w:t>
            </w:r>
          </w:p>
        </w:tc>
        <w:tc>
          <w:tcPr>
            <w:tcW w:w="2340" w:type="dxa"/>
            <w:tcBorders>
              <w:top w:val="single" w:color="auto" w:sz="4" w:space="0"/>
              <w:left w:val="single" w:color="auto" w:sz="4" w:space="0"/>
              <w:bottom w:val="single" w:color="auto" w:sz="4" w:space="0"/>
              <w:right w:val="single" w:color="auto" w:sz="4" w:space="0"/>
            </w:tcBorders>
            <w:vAlign w:val="center"/>
          </w:tcPr>
          <w:p w14:paraId="242DE97C">
            <w:pPr>
              <w:spacing w:before="40" w:after="40"/>
            </w:pPr>
            <w:r>
              <w:rPr>
                <w:b/>
                <w:sz w:val="19"/>
              </w:rPr>
              <w:t>United States examples</w:t>
            </w:r>
          </w:p>
        </w:tc>
        <w:tc>
          <w:tcPr>
            <w:tcW w:w="2340" w:type="dxa"/>
            <w:tcBorders>
              <w:left w:val="single" w:color="auto" w:sz="4" w:space="0"/>
            </w:tcBorders>
            <w:vAlign w:val="center"/>
          </w:tcPr>
          <w:p w14:paraId="10630846">
            <w:pPr>
              <w:spacing w:before="40" w:after="40"/>
            </w:pPr>
            <w:r>
              <w:rPr>
                <w:b/>
                <w:sz w:val="19"/>
              </w:rPr>
              <w:t>Country-level implication</w:t>
            </w:r>
          </w:p>
        </w:tc>
      </w:tr>
      <w:tr w14:paraId="79071178">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5A08A40D">
            <w:pPr>
              <w:spacing w:before="40" w:after="40"/>
            </w:pPr>
            <w:r>
              <w:rPr>
                <w:sz w:val="19"/>
              </w:rPr>
              <w:t>Lifestyle / Originals</w:t>
            </w:r>
          </w:p>
        </w:tc>
        <w:tc>
          <w:tcPr>
            <w:tcW w:w="2340" w:type="dxa"/>
            <w:tcBorders>
              <w:top w:val="single" w:color="auto" w:sz="4" w:space="0"/>
              <w:left w:val="single" w:color="auto" w:sz="4" w:space="0"/>
              <w:bottom w:val="single" w:color="auto" w:sz="4" w:space="0"/>
              <w:right w:val="single" w:color="auto" w:sz="4" w:space="0"/>
            </w:tcBorders>
            <w:vAlign w:val="center"/>
          </w:tcPr>
          <w:p w14:paraId="188A679C">
            <w:pPr>
              <w:spacing w:before="40" w:after="40"/>
            </w:pPr>
            <w:r>
              <w:rPr>
                <w:sz w:val="19"/>
              </w:rPr>
              <w:t>Samba OG, Handball Spezial, Gazelle, Campus</w:t>
            </w:r>
          </w:p>
        </w:tc>
        <w:tc>
          <w:tcPr>
            <w:tcW w:w="2340" w:type="dxa"/>
            <w:tcBorders>
              <w:top w:val="single" w:color="auto" w:sz="4" w:space="0"/>
              <w:left w:val="single" w:color="auto" w:sz="4" w:space="0"/>
              <w:bottom w:val="single" w:color="auto" w:sz="4" w:space="0"/>
              <w:right w:val="single" w:color="auto" w:sz="4" w:space="0"/>
            </w:tcBorders>
            <w:vAlign w:val="center"/>
          </w:tcPr>
          <w:p w14:paraId="10B579D5">
            <w:pPr>
              <w:spacing w:before="40" w:after="40"/>
            </w:pPr>
            <w:r>
              <w:rPr>
                <w:sz w:val="19"/>
              </w:rPr>
              <w:t>Samba, Gazelle, Superstar, Campus</w:t>
            </w:r>
          </w:p>
        </w:tc>
        <w:tc>
          <w:tcPr>
            <w:tcW w:w="2340" w:type="dxa"/>
            <w:tcBorders>
              <w:left w:val="single" w:color="auto" w:sz="4" w:space="0"/>
            </w:tcBorders>
            <w:vAlign w:val="center"/>
          </w:tcPr>
          <w:p w14:paraId="1D0F8FA9">
            <w:pPr>
              <w:spacing w:before="40" w:after="40"/>
            </w:pPr>
            <w:r>
              <w:rPr>
                <w:sz w:val="19"/>
              </w:rPr>
              <w:t>Both markets carry major Originals lines; US positioning can lean more heavily into lifestyle and self-expression.</w:t>
            </w:r>
          </w:p>
        </w:tc>
      </w:tr>
      <w:tr w14:paraId="1603B030">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1F3628F3">
            <w:pPr>
              <w:spacing w:before="40" w:after="40"/>
            </w:pPr>
            <w:r>
              <w:rPr>
                <w:sz w:val="19"/>
              </w:rPr>
              <w:t>Football</w:t>
            </w:r>
          </w:p>
        </w:tc>
        <w:tc>
          <w:tcPr>
            <w:tcW w:w="2340" w:type="dxa"/>
            <w:tcBorders>
              <w:top w:val="single" w:color="auto" w:sz="4" w:space="0"/>
              <w:left w:val="single" w:color="auto" w:sz="4" w:space="0"/>
              <w:bottom w:val="single" w:color="auto" w:sz="4" w:space="0"/>
              <w:right w:val="single" w:color="auto" w:sz="4" w:space="0"/>
            </w:tcBorders>
            <w:vAlign w:val="center"/>
          </w:tcPr>
          <w:p w14:paraId="7BCDAB98">
            <w:pPr>
              <w:spacing w:before="40" w:after="40"/>
            </w:pPr>
            <w:r>
              <w:rPr>
                <w:sz w:val="19"/>
              </w:rPr>
              <w:t>F50, Predator, Copa</w:t>
            </w:r>
          </w:p>
        </w:tc>
        <w:tc>
          <w:tcPr>
            <w:tcW w:w="2340" w:type="dxa"/>
            <w:tcBorders>
              <w:top w:val="single" w:color="auto" w:sz="4" w:space="0"/>
              <w:left w:val="single" w:color="auto" w:sz="4" w:space="0"/>
              <w:bottom w:val="single" w:color="auto" w:sz="4" w:space="0"/>
              <w:right w:val="single" w:color="auto" w:sz="4" w:space="0"/>
            </w:tcBorders>
            <w:vAlign w:val="center"/>
          </w:tcPr>
          <w:p w14:paraId="1C3CE4B3">
            <w:pPr>
              <w:spacing w:before="40" w:after="40"/>
            </w:pPr>
            <w:r>
              <w:rPr>
                <w:sz w:val="19"/>
              </w:rPr>
              <w:t>F50, Predator and soccer footwear</w:t>
            </w:r>
          </w:p>
        </w:tc>
        <w:tc>
          <w:tcPr>
            <w:tcW w:w="2340" w:type="dxa"/>
            <w:tcBorders>
              <w:left w:val="single" w:color="auto" w:sz="4" w:space="0"/>
            </w:tcBorders>
            <w:vAlign w:val="center"/>
          </w:tcPr>
          <w:p w14:paraId="671E71E1">
            <w:pPr>
              <w:spacing w:before="40" w:after="40"/>
            </w:pPr>
            <w:r>
              <w:rPr>
                <w:sz w:val="19"/>
              </w:rPr>
              <w:t>Football is culturally stronger in Germany, while US football/soccer is one category within a broader sports portfolio.</w:t>
            </w:r>
          </w:p>
        </w:tc>
      </w:tr>
      <w:tr w14:paraId="39A1DF09">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268AE70C">
            <w:pPr>
              <w:spacing w:before="40" w:after="40"/>
            </w:pPr>
            <w:r>
              <w:rPr>
                <w:sz w:val="19"/>
              </w:rPr>
              <w:t>Running</w:t>
            </w:r>
          </w:p>
        </w:tc>
        <w:tc>
          <w:tcPr>
            <w:tcW w:w="2340" w:type="dxa"/>
            <w:tcBorders>
              <w:top w:val="single" w:color="auto" w:sz="4" w:space="0"/>
              <w:left w:val="single" w:color="auto" w:sz="4" w:space="0"/>
              <w:bottom w:val="single" w:color="auto" w:sz="4" w:space="0"/>
              <w:right w:val="single" w:color="auto" w:sz="4" w:space="0"/>
            </w:tcBorders>
            <w:vAlign w:val="center"/>
          </w:tcPr>
          <w:p w14:paraId="39CE8762">
            <w:pPr>
              <w:spacing w:before="40" w:after="40"/>
            </w:pPr>
            <w:r>
              <w:rPr>
                <w:sz w:val="19"/>
              </w:rPr>
              <w:t>Adizero EVO SL, Hyperboost, Supernova</w:t>
            </w:r>
          </w:p>
        </w:tc>
        <w:tc>
          <w:tcPr>
            <w:tcW w:w="2340" w:type="dxa"/>
            <w:tcBorders>
              <w:top w:val="single" w:color="auto" w:sz="4" w:space="0"/>
              <w:left w:val="single" w:color="auto" w:sz="4" w:space="0"/>
              <w:bottom w:val="single" w:color="auto" w:sz="4" w:space="0"/>
              <w:right w:val="single" w:color="auto" w:sz="4" w:space="0"/>
            </w:tcBorders>
            <w:vAlign w:val="center"/>
          </w:tcPr>
          <w:p w14:paraId="432C9424">
            <w:pPr>
              <w:spacing w:before="40" w:after="40"/>
            </w:pPr>
            <w:r>
              <w:rPr>
                <w:sz w:val="19"/>
              </w:rPr>
              <w:t>Adizero, Ultraboost and running ranges</w:t>
            </w:r>
          </w:p>
        </w:tc>
        <w:tc>
          <w:tcPr>
            <w:tcW w:w="2340" w:type="dxa"/>
            <w:tcBorders>
              <w:left w:val="single" w:color="auto" w:sz="4" w:space="0"/>
            </w:tcBorders>
            <w:vAlign w:val="center"/>
          </w:tcPr>
          <w:p w14:paraId="203C053E">
            <w:pPr>
              <w:spacing w:before="40" w:after="40"/>
            </w:pPr>
            <w:r>
              <w:rPr>
                <w:sz w:val="19"/>
              </w:rPr>
              <w:t>Running provides a performance-growth opportunity in both markets, with different communication emphasis.</w:t>
            </w:r>
          </w:p>
        </w:tc>
      </w:tr>
      <w:tr w14:paraId="43A885FC">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11F62900">
            <w:pPr>
              <w:spacing w:before="40" w:after="40"/>
            </w:pPr>
            <w:r>
              <w:rPr>
                <w:sz w:val="19"/>
              </w:rPr>
              <w:t>Outdoor / training</w:t>
            </w:r>
          </w:p>
        </w:tc>
        <w:tc>
          <w:tcPr>
            <w:tcW w:w="2340" w:type="dxa"/>
            <w:tcBorders>
              <w:top w:val="single" w:color="auto" w:sz="4" w:space="0"/>
              <w:left w:val="single" w:color="auto" w:sz="4" w:space="0"/>
              <w:bottom w:val="single" w:color="auto" w:sz="4" w:space="0"/>
              <w:right w:val="single" w:color="auto" w:sz="4" w:space="0"/>
            </w:tcBorders>
            <w:vAlign w:val="center"/>
          </w:tcPr>
          <w:p w14:paraId="2B8F987A">
            <w:pPr>
              <w:spacing w:before="40" w:after="40"/>
            </w:pPr>
            <w:r>
              <w:rPr>
                <w:sz w:val="19"/>
              </w:rPr>
              <w:t>Terrex, gym and training footwear</w:t>
            </w:r>
          </w:p>
        </w:tc>
        <w:tc>
          <w:tcPr>
            <w:tcW w:w="2340" w:type="dxa"/>
            <w:tcBorders>
              <w:top w:val="single" w:color="auto" w:sz="4" w:space="0"/>
              <w:left w:val="single" w:color="auto" w:sz="4" w:space="0"/>
              <w:bottom w:val="single" w:color="auto" w:sz="4" w:space="0"/>
              <w:right w:val="single" w:color="auto" w:sz="4" w:space="0"/>
            </w:tcBorders>
            <w:vAlign w:val="center"/>
          </w:tcPr>
          <w:p w14:paraId="3ED951FE">
            <w:pPr>
              <w:spacing w:before="40" w:after="40"/>
            </w:pPr>
            <w:r>
              <w:rPr>
                <w:sz w:val="19"/>
              </w:rPr>
              <w:t>Terrex, training and workout footwear</w:t>
            </w:r>
          </w:p>
        </w:tc>
        <w:tc>
          <w:tcPr>
            <w:tcW w:w="2340" w:type="dxa"/>
            <w:tcBorders>
              <w:left w:val="single" w:color="auto" w:sz="4" w:space="0"/>
            </w:tcBorders>
            <w:vAlign w:val="center"/>
          </w:tcPr>
          <w:p w14:paraId="322B56AA">
            <w:pPr>
              <w:spacing w:before="40" w:after="40"/>
            </w:pPr>
            <w:r>
              <w:rPr>
                <w:sz w:val="19"/>
              </w:rPr>
              <w:t>Outdoor and training broaden Adidas beyond football and lifestyle.</w:t>
            </w:r>
          </w:p>
        </w:tc>
      </w:tr>
      <w:tr w14:paraId="446A9927">
        <w:tblPrEx>
          <w:tblCellMar>
            <w:top w:w="0" w:type="dxa"/>
            <w:left w:w="108" w:type="dxa"/>
            <w:bottom w:w="0" w:type="dxa"/>
            <w:right w:w="108" w:type="dxa"/>
          </w:tblCellMar>
        </w:tblPrEx>
        <w:trPr>
          <w:jc w:val="center"/>
        </w:trPr>
        <w:tc>
          <w:tcPr>
            <w:tcW w:w="2340" w:type="dxa"/>
            <w:tcBorders>
              <w:top w:val="single" w:color="auto" w:sz="4" w:space="0"/>
              <w:left w:val="single" w:color="auto" w:sz="4" w:space="0"/>
              <w:bottom w:val="single" w:color="auto" w:sz="4" w:space="0"/>
              <w:right w:val="single" w:color="auto" w:sz="4" w:space="0"/>
            </w:tcBorders>
            <w:vAlign w:val="center"/>
          </w:tcPr>
          <w:p w14:paraId="3328E04D">
            <w:pPr>
              <w:spacing w:before="40" w:after="40"/>
            </w:pPr>
            <w:r>
              <w:rPr>
                <w:sz w:val="19"/>
              </w:rPr>
              <w:t>Slides / casual</w:t>
            </w:r>
          </w:p>
        </w:tc>
        <w:tc>
          <w:tcPr>
            <w:tcW w:w="2340" w:type="dxa"/>
            <w:tcBorders>
              <w:top w:val="single" w:color="auto" w:sz="4" w:space="0"/>
              <w:left w:val="single" w:color="auto" w:sz="4" w:space="0"/>
              <w:bottom w:val="single" w:color="auto" w:sz="4" w:space="0"/>
              <w:right w:val="single" w:color="auto" w:sz="4" w:space="0"/>
            </w:tcBorders>
            <w:vAlign w:val="center"/>
          </w:tcPr>
          <w:p w14:paraId="4231B5F3">
            <w:pPr>
              <w:spacing w:before="40" w:after="40"/>
            </w:pPr>
            <w:r>
              <w:rPr>
                <w:sz w:val="19"/>
              </w:rPr>
              <w:t>Adilette and Adilette Aqua</w:t>
            </w:r>
          </w:p>
        </w:tc>
        <w:tc>
          <w:tcPr>
            <w:tcW w:w="2340" w:type="dxa"/>
            <w:tcBorders>
              <w:top w:val="single" w:color="auto" w:sz="4" w:space="0"/>
              <w:left w:val="single" w:color="auto" w:sz="4" w:space="0"/>
              <w:bottom w:val="single" w:color="auto" w:sz="4" w:space="0"/>
              <w:right w:val="single" w:color="auto" w:sz="4" w:space="0"/>
            </w:tcBorders>
            <w:vAlign w:val="center"/>
          </w:tcPr>
          <w:p w14:paraId="081E0C2A">
            <w:pPr>
              <w:spacing w:before="40" w:after="40"/>
            </w:pPr>
            <w:r>
              <w:rPr>
                <w:sz w:val="19"/>
              </w:rPr>
              <w:t>Adilette and Adilette Aqua</w:t>
            </w:r>
          </w:p>
        </w:tc>
        <w:tc>
          <w:tcPr>
            <w:tcW w:w="2340" w:type="dxa"/>
            <w:tcBorders>
              <w:left w:val="single" w:color="auto" w:sz="4" w:space="0"/>
            </w:tcBorders>
            <w:vAlign w:val="center"/>
          </w:tcPr>
          <w:p w14:paraId="03C5556B">
            <w:pPr>
              <w:spacing w:before="40" w:after="40"/>
            </w:pPr>
            <w:r>
              <w:rPr>
                <w:sz w:val="19"/>
              </w:rPr>
              <w:t>Lower-priced footwear provides an accessible entry point to the brand.</w:t>
            </w:r>
          </w:p>
        </w:tc>
      </w:tr>
    </w:tbl>
    <w:p w14:paraId="4882383F">
      <w:pPr>
        <w:spacing w:after="200" w:line="276" w:lineRule="auto"/>
        <w:jc w:val="both"/>
      </w:pPr>
      <w:r>
        <w:t>Adidas's German product focus remains centred on performance football boots and training wear tied to Bundesliga and national-team kit deals, alongside its enduring Originals heritage lines. In the United States, product strategy leans more heavily into lifestyle and "terrace" sneakers such as the Samba and Gazelle, alongside basketball and a fast-growing running range; the Adizero performance running family grew currency-neutral sales by more than 30% in 2025, supported by high-profile marathon wins and a new 100-kilometre world record (Worldfootwear, 2026).</w:t>
      </w:r>
    </w:p>
    <w:p w14:paraId="46B4A2E0">
      <w:pPr>
        <w:pStyle w:val="4"/>
        <w:spacing w:before="200" w:after="120"/>
      </w:pPr>
      <w:bookmarkStart w:id="68" w:name="_Toc236638079"/>
      <w:bookmarkStart w:id="69" w:name="_Toc237533441"/>
      <w:r>
        <w:t>5.4.2 Price</w:t>
      </w:r>
      <w:bookmarkEnd w:id="68"/>
      <w:bookmarkEnd w:id="69"/>
    </w:p>
    <w:p w14:paraId="1AD94AFC">
      <w:pPr>
        <w:spacing w:after="200" w:line="276" w:lineRule="auto"/>
        <w:jc w:val="both"/>
      </w:pPr>
      <w:r>
        <w:t>A number of factors can cause identical or similar Adidas products to be priced differently in Germany and the United States: inflation, which erodes purchasing power differently in each market; production and transportation costs, including the cost of shipping goods from Asian manufacturing hubs to each market; taxes, including German VAT versus US state-level sales tax, which is applied differently and at different rates; exchange-rate movements between the euro and the US dollar; relative consumer purchasing power; the intensity of local competition; and local demand conditions. These factors do not all move in the same direction at the same time, which is one reason Adidas sets pricing strategy market by market rather than applying a single global price converted at the prevailing exchange rate.</w:t>
      </w:r>
    </w:p>
    <w:p w14:paraId="1D1E76B2">
      <w:pPr>
        <w:spacing w:after="200" w:line="276" w:lineRule="auto"/>
        <w:jc w:val="both"/>
      </w:pPr>
      <w:r>
        <w:t>Adidas maintains a broadly premium global pricing strategy in both countries, but the underlying cost base differs. Management has acknowledged an increasingly promotional environment in both Europe and North America through 2025, putting some pressure on full-price sell-through, while in the US the 2026 guidance already absorbs an estimated tariff-related cost headwind running into the hundreds of millions of euros, a pressure with no direct German equivalent (Sporting Goods Intelligence, 2026).</w:t>
      </w:r>
    </w:p>
    <w:p w14:paraId="34BC59A4">
      <w:pPr>
        <w:pStyle w:val="4"/>
        <w:spacing w:before="200" w:after="120"/>
      </w:pPr>
      <w:bookmarkStart w:id="70" w:name="_Toc237533442"/>
      <w:bookmarkStart w:id="71" w:name="_Toc236638080"/>
      <w:r>
        <w:t>5.4.3 Place</w:t>
      </w:r>
      <w:bookmarkEnd w:id="70"/>
      <w:bookmarkEnd w:id="71"/>
    </w:p>
    <w:p w14:paraId="38C7AD4A">
      <w:pPr>
        <w:spacing w:after="200" w:line="276" w:lineRule="auto"/>
        <w:jc w:val="both"/>
      </w:pPr>
      <w:r>
        <w:t>Adidas relies on both direct and indirect distribution. Direct distribution means Adidas sells straight to the end customer with no intermediary in between, through its own stores, its own websites, and its own mobile app. Indirect distribution means Adidas sells through a retailer or wholesaler, such as Foot Locker or JD Sports, who then sells on to the end customer. The diagram below sets out both routes.</w:t>
      </w:r>
    </w:p>
    <w:p w14:paraId="5F4FB903">
      <w:pPr>
        <w:spacing w:before="200" w:after="100"/>
        <w:jc w:val="center"/>
      </w:pPr>
      <w:r>
        <w:drawing>
          <wp:inline distT="0" distB="0" distL="0" distR="0">
            <wp:extent cx="4572000" cy="2543175"/>
            <wp:effectExtent l="0" t="0" r="0" b="0"/>
            <wp:docPr id="932909173" name="Picture 932909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09173" name="Picture 932909173"/>
                    <pic:cNvPicPr>
                      <a:picLocks noChangeAspect="1" noChangeArrowheads="1"/>
                    </pic:cNvPicPr>
                  </pic:nvPicPr>
                  <pic:blipFill>
                    <a:blip r:embed="rId14"/>
                    <a:srcRect/>
                    <a:stretch>
                      <a:fillRect/>
                    </a:stretch>
                  </pic:blipFill>
                  <pic:spPr>
                    <a:xfrm>
                      <a:off x="0" y="0"/>
                      <a:ext cx="4572000" cy="2543175"/>
                    </a:xfrm>
                    <a:prstGeom prst="rect">
                      <a:avLst/>
                    </a:prstGeom>
                  </pic:spPr>
                </pic:pic>
              </a:graphicData>
            </a:graphic>
          </wp:inline>
        </w:drawing>
      </w:r>
    </w:p>
    <w:p w14:paraId="10798CB9">
      <w:pPr>
        <w:spacing w:after="300"/>
        <w:jc w:val="center"/>
      </w:pPr>
      <w:r>
        <w:rPr>
          <w:i/>
          <w:iCs/>
          <w:color w:val="555555"/>
          <w:sz w:val="18"/>
          <w:szCs w:val="18"/>
        </w:rPr>
        <w:t>Figure 5: Adidas's direct and indirect distribution channels (own analysis).</w:t>
      </w:r>
    </w:p>
    <w:p w14:paraId="22184683">
      <w:pPr>
        <w:spacing w:after="200" w:line="276" w:lineRule="auto"/>
        <w:jc w:val="both"/>
      </w:pPr>
      <w:r>
        <w:t>Direct-to-consumer channels, combining owned retail and e-commerce, made up close to half of group revenue by 2025, with own-retail sales up 13% and e-commerce up 16% for the year (adidas Group, 2026a). In Germany, Adidas benefits from a dense network of specialist sports retailers and its own heritage-linked flagship stores; in the United States, wholesale partnerships with retailers such as Foot Locker and JD Sports remain a larger share of the mix, reflecting the scale and reach those partners offer across a geographically vast market (MatrixBCG, 2026a).</w:t>
      </w:r>
    </w:p>
    <w:p w14:paraId="1855D700">
      <w:pPr>
        <w:pStyle w:val="4"/>
        <w:spacing w:before="200" w:after="120"/>
      </w:pPr>
      <w:bookmarkStart w:id="72" w:name="_Toc236638081"/>
      <w:bookmarkStart w:id="73" w:name="_Toc237533443"/>
      <w:r>
        <w:t>5.4.4 Promotion and Integrated Marketing Communications</w:t>
      </w:r>
      <w:bookmarkEnd w:id="72"/>
      <w:bookmarkEnd w:id="73"/>
    </w:p>
    <w:p w14:paraId="3025D273">
      <w:pPr>
        <w:spacing w:after="200" w:line="276" w:lineRule="auto"/>
        <w:jc w:val="both"/>
      </w:pPr>
      <w:r>
        <w:t>Adidas's promotional strategy in each country is best understood as an Integrated Marketing Communications (IMC) mix: a combination of social media, digital advertising, influencer and celebrity partnerships, athlete and sports-event sponsorships, traditional TV and online advertising, sales promotions, email marketing and public relations, coordinated to tell a consistent brand story. The specific channel mix and the examples used within it, however, differ sharply between Germany and the United States, as set out in the table below.</w:t>
      </w:r>
    </w:p>
    <w:p w14:paraId="36074924">
      <w:pPr>
        <w:spacing w:after="300"/>
        <w:jc w:val="center"/>
      </w:pPr>
      <w:r>
        <w:rPr>
          <w:i/>
          <w:iCs/>
          <w:color w:val="555555"/>
          <w:sz w:val="18"/>
          <w:szCs w:val="18"/>
        </w:rPr>
        <w:t>Table 1: Adidas's IMC mix, Germany vs United States (own analysis, based on sources cited throughout this report).</w:t>
      </w:r>
    </w:p>
    <w:p w14:paraId="508DA8DE">
      <w:r>
        <w:t>Source note: The promotion comparison combines the report’s cited evidence with Adidas’s current country websites, which show localised sports categories, campaigns, membership offers, release information and country-specific navigation. The US site currently highlights categories such as basketball, running and soccer, while the German site gives prominent access to football, running, hiking/outdoor, handball and other sports (adidas, 2026a; adidas, 2026b).</w:t>
      </w:r>
    </w:p>
    <w:tbl>
      <w:tblPr>
        <w:tblStyle w:val="9"/>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1883"/>
        <w:gridCol w:w="4041"/>
        <w:gridCol w:w="3636"/>
      </w:tblGrid>
      <w:tr w14:paraId="0FF51A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shd w:val="clear" w:color="auto" w:fill="003366"/>
            <w:tcMar>
              <w:top w:w="80" w:type="dxa"/>
              <w:left w:w="100" w:type="dxa"/>
              <w:bottom w:w="80" w:type="dxa"/>
              <w:right w:w="100" w:type="dxa"/>
            </w:tcMar>
            <w:vAlign w:val="center"/>
          </w:tcPr>
          <w:p w14:paraId="65942EBA">
            <w:r>
              <w:rPr>
                <w:b/>
                <w:bCs/>
                <w:color w:val="FFFFFF"/>
                <w:sz w:val="19"/>
                <w:szCs w:val="19"/>
              </w:rPr>
              <w:t>Channel</w:t>
            </w:r>
          </w:p>
        </w:tc>
        <w:tc>
          <w:tcPr>
            <w:tcW w:w="0" w:type="auto"/>
            <w:tcBorders>
              <w:top w:val="single" w:color="CCCCCC" w:sz="2" w:space="0"/>
              <w:left w:val="single" w:color="CCCCCC" w:sz="2" w:space="0"/>
              <w:bottom w:val="single" w:color="CCCCCC" w:sz="2" w:space="0"/>
              <w:right w:val="single" w:color="CCCCCC" w:sz="2" w:space="0"/>
            </w:tcBorders>
            <w:shd w:val="clear" w:color="auto" w:fill="003366"/>
            <w:tcMar>
              <w:top w:w="80" w:type="dxa"/>
              <w:left w:w="100" w:type="dxa"/>
              <w:bottom w:w="80" w:type="dxa"/>
              <w:right w:w="100" w:type="dxa"/>
            </w:tcMar>
            <w:vAlign w:val="center"/>
          </w:tcPr>
          <w:p w14:paraId="00D18CDC">
            <w:r>
              <w:rPr>
                <w:b/>
                <w:bCs/>
                <w:color w:val="FFFFFF"/>
                <w:sz w:val="19"/>
                <w:szCs w:val="19"/>
              </w:rPr>
              <w:t>Germany example</w:t>
            </w:r>
          </w:p>
        </w:tc>
        <w:tc>
          <w:tcPr>
            <w:tcW w:w="0" w:type="auto"/>
            <w:tcBorders>
              <w:top w:val="single" w:color="CCCCCC" w:sz="2" w:space="0"/>
              <w:left w:val="single" w:color="CCCCCC" w:sz="2" w:space="0"/>
              <w:bottom w:val="single" w:color="CCCCCC" w:sz="2" w:space="0"/>
              <w:right w:val="single" w:color="CCCCCC" w:sz="2" w:space="0"/>
            </w:tcBorders>
            <w:shd w:val="clear" w:color="auto" w:fill="003366"/>
            <w:tcMar>
              <w:top w:w="80" w:type="dxa"/>
              <w:left w:w="100" w:type="dxa"/>
              <w:bottom w:w="80" w:type="dxa"/>
              <w:right w:w="100" w:type="dxa"/>
            </w:tcMar>
            <w:vAlign w:val="center"/>
          </w:tcPr>
          <w:p w14:paraId="02158DFF">
            <w:r>
              <w:rPr>
                <w:b/>
                <w:bCs/>
                <w:color w:val="FFFFFF"/>
                <w:sz w:val="19"/>
                <w:szCs w:val="19"/>
              </w:rPr>
              <w:t>United States example</w:t>
            </w:r>
          </w:p>
        </w:tc>
      </w:tr>
      <w:tr w14:paraId="6706C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9009BD6">
            <w:r>
              <w:rPr>
                <w:sz w:val="19"/>
                <w:szCs w:val="19"/>
              </w:rPr>
              <w:t>Social media</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7674795">
            <w:r>
              <w:rPr>
                <w:sz w:val="19"/>
                <w:szCs w:val="19"/>
              </w:rPr>
              <w:t>Understated, football-first content on Instagram/Facebook tied to Bundesliga and the national team</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1031F167">
            <w:r>
              <w:rPr>
                <w:sz w:val="19"/>
                <w:szCs w:val="19"/>
              </w:rPr>
              <w:t>TikTok- and Instagram Reels-led, UGC and hype-driven content</w:t>
            </w:r>
          </w:p>
        </w:tc>
      </w:tr>
      <w:tr w14:paraId="2EAD2D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092058A4">
            <w:r>
              <w:rPr>
                <w:sz w:val="19"/>
                <w:szCs w:val="19"/>
              </w:rPr>
              <w:t>Digital advertising</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8F533F7">
            <w:r>
              <w:rPr>
                <w:sz w:val="19"/>
                <w:szCs w:val="19"/>
              </w:rPr>
              <w:t>Match-day digital placements, YouTube pre-roll around football content</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1D760E6">
            <w:r>
              <w:rPr>
                <w:sz w:val="19"/>
                <w:szCs w:val="19"/>
              </w:rPr>
              <w:t>Programmatic and short-form video ads targeting basketball/streetwear audiences</w:t>
            </w:r>
          </w:p>
        </w:tc>
      </w:tr>
      <w:tr w14:paraId="414879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4A608DD">
            <w:r>
              <w:rPr>
                <w:sz w:val="19"/>
                <w:szCs w:val="19"/>
              </w:rPr>
              <w:t>Influencer &amp; celebrity partnerships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0AEE884">
            <w:r>
              <w:rPr>
                <w:sz w:val="19"/>
                <w:szCs w:val="19"/>
              </w:rPr>
              <w:t>Partnerships with football-world figures rather than entertainment celebrities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11AEED0">
            <w:r>
              <w:rPr>
                <w:sz w:val="19"/>
                <w:szCs w:val="19"/>
              </w:rPr>
              <w:t>Streetwear and music-industry collaborations, historically including Yeezy</w:t>
            </w:r>
          </w:p>
        </w:tc>
      </w:tr>
      <w:tr w14:paraId="4CB4FC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1473B2F0">
            <w:r>
              <w:rPr>
                <w:sz w:val="19"/>
                <w:szCs w:val="19"/>
              </w:rPr>
              <w:t>Athlete sponsorships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5A46227">
            <w:r>
              <w:rPr>
                <w:sz w:val="19"/>
                <w:szCs w:val="19"/>
              </w:rPr>
              <w:t>German national football team and Bundesliga club kit deals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7E563826">
            <w:r>
              <w:rPr>
                <w:sz w:val="19"/>
                <w:szCs w:val="19"/>
              </w:rPr>
              <w:t>NBA/NFL athletes, e.g. Anthony Edwards's AE signature line (SI, 2024)</w:t>
            </w:r>
          </w:p>
        </w:tc>
      </w:tr>
      <w:tr w14:paraId="6FDED8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564E177E">
            <w:r>
              <w:rPr>
                <w:sz w:val="19"/>
                <w:szCs w:val="19"/>
              </w:rPr>
              <w:t>Sports event sponsorships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0CE821C8">
            <w:r>
              <w:rPr>
                <w:sz w:val="19"/>
                <w:szCs w:val="19"/>
              </w:rPr>
              <w:t>Bundesliga, DFB-Pokal, UEFA competitions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064A370">
            <w:r>
              <w:rPr>
                <w:sz w:val="19"/>
                <w:szCs w:val="19"/>
              </w:rPr>
              <w:t>NBA, college athletics, MLS</w:t>
            </w:r>
          </w:p>
        </w:tc>
      </w:tr>
      <w:tr w14:paraId="6DC80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533202E1">
            <w:r>
              <w:rPr>
                <w:sz w:val="19"/>
                <w:szCs w:val="19"/>
              </w:rPr>
              <w:t>TV &amp; online advertising</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0A549EE">
            <w:r>
              <w:rPr>
                <w:sz w:val="19"/>
                <w:szCs w:val="19"/>
              </w:rPr>
              <w:t>Broadcast spots around major football fixtures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20120149">
            <w:r>
              <w:rPr>
                <w:sz w:val="19"/>
                <w:szCs w:val="19"/>
              </w:rPr>
              <w:t>Digital-first campaigns timed to the US sporting calendar</w:t>
            </w:r>
          </w:p>
        </w:tc>
      </w:tr>
      <w:tr w14:paraId="697B26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2EE07108">
            <w:r>
              <w:rPr>
                <w:sz w:val="19"/>
                <w:szCs w:val="19"/>
              </w:rPr>
              <w:t>Sales promotions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735D0C68">
            <w:r>
              <w:rPr>
                <w:sz w:val="19"/>
                <w:szCs w:val="19"/>
              </w:rPr>
              <w:t>AdiClub member discounts in specialist stores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53B1DD14">
            <w:r>
              <w:rPr>
                <w:sz w:val="19"/>
                <w:szCs w:val="19"/>
              </w:rPr>
              <w:t>App-exclusive "Confirmed" drops</w:t>
            </w:r>
          </w:p>
        </w:tc>
      </w:tr>
      <w:tr w14:paraId="14A320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479303D">
            <w:r>
              <w:rPr>
                <w:sz w:val="19"/>
                <w:szCs w:val="19"/>
              </w:rPr>
              <w:t>Email marketing</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283C6CF4">
            <w:r>
              <w:rPr>
                <w:sz w:val="19"/>
                <w:szCs w:val="19"/>
              </w:rPr>
              <w:t>German-language AdiClub newsletters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312C897C">
            <w:r>
              <w:rPr>
                <w:sz w:val="19"/>
                <w:szCs w:val="19"/>
              </w:rPr>
              <w:t>AdiClub US personalised offers</w:t>
            </w:r>
          </w:p>
        </w:tc>
      </w:tr>
      <w:tr w14:paraId="1DF744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511EFEC3">
            <w:r>
              <w:rPr>
                <w:sz w:val="19"/>
                <w:szCs w:val="19"/>
              </w:rPr>
              <w:t>Public relations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2D205589">
            <w:r>
              <w:rPr>
                <w:sz w:val="19"/>
                <w:szCs w:val="19"/>
              </w:rPr>
              <w:t>Sustainability/CSR communications aligned to EU reporting rules</w:t>
            </w:r>
          </w:p>
        </w:tc>
        <w:tc>
          <w:tcPr>
            <w:tcW w:w="0" w:type="auto"/>
            <w:tcBorders>
              <w:top w:val="single" w:color="CCCCCC" w:sz="2" w:space="0"/>
              <w:left w:val="single" w:color="CCCCCC" w:sz="2" w:space="0"/>
              <w:bottom w:val="single" w:color="CCCCCC" w:sz="2" w:space="0"/>
              <w:right w:val="single" w:color="CCCCCC" w:sz="2" w:space="0"/>
            </w:tcBorders>
            <w:tcMar>
              <w:top w:w="80" w:type="dxa"/>
              <w:left w:w="100" w:type="dxa"/>
              <w:bottom w:w="80" w:type="dxa"/>
              <w:right w:w="100" w:type="dxa"/>
            </w:tcMar>
            <w:vAlign w:val="center"/>
          </w:tcPr>
          <w:p w14:paraId="4C7E2250">
            <w:r>
              <w:rPr>
                <w:sz w:val="19"/>
                <w:szCs w:val="19"/>
              </w:rPr>
              <w:t>Reputation and crisis management, most visibly after the Yeezy termination</w:t>
            </w:r>
          </w:p>
        </w:tc>
      </w:tr>
    </w:tbl>
    <w:p w14:paraId="31FBBE7C">
      <w:pPr>
        <w:spacing w:after="200"/>
      </w:pPr>
    </w:p>
    <w:p w14:paraId="21C76142">
      <w:pPr>
        <w:spacing w:after="200" w:line="276" w:lineRule="auto"/>
        <w:jc w:val="both"/>
      </w:pPr>
      <w:r>
        <w:t>German promotional activity, overall, leans on club and national-team sponsorship and a heritage-and-engineering narrative; American promotional activity is far more collaboration- and celebrity-driven, historically epitomised by the Yeezy partnership, and now increasingly channelled through short-form digital content and a network of thousands of influencers across TikTok and Instagram (MatrixBCG, 2026a).</w:t>
      </w:r>
    </w:p>
    <w:p w14:paraId="78EADC04">
      <w:pPr>
        <w:pStyle w:val="4"/>
        <w:spacing w:before="200" w:after="120"/>
      </w:pPr>
      <w:bookmarkStart w:id="74" w:name="_Toc236638082"/>
      <w:bookmarkStart w:id="75" w:name="_Toc237533444"/>
      <w:r>
        <w:t>5.4.5 People</w:t>
      </w:r>
      <w:bookmarkEnd w:id="74"/>
      <w:bookmarkEnd w:id="75"/>
    </w:p>
    <w:p w14:paraId="65078AC0">
      <w:pPr>
        <w:spacing w:after="200" w:line="276" w:lineRule="auto"/>
        <w:jc w:val="both"/>
      </w:pPr>
      <w:r>
        <w:t>Adidas Group employed 64,938 people worldwide at the end of 2025, of whom close to three-quarters were full-time (StockAnalysis, 2026). The company does not publish a precise country-by-country headcount for Germany or the United States in its public disclosures, though its Herzogenaurach headquarters remains its largest single site and North America is one of its largest regional operations outside Europe. What is disclosed is how Adidas trains and motivates staff: the company runs structured graduate and leadership-development programmes, in-house technical and retail-training academies for store staff, and performance-linked incentive schemes tied to both individual and company results, alongside benefits such as staff product discounts and wellbeing support. In specialist German retail, staff training tends to emphasise deep technical product knowledge; in US flagship and concept stores, training leans more toward brand storytelling and culturally engaged customer experience, consistent with the more lifestyle-driven positioning in that market.</w:t>
      </w:r>
    </w:p>
    <w:p w14:paraId="6D62C6FB">
      <w:pPr>
        <w:pStyle w:val="4"/>
        <w:spacing w:before="200" w:after="120"/>
      </w:pPr>
      <w:bookmarkStart w:id="76" w:name="_Toc237533445"/>
      <w:bookmarkStart w:id="77" w:name="_Toc236638083"/>
      <w:r>
        <w:t>5.4.6 Process</w:t>
      </w:r>
      <w:bookmarkEnd w:id="76"/>
      <w:bookmarkEnd w:id="77"/>
    </w:p>
    <w:p w14:paraId="01788638">
      <w:pPr>
        <w:spacing w:after="200" w:line="276" w:lineRule="auto"/>
        <w:jc w:val="both"/>
      </w:pPr>
      <w:r>
        <w:t>Both markets rely on the Adidas Confirmed app and AdiClub loyalty scheme, which had grown to more than 200 million members globally, to manage exclusive product launches and personalised offers (PortersFiveForce, 2025). The hype-drop mechanic built into this process, however, is disproportionately important in the United States, where sneaker resale and collector culture is most developed.</w:t>
      </w:r>
    </w:p>
    <w:p w14:paraId="07C1CF90">
      <w:pPr>
        <w:pStyle w:val="4"/>
        <w:spacing w:before="200" w:after="120"/>
      </w:pPr>
      <w:bookmarkStart w:id="78" w:name="_Toc237533446"/>
      <w:bookmarkStart w:id="79" w:name="_Toc236638084"/>
      <w:r>
        <w:t>5.4.7 Physical Evidence</w:t>
      </w:r>
      <w:bookmarkEnd w:id="78"/>
      <w:bookmarkEnd w:id="79"/>
    </w:p>
    <w:p w14:paraId="31448A27">
      <w:pPr>
        <w:spacing w:after="200" w:line="276" w:lineRule="auto"/>
        <w:jc w:val="both"/>
      </w:pPr>
      <w:r>
        <w:t>Adidas's German stores, including its Herzogenaurach and Berlin flagships, lean into brand heritage and engineering storytelling. Its US flagship stores, particularly in New York and Los Angeles, are built around a more theatrical, culture-first retail experience, including customisation bars and dedicated spaces for limited releases.</w:t>
      </w:r>
    </w:p>
    <w:p w14:paraId="2D74BA0C">
      <w:pPr>
        <w:pStyle w:val="2"/>
        <w:spacing w:before="400" w:after="200"/>
      </w:pPr>
      <w:bookmarkStart w:id="80" w:name="_Toc236638085"/>
      <w:bookmarkStart w:id="81" w:name="_Toc237533447"/>
      <w:r>
        <w:t>6. Customer Service and Complaint Process</w:t>
      </w:r>
      <w:bookmarkEnd w:id="80"/>
      <w:bookmarkEnd w:id="81"/>
    </w:p>
    <w:p w14:paraId="72121F35">
      <w:pPr>
        <w:spacing w:after="200" w:line="276" w:lineRule="auto"/>
        <w:jc w:val="both"/>
      </w:pPr>
      <w:r>
        <w:t>Customers in both markets can contact Adidas customer service through several channels: telephone, email, live chat, an online contact form, the Adidas mobile app, and social media. In practice, a customer wanting to make a complaint, request a refund or return a product is generally directed first to the online returns portal linked from their order confirmation, where they can generate a return label and either post the item back or drop it at a partner location; live chat and the contact form are the usual routes for anything that falls outside a standard return, such as a faulty product or a dispute over an order. The underlying process is broadly similar in Germany and the United States, but the details that sit inside it differ: return windows, the specific carriers used, and the language of support are set locally, and EU consumer-protection law gives German shoppers a statutory minimum right to return most goods that is more standardised across all EU-based retailers than the return terms US shoppers see, which tend to be set by each retailer individually within a looser regulatory floor.</w:t>
      </w:r>
    </w:p>
    <w:p w14:paraId="3C442954">
      <w:pPr>
        <w:pStyle w:val="2"/>
        <w:spacing w:before="400" w:after="200"/>
      </w:pPr>
      <w:bookmarkStart w:id="82" w:name="_Toc237533448"/>
      <w:bookmarkStart w:id="83" w:name="_Toc236638086"/>
      <w:r>
        <w:t>7. Adidas Websites: Germany vs United States</w:t>
      </w:r>
      <w:bookmarkEnd w:id="82"/>
      <w:bookmarkEnd w:id="83"/>
    </w:p>
    <w:p w14:paraId="1DF26158">
      <w:pPr>
        <w:spacing w:after="200" w:line="276" w:lineRule="auto"/>
        <w:jc w:val="both"/>
      </w:pPr>
      <w:r>
        <w:t>Adidas operates market-specific websites, adidas.de for Germany and adidas.com/us for the United States, rather than a single global site. Both give access to broadly the same core product range, but they diverge in the details that matter to a local shopper: pricing and currency (euros, inclusive of German VAT, versus US dollars, with sales tax calculated separately at checkout depending on the shopper's state); language (German by default on adidas.de, with an option to switch); localised promotions and product drops timed to local sporting calendars, such as Bundesliga-linked kit releases in Germany versus NBA- and college-sport-linked drops in the United States; and delivery and return terms, which reflect the EU/US regulatory differences described in the previous section. Customer service contact options are broadly consistent across both sites, but response language and support hours are localised to each market.</w:t>
      </w:r>
    </w:p>
    <w:p w14:paraId="768D4109">
      <w:pPr>
        <w:jc w:val="center"/>
      </w:pPr>
    </w:p>
    <w:p w14:paraId="643D1C1A">
      <w:pPr>
        <w:jc w:val="center"/>
      </w:pPr>
    </w:p>
    <w:p w14:paraId="2404EED5">
      <w:r>
        <w:t>Figure 9: Visual comparison of Adidas’s Germany and United States websites (reconstructed from adidas.de and adidas.com/us; accessed 11 August 2026).</w:t>
      </w:r>
    </w:p>
    <w:p w14:paraId="6C4B1EE5">
      <w:r>
        <w:drawing>
          <wp:anchor distT="0" distB="0" distL="114300" distR="114300" simplePos="0" relativeHeight="251660288" behindDoc="0" locked="0" layoutInCell="1" allowOverlap="1">
            <wp:simplePos x="0" y="0"/>
            <wp:positionH relativeFrom="column">
              <wp:posOffset>44450</wp:posOffset>
            </wp:positionH>
            <wp:positionV relativeFrom="paragraph">
              <wp:posOffset>674370</wp:posOffset>
            </wp:positionV>
            <wp:extent cx="5875655" cy="3691255"/>
            <wp:effectExtent l="0" t="0" r="4445" b="4445"/>
            <wp:wrapTopAndBottom/>
            <wp:docPr id="9856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62399" name="Picture 1"/>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75655" cy="3691255"/>
                    </a:xfrm>
                    <a:prstGeom prst="rect">
                      <a:avLst/>
                    </a:prstGeom>
                  </pic:spPr>
                </pic:pic>
              </a:graphicData>
            </a:graphic>
          </wp:anchor>
        </w:drawing>
      </w:r>
      <w:r>
        <w:t>Table 5: Similarities and differences between Adidas Germany and US websites (adidas, 2026a; adidas, 2026b).</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40"/>
        <w:gridCol w:w="2340"/>
        <w:gridCol w:w="2340"/>
        <w:gridCol w:w="2340"/>
      </w:tblGrid>
      <w:tr w14:paraId="6F901D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18ED15E7">
            <w:pPr>
              <w:spacing w:before="40" w:after="40"/>
            </w:pPr>
            <w:r>
              <w:rPr>
                <w:b/>
                <w:sz w:val="19"/>
              </w:rPr>
              <w:t>Website element</w:t>
            </w:r>
          </w:p>
        </w:tc>
        <w:tc>
          <w:tcPr>
            <w:tcW w:w="2340" w:type="dxa"/>
            <w:vAlign w:val="center"/>
          </w:tcPr>
          <w:p w14:paraId="5A6E092C">
            <w:pPr>
              <w:spacing w:before="40" w:after="40"/>
            </w:pPr>
            <w:r>
              <w:rPr>
                <w:b/>
                <w:sz w:val="19"/>
              </w:rPr>
              <w:t>Germany: adidas.de</w:t>
            </w:r>
          </w:p>
        </w:tc>
        <w:tc>
          <w:tcPr>
            <w:tcW w:w="2340" w:type="dxa"/>
            <w:vAlign w:val="center"/>
          </w:tcPr>
          <w:p w14:paraId="4A62B70C">
            <w:pPr>
              <w:spacing w:before="40" w:after="40"/>
            </w:pPr>
            <w:r>
              <w:rPr>
                <w:b/>
                <w:sz w:val="19"/>
              </w:rPr>
              <w:t>United States: adidas.com/us</w:t>
            </w:r>
          </w:p>
        </w:tc>
        <w:tc>
          <w:tcPr>
            <w:tcW w:w="2340" w:type="dxa"/>
            <w:vAlign w:val="center"/>
          </w:tcPr>
          <w:p w14:paraId="48152DF0">
            <w:pPr>
              <w:spacing w:before="40" w:after="40"/>
            </w:pPr>
            <w:r>
              <w:rPr>
                <w:b/>
                <w:sz w:val="19"/>
              </w:rPr>
              <w:t>Similarity / difference</w:t>
            </w:r>
          </w:p>
        </w:tc>
      </w:tr>
      <w:tr w14:paraId="036FA0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06BD9655">
            <w:pPr>
              <w:spacing w:before="40" w:after="40"/>
            </w:pPr>
            <w:r>
              <w:rPr>
                <w:sz w:val="19"/>
              </w:rPr>
              <w:t>Currency / tax</w:t>
            </w:r>
          </w:p>
        </w:tc>
        <w:tc>
          <w:tcPr>
            <w:tcW w:w="2340" w:type="dxa"/>
            <w:vAlign w:val="center"/>
          </w:tcPr>
          <w:p w14:paraId="323CFC25">
            <w:pPr>
              <w:spacing w:before="40" w:after="40"/>
            </w:pPr>
            <w:r>
              <w:rPr>
                <w:sz w:val="19"/>
              </w:rPr>
              <w:t>Euro pricing; German VAT included in displayed consumer prices.</w:t>
            </w:r>
          </w:p>
        </w:tc>
        <w:tc>
          <w:tcPr>
            <w:tcW w:w="2340" w:type="dxa"/>
            <w:vAlign w:val="center"/>
          </w:tcPr>
          <w:p w14:paraId="68A1D2EF">
            <w:pPr>
              <w:spacing w:before="40" w:after="40"/>
            </w:pPr>
            <w:r>
              <w:rPr>
                <w:sz w:val="19"/>
              </w:rPr>
              <w:t>US dollar pricing; sales tax depends on location and is calculated according to US checkout rules.</w:t>
            </w:r>
          </w:p>
        </w:tc>
        <w:tc>
          <w:tcPr>
            <w:tcW w:w="2340" w:type="dxa"/>
            <w:vAlign w:val="center"/>
          </w:tcPr>
          <w:p w14:paraId="2325FD35">
            <w:pPr>
              <w:spacing w:before="40" w:after="40"/>
            </w:pPr>
            <w:r>
              <w:rPr>
                <w:sz w:val="19"/>
              </w:rPr>
              <w:t>Different local pricing conventions.</w:t>
            </w:r>
          </w:p>
        </w:tc>
      </w:tr>
      <w:tr w14:paraId="54E19E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6C744FE2">
            <w:pPr>
              <w:spacing w:before="40" w:after="40"/>
            </w:pPr>
            <w:r>
              <w:rPr>
                <w:sz w:val="19"/>
              </w:rPr>
              <w:t>Language</w:t>
            </w:r>
          </w:p>
        </w:tc>
        <w:tc>
          <w:tcPr>
            <w:tcW w:w="2340" w:type="dxa"/>
            <w:vAlign w:val="center"/>
          </w:tcPr>
          <w:p w14:paraId="45298A09">
            <w:pPr>
              <w:spacing w:before="40" w:after="40"/>
            </w:pPr>
            <w:r>
              <w:rPr>
                <w:sz w:val="19"/>
              </w:rPr>
              <w:t>German by default, with multilingual navigation available.</w:t>
            </w:r>
          </w:p>
        </w:tc>
        <w:tc>
          <w:tcPr>
            <w:tcW w:w="2340" w:type="dxa"/>
            <w:vAlign w:val="center"/>
          </w:tcPr>
          <w:p w14:paraId="65A15B8D">
            <w:pPr>
              <w:spacing w:before="40" w:after="40"/>
            </w:pPr>
            <w:r>
              <w:rPr>
                <w:sz w:val="19"/>
              </w:rPr>
              <w:t>English.</w:t>
            </w:r>
          </w:p>
        </w:tc>
        <w:tc>
          <w:tcPr>
            <w:tcW w:w="2340" w:type="dxa"/>
            <w:vAlign w:val="center"/>
          </w:tcPr>
          <w:p w14:paraId="7A4219B8">
            <w:pPr>
              <w:spacing w:before="40" w:after="40"/>
            </w:pPr>
            <w:r>
              <w:rPr>
                <w:sz w:val="19"/>
              </w:rPr>
              <w:t>Both localise language for the primary market.</w:t>
            </w:r>
          </w:p>
        </w:tc>
      </w:tr>
      <w:tr w14:paraId="4154B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6E88B6A8">
            <w:pPr>
              <w:spacing w:before="40" w:after="40"/>
            </w:pPr>
            <w:r>
              <w:rPr>
                <w:sz w:val="19"/>
              </w:rPr>
              <w:t>Sports emphasis</w:t>
            </w:r>
          </w:p>
        </w:tc>
        <w:tc>
          <w:tcPr>
            <w:tcW w:w="2340" w:type="dxa"/>
            <w:vAlign w:val="center"/>
          </w:tcPr>
          <w:p w14:paraId="0DD4482A">
            <w:pPr>
              <w:spacing w:before="40" w:after="40"/>
            </w:pPr>
            <w:r>
              <w:rPr>
                <w:sz w:val="19"/>
              </w:rPr>
              <w:t>Football, running, hiking/outdoor, handball and other European sports.</w:t>
            </w:r>
          </w:p>
        </w:tc>
        <w:tc>
          <w:tcPr>
            <w:tcW w:w="2340" w:type="dxa"/>
            <w:vAlign w:val="center"/>
          </w:tcPr>
          <w:p w14:paraId="23E133C6">
            <w:pPr>
              <w:spacing w:before="40" w:after="40"/>
            </w:pPr>
            <w:r>
              <w:rPr>
                <w:sz w:val="19"/>
              </w:rPr>
              <w:t>Soccer, basketball, running, football, baseball, tennis and workout categories.</w:t>
            </w:r>
          </w:p>
        </w:tc>
        <w:tc>
          <w:tcPr>
            <w:tcW w:w="2340" w:type="dxa"/>
            <w:vAlign w:val="center"/>
          </w:tcPr>
          <w:p w14:paraId="118BF578">
            <w:pPr>
              <w:spacing w:before="40" w:after="40"/>
            </w:pPr>
            <w:r>
              <w:rPr>
                <w:sz w:val="19"/>
              </w:rPr>
              <w:t>Both offer broad sports coverage, but category prominence differs.</w:t>
            </w:r>
          </w:p>
        </w:tc>
      </w:tr>
      <w:tr w14:paraId="4503E7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6AA8608D">
            <w:pPr>
              <w:spacing w:before="40" w:after="40"/>
            </w:pPr>
            <w:r>
              <w:rPr>
                <w:sz w:val="19"/>
              </w:rPr>
              <w:t>Lifestyle categories</w:t>
            </w:r>
          </w:p>
        </w:tc>
        <w:tc>
          <w:tcPr>
            <w:tcW w:w="2340" w:type="dxa"/>
            <w:vAlign w:val="center"/>
          </w:tcPr>
          <w:p w14:paraId="588CF463">
            <w:pPr>
              <w:spacing w:before="40" w:after="40"/>
            </w:pPr>
            <w:r>
              <w:rPr>
                <w:sz w:val="19"/>
              </w:rPr>
              <w:t>Samba, Spezial, Superstar, Gazelle and Originals.</w:t>
            </w:r>
          </w:p>
        </w:tc>
        <w:tc>
          <w:tcPr>
            <w:tcW w:w="2340" w:type="dxa"/>
            <w:vAlign w:val="center"/>
          </w:tcPr>
          <w:p w14:paraId="32885AC6">
            <w:pPr>
              <w:spacing w:before="40" w:after="40"/>
            </w:pPr>
            <w:r>
              <w:rPr>
                <w:sz w:val="19"/>
              </w:rPr>
              <w:t>Samba, Superstar, Gazelle, Originals and other lifestyle collections.</w:t>
            </w:r>
          </w:p>
        </w:tc>
        <w:tc>
          <w:tcPr>
            <w:tcW w:w="2340" w:type="dxa"/>
            <w:vAlign w:val="center"/>
          </w:tcPr>
          <w:p w14:paraId="340F2B7B">
            <w:pPr>
              <w:spacing w:before="40" w:after="40"/>
            </w:pPr>
            <w:r>
              <w:rPr>
                <w:sz w:val="19"/>
              </w:rPr>
              <w:t>Strong global overlap in Originals.</w:t>
            </w:r>
          </w:p>
        </w:tc>
      </w:tr>
      <w:tr w14:paraId="3AAD71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41D2F17B">
            <w:pPr>
              <w:spacing w:before="40" w:after="40"/>
            </w:pPr>
            <w:r>
              <w:rPr>
                <w:sz w:val="19"/>
              </w:rPr>
              <w:t>Digital membership</w:t>
            </w:r>
          </w:p>
        </w:tc>
        <w:tc>
          <w:tcPr>
            <w:tcW w:w="2340" w:type="dxa"/>
            <w:vAlign w:val="center"/>
          </w:tcPr>
          <w:p w14:paraId="5486D931">
            <w:pPr>
              <w:spacing w:before="40" w:after="40"/>
            </w:pPr>
            <w:r>
              <w:rPr>
                <w:sz w:val="19"/>
              </w:rPr>
              <w:t>adiClub, app and Confirmed features.</w:t>
            </w:r>
          </w:p>
        </w:tc>
        <w:tc>
          <w:tcPr>
            <w:tcW w:w="2340" w:type="dxa"/>
            <w:vAlign w:val="center"/>
          </w:tcPr>
          <w:p w14:paraId="54472103">
            <w:pPr>
              <w:spacing w:before="40" w:after="40"/>
            </w:pPr>
            <w:r>
              <w:rPr>
                <w:sz w:val="19"/>
              </w:rPr>
              <w:t>adiClub, apps and release/promotional features.</w:t>
            </w:r>
          </w:p>
        </w:tc>
        <w:tc>
          <w:tcPr>
            <w:tcW w:w="2340" w:type="dxa"/>
            <w:vAlign w:val="center"/>
          </w:tcPr>
          <w:p w14:paraId="47CA65BA">
            <w:pPr>
              <w:spacing w:before="40" w:after="40"/>
            </w:pPr>
            <w:r>
              <w:rPr>
                <w:sz w:val="19"/>
              </w:rPr>
              <w:t>Common digital ecosystem, locally adapted.</w:t>
            </w:r>
          </w:p>
        </w:tc>
      </w:tr>
      <w:tr w14:paraId="7A5E19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2ADAC42E">
            <w:pPr>
              <w:spacing w:before="40" w:after="40"/>
            </w:pPr>
            <w:r>
              <w:rPr>
                <w:sz w:val="19"/>
              </w:rPr>
              <w:t>Customer journey</w:t>
            </w:r>
          </w:p>
        </w:tc>
        <w:tc>
          <w:tcPr>
            <w:tcW w:w="2340" w:type="dxa"/>
            <w:vAlign w:val="center"/>
          </w:tcPr>
          <w:p w14:paraId="25A4D87A">
            <w:pPr>
              <w:spacing w:before="40" w:after="40"/>
            </w:pPr>
            <w:r>
              <w:rPr>
                <w:sz w:val="19"/>
              </w:rPr>
              <w:t>Local delivery, returns and German-language support.</w:t>
            </w:r>
          </w:p>
        </w:tc>
        <w:tc>
          <w:tcPr>
            <w:tcW w:w="2340" w:type="dxa"/>
            <w:vAlign w:val="center"/>
          </w:tcPr>
          <w:p w14:paraId="401189E6">
            <w:pPr>
              <w:spacing w:before="40" w:after="40"/>
            </w:pPr>
            <w:r>
              <w:rPr>
                <w:sz w:val="19"/>
              </w:rPr>
              <w:t>Local shipping, returns, promotions and US support.</w:t>
            </w:r>
          </w:p>
        </w:tc>
        <w:tc>
          <w:tcPr>
            <w:tcW w:w="2340" w:type="dxa"/>
            <w:vAlign w:val="center"/>
          </w:tcPr>
          <w:p w14:paraId="7BE424A0">
            <w:pPr>
              <w:spacing w:before="40" w:after="40"/>
            </w:pPr>
            <w:r>
              <w:rPr>
                <w:sz w:val="19"/>
              </w:rPr>
              <w:t>Same overall process, different local conditions.</w:t>
            </w:r>
          </w:p>
        </w:tc>
      </w:tr>
    </w:tbl>
    <w:p w14:paraId="07104A68">
      <w:pPr>
        <w:pStyle w:val="2"/>
        <w:spacing w:before="400" w:after="200"/>
      </w:pPr>
      <w:bookmarkStart w:id="84" w:name="_Toc236638087"/>
      <w:bookmarkStart w:id="85" w:name="_Toc237533449"/>
      <w:r>
        <w:t>8. Market Entry Strategy: United States</w:t>
      </w:r>
      <w:bookmarkEnd w:id="84"/>
      <w:bookmarkEnd w:id="85"/>
    </w:p>
    <w:p w14:paraId="17031A2D">
      <w:pPr>
        <w:spacing w:after="200" w:line="276" w:lineRule="auto"/>
        <w:jc w:val="both"/>
      </w:pPr>
      <w:r>
        <w:t>Adidas's presence in the United States dates back to the 1970s, initially through import and distribution arrangements before the company established a wholly owned US subsidiary to gain direct control over marketing and distribution. The single most consequential entry-related decision, however, was the 2005 acquisition of Boston-based Reebok for approximately $3.8 billion, a deal explicitly designed to close the market-share gap with Nike in North America by combining Adidas's roughly 10% US share with Reebok's roughly 8% (SEC, 2005; Modern Retail, 2022).</w:t>
      </w:r>
    </w:p>
    <w:p w14:paraId="6D0FF222">
      <w:pPr>
        <w:spacing w:after="200" w:line="276" w:lineRule="auto"/>
        <w:jc w:val="both"/>
      </w:pPr>
      <w:r>
        <w:t>In the short term the deal appeared to work, lifting the combined group's standing in the US athletic-footwear market considerably (Marketing Week, 2025). Over the following decade, however, Reebok's US performance deteriorated sharply, as the chart below shows.</w:t>
      </w:r>
    </w:p>
    <w:p w14:paraId="17C8EEA0">
      <w:pPr>
        <w:spacing w:before="200" w:after="100"/>
        <w:jc w:val="center"/>
      </w:pPr>
      <w:r>
        <w:drawing>
          <wp:inline distT="0" distB="0" distL="0" distR="0">
            <wp:extent cx="3619500" cy="2581275"/>
            <wp:effectExtent l="0" t="0" r="0" b="0"/>
            <wp:docPr id="1998842616" name="Picture 1998842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42616" name="Picture 1998842616"/>
                    <pic:cNvPicPr>
                      <a:picLocks noChangeAspect="1" noChangeArrowheads="1"/>
                    </pic:cNvPicPr>
                  </pic:nvPicPr>
                  <pic:blipFill>
                    <a:blip r:embed="rId16"/>
                    <a:srcRect/>
                    <a:stretch>
                      <a:fillRect/>
                    </a:stretch>
                  </pic:blipFill>
                  <pic:spPr>
                    <a:xfrm>
                      <a:off x="0" y="0"/>
                      <a:ext cx="3619500" cy="2581275"/>
                    </a:xfrm>
                    <a:prstGeom prst="rect">
                      <a:avLst/>
                    </a:prstGeom>
                  </pic:spPr>
                </pic:pic>
              </a:graphicData>
            </a:graphic>
          </wp:inline>
        </w:drawing>
      </w:r>
    </w:p>
    <w:p w14:paraId="127735BD">
      <w:pPr>
        <w:spacing w:after="300"/>
        <w:jc w:val="center"/>
      </w:pPr>
      <w:r>
        <w:rPr>
          <w:i/>
          <w:iCs/>
          <w:color w:val="555555"/>
          <w:sz w:val="18"/>
          <w:szCs w:val="18"/>
        </w:rPr>
        <w:t>Figure 6: Estimated combined Adidas and Reebok US market share, 2005 vs 2015 (Modern Retail, 2022).</w:t>
      </w:r>
    </w:p>
    <w:p w14:paraId="02553D53">
      <w:pPr>
        <w:spacing w:after="200" w:line="276" w:lineRule="auto"/>
        <w:jc w:val="both"/>
      </w:pPr>
      <w:r>
        <w:t>By 2015, Adidas's and Reebok's respective US shares had fallen to roughly 4% and 1%, and new leadership at Adidas subsequently closed dozens of Reebok stores and cut jobs as part of a broader restructuring (Modern Retail, 2022). Adidas ultimately sold Reebok to Authentic Brands Group for at least $2.5 billion in a deal completed in 2022, effectively reversing the acquisition-led entry strategy it had pursued 17 years earlier (SGB Media, 2022; Wikipedia, 2026).</w:t>
      </w:r>
    </w:p>
    <w:p w14:paraId="1B1E4C55">
      <w:pPr>
        <w:spacing w:after="200" w:line="276" w:lineRule="auto"/>
        <w:jc w:val="both"/>
      </w:pPr>
      <w:r>
        <w:t>Today, Adidas's mode of entry into the United States is best described as a high-control, wholly owned direct-investment model, combining owned retail and e-commerce with selective wholesale partnerships, rather than franchising, licensing or joint ventures. This reflects the strategic weight of the US market, and it also reflects a lesson from the Reebok experience: that acquiring scale through M&amp;A carries execution risk that organic, digitally led growth may not. The Reebok case illustrates a wider point in entry-mode theory — that a mode offering fast market access and control can still fail if the acquired brand's positioning is not genuinely complementary, and Adidas's decade of underinvestment in Reebok after the deal points to poor post-acquisition integration as much as any flaw in the original entry-mode logic.</w:t>
      </w:r>
    </w:p>
    <w:p w14:paraId="74630EAD">
      <w:r>
        <w:t>Table 6: Advantages and disadvantages of Adidas’s US market-entry approaches (SEC, 2005; Modern Retail, 2022; SGB Media, 2022; own analysis).</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40"/>
        <w:gridCol w:w="2340"/>
        <w:gridCol w:w="2340"/>
        <w:gridCol w:w="2340"/>
      </w:tblGrid>
      <w:tr w14:paraId="123F99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173703BA">
            <w:r>
              <w:rPr>
                <w:b/>
                <w:sz w:val="19"/>
              </w:rPr>
              <w:t>Market-entry approach</w:t>
            </w:r>
          </w:p>
        </w:tc>
        <w:tc>
          <w:tcPr>
            <w:tcW w:w="2340" w:type="dxa"/>
            <w:vAlign w:val="center"/>
          </w:tcPr>
          <w:p w14:paraId="3496BA3B">
            <w:r>
              <w:rPr>
                <w:b/>
                <w:sz w:val="19"/>
              </w:rPr>
              <w:t>Advantages for Adidas</w:t>
            </w:r>
          </w:p>
        </w:tc>
        <w:tc>
          <w:tcPr>
            <w:tcW w:w="2340" w:type="dxa"/>
            <w:vAlign w:val="center"/>
          </w:tcPr>
          <w:p w14:paraId="1573441A">
            <w:r>
              <w:rPr>
                <w:b/>
                <w:sz w:val="19"/>
              </w:rPr>
              <w:t>Disadvantages / risks</w:t>
            </w:r>
          </w:p>
        </w:tc>
        <w:tc>
          <w:tcPr>
            <w:tcW w:w="2340" w:type="dxa"/>
            <w:vAlign w:val="center"/>
          </w:tcPr>
          <w:p w14:paraId="020844AF">
            <w:r>
              <w:rPr>
                <w:b/>
                <w:sz w:val="19"/>
              </w:rPr>
              <w:t>Lesson from the US case</w:t>
            </w:r>
          </w:p>
        </w:tc>
      </w:tr>
      <w:tr w14:paraId="3557E8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2CF5AE34">
            <w:r>
              <w:rPr>
                <w:sz w:val="19"/>
              </w:rPr>
              <w:t>Wholly owned direct investment</w:t>
            </w:r>
          </w:p>
        </w:tc>
        <w:tc>
          <w:tcPr>
            <w:tcW w:w="2340" w:type="dxa"/>
            <w:vAlign w:val="center"/>
          </w:tcPr>
          <w:p w14:paraId="6828BCE8">
            <w:r>
              <w:rPr>
                <w:sz w:val="19"/>
              </w:rPr>
              <w:t>High control over branding, pricing, customer data and distribution; consistent global brand standards; stronger direct-to-consumer capability.</w:t>
            </w:r>
          </w:p>
        </w:tc>
        <w:tc>
          <w:tcPr>
            <w:tcW w:w="2340" w:type="dxa"/>
            <w:vAlign w:val="center"/>
          </w:tcPr>
          <w:p w14:paraId="7DE3FD13">
            <w:r>
              <w:rPr>
                <w:sz w:val="19"/>
              </w:rPr>
              <w:t>Requires substantial capital, local management and operational capability; Adidas bears more market risk.</w:t>
            </w:r>
          </w:p>
        </w:tc>
        <w:tc>
          <w:tcPr>
            <w:tcW w:w="2340" w:type="dxa"/>
            <w:vAlign w:val="center"/>
          </w:tcPr>
          <w:p w14:paraId="2E70B837">
            <w:r>
              <w:rPr>
                <w:sz w:val="19"/>
              </w:rPr>
              <w:t>Suitable for a strategically important market where long-term control is valuable.</w:t>
            </w:r>
          </w:p>
        </w:tc>
      </w:tr>
      <w:tr w14:paraId="00461B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08842961">
            <w:r>
              <w:rPr>
                <w:sz w:val="19"/>
              </w:rPr>
              <w:t>Acquisition: Reebok (2005)</w:t>
            </w:r>
          </w:p>
        </w:tc>
        <w:tc>
          <w:tcPr>
            <w:tcW w:w="2340" w:type="dxa"/>
            <w:vAlign w:val="center"/>
          </w:tcPr>
          <w:p w14:paraId="51342D41">
            <w:r>
              <w:rPr>
                <w:sz w:val="19"/>
              </w:rPr>
              <w:t>Fast access to an established US brand, stores, distribution and customers; potential to increase scale quickly.</w:t>
            </w:r>
          </w:p>
        </w:tc>
        <w:tc>
          <w:tcPr>
            <w:tcW w:w="2340" w:type="dxa"/>
            <w:vAlign w:val="center"/>
          </w:tcPr>
          <w:p w14:paraId="59B8E73C">
            <w:r>
              <w:rPr>
                <w:sz w:val="19"/>
              </w:rPr>
              <w:t>High acquisition cost; integration complexity; possible brand-positioning conflict; financial and management risk.</w:t>
            </w:r>
          </w:p>
        </w:tc>
        <w:tc>
          <w:tcPr>
            <w:tcW w:w="2340" w:type="dxa"/>
            <w:vAlign w:val="center"/>
          </w:tcPr>
          <w:p w14:paraId="258BD3B9">
            <w:r>
              <w:rPr>
                <w:sz w:val="19"/>
              </w:rPr>
              <w:t>Scale alone does not guarantee sustainable market share; integration and strategic fit are critical.</w:t>
            </w:r>
          </w:p>
        </w:tc>
      </w:tr>
      <w:tr w14:paraId="3A970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1C9604EE">
            <w:r>
              <w:rPr>
                <w:sz w:val="19"/>
              </w:rPr>
              <w:t>Selective wholesale partnerships</w:t>
            </w:r>
          </w:p>
        </w:tc>
        <w:tc>
          <w:tcPr>
            <w:tcW w:w="2340" w:type="dxa"/>
            <w:vAlign w:val="center"/>
          </w:tcPr>
          <w:p w14:paraId="4247CF04">
            <w:r>
              <w:rPr>
                <w:sz w:val="19"/>
              </w:rPr>
              <w:t>Extends reach across a large geographic market and uses established retailers’ local traffic and expertise.</w:t>
            </w:r>
          </w:p>
        </w:tc>
        <w:tc>
          <w:tcPr>
            <w:tcW w:w="2340" w:type="dxa"/>
            <w:vAlign w:val="center"/>
          </w:tcPr>
          <w:p w14:paraId="57DDA94A">
            <w:r>
              <w:rPr>
                <w:sz w:val="19"/>
              </w:rPr>
              <w:t>Less control over retail presentation, pricing and customer relationship; dependence on partners.</w:t>
            </w:r>
          </w:p>
        </w:tc>
        <w:tc>
          <w:tcPr>
            <w:tcW w:w="2340" w:type="dxa"/>
            <w:vAlign w:val="center"/>
          </w:tcPr>
          <w:p w14:paraId="6DB457BE">
            <w:r>
              <w:rPr>
                <w:sz w:val="19"/>
              </w:rPr>
              <w:t>Useful as a complement to direct channels rather than a complete substitute for them.</w:t>
            </w:r>
          </w:p>
        </w:tc>
      </w:tr>
    </w:tbl>
    <w:p w14:paraId="4F299B40">
      <w:pPr>
        <w:pStyle w:val="2"/>
        <w:spacing w:before="400" w:after="200"/>
      </w:pPr>
      <w:bookmarkStart w:id="86" w:name="_Toc237533450"/>
      <w:bookmarkStart w:id="87" w:name="_Toc236638088"/>
      <w:r>
        <w:t>9. Ethical Evaluation</w:t>
      </w:r>
      <w:bookmarkEnd w:id="86"/>
      <w:bookmarkEnd w:id="87"/>
    </w:p>
    <w:p w14:paraId="0A35C590">
      <w:pPr>
        <w:spacing w:after="200" w:line="276" w:lineRule="auto"/>
        <w:jc w:val="both"/>
      </w:pPr>
      <w:r>
        <w:t>This section focuses on the United States, where Adidas's most significant ethical episode of recent years played out, and sets out two examples of ethical practice alongside two examples of unethical or controversial practice.</w:t>
      </w:r>
    </w:p>
    <w:p w14:paraId="4BE8DA96">
      <w:pPr>
        <w:pStyle w:val="3"/>
        <w:spacing w:before="300" w:after="150"/>
      </w:pPr>
      <w:bookmarkStart w:id="88" w:name="_Toc237533451"/>
      <w:bookmarkStart w:id="89" w:name="_Toc236638089"/>
      <w:r>
        <w:t>9.1 Ethical Business Practices</w:t>
      </w:r>
      <w:bookmarkEnd w:id="88"/>
      <w:bookmarkEnd w:id="89"/>
    </w:p>
    <w:p w14:paraId="3F168BF4">
      <w:pPr>
        <w:spacing w:after="200" w:line="276" w:lineRule="auto"/>
        <w:jc w:val="both"/>
      </w:pPr>
      <w:r>
        <w:t>Yeezy inventory donation programme: rather than write off or destroy the roughly €1.2 billion of Yeezy inventory left over after cutting ties with Ye, Adidas chose to sell the stock and donate a significant share of the proceeds to organisations combating hate and discrimination, including the Anti-Defamation League and the Philonise &amp; Keeta Floyd Institute for Social Change; by early 2024 that had reached over $150 million donated or committed (NBC News, 2024; PBS NewsHour, 2023). This was a genuinely constructive response to a difficult situation: it avoided wasting the material and labour that had gone into the product, and it directed a meaningful sum toward the communities harmed by Ye's remarks, rather than simply absorbing the financial loss quietly.</w:t>
      </w:r>
    </w:p>
    <w:p w14:paraId="5F03D2DA">
      <w:pPr>
        <w:spacing w:after="200" w:line="276" w:lineRule="auto"/>
        <w:jc w:val="both"/>
      </w:pPr>
      <w:r>
        <w:t>Parley for the Oceans partnership: since 2015, Adidas has partnered with the non-profit Parley for the Oceans to turn intercepted ocean plastic into performance and lifestyle footwear, producing more than 50 million pairs of shoes containing Parley Ocean Plastic and running the annual Run for the Oceans campaign, which has brought together more than 8.2 million participants running a combined 81.7 million km since 2017 (Sustain Health Magazine, 2022). This is a long-running, verifiably large-scale sustainability programme rather than a one-off marketing gesture, and it has materially shifted how much recycled material Adidas actually uses across its product range.</w:t>
      </w:r>
    </w:p>
    <w:p w14:paraId="30BCCC6A">
      <w:pPr>
        <w:pStyle w:val="3"/>
        <w:spacing w:before="300" w:after="150"/>
      </w:pPr>
      <w:bookmarkStart w:id="90" w:name="_Toc237533452"/>
      <w:bookmarkStart w:id="91" w:name="_Toc236638090"/>
      <w:r>
        <w:t>9.2 Unethical or Controversial Business Practices</w:t>
      </w:r>
      <w:bookmarkEnd w:id="90"/>
      <w:bookmarkEnd w:id="91"/>
    </w:p>
    <w:p w14:paraId="55FAC277">
      <w:pPr>
        <w:spacing w:after="200" w:line="276" w:lineRule="auto"/>
        <w:jc w:val="both"/>
      </w:pPr>
      <w:r>
        <w:t>Slow response to the Yeezy partnership: Ye's troubling public conduct had been building for some time before Adidas terminated the partnership in October 2022, an admitted cost of up to €250 million in short-term net income (Time, 2022b). Even employees inside the company publicly criticised its slowness to respond, with one of its own trade-marketing directors noting on LinkedIn that Adidas had previously dropped athletes over doping violations but was initially reluctant to cut ties over hate speech (Time, 2022b). A subsequent shareholder class action went further, alleging Adidas had misled investors about the risks tied to its reliance on the Yeezy partnership in its 2018–2021 annual reports (Bahr Thompson, 2023), and the dispute became more complicated still after termination, when Adidas alleged in arbitration that Ye's company had misused a substantial share of a $100-million-a-year marketing fund (Time, 2023). The case is sharpened by Adidas's own institutional history: founder Adolf Dassler was a member of the Nazi Party, a fact that resurfaced prominently once Ye's remarks turned explicitly antisemitic (Time, 2022b), leaving the brand with less room than most companies to appear slow or equivocal in responding to hate speech.</w:t>
      </w:r>
    </w:p>
    <w:p w14:paraId="100345C5">
      <w:pPr>
        <w:spacing w:after="200" w:line="276" w:lineRule="auto"/>
        <w:jc w:val="both"/>
      </w:pPr>
      <w:r>
        <w:t>Greenwashing concerns: Adidas's broader sustainability messaging around recycled polyester and its Futurecraft.Loop recyclable shoe concept has drawn some scrutiny over whether the environmental benefit is proportionate to the marketing emphasis placed on it, a criticism common across the sportswear sector. This sits in some tension with the genuine scale of the Parley partnership described above, and illustrates a broader risk: that legitimate sustainability programmes can still attract greenwashing criticism if headline claims run ahead of independently verifiable detail.</w:t>
      </w:r>
    </w:p>
    <w:p w14:paraId="689857AD">
      <w:r>
        <w:t>Table 7: Ethical and controversial examples across the 7Ps (NBC News, 2024; PBS NewsHour, 2023; Time, 2022b; own analysis).</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40"/>
        <w:gridCol w:w="2340"/>
        <w:gridCol w:w="2340"/>
        <w:gridCol w:w="2340"/>
      </w:tblGrid>
      <w:tr w14:paraId="1FE626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37688222">
            <w:r>
              <w:rPr>
                <w:b/>
                <w:sz w:val="19"/>
              </w:rPr>
              <w:t>7P / area</w:t>
            </w:r>
          </w:p>
        </w:tc>
        <w:tc>
          <w:tcPr>
            <w:tcW w:w="2340" w:type="dxa"/>
            <w:vAlign w:val="center"/>
          </w:tcPr>
          <w:p w14:paraId="3F55169D">
            <w:r>
              <w:rPr>
                <w:b/>
                <w:sz w:val="19"/>
              </w:rPr>
              <w:t>Example</w:t>
            </w:r>
          </w:p>
        </w:tc>
        <w:tc>
          <w:tcPr>
            <w:tcW w:w="2340" w:type="dxa"/>
            <w:vAlign w:val="center"/>
          </w:tcPr>
          <w:p w14:paraId="3E514AB8">
            <w:r>
              <w:rPr>
                <w:b/>
                <w:sz w:val="19"/>
              </w:rPr>
              <w:t>Ethical or unethical?</w:t>
            </w:r>
          </w:p>
        </w:tc>
        <w:tc>
          <w:tcPr>
            <w:tcW w:w="2340" w:type="dxa"/>
            <w:vAlign w:val="center"/>
          </w:tcPr>
          <w:p w14:paraId="4FAC4BD6">
            <w:r>
              <w:rPr>
                <w:b/>
                <w:sz w:val="19"/>
              </w:rPr>
              <w:t>Why it matters</w:t>
            </w:r>
          </w:p>
        </w:tc>
      </w:tr>
      <w:tr w14:paraId="036B61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5B52CF6E">
            <w:r>
              <w:rPr>
                <w:sz w:val="19"/>
              </w:rPr>
              <w:t>Product / sustainability</w:t>
            </w:r>
          </w:p>
        </w:tc>
        <w:tc>
          <w:tcPr>
            <w:tcW w:w="2340" w:type="dxa"/>
            <w:vAlign w:val="center"/>
          </w:tcPr>
          <w:p w14:paraId="12EC9551">
            <w:r>
              <w:rPr>
                <w:sz w:val="19"/>
              </w:rPr>
              <w:t>Parley partnership and use of recycled materials in footwear.</w:t>
            </w:r>
          </w:p>
        </w:tc>
        <w:tc>
          <w:tcPr>
            <w:tcW w:w="2340" w:type="dxa"/>
            <w:vAlign w:val="center"/>
          </w:tcPr>
          <w:p w14:paraId="1928FC8D">
            <w:r>
              <w:rPr>
                <w:sz w:val="19"/>
              </w:rPr>
              <w:t>Ethical practice</w:t>
            </w:r>
          </w:p>
        </w:tc>
        <w:tc>
          <w:tcPr>
            <w:tcW w:w="2340" w:type="dxa"/>
            <w:vAlign w:val="center"/>
          </w:tcPr>
          <w:p w14:paraId="546D6292">
            <w:r>
              <w:rPr>
                <w:sz w:val="19"/>
              </w:rPr>
              <w:t>Connects product development with a measurable environmental objective; impact should still be reported transparently.</w:t>
            </w:r>
          </w:p>
        </w:tc>
      </w:tr>
      <w:tr w14:paraId="2F18AD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4986F7AF">
            <w:r>
              <w:rPr>
                <w:sz w:val="19"/>
              </w:rPr>
              <w:t>Promotion / corporate response</w:t>
            </w:r>
          </w:p>
        </w:tc>
        <w:tc>
          <w:tcPr>
            <w:tcW w:w="2340" w:type="dxa"/>
            <w:vAlign w:val="center"/>
          </w:tcPr>
          <w:p w14:paraId="59D8CC2A">
            <w:r>
              <w:rPr>
                <w:sz w:val="19"/>
              </w:rPr>
              <w:t>Donation of part of Yeezy-sale proceeds to anti-hate organisations.</w:t>
            </w:r>
          </w:p>
        </w:tc>
        <w:tc>
          <w:tcPr>
            <w:tcW w:w="2340" w:type="dxa"/>
            <w:vAlign w:val="center"/>
          </w:tcPr>
          <w:p w14:paraId="6D1D4E0F">
            <w:r>
              <w:rPr>
                <w:sz w:val="19"/>
              </w:rPr>
              <w:t>Ethical practice</w:t>
            </w:r>
          </w:p>
        </w:tc>
        <w:tc>
          <w:tcPr>
            <w:tcW w:w="2340" w:type="dxa"/>
            <w:vAlign w:val="center"/>
          </w:tcPr>
          <w:p w14:paraId="18487762">
            <w:r>
              <w:rPr>
                <w:sz w:val="19"/>
              </w:rPr>
              <w:t>Turns a difficult commercial situation into support for organisations addressing discrimination and hate.</w:t>
            </w:r>
          </w:p>
        </w:tc>
      </w:tr>
      <w:tr w14:paraId="63EB5A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60CB1C09">
            <w:r>
              <w:rPr>
                <w:sz w:val="19"/>
              </w:rPr>
              <w:t>Promotion / partnership governance</w:t>
            </w:r>
          </w:p>
        </w:tc>
        <w:tc>
          <w:tcPr>
            <w:tcW w:w="2340" w:type="dxa"/>
            <w:vAlign w:val="center"/>
          </w:tcPr>
          <w:p w14:paraId="6AFF77D5">
            <w:r>
              <w:rPr>
                <w:sz w:val="19"/>
              </w:rPr>
              <w:t>Delayed termination of the Yeezy partnership despite escalating public controversy.</w:t>
            </w:r>
          </w:p>
        </w:tc>
        <w:tc>
          <w:tcPr>
            <w:tcW w:w="2340" w:type="dxa"/>
            <w:vAlign w:val="center"/>
          </w:tcPr>
          <w:p w14:paraId="65A51C2A">
            <w:r>
              <w:rPr>
                <w:sz w:val="19"/>
              </w:rPr>
              <w:t>Unethical / controversial practice</w:t>
            </w:r>
          </w:p>
        </w:tc>
        <w:tc>
          <w:tcPr>
            <w:tcW w:w="2340" w:type="dxa"/>
            <w:vAlign w:val="center"/>
          </w:tcPr>
          <w:p w14:paraId="0A3665C8">
            <w:r>
              <w:rPr>
                <w:sz w:val="19"/>
              </w:rPr>
              <w:t>Raises questions about stakeholder responsibility, values-based governance and the speed of ethical decision-making.</w:t>
            </w:r>
          </w:p>
        </w:tc>
      </w:tr>
      <w:tr w14:paraId="0D616E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340" w:type="dxa"/>
            <w:vAlign w:val="center"/>
          </w:tcPr>
          <w:p w14:paraId="56EAD853">
            <w:r>
              <w:rPr>
                <w:sz w:val="19"/>
              </w:rPr>
              <w:t>Promotion / sustainability claims</w:t>
            </w:r>
          </w:p>
        </w:tc>
        <w:tc>
          <w:tcPr>
            <w:tcW w:w="2340" w:type="dxa"/>
            <w:vAlign w:val="center"/>
          </w:tcPr>
          <w:p w14:paraId="0A79D10E">
            <w:r>
              <w:rPr>
                <w:sz w:val="19"/>
              </w:rPr>
              <w:t>Risk of overstating environmental benefits in marketing communications.</w:t>
            </w:r>
          </w:p>
        </w:tc>
        <w:tc>
          <w:tcPr>
            <w:tcW w:w="2340" w:type="dxa"/>
            <w:vAlign w:val="center"/>
          </w:tcPr>
          <w:p w14:paraId="7E55C4F3">
            <w:r>
              <w:rPr>
                <w:sz w:val="19"/>
              </w:rPr>
              <w:t>Potentially unethical / greenwashing concern</w:t>
            </w:r>
          </w:p>
        </w:tc>
        <w:tc>
          <w:tcPr>
            <w:tcW w:w="2340" w:type="dxa"/>
            <w:vAlign w:val="center"/>
          </w:tcPr>
          <w:p w14:paraId="3B718754">
            <w:r>
              <w:rPr>
                <w:sz w:val="19"/>
              </w:rPr>
              <w:t>Claims should be supported by clear, independently verifiable evidence so consumers are not misled.</w:t>
            </w:r>
          </w:p>
        </w:tc>
      </w:tr>
    </w:tbl>
    <w:p w14:paraId="6DD1FA3B">
      <w:pPr>
        <w:pStyle w:val="2"/>
        <w:spacing w:before="400" w:after="200"/>
      </w:pPr>
      <w:bookmarkStart w:id="92" w:name="_Toc236638091"/>
      <w:bookmarkStart w:id="93" w:name="_Toc237533453"/>
      <w:r>
        <w:t>10. Recommendations</w:t>
      </w:r>
      <w:bookmarkEnd w:id="92"/>
      <w:bookmarkEnd w:id="93"/>
    </w:p>
    <w:p w14:paraId="2B799D59">
      <w:pPr>
        <w:pStyle w:val="3"/>
        <w:spacing w:before="300" w:after="150"/>
      </w:pPr>
      <w:bookmarkStart w:id="94" w:name="_Toc236638092"/>
      <w:bookmarkStart w:id="95" w:name="_Toc237533454"/>
      <w:r>
        <w:t>10.1 Marketing Strategy</w:t>
      </w:r>
      <w:bookmarkEnd w:id="94"/>
      <w:bookmarkEnd w:id="95"/>
    </w:p>
    <w:p w14:paraId="7396392B">
      <w:pPr>
        <w:spacing w:after="200" w:line="276" w:lineRule="auto"/>
        <w:jc w:val="both"/>
      </w:pPr>
      <w:r>
        <w:t>Adidas should continue to deepen its localisation of the marketing mix rather than dilute it: maintaining the football-heritage, engineering-led narrative that resonates in Germany while continuing to invest in the US categories where recent growth has been strongest, particularly women's product and running, where Adizero's momentum in 2025 suggests genuine headroom (Worldfootwear, 2026).</w:t>
      </w:r>
    </w:p>
    <w:p w14:paraId="651C1EA7">
      <w:pPr>
        <w:pStyle w:val="3"/>
        <w:spacing w:before="300" w:after="150"/>
      </w:pPr>
      <w:bookmarkStart w:id="96" w:name="_Toc236638093"/>
      <w:bookmarkStart w:id="97" w:name="_Toc237533455"/>
      <w:r>
        <w:t>10.2 Customer Service</w:t>
      </w:r>
      <w:bookmarkEnd w:id="96"/>
      <w:bookmarkEnd w:id="97"/>
    </w:p>
    <w:p w14:paraId="02D0EC6D">
      <w:pPr>
        <w:spacing w:after="200" w:line="276" w:lineRule="auto"/>
        <w:jc w:val="both"/>
      </w:pPr>
      <w:r>
        <w:t>Adidas should work toward a more globally consistent minimum standard for returns and complaint handling, so that the current gap between EU-mandated and US retailer-set return terms narrows over time; a clearer, more visibly consistent policy across adidas.de and adidas.com/us would reduce confusion for customers who shop across borders and support trust in the brand generally.</w:t>
      </w:r>
    </w:p>
    <w:p w14:paraId="240AB976">
      <w:pPr>
        <w:pStyle w:val="3"/>
        <w:spacing w:before="300" w:after="150"/>
      </w:pPr>
      <w:bookmarkStart w:id="98" w:name="_Toc236638094"/>
      <w:bookmarkStart w:id="99" w:name="_Toc237533456"/>
      <w:r>
        <w:t>10.3 Sustainability</w:t>
      </w:r>
      <w:bookmarkEnd w:id="98"/>
      <w:bookmarkEnd w:id="99"/>
    </w:p>
    <w:p w14:paraId="4A79AF9F">
      <w:pPr>
        <w:spacing w:after="200" w:line="276" w:lineRule="auto"/>
        <w:jc w:val="both"/>
      </w:pPr>
      <w:r>
        <w:t>Sustainability claims should be backed by independently verified, granular reporting rather than headline recycled-content statistics, both to meet tightening EU disclosure requirements and to protect against greenwashing criticism in the more skeptical US market. Given the genuine scale of the Parley partnership, Adidas would likely benefit from communicating that programme's verified impact data more prominently than its more contested circularity claims.</w:t>
      </w:r>
    </w:p>
    <w:p w14:paraId="395349BE">
      <w:pPr>
        <w:pStyle w:val="3"/>
        <w:spacing w:before="300" w:after="150"/>
      </w:pPr>
      <w:bookmarkStart w:id="100" w:name="_Toc236638095"/>
      <w:bookmarkStart w:id="101" w:name="_Toc237533457"/>
      <w:r>
        <w:t>10.4 Employee Development</w:t>
      </w:r>
      <w:bookmarkEnd w:id="100"/>
      <w:bookmarkEnd w:id="101"/>
    </w:p>
    <w:p w14:paraId="4B40D5D7">
      <w:pPr>
        <w:spacing w:after="200" w:line="276" w:lineRule="auto"/>
        <w:jc w:val="both"/>
      </w:pPr>
      <w:r>
        <w:t>Adidas should consider publishing a clearer country-level breakdown of its workforce and training investment, particularly for Germany and the United States, both to improve transparency and to give it a stronger evidence base for talent-attraction marketing in a competitive graduate and retail labour market.</w:t>
      </w:r>
    </w:p>
    <w:p w14:paraId="11586E74">
      <w:pPr>
        <w:pStyle w:val="3"/>
        <w:spacing w:before="300" w:after="150"/>
      </w:pPr>
      <w:bookmarkStart w:id="102" w:name="_Toc237533458"/>
      <w:bookmarkStart w:id="103" w:name="_Toc236638096"/>
      <w:r>
        <w:t>10.5 Product Offerings</w:t>
      </w:r>
      <w:bookmarkEnd w:id="102"/>
      <w:bookmarkEnd w:id="103"/>
    </w:p>
    <w:p w14:paraId="08920759">
      <w:pPr>
        <w:spacing w:after="200" w:line="276" w:lineRule="auto"/>
        <w:jc w:val="both"/>
      </w:pPr>
      <w:r>
        <w:t>Adidas should treat its considerable product depth in running (from entry-level to the marathon-record-holding Adizero range) as a stronger recruitment tool into the brand than it currently is, using it deliberately to bring price-sensitive US and German consumers in at an accessible price point before upselling into the performance range.</w:t>
      </w:r>
    </w:p>
    <w:p w14:paraId="6530A571">
      <w:pPr>
        <w:pStyle w:val="3"/>
        <w:spacing w:before="300" w:after="150"/>
      </w:pPr>
      <w:bookmarkStart w:id="104" w:name="_Toc236638097"/>
      <w:bookmarkStart w:id="105" w:name="_Toc237533459"/>
      <w:r>
        <w:t>10.6 Promotion and Distribution</w:t>
      </w:r>
      <w:bookmarkEnd w:id="104"/>
      <w:bookmarkEnd w:id="105"/>
    </w:p>
    <w:p w14:paraId="1647BE2A">
      <w:pPr>
        <w:spacing w:after="200" w:line="276" w:lineRule="auto"/>
        <w:jc w:val="both"/>
      </w:pPr>
      <w:r>
        <w:t>Adidas should formalise a proactive, escalation-triggered governance process for celebrity and athlete partnerships, with predefined conduct thresholds and financial-fund monitoring built into contracts from the outset, rather than relying on reactive crisis management once problems become public. On distribution, given that management already expects a meaningful tariff-related cost drag in 2026, Adidas should continue diversifying its manufacturing base beyond the handful of Asian countries most exposed to Section 301 investigations, and consider building larger US-based inventory buffers to reduce sensitivity to further trade-policy swings (AAFA, 2026; Tariffstool, 2026). Finally, Adidas should treat the Reebok acquisition as a cautionary precedent rather than a template: future international expansion is better served by organic, digitally led direct-to-consumer growth and closely integrated, carefully governed partnerships than by large-scale M&amp;A pursued primarily for market-share gains.</w:t>
      </w:r>
    </w:p>
    <w:p w14:paraId="59570A21">
      <w:pPr>
        <w:pStyle w:val="3"/>
      </w:pPr>
      <w:bookmarkStart w:id="106" w:name="_Toc237533460"/>
      <w:r>
        <w:t>10.7 Country-Specific Recommendations</w:t>
      </w:r>
      <w:bookmarkEnd w:id="106"/>
    </w:p>
    <w:p w14:paraId="7B2C68A7">
      <w:r>
        <w:t>The recommendations should not be identical because the evidence shows different consumer priorities, competitive pressures and cultural conditions in the two markets.</w:t>
      </w:r>
    </w:p>
    <w:p w14:paraId="71B7D89C">
      <w:r>
        <w:t>Table 8: Separate recommendations for Adidas in Germany and the United States (own analysis based on the PESTEL, Hofstede, STP and 7Ps findings).</w:t>
      </w: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14:paraId="393982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75" w:type="dxa"/>
            <w:vAlign w:val="center"/>
          </w:tcPr>
          <w:p w14:paraId="34FDC1F2">
            <w:pPr>
              <w:spacing w:before="40" w:after="40"/>
            </w:pPr>
            <w:r>
              <w:rPr>
                <w:b/>
                <w:sz w:val="19"/>
              </w:rPr>
              <w:t>Germany</w:t>
            </w:r>
          </w:p>
        </w:tc>
        <w:tc>
          <w:tcPr>
            <w:tcW w:w="4675" w:type="dxa"/>
            <w:vAlign w:val="center"/>
          </w:tcPr>
          <w:p w14:paraId="060642B3">
            <w:pPr>
              <w:spacing w:before="40" w:after="40"/>
            </w:pPr>
            <w:r>
              <w:rPr>
                <w:b/>
                <w:sz w:val="19"/>
              </w:rPr>
              <w:t>United States</w:t>
            </w:r>
          </w:p>
        </w:tc>
      </w:tr>
      <w:tr w14:paraId="1C471A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75" w:type="dxa"/>
            <w:vAlign w:val="center"/>
          </w:tcPr>
          <w:p w14:paraId="6E4003D1">
            <w:pPr>
              <w:spacing w:before="40" w:after="40"/>
            </w:pPr>
            <w:r>
              <w:rPr>
                <w:sz w:val="19"/>
              </w:rPr>
              <w:t>1. Strengthen football-led authenticity: use Bundesliga, DFB and grassroots football partnerships to reinforce Adidas’s home-market heritage. Example: combine national-team product launches with local club and community football content.</w:t>
            </w:r>
          </w:p>
        </w:tc>
        <w:tc>
          <w:tcPr>
            <w:tcW w:w="4675" w:type="dxa"/>
            <w:vAlign w:val="center"/>
          </w:tcPr>
          <w:p w14:paraId="28DF5EDD">
            <w:pPr>
              <w:spacing w:before="40" w:after="40"/>
            </w:pPr>
            <w:r>
              <w:rPr>
                <w:sz w:val="19"/>
              </w:rPr>
              <w:t>1. Build stronger lifestyle and women’s propositions: continue investing in women’s training, running and Originals products. Example: use female athletes and creators to connect performance products with everyday lifestyle.</w:t>
            </w:r>
          </w:p>
        </w:tc>
      </w:tr>
      <w:tr w14:paraId="229228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75" w:type="dxa"/>
            <w:vAlign w:val="center"/>
          </w:tcPr>
          <w:p w14:paraId="6ECBC9C3">
            <w:pPr>
              <w:spacing w:before="40" w:after="40"/>
            </w:pPr>
            <w:r>
              <w:rPr>
                <w:sz w:val="19"/>
              </w:rPr>
              <w:t>2. Emphasise technical proof and durability: communicate product technology, testing and performance benefits in detail. Example: explain Adizero technology through evidence-led running campaigns rather than only celebrity endorsement.</w:t>
            </w:r>
          </w:p>
        </w:tc>
        <w:tc>
          <w:tcPr>
            <w:tcW w:w="4675" w:type="dxa"/>
            <w:vAlign w:val="center"/>
          </w:tcPr>
          <w:p w14:paraId="1B082578">
            <w:pPr>
              <w:spacing w:before="40" w:after="40"/>
            </w:pPr>
            <w:r>
              <w:rPr>
                <w:sz w:val="19"/>
              </w:rPr>
              <w:t>2. Expand culturally relevant basketball and running campaigns: use athletes such as Anthony Edwards alongside running communities and city run clubs.</w:t>
            </w:r>
          </w:p>
        </w:tc>
      </w:tr>
      <w:tr w14:paraId="571DC1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75" w:type="dxa"/>
            <w:vAlign w:val="center"/>
          </w:tcPr>
          <w:p w14:paraId="5C1B963E">
            <w:pPr>
              <w:spacing w:before="40" w:after="40"/>
            </w:pPr>
            <w:r>
              <w:rPr>
                <w:sz w:val="19"/>
              </w:rPr>
              <w:t>3. Use sustainability as a trust-builder: provide detailed evidence about materials, repair, durability and environmental impact rather than relying on broad claims.</w:t>
            </w:r>
          </w:p>
        </w:tc>
        <w:tc>
          <w:tcPr>
            <w:tcW w:w="4675" w:type="dxa"/>
            <w:vAlign w:val="center"/>
          </w:tcPr>
          <w:p w14:paraId="295FB133">
            <w:pPr>
              <w:spacing w:before="40" w:after="40"/>
            </w:pPr>
            <w:r>
              <w:rPr>
                <w:sz w:val="19"/>
              </w:rPr>
              <w:t>3. Make digital personalisation more important: use adiClub/app data to provide personalised drops, running recommendations and member benefits while respecting privacy requirements.</w:t>
            </w:r>
          </w:p>
        </w:tc>
      </w:tr>
      <w:tr w14:paraId="3441DA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4675" w:type="dxa"/>
            <w:vAlign w:val="center"/>
          </w:tcPr>
          <w:p w14:paraId="2BA2973F">
            <w:pPr>
              <w:spacing w:before="40" w:after="40"/>
            </w:pPr>
            <w:r>
              <w:rPr>
                <w:sz w:val="19"/>
              </w:rPr>
              <w:t>4. Protect accessible price points: offer entry-level running, football and casual footwear alongside premium products to respond to cautious consumer spending.</w:t>
            </w:r>
          </w:p>
        </w:tc>
        <w:tc>
          <w:tcPr>
            <w:tcW w:w="4675" w:type="dxa"/>
            <w:vAlign w:val="center"/>
          </w:tcPr>
          <w:p w14:paraId="17911791">
            <w:pPr>
              <w:spacing w:before="40" w:after="40"/>
            </w:pPr>
            <w:r>
              <w:rPr>
                <w:sz w:val="19"/>
              </w:rPr>
              <w:t>4. Reduce tariff and supply-chain exposure: diversify sourcing and consider inventory buffers for key US product categories while maintaining competitive prices.</w:t>
            </w:r>
          </w:p>
        </w:tc>
      </w:tr>
    </w:tbl>
    <w:p w14:paraId="417D052C">
      <w:pPr>
        <w:pStyle w:val="2"/>
      </w:pPr>
      <w:bookmarkStart w:id="107" w:name="_Toc236638098"/>
    </w:p>
    <w:p w14:paraId="45FF1448">
      <w:pPr>
        <w:pStyle w:val="2"/>
      </w:pPr>
    </w:p>
    <w:p w14:paraId="298721FB">
      <w:pPr>
        <w:pStyle w:val="2"/>
      </w:pPr>
    </w:p>
    <w:p w14:paraId="752CF6C0">
      <w:pPr>
        <w:pStyle w:val="2"/>
      </w:pPr>
    </w:p>
    <w:p w14:paraId="64B0059D">
      <w:pPr>
        <w:pStyle w:val="2"/>
      </w:pPr>
    </w:p>
    <w:p w14:paraId="1FC2D3EA">
      <w:pPr>
        <w:pStyle w:val="2"/>
      </w:pPr>
    </w:p>
    <w:p w14:paraId="4586E343">
      <w:pPr>
        <w:pStyle w:val="2"/>
      </w:pPr>
    </w:p>
    <w:p w14:paraId="616E28DF">
      <w:pPr>
        <w:pStyle w:val="2"/>
      </w:pPr>
    </w:p>
    <w:p w14:paraId="09357E07">
      <w:pPr>
        <w:pStyle w:val="2"/>
      </w:pPr>
    </w:p>
    <w:p w14:paraId="3536181E">
      <w:pPr>
        <w:pStyle w:val="2"/>
      </w:pPr>
    </w:p>
    <w:p w14:paraId="21F09D42">
      <w:pPr>
        <w:pStyle w:val="2"/>
      </w:pPr>
    </w:p>
    <w:p w14:paraId="3BE1792C">
      <w:pPr>
        <w:pStyle w:val="2"/>
      </w:pPr>
    </w:p>
    <w:p w14:paraId="6B5D9339">
      <w:pPr>
        <w:pStyle w:val="2"/>
      </w:pPr>
      <w:bookmarkStart w:id="108" w:name="_Toc237533461"/>
      <w:r>
        <w:t>Section 2: Reflective Account (Gibbs’ Reflective Cycle)</w:t>
      </w:r>
      <w:bookmarkEnd w:id="108"/>
    </w:p>
    <w:p w14:paraId="7FE5DAAE">
      <w:pPr>
        <w:jc w:val="center"/>
      </w:pPr>
      <w:r>
        <w:drawing>
          <wp:inline distT="0" distB="0" distL="0" distR="0">
            <wp:extent cx="3474720" cy="3474720"/>
            <wp:effectExtent l="0" t="0" r="0" b="0"/>
            <wp:docPr id="1998842617" name="Picture 19988426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42617" name="Picture 1998842617"/>
                    <pic:cNvPicPr>
                      <a:picLocks noChangeAspect="1"/>
                    </pic:cNvPicPr>
                  </pic:nvPicPr>
                  <pic:blipFill>
                    <a:blip r:embed="rId17"/>
                    <a:stretch>
                      <a:fillRect/>
                    </a:stretch>
                  </pic:blipFill>
                  <pic:spPr>
                    <a:xfrm>
                      <a:off x="0" y="0"/>
                      <a:ext cx="3474720" cy="3474720"/>
                    </a:xfrm>
                    <a:prstGeom prst="rect">
                      <a:avLst/>
                    </a:prstGeom>
                  </pic:spPr>
                </pic:pic>
              </a:graphicData>
            </a:graphic>
          </wp:inline>
        </w:drawing>
      </w:r>
    </w:p>
    <w:p w14:paraId="3003317C">
      <w:pPr>
        <w:pStyle w:val="3"/>
      </w:pPr>
      <w:bookmarkStart w:id="109" w:name="_Toc237533462"/>
      <w:r>
        <w:t>Description</w:t>
      </w:r>
      <w:bookmarkEnd w:id="109"/>
    </w:p>
    <w:p w14:paraId="058E27A9">
      <w:pPr>
        <w:jc w:val="both"/>
      </w:pPr>
      <w:r>
        <w:t>For this assessment, I compared Adidas’s international marketing strategy in Germany and the United States using PESTEL, Hofstede’s six cultural dimensions, STP and the 7Ps marketing mix. I also examined customer service, Adidas’s US market-entry strategy, ethical and controversial practices, and the differences between the two country websites. The feedback required additional diagrams, product examples, VALS segmentation, a clearer distinction between the two target strategies, and stronger evidence. I therefore revisited the report and added tables, visual analysis and country-specific examples rather than simply expanding the descriptive sections.</w:t>
      </w:r>
    </w:p>
    <w:p w14:paraId="3994280E">
      <w:pPr>
        <w:pStyle w:val="3"/>
      </w:pPr>
      <w:bookmarkStart w:id="110" w:name="_Toc237533463"/>
      <w:r>
        <w:t>Feelings</w:t>
      </w:r>
      <w:bookmarkEnd w:id="110"/>
    </w:p>
    <w:p w14:paraId="03D17AA1">
      <w:pPr>
        <w:jc w:val="both"/>
      </w:pPr>
      <w:r>
        <w:t>At the beginning, I felt reasonably confident about the topic because Adidas is a familiar global brand, but I quickly realised that familiarity with the company is not the same as having academic evidence. I also felt some pressure when I had to improve the report within a limited timeframe. This made me more aware of the importance of time management: spending too long on easy-to-find secondary sources reduced the time available for checking primary evidence, formatting references and developing the required diagrams.</w:t>
      </w:r>
    </w:p>
    <w:p w14:paraId="165A284A">
      <w:pPr>
        <w:pStyle w:val="3"/>
      </w:pPr>
      <w:bookmarkStart w:id="111" w:name="_Toc237533464"/>
      <w:r>
        <w:t>Evaluation</w:t>
      </w:r>
      <w:bookmarkEnd w:id="111"/>
    </w:p>
    <w:p w14:paraId="1BC86265">
      <w:pPr>
        <w:jc w:val="both"/>
      </w:pPr>
      <w:r>
        <w:t>A strength of the work was the breadth of the comparison. The report now links cultural differences to STP and the 7Ps instead of treating Germany and the United States as identical markets. The use of current Adidas website evidence also made the product, promotion and digital-channel discussion more concrete. However, my earlier approach to research was less efficient than it could have been. Some secondary sources repeated similar claims, and I had to revisit the reference list to improve consistency. I also needed to improve the academic English by replacing informal or general wording with more precise analytical language.</w:t>
      </w:r>
    </w:p>
    <w:p w14:paraId="7173896A">
      <w:pPr>
        <w:pStyle w:val="3"/>
      </w:pPr>
      <w:bookmarkStart w:id="112" w:name="_Toc237533465"/>
      <w:r>
        <w:t>Analysis</w:t>
      </w:r>
      <w:bookmarkEnd w:id="112"/>
    </w:p>
    <w:p w14:paraId="786BA7B5">
      <w:pPr>
        <w:jc w:val="both"/>
      </w:pPr>
      <w:r>
        <w:t>The most important learning point was that an international marketing report needs a clear connection between evidence, theory and managerial implications. Hofstede was useful for identifying differences in individualism, uncertainty avoidance, long-term orientation and indulgence, but the scores should not be treated as descriptions of every consumer. Similarly, segmentation identifies groups in the market, targeting explains which groups Adidas chooses to prioritise, and positioning explains the value proposition used to differentiate the brand. The research process also highlighted the importance of a consistent referencing system. I learned that every factual claim, current market figure, website observation and external framework should be traceable to an appropriate source, while my own interpretation should be clearly expressed as analysis rather than presented as fact.</w:t>
      </w:r>
    </w:p>
    <w:p w14:paraId="550DC2DD">
      <w:pPr>
        <w:pStyle w:val="3"/>
      </w:pPr>
      <w:bookmarkStart w:id="113" w:name="_Toc237533466"/>
      <w:r>
        <w:t>Conclusion</w:t>
      </w:r>
      <w:bookmarkEnd w:id="113"/>
    </w:p>
    <w:p w14:paraId="0BF978B9">
      <w:pPr>
        <w:jc w:val="both"/>
      </w:pPr>
      <w:r>
        <w:t>Overall, the assignment improved my ability to move from description towards comparison and evaluation. I became more confident in using marketing frameworks together rather than as isolated sections. I also learned that good academic writing is not only about grammar; it requires a logical argument, appropriate evidence, consistent referencing and a formal academic tone. The biggest improvement I would make to my working process is to plan the research, writing, visual design and referencing stages from the start rather than treating referencing and presentation as final tasks.</w:t>
      </w:r>
    </w:p>
    <w:p w14:paraId="7C98FBEA">
      <w:pPr>
        <w:pStyle w:val="3"/>
      </w:pPr>
      <w:bookmarkStart w:id="114" w:name="_Toc237533467"/>
      <w:r>
        <w:t>Action Plan</w:t>
      </w:r>
      <w:bookmarkEnd w:id="114"/>
    </w:p>
    <w:p w14:paraId="14052E61">
      <w:pPr>
        <w:jc w:val="both"/>
      </w:pPr>
      <w:r>
        <w:t>For future assignments, I will create a task schedule at the start with separate time blocks for research, framework application, drafting, referencing, editing and final formatting. I will prioritise primary sources such as company reports and official websites before using secondary sources. I will maintain a live reference list while writing and use a consistent Harvard-style format throughout. I will also reserve time for a dedicated grammar and academic-English check focused on sentence structure, subject-verb agreement, repetition, informal wording, spelling and clarity, rather than relying on a single pass at the end. Finally, I will identify required diagrams and tables at the planning stage so that each visual is linked to an analytical point rather than added at the end.</w:t>
      </w:r>
    </w:p>
    <w:p w14:paraId="25D10825">
      <w:pPr>
        <w:pStyle w:val="3"/>
        <w:jc w:val="both"/>
      </w:pPr>
      <w:bookmarkStart w:id="115" w:name="_Toc237533468"/>
      <w:r>
        <w:t>Evaluation and Skills Development</w:t>
      </w:r>
      <w:bookmarkEnd w:id="115"/>
    </w:p>
    <w:p w14:paraId="5F32432A">
      <w:pPr>
        <w:jc w:val="both"/>
      </w:pPr>
      <w:r>
        <w:t>The assignment developed my research, critical-thinking, time-management and academic-writing skills. STP was particularly useful because it forced me to separate segmentation from targeting and positioning and to explain how the chosen target differs between Germany and the United States. Applying VALS also encouraged me to justify psychographic assumptions more carefully. I improved my academic English by using more precise terms such as ‘favourable’, ‘unfavourable’, ‘differentiation’, ‘consumer behaviour’, ‘market entry mode’ and ‘managerial implication’. The assignment also strengthened my confidence in referencing because I now understand that citations should support the specific claim being made, rather than simply being placed at the end of a paragraph without a clear connection to the evidence.</w:t>
      </w:r>
    </w:p>
    <w:p w14:paraId="7A60B71B">
      <w:pPr>
        <w:pStyle w:val="2"/>
        <w:spacing w:before="400" w:after="200"/>
      </w:pPr>
    </w:p>
    <w:p w14:paraId="5D6F5093">
      <w:pPr>
        <w:pStyle w:val="2"/>
        <w:spacing w:before="400" w:after="200"/>
      </w:pPr>
      <w:bookmarkStart w:id="116" w:name="_Toc237533469"/>
      <w:r>
        <w:t>Reference List</w:t>
      </w:r>
      <w:bookmarkEnd w:id="107"/>
      <w:bookmarkEnd w:id="116"/>
    </w:p>
    <w:p w14:paraId="127311EA">
      <w:pPr>
        <w:spacing w:after="160"/>
        <w:ind w:left="720" w:hanging="720"/>
      </w:pPr>
      <w:r>
        <w:t xml:space="preserve">AAFA (2026) Fashion Tariffs 101. Available at: </w:t>
      </w:r>
      <w:r>
        <w:fldChar w:fldCharType="begin"/>
      </w:r>
      <w:r>
        <w:instrText xml:space="preserve"> HYPERLINK "https://www.aafaglobal.org/tariffs%20(Accessed:%207%20July%202026)." </w:instrText>
      </w:r>
      <w:r>
        <w:fldChar w:fldCharType="separate"/>
      </w:r>
      <w:r>
        <w:rPr>
          <w:rStyle w:val="16"/>
        </w:rPr>
        <w:t>https://www.aafaglobal.org/tariffs (Accessed: 7 July 2026).</w:t>
      </w:r>
      <w:r>
        <w:rPr>
          <w:rStyle w:val="16"/>
        </w:rPr>
        <w:fldChar w:fldCharType="end"/>
      </w:r>
    </w:p>
    <w:p w14:paraId="6382F0CF">
      <w:pPr>
        <w:spacing w:after="160"/>
        <w:ind w:left="720" w:hanging="720"/>
      </w:pPr>
      <w:r>
        <w:t xml:space="preserve">adidas Group (2026a) adidas reports record revenues for 2025 and expects strong sales and profit growth to continue over the next years. Available at: </w:t>
      </w:r>
      <w:r>
        <w:fldChar w:fldCharType="begin"/>
      </w:r>
      <w:r>
        <w:instrText xml:space="preserve"> HYPERLINK "https://www.adidas-group.com/en/media/press-releases/adidas-reports-record-revenues-for-2025-and-expects-strong-sales-and-profit-growth-to-continue-over-the-next-years%20(" </w:instrText>
      </w:r>
      <w:r>
        <w:fldChar w:fldCharType="separate"/>
      </w:r>
      <w:r>
        <w:rPr>
          <w:rStyle w:val="16"/>
        </w:rPr>
        <w:t>https://www.adidas-group.com/en/media/press-releases/adidas-reports-record-revenues-for-2025-and-expects-strong-sales-and-profit-growth-to-continue-over-the-next-years (</w:t>
      </w:r>
      <w:r>
        <w:rPr>
          <w:rStyle w:val="16"/>
        </w:rPr>
        <w:fldChar w:fldCharType="end"/>
      </w:r>
      <w:r>
        <w:t>Accessed: 7 July 2026).</w:t>
      </w:r>
    </w:p>
    <w:p w14:paraId="315D14E2">
      <w:pPr>
        <w:spacing w:after="160"/>
        <w:ind w:left="720" w:hanging="720"/>
      </w:pPr>
      <w:r>
        <w:t xml:space="preserve">adidas Group (2026b) adidas reports record revenues in 2025 and launches share buyback. Available at: </w:t>
      </w:r>
      <w:r>
        <w:fldChar w:fldCharType="begin"/>
      </w:r>
      <w:r>
        <w:instrText xml:space="preserve"> HYPERLINK "https://www.adidas-group.com/en/media/press-releases/adidas-reports-record-revenues-in-2025-and-launches-share-buyback%20(Accessed:%207%20July%202026)." </w:instrText>
      </w:r>
      <w:r>
        <w:fldChar w:fldCharType="separate"/>
      </w:r>
      <w:r>
        <w:rPr>
          <w:rStyle w:val="16"/>
        </w:rPr>
        <w:t>https://www.adidas-group.com/en/media/press-releases/adidas-reports-record-revenues-in-2025-and-launches-share-buyback (Accessed: 7 July 2026).</w:t>
      </w:r>
      <w:r>
        <w:rPr>
          <w:rStyle w:val="16"/>
        </w:rPr>
        <w:fldChar w:fldCharType="end"/>
      </w:r>
    </w:p>
    <w:p w14:paraId="5AF6FA37">
      <w:pPr>
        <w:spacing w:after="160"/>
        <w:ind w:left="720" w:hanging="720"/>
      </w:pPr>
      <w:r>
        <w:t xml:space="preserve">Bahr Thompson, A. (2023) Lessons from the Adidas-Kanye West Break-Up. Available at: </w:t>
      </w:r>
      <w:r>
        <w:fldChar w:fldCharType="begin"/>
      </w:r>
      <w:r>
        <w:instrText xml:space="preserve"> HYPERLINK "https://annebahrthompson.com/2023/10/29/lessons-from-the-adidas-kanye-west-break-up/%20(Accessed:%207%20July%202026)." </w:instrText>
      </w:r>
      <w:r>
        <w:fldChar w:fldCharType="separate"/>
      </w:r>
      <w:r>
        <w:rPr>
          <w:rStyle w:val="16"/>
        </w:rPr>
        <w:t>https://annebahrthompson.com/2023/10/29/lessons-from-the-adidas-kanye-west-break-up/ (Accessed: 7 July 2026).</w:t>
      </w:r>
      <w:r>
        <w:rPr>
          <w:rStyle w:val="16"/>
        </w:rPr>
        <w:fldChar w:fldCharType="end"/>
      </w:r>
    </w:p>
    <w:p w14:paraId="4FEA0132">
      <w:pPr>
        <w:spacing w:after="160"/>
        <w:ind w:left="720" w:hanging="720"/>
      </w:pPr>
      <w:r>
        <w:t xml:space="preserve">BLS (2026) Consumer prices up 3.5 percent over the year ended June 2026. US Bureau of Labor Statistics. Available at: </w:t>
      </w:r>
      <w:r>
        <w:fldChar w:fldCharType="begin"/>
      </w:r>
      <w:r>
        <w:instrText xml:space="preserve"> HYPERLINK "https://www.bls.gov/opub/ted/2026/consumer-prices-up-3-5-percent-over-the-year-ended-june-2026.htm%20(Accessed:%201%20August%202026)." </w:instrText>
      </w:r>
      <w:r>
        <w:fldChar w:fldCharType="separate"/>
      </w:r>
      <w:r>
        <w:rPr>
          <w:rStyle w:val="16"/>
        </w:rPr>
        <w:t>https://www.bls.gov/opub/ted/2026/consumer-prices-up-3-5-percent-over-the-year-ended-june-2026.htm (Accessed: 1 August 2026).</w:t>
      </w:r>
      <w:r>
        <w:rPr>
          <w:rStyle w:val="16"/>
        </w:rPr>
        <w:fldChar w:fldCharType="end"/>
      </w:r>
    </w:p>
    <w:p w14:paraId="5F3CC69C">
      <w:pPr>
        <w:spacing w:after="160"/>
        <w:ind w:left="720" w:hanging="720"/>
      </w:pPr>
      <w:r>
        <w:t xml:space="preserve">BusinessModelAnalyst (2026) Adidas Mission and Vision Statement. Available at: </w:t>
      </w:r>
      <w:r>
        <w:fldChar w:fldCharType="begin"/>
      </w:r>
      <w:r>
        <w:instrText xml:space="preserve"> HYPERLINK "https://businessmodelanalyst.com/adidas-mission-and-vision-statement/%20(Accessed:%201%20August%202026)." </w:instrText>
      </w:r>
      <w:r>
        <w:fldChar w:fldCharType="separate"/>
      </w:r>
      <w:r>
        <w:rPr>
          <w:rStyle w:val="16"/>
        </w:rPr>
        <w:t>https://businessmodelanalyst.com/adidas-mission-and-vision-statement/ (Accessed: 1 August 2026).</w:t>
      </w:r>
      <w:r>
        <w:rPr>
          <w:rStyle w:val="16"/>
        </w:rPr>
        <w:fldChar w:fldCharType="end"/>
      </w:r>
    </w:p>
    <w:p w14:paraId="399C3AA5">
      <w:pPr>
        <w:spacing w:after="160"/>
        <w:ind w:left="720" w:hanging="720"/>
      </w:pPr>
      <w:r>
        <w:t>Business of Fashion (2026) Trump's Tariffs Have Already Rewired the Global Fashion Industry. Available at</w:t>
      </w:r>
      <w:r>
        <w:fldChar w:fldCharType="begin"/>
      </w:r>
      <w:r>
        <w:instrText xml:space="preserve">HYPERLINK</w:instrText>
      </w:r>
      <w:r>
        <w:fldChar w:fldCharType="separate"/>
      </w:r>
      <w:r>
        <w:rPr>
          <w:b/>
          <w:bCs/>
        </w:rPr>
        <w:t>Error! Hyperlink reference not valid.</w:t>
      </w:r>
      <w:r>
        <w:fldChar w:fldCharType="end"/>
      </w:r>
    </w:p>
    <w:p w14:paraId="39829BF7">
      <w:pPr>
        <w:spacing w:after="160"/>
        <w:ind w:left="720" w:hanging="720"/>
      </w:pPr>
      <w:r>
        <w:t xml:space="preserve">Business Strategy Hub (2025) Adidas Target Market. Available at: </w:t>
      </w:r>
      <w:r>
        <w:fldChar w:fldCharType="begin"/>
      </w:r>
      <w:r>
        <w:instrText xml:space="preserve"> HYPERLINK "https://bstrategyhub.com/adidas-target-market/%20(Accessed:%207%20July%202026)." </w:instrText>
      </w:r>
      <w:r>
        <w:fldChar w:fldCharType="separate"/>
      </w:r>
      <w:r>
        <w:rPr>
          <w:rStyle w:val="16"/>
        </w:rPr>
        <w:t>https://bstrategyhub.com/adidas-target-market/ (Accessed: 7 July 2026).</w:t>
      </w:r>
      <w:r>
        <w:rPr>
          <w:rStyle w:val="16"/>
        </w:rPr>
        <w:fldChar w:fldCharType="end"/>
      </w:r>
    </w:p>
    <w:p w14:paraId="62A62C45">
      <w:pPr>
        <w:spacing w:after="160"/>
        <w:ind w:left="720" w:hanging="720"/>
      </w:pPr>
      <w:r>
        <w:t xml:space="preserve">CTMfile (2026) German Economic Outlook for 2026: A Fragile Recovery Amid Structural Headwinds. Available at: </w:t>
      </w:r>
      <w:r>
        <w:fldChar w:fldCharType="begin"/>
      </w:r>
      <w:r>
        <w:instrText xml:space="preserve"> HYPERLINK "https://ctmfile.com/story/german-economic-outlook-for-2026-a-fragile-recovery-amid-structural-headwinds%20(Accessed:%207%20July%202026)." </w:instrText>
      </w:r>
      <w:r>
        <w:fldChar w:fldCharType="separate"/>
      </w:r>
      <w:r>
        <w:rPr>
          <w:rStyle w:val="16"/>
        </w:rPr>
        <w:t>https://ctmfile.com/story/german-economic-outlook-for-2026-a-fragile-recovery-amid-structural-headwinds (Accessed: 7 July 2026).</w:t>
      </w:r>
      <w:r>
        <w:rPr>
          <w:rStyle w:val="16"/>
        </w:rPr>
        <w:fldChar w:fldCharType="end"/>
      </w:r>
    </w:p>
    <w:p w14:paraId="1BFD2F3B">
      <w:pPr>
        <w:spacing w:after="160"/>
        <w:ind w:left="720" w:hanging="720"/>
      </w:pPr>
      <w:r>
        <w:t>Destatis (2026) Inflation rate of +2.8% expected in July 2026. German Federal Statistical Office. Available at</w:t>
      </w:r>
      <w:r>
        <w:fldChar w:fldCharType="begin"/>
      </w:r>
      <w:r>
        <w:instrText xml:space="preserve"> HYPERLINK "file:///Users/krina/Downloads/%20https/www.destatis.de/EN/Press/2026/07/PE26_270_611.html%20(Accessed/%201%20August%202026)." </w:instrText>
      </w:r>
      <w:r>
        <w:fldChar w:fldCharType="separate"/>
      </w:r>
      <w:r>
        <w:rPr>
          <w:rStyle w:val="16"/>
        </w:rPr>
        <w:t>: https://www.destatis.de/EN/Press/2026/07/PE26_270_611.html (Accessed: 1 August 2026).</w:t>
      </w:r>
      <w:r>
        <w:rPr>
          <w:rStyle w:val="16"/>
        </w:rPr>
        <w:fldChar w:fldCharType="end"/>
      </w:r>
    </w:p>
    <w:p w14:paraId="5B09ADF1">
      <w:pPr>
        <w:spacing w:after="160"/>
        <w:ind w:left="720" w:hanging="720"/>
      </w:pPr>
      <w:r>
        <w:t xml:space="preserve">European Commission (2026) Economic forecast for Germany. Available at: </w:t>
      </w:r>
      <w:r>
        <w:fldChar w:fldCharType="begin"/>
      </w:r>
      <w:r>
        <w:instrText xml:space="preserve"> HYPERLINK "https://economy-finance.ec.europa.eu/economic-surveillance-eu-member-states/country-pages/germany/economic-forecast-germany_en%20(Accessed:%207%20July%202026)." </w:instrText>
      </w:r>
      <w:r>
        <w:fldChar w:fldCharType="separate"/>
      </w:r>
      <w:r>
        <w:rPr>
          <w:rStyle w:val="16"/>
        </w:rPr>
        <w:t>https://economy-finance.ec.europa.eu/economic-surveillance-eu-member-states/country-pages/germany/economic-forecast-germany_en (Accessed: 7 July 2026).</w:t>
      </w:r>
      <w:r>
        <w:rPr>
          <w:rStyle w:val="16"/>
        </w:rPr>
        <w:fldChar w:fldCharType="end"/>
      </w:r>
    </w:p>
    <w:p w14:paraId="1D62E9A5">
      <w:pPr>
        <w:spacing w:after="160"/>
        <w:ind w:left="720" w:hanging="720"/>
      </w:pPr>
      <w:r>
        <w:t xml:space="preserve">Federal Government of Germany (2026) Cabinet adopts annual economic report 2026. Available at: </w:t>
      </w:r>
      <w:r>
        <w:fldChar w:fldCharType="begin"/>
      </w:r>
      <w:r>
        <w:instrText xml:space="preserve"> HYPERLINK "https://www.bundesregierung.de/breg-en/news/annual-economic-report-2026-2404976%20(Accessed:%207%20July%202026)." </w:instrText>
      </w:r>
      <w:r>
        <w:fldChar w:fldCharType="separate"/>
      </w:r>
      <w:r>
        <w:rPr>
          <w:rStyle w:val="16"/>
        </w:rPr>
        <w:t>https://www.bundesregierung.de/breg-en/news/annual-economic-report-2026-2404976 (Accessed: 7 July 2026).</w:t>
      </w:r>
      <w:r>
        <w:rPr>
          <w:rStyle w:val="16"/>
        </w:rPr>
        <w:fldChar w:fldCharType="end"/>
      </w:r>
    </w:p>
    <w:p w14:paraId="76AA126A">
      <w:pPr>
        <w:spacing w:after="160"/>
        <w:ind w:left="720" w:hanging="720"/>
      </w:pPr>
      <w:r>
        <w:t>Gibbs, G. (1988) Learning by Doing: A Guide to Teaching and Learning Methods. Oxford: Further Education Unit, Oxford Polytechnic.</w:t>
      </w:r>
    </w:p>
    <w:p w14:paraId="7591648A">
      <w:pPr>
        <w:spacing w:after="160"/>
        <w:ind w:left="720" w:hanging="720"/>
      </w:pPr>
      <w:r>
        <w:t xml:space="preserve">Hofstede Insights (2024) Country Comparison Tool. Available at: </w:t>
      </w:r>
      <w:r>
        <w:fldChar w:fldCharType="begin"/>
      </w:r>
      <w:r>
        <w:instrText xml:space="preserve"> HYPERLINK "https://www.hofstede-insights.com/country-comparison-tool%20(Accessed:%207%20July%202026)." </w:instrText>
      </w:r>
      <w:r>
        <w:fldChar w:fldCharType="separate"/>
      </w:r>
      <w:r>
        <w:rPr>
          <w:rStyle w:val="16"/>
        </w:rPr>
        <w:t>https://www.hofstede-insights.com/country-comparison-tool (Accessed: 7 July 2026).</w:t>
      </w:r>
      <w:r>
        <w:rPr>
          <w:rStyle w:val="16"/>
        </w:rPr>
        <w:fldChar w:fldCharType="end"/>
      </w:r>
    </w:p>
    <w:p w14:paraId="65CB01E2">
      <w:pPr>
        <w:spacing w:after="160"/>
        <w:ind w:left="720" w:hanging="720"/>
      </w:pPr>
      <w:r>
        <w:t xml:space="preserve">Marketing Week (2025) Adidas's sale of Reebok makes strategic sense all round. Available at: </w:t>
      </w:r>
      <w:r>
        <w:fldChar w:fldCharType="begin"/>
      </w:r>
      <w:r>
        <w:instrText xml:space="preserve"> HYPERLINK "https://www.marketingweek.com/mark-ritson-adidas-reebok-sale-strategic-sense/%20(Accessed:%207%20July%202026)." </w:instrText>
      </w:r>
      <w:r>
        <w:fldChar w:fldCharType="separate"/>
      </w:r>
      <w:r>
        <w:rPr>
          <w:rStyle w:val="16"/>
        </w:rPr>
        <w:t>https://www.marketingweek.com/mark-ritson-adidas-reebok-sale-strategic-sense/ (Accessed: 7 July 2026).</w:t>
      </w:r>
      <w:r>
        <w:rPr>
          <w:rStyle w:val="16"/>
        </w:rPr>
        <w:fldChar w:fldCharType="end"/>
      </w:r>
    </w:p>
    <w:p w14:paraId="38142FC4">
      <w:pPr>
        <w:spacing w:after="160"/>
        <w:ind w:left="720" w:hanging="720"/>
      </w:pPr>
      <w:r>
        <w:t xml:space="preserve">MatrixBCG (2026a) What is Sales and Marketing Strategy of Adidas Company? Available at: </w:t>
      </w:r>
      <w:r>
        <w:fldChar w:fldCharType="begin"/>
      </w:r>
      <w:r>
        <w:instrText xml:space="preserve"> HYPERLINK "https://matrixbcg.com/blogs/marketing-strategy/adidas%20(Accessed:%207%20July%202026)." </w:instrText>
      </w:r>
      <w:r>
        <w:fldChar w:fldCharType="separate"/>
      </w:r>
      <w:r>
        <w:rPr>
          <w:rStyle w:val="16"/>
        </w:rPr>
        <w:t>https://matrixbcg.com/blogs/marketing-strategy/adidas (Accessed: 7 July 2026).</w:t>
      </w:r>
      <w:r>
        <w:rPr>
          <w:rStyle w:val="16"/>
        </w:rPr>
        <w:fldChar w:fldCharType="end"/>
      </w:r>
    </w:p>
    <w:p w14:paraId="797944EC">
      <w:pPr>
        <w:spacing w:after="160"/>
        <w:ind w:left="720" w:hanging="720"/>
      </w:pPr>
      <w:r>
        <w:t xml:space="preserve">MatrixBCG (2026b) What is Customer Demographics and Target Market of Adidas Company? </w:t>
      </w:r>
      <w:r>
        <w:fldChar w:fldCharType="begin"/>
      </w:r>
      <w:r>
        <w:instrText xml:space="preserve"> HYPERLINK "file:///Users/krina/Downloads/Available%20at:%20https:/matrixbcg.com/blogs/target-market/adidas%20(Accessed:%207%20July%202026)." </w:instrText>
      </w:r>
      <w:r>
        <w:fldChar w:fldCharType="separate"/>
      </w:r>
      <w:r>
        <w:rPr>
          <w:rStyle w:val="16"/>
        </w:rPr>
        <w:t>Available at: https://matrixbcg.com/blogs/target-market/adidas (Accessed: 7 July 2026).</w:t>
      </w:r>
      <w:r>
        <w:rPr>
          <w:rStyle w:val="16"/>
        </w:rPr>
        <w:fldChar w:fldCharType="end"/>
      </w:r>
    </w:p>
    <w:p w14:paraId="3C55FFF4">
      <w:pPr>
        <w:spacing w:after="160"/>
        <w:ind w:left="720" w:hanging="720"/>
      </w:pPr>
      <w:r>
        <w:t xml:space="preserve">Modern Retail (2022) Adidas revives Reebok's sales following marketing and product investments. Available at: </w:t>
      </w:r>
      <w:r>
        <w:fldChar w:fldCharType="begin"/>
      </w:r>
      <w:r>
        <w:instrText xml:space="preserve"> HYPERLINK "https://www.modernretail.co/retailers/adidas-revives-reeboks-sales-following-marketing-and-product-investments/%20(Accessed:%207%20July%202026)." </w:instrText>
      </w:r>
      <w:r>
        <w:fldChar w:fldCharType="separate"/>
      </w:r>
      <w:r>
        <w:rPr>
          <w:rStyle w:val="16"/>
        </w:rPr>
        <w:t>https://www.modernretail.co/retailers/adidas-revives-reeboks-sales-following-marketing-and-product-investments/ (Accessed: 7 July 2026).</w:t>
      </w:r>
      <w:r>
        <w:rPr>
          <w:rStyle w:val="16"/>
        </w:rPr>
        <w:fldChar w:fldCharType="end"/>
      </w:r>
    </w:p>
    <w:p w14:paraId="4A4914F9">
      <w:pPr>
        <w:spacing w:after="160"/>
        <w:ind w:left="720" w:hanging="720"/>
      </w:pPr>
      <w:r>
        <w:t xml:space="preserve">NBC News (2024) Adidas has donated or plans to donate more than $150 million to anti-hate groups from Yeezy sales. Available at: </w:t>
      </w:r>
      <w:r>
        <w:fldChar w:fldCharType="begin"/>
      </w:r>
      <w:r>
        <w:instrText xml:space="preserve"> HYPERLINK "https://www.nbcnews.com/business/yeezy-shoe-sales-adidas-donations-anti-hate-groups-rcna143300%20(Accessed:%201%20August%202026)." </w:instrText>
      </w:r>
      <w:r>
        <w:fldChar w:fldCharType="separate"/>
      </w:r>
      <w:r>
        <w:rPr>
          <w:rStyle w:val="16"/>
        </w:rPr>
        <w:t>https://www.nbcnews.com/business/yeezy-shoe-sales-adidas-donations-anti-hate-groups-rcna143300 (Accessed: 1 August 2026).</w:t>
      </w:r>
      <w:r>
        <w:rPr>
          <w:rStyle w:val="16"/>
        </w:rPr>
        <w:fldChar w:fldCharType="end"/>
      </w:r>
    </w:p>
    <w:p w14:paraId="70B66C6C">
      <w:pPr>
        <w:spacing w:after="160"/>
        <w:ind w:left="720" w:hanging="720"/>
      </w:pPr>
      <w:r>
        <w:t xml:space="preserve">PBS NewsHour (2023) Adidas will donate portion of $437 million made from first Yeezy sale to anti-hate groups. Available at: </w:t>
      </w:r>
      <w:r>
        <w:fldChar w:fldCharType="begin"/>
      </w:r>
      <w:r>
        <w:instrText xml:space="preserve"> HYPERLINK "https://www.pbs.org/newshour/economy/adidas-will-donate-portion-of-437-million-made-from-first-yeezy-sale-to-anti-hate-groups%20(Accessed:%201%20August%202026)." </w:instrText>
      </w:r>
      <w:r>
        <w:fldChar w:fldCharType="separate"/>
      </w:r>
      <w:r>
        <w:rPr>
          <w:rStyle w:val="16"/>
        </w:rPr>
        <w:t>https://www.pbs.org/newshour/economy/adidas-will-donate-portion-of-437-million-made-from-first-yeezy-sale-to-anti-hate-groups (Accessed: 1 August 2026).</w:t>
      </w:r>
      <w:r>
        <w:rPr>
          <w:rStyle w:val="16"/>
        </w:rPr>
        <w:fldChar w:fldCharType="end"/>
      </w:r>
    </w:p>
    <w:p w14:paraId="216A4E84">
      <w:pPr>
        <w:spacing w:after="160"/>
        <w:ind w:left="720" w:hanging="720"/>
      </w:pPr>
      <w:r>
        <w:t xml:space="preserve">PortersFiveForce.com (2025) What is Customer Demographics and Target Market of Adidas Company? Available at: </w:t>
      </w:r>
      <w:r>
        <w:fldChar w:fldCharType="begin"/>
      </w:r>
      <w:r>
        <w:instrText xml:space="preserve"> HYPERLINK "https://portersfiveforce.com/blogs/target-market/adidas%20(Accessed:%207%20July%202026)." </w:instrText>
      </w:r>
      <w:r>
        <w:fldChar w:fldCharType="separate"/>
      </w:r>
      <w:r>
        <w:rPr>
          <w:rStyle w:val="16"/>
        </w:rPr>
        <w:t>https://portersfiveforce.com/blogs/target-market/adidas (Accessed: 7 July 2026).</w:t>
      </w:r>
      <w:r>
        <w:rPr>
          <w:rStyle w:val="16"/>
        </w:rPr>
        <w:fldChar w:fldCharType="end"/>
      </w:r>
    </w:p>
    <w:p w14:paraId="0652EB5C">
      <w:pPr>
        <w:spacing w:after="160"/>
        <w:ind w:left="720" w:hanging="720"/>
      </w:pPr>
      <w:r>
        <w:t xml:space="preserve">SEC (2005) Reebok International Ltd, Form 8-K, Exhibit 99.2. Available at: </w:t>
      </w:r>
      <w:r>
        <w:fldChar w:fldCharType="begin"/>
      </w:r>
      <w:r>
        <w:instrText xml:space="preserve"> HYPERLINK "https://www.sec.gov/Archives/edgar/data/0000770949/000110465905036104/a05-14229_1ex99d2.htm%20(Accessed:%207%20July%202026)." </w:instrText>
      </w:r>
      <w:r>
        <w:fldChar w:fldCharType="separate"/>
      </w:r>
      <w:r>
        <w:rPr>
          <w:rStyle w:val="16"/>
        </w:rPr>
        <w:t>https://www.sec.gov/Archives/edgar/data/0000770949/000110465905036104/a05-14229_1ex99d2.htm (Accessed: 7 July 2026).</w:t>
      </w:r>
      <w:r>
        <w:rPr>
          <w:rStyle w:val="16"/>
        </w:rPr>
        <w:fldChar w:fldCharType="end"/>
      </w:r>
    </w:p>
    <w:p w14:paraId="361BCDE3">
      <w:pPr>
        <w:spacing w:after="160"/>
        <w:ind w:left="720" w:hanging="720"/>
      </w:pPr>
      <w:r>
        <w:t xml:space="preserve">SGB Media (2022) Reebok's Journey With Adidas. Available at: </w:t>
      </w:r>
      <w:r>
        <w:fldChar w:fldCharType="begin"/>
      </w:r>
      <w:r>
        <w:instrText xml:space="preserve"> HYPERLINK "https://sgbonline.com/reeboks-journey-with-adidas/%20(Accessed:%207%20July%202026)." </w:instrText>
      </w:r>
      <w:r>
        <w:fldChar w:fldCharType="separate"/>
      </w:r>
      <w:r>
        <w:rPr>
          <w:rStyle w:val="16"/>
        </w:rPr>
        <w:t>https://sgbonline.com/reeboks-journey-with-adidas/ (Accessed: 7 July 2026).</w:t>
      </w:r>
      <w:r>
        <w:rPr>
          <w:rStyle w:val="16"/>
        </w:rPr>
        <w:fldChar w:fldCharType="end"/>
      </w:r>
    </w:p>
    <w:p w14:paraId="63B65069">
      <w:pPr>
        <w:spacing w:after="160"/>
        <w:ind w:left="720" w:hanging="720"/>
      </w:pPr>
      <w:r>
        <w:t xml:space="preserve">SI.com (2024) Anthony Edwards Signs Contract Extension With Adidas. Available at: </w:t>
      </w:r>
      <w:r>
        <w:fldChar w:fldCharType="begin"/>
      </w:r>
      <w:r>
        <w:instrText xml:space="preserve"> HYPERLINK "https://www.si.com/fannation/sneakers/news/anthony-edwards-signs-contract-extension-with-adidas%20(Accessed:%201%20August%202026)." </w:instrText>
      </w:r>
      <w:r>
        <w:fldChar w:fldCharType="separate"/>
      </w:r>
      <w:r>
        <w:rPr>
          <w:rStyle w:val="16"/>
        </w:rPr>
        <w:t>https://www.si.com/fannation/sneakers/news/anthony-edwards-signs-contract-extension-with-adidas (Accessed: 1 August 2026).</w:t>
      </w:r>
      <w:r>
        <w:rPr>
          <w:rStyle w:val="16"/>
        </w:rPr>
        <w:fldChar w:fldCharType="end"/>
      </w:r>
    </w:p>
    <w:p w14:paraId="6437A8E7">
      <w:pPr>
        <w:spacing w:after="160"/>
        <w:ind w:left="720" w:hanging="720"/>
      </w:pPr>
      <w:r>
        <w:t xml:space="preserve">Sporting Goods Intelligence (2026) Adidas FY 2025 results record revenue profit growth outlook. Available at: </w:t>
      </w:r>
      <w:r>
        <w:fldChar w:fldCharType="begin"/>
      </w:r>
      <w:r>
        <w:instrText xml:space="preserve"> HYPERLINK "https://www.sgieurope.com/financial-results/adidas-2025-record-revenues-more-to-come/119856.article%20(Accessed:%207%20July%202026)." </w:instrText>
      </w:r>
      <w:r>
        <w:fldChar w:fldCharType="separate"/>
      </w:r>
      <w:r>
        <w:rPr>
          <w:rStyle w:val="16"/>
        </w:rPr>
        <w:t>https://www.sgieurope.com/financial-results/adidas-2025-record-revenues-more-to-come/119856.article (Accessed: 7 July 2026).</w:t>
      </w:r>
      <w:r>
        <w:rPr>
          <w:rStyle w:val="16"/>
        </w:rPr>
        <w:fldChar w:fldCharType="end"/>
      </w:r>
    </w:p>
    <w:p w14:paraId="4657A12D">
      <w:pPr>
        <w:spacing w:after="160"/>
        <w:ind w:left="720" w:hanging="720"/>
      </w:pPr>
      <w:r>
        <w:t xml:space="preserve">Statista (2026) adidas sales share by region worldwide 2025. Available at: </w:t>
      </w:r>
      <w:r>
        <w:fldChar w:fldCharType="begin"/>
      </w:r>
      <w:r>
        <w:instrText xml:space="preserve"> HYPERLINK "https://www.statista.com/statistics/531733/share-of-adidas-retail-sales-by-region/%20(Accessed:%201%20August%202026)." </w:instrText>
      </w:r>
      <w:r>
        <w:fldChar w:fldCharType="separate"/>
      </w:r>
      <w:r>
        <w:rPr>
          <w:rStyle w:val="16"/>
        </w:rPr>
        <w:t>https://www.statista.com/statistics/531733/share-of-adidas-retail-sales-by-region/ (Accessed: 1 August 2026).</w:t>
      </w:r>
      <w:r>
        <w:rPr>
          <w:rStyle w:val="16"/>
        </w:rPr>
        <w:fldChar w:fldCharType="end"/>
      </w:r>
    </w:p>
    <w:p w14:paraId="2ACF0D78">
      <w:pPr>
        <w:spacing w:after="160"/>
        <w:ind w:left="720" w:hanging="720"/>
      </w:pPr>
      <w:r>
        <w:t xml:space="preserve">Statistics of the World (2026) Germany Economy 2026: Four Years of Crisis and a €500 Billion Bet on Recovery. Available at: </w:t>
      </w:r>
      <w:r>
        <w:fldChar w:fldCharType="begin"/>
      </w:r>
      <w:r>
        <w:instrText xml:space="preserve"> HYPERLINK "https://statisticsoftheworld.com/blog/germany-economy-2026-crisis-recovery%20(Accessed:%207%20July%202026)." </w:instrText>
      </w:r>
      <w:r>
        <w:fldChar w:fldCharType="separate"/>
      </w:r>
      <w:r>
        <w:rPr>
          <w:rStyle w:val="16"/>
        </w:rPr>
        <w:t>https://statisticsoftheworld.com/blog/germany-economy-2026-crisis-recovery (Accessed: 7 July 2026).</w:t>
      </w:r>
      <w:r>
        <w:rPr>
          <w:rStyle w:val="16"/>
        </w:rPr>
        <w:fldChar w:fldCharType="end"/>
      </w:r>
    </w:p>
    <w:p w14:paraId="6444916E">
      <w:pPr>
        <w:spacing w:after="160"/>
        <w:ind w:left="720" w:hanging="720"/>
      </w:pPr>
      <w:r>
        <w:t xml:space="preserve">StockAnalysis (2026) adidas AG (ADDYY) Number of Employees. Available at: </w:t>
      </w:r>
      <w:r>
        <w:fldChar w:fldCharType="begin"/>
      </w:r>
      <w:r>
        <w:instrText xml:space="preserve"> HYPERLINK "https://stockanalysis.com/quote/otc/ADDYY/employees/%20(Accessed:%201%20August%202026)." </w:instrText>
      </w:r>
      <w:r>
        <w:fldChar w:fldCharType="separate"/>
      </w:r>
      <w:r>
        <w:rPr>
          <w:rStyle w:val="16"/>
        </w:rPr>
        <w:t>https://stockanalysis.com/quote/otc/ADDYY/employees/ (Accessed: 1 August 2026).</w:t>
      </w:r>
      <w:r>
        <w:rPr>
          <w:rStyle w:val="16"/>
        </w:rPr>
        <w:fldChar w:fldCharType="end"/>
      </w:r>
    </w:p>
    <w:p w14:paraId="358C04D3">
      <w:pPr>
        <w:spacing w:after="160"/>
        <w:ind w:left="720" w:hanging="720"/>
      </w:pPr>
      <w:r>
        <w:t xml:space="preserve">Sustain Health Magazine (2022) adidas And Parley For The Oceans Unite Sporting Communities Across The Globe To Run For The Oceans. Available at: </w:t>
      </w:r>
      <w:r>
        <w:fldChar w:fldCharType="begin"/>
      </w:r>
      <w:r>
        <w:instrText xml:space="preserve"> HYPERLINK "https://www.sustainhealth.fit/lifestyle/adidas-parley/%20(Accessed:%201%20August%202026)." </w:instrText>
      </w:r>
      <w:r>
        <w:fldChar w:fldCharType="separate"/>
      </w:r>
      <w:r>
        <w:rPr>
          <w:rStyle w:val="16"/>
        </w:rPr>
        <w:t>https://www.sustainhealth.fit/lifestyle/adidas-parley/ (Accessed: 1 August 2026).</w:t>
      </w:r>
      <w:r>
        <w:rPr>
          <w:rStyle w:val="16"/>
        </w:rPr>
        <w:fldChar w:fldCharType="end"/>
      </w:r>
    </w:p>
    <w:p w14:paraId="57A1E0A7">
      <w:pPr>
        <w:spacing w:after="160"/>
        <w:ind w:left="720" w:hanging="720"/>
      </w:pPr>
      <w:r>
        <w:t xml:space="preserve">Tariffstool (2026) Footwear Tariff 2026: By Country, By HTS. Available at: </w:t>
      </w:r>
      <w:r>
        <w:fldChar w:fldCharType="begin"/>
      </w:r>
      <w:r>
        <w:instrText xml:space="preserve"> HYPERLINK "https://www.tariffstool.com/tariffs-on-footwear%20(Accessed:%207%20July%202026)." </w:instrText>
      </w:r>
      <w:r>
        <w:fldChar w:fldCharType="separate"/>
      </w:r>
      <w:r>
        <w:rPr>
          <w:rStyle w:val="16"/>
        </w:rPr>
        <w:t>https://www.tariffstool.com/tariffs-on-footwear (Accessed: 7 July 2026).</w:t>
      </w:r>
      <w:r>
        <w:rPr>
          <w:rStyle w:val="16"/>
        </w:rPr>
        <w:fldChar w:fldCharType="end"/>
      </w:r>
    </w:p>
    <w:p w14:paraId="783443E0">
      <w:pPr>
        <w:spacing w:after="160"/>
        <w:ind w:left="720" w:hanging="720"/>
      </w:pPr>
      <w:r>
        <w:t xml:space="preserve">Time (2022a) The Kanye West Fallout Will Cost Adidas At Least $250 Million. Available at: </w:t>
      </w:r>
      <w:r>
        <w:fldChar w:fldCharType="begin"/>
      </w:r>
      <w:r>
        <w:instrText xml:space="preserve"> HYPERLINK "https://time.com/6224887/adidas-drops-kanye-business-implications/%20(Accessed:%207%20July%202026)." </w:instrText>
      </w:r>
      <w:r>
        <w:fldChar w:fldCharType="separate"/>
      </w:r>
      <w:r>
        <w:rPr>
          <w:rStyle w:val="16"/>
        </w:rPr>
        <w:t>https://time.com/6224887/adidas-drops-kanye-business-implications/ (Accessed: 7 July 2026).</w:t>
      </w:r>
      <w:r>
        <w:rPr>
          <w:rStyle w:val="16"/>
        </w:rPr>
        <w:fldChar w:fldCharType="end"/>
      </w:r>
    </w:p>
    <w:p w14:paraId="081CE715">
      <w:pPr>
        <w:spacing w:after="160"/>
        <w:ind w:left="720" w:hanging="720"/>
      </w:pPr>
      <w:r>
        <w:t xml:space="preserve">Time (2022b) The Kanye West Fallout Will Cost Adidas At Least $250 Million. Available at: </w:t>
      </w:r>
      <w:r>
        <w:fldChar w:fldCharType="begin"/>
      </w:r>
      <w:r>
        <w:instrText xml:space="preserve"> HYPERLINK "https://time.com/6224887/adidas-drops-kanye-business-implications/%20(Accessed:%207%20July%202026)." </w:instrText>
      </w:r>
      <w:r>
        <w:fldChar w:fldCharType="separate"/>
      </w:r>
      <w:r>
        <w:rPr>
          <w:rStyle w:val="16"/>
        </w:rPr>
        <w:t>https://time.com/6224887/adidas-drops-kanye-business-implications/ (Accessed: 7 July 2026).</w:t>
      </w:r>
      <w:r>
        <w:rPr>
          <w:rStyle w:val="16"/>
        </w:rPr>
        <w:fldChar w:fldCharType="end"/>
      </w:r>
    </w:p>
    <w:p w14:paraId="57D9CA19">
      <w:pPr>
        <w:spacing w:after="160"/>
        <w:ind w:left="720" w:hanging="720"/>
      </w:pPr>
      <w:r>
        <w:t xml:space="preserve">Time (2023) Adidas and Ye's Secret Battle Over a $100 Million Fund. Available at: </w:t>
      </w:r>
      <w:r>
        <w:fldChar w:fldCharType="begin"/>
      </w:r>
      <w:r>
        <w:instrText xml:space="preserve"> HYPERLINK "https://time.com/6296200/adidas-ye-100-million-marketing-fund/%20(Accessed:%207%20July%202026)." </w:instrText>
      </w:r>
      <w:r>
        <w:fldChar w:fldCharType="separate"/>
      </w:r>
      <w:r>
        <w:rPr>
          <w:rStyle w:val="16"/>
        </w:rPr>
        <w:t>https://time.com/6296200/adidas-ye-100-million-marketing-fund/ (Accessed: 7 July 2026).</w:t>
      </w:r>
      <w:r>
        <w:rPr>
          <w:rStyle w:val="16"/>
        </w:rPr>
        <w:fldChar w:fldCharType="end"/>
      </w:r>
    </w:p>
    <w:p w14:paraId="592B0722">
      <w:pPr>
        <w:spacing w:after="160"/>
        <w:ind w:left="720" w:hanging="720"/>
      </w:pPr>
      <w:r>
        <w:t xml:space="preserve">Trading Economics (2026) United States Core Inflation Rate. Available at: </w:t>
      </w:r>
      <w:r>
        <w:fldChar w:fldCharType="begin"/>
      </w:r>
      <w:r>
        <w:instrText xml:space="preserve"> HYPERLINK "https://tradingeconomics.com/united-states/core-inflation-rate%20(Accessed:%201%20August%202026)." </w:instrText>
      </w:r>
      <w:r>
        <w:fldChar w:fldCharType="separate"/>
      </w:r>
      <w:r>
        <w:rPr>
          <w:rStyle w:val="16"/>
        </w:rPr>
        <w:t>https://tradingeconomics.com/united-states/core-inflation-rate (Accessed: 1 August 2026).</w:t>
      </w:r>
      <w:r>
        <w:rPr>
          <w:rStyle w:val="16"/>
        </w:rPr>
        <w:fldChar w:fldCharType="end"/>
      </w:r>
    </w:p>
    <w:p w14:paraId="62BD8C53">
      <w:pPr>
        <w:spacing w:after="160"/>
        <w:ind w:left="720" w:hanging="720"/>
      </w:pPr>
      <w:r>
        <w:t xml:space="preserve">Wikipedia (2026) Reebok. Available at: </w:t>
      </w:r>
      <w:r>
        <w:fldChar w:fldCharType="begin"/>
      </w:r>
      <w:r>
        <w:instrText xml:space="preserve"> HYPERLINK "https://en.wikipedia.org/wiki/Reebok%20(Accessed:%207%20July%202026)." </w:instrText>
      </w:r>
      <w:r>
        <w:fldChar w:fldCharType="separate"/>
      </w:r>
      <w:r>
        <w:rPr>
          <w:rStyle w:val="16"/>
        </w:rPr>
        <w:t>https://en.wikipedia.org/wiki/Reebok (Accessed: 7 July 2026).</w:t>
      </w:r>
      <w:r>
        <w:rPr>
          <w:rStyle w:val="16"/>
        </w:rPr>
        <w:fldChar w:fldCharType="end"/>
      </w:r>
    </w:p>
    <w:p w14:paraId="1CBD385A">
      <w:pPr>
        <w:spacing w:after="160"/>
        <w:ind w:left="720" w:hanging="720"/>
      </w:pPr>
      <w:r>
        <w:t xml:space="preserve">Worldfootwear (2026) adidas posts record 2025 revenue. Available at: </w:t>
      </w:r>
      <w:r>
        <w:fldChar w:fldCharType="begin"/>
      </w:r>
      <w:r>
        <w:instrText xml:space="preserve"> HYPERLINK "https://www.worldfootwear.com/news/adidas-posts-record-2025-revenue/11313.html%20(Accessed:%207%20July%202026)." </w:instrText>
      </w:r>
      <w:r>
        <w:fldChar w:fldCharType="separate"/>
      </w:r>
      <w:r>
        <w:rPr>
          <w:rStyle w:val="16"/>
        </w:rPr>
        <w:t>https://www.worldfootwear.com/news/adidas-posts-record-2025-revenue/11313.html (Accessed: 7 July 2026).</w:t>
      </w:r>
      <w:r>
        <w:rPr>
          <w:rStyle w:val="16"/>
        </w:rPr>
        <w:fldChar w:fldCharType="end"/>
      </w:r>
    </w:p>
    <w:p w14:paraId="22279343">
      <w:pPr>
        <w:spacing w:after="160"/>
        <w:ind w:left="720" w:hanging="720"/>
      </w:pPr>
      <w:r>
        <w:t xml:space="preserve">Yahoo Sports (2026) Anthony Edwards Uses Adidas Deal To Help Propel Off-Court Success. Available at: </w:t>
      </w:r>
      <w:r>
        <w:fldChar w:fldCharType="begin"/>
      </w:r>
      <w:r>
        <w:instrText xml:space="preserve"> HYPERLINK "https://sports.yahoo.com/articles/anthony-edwards-uses-adidas-deal-225142438.html%20(Accessed:%201%20August%202026)." </w:instrText>
      </w:r>
      <w:r>
        <w:fldChar w:fldCharType="separate"/>
      </w:r>
      <w:r>
        <w:rPr>
          <w:rStyle w:val="16"/>
        </w:rPr>
        <w:t>https://sports.yahoo.com/articles/anthony-edwards-uses-adidas-deal-225142438.html (Accessed: 1 August 2026).</w:t>
      </w:r>
      <w:r>
        <w:rPr>
          <w:rStyle w:val="16"/>
        </w:rPr>
        <w:fldChar w:fldCharType="end"/>
      </w:r>
    </w:p>
    <w:p w14:paraId="63493E84">
      <w:r>
        <w:t xml:space="preserve">adidas (2026a) adidas Germany online shop. Available at: </w:t>
      </w:r>
      <w:r>
        <w:fldChar w:fldCharType="begin"/>
      </w:r>
      <w:r>
        <w:instrText xml:space="preserve"> HYPERLINK "https://www.adidas.de/en%20(Accessed:%2011%20August%202026)." </w:instrText>
      </w:r>
      <w:r>
        <w:fldChar w:fldCharType="separate"/>
      </w:r>
      <w:r>
        <w:rPr>
          <w:rStyle w:val="16"/>
        </w:rPr>
        <w:t>https://www.adidas.de/en (Accessed: 11 August 2026).</w:t>
      </w:r>
      <w:r>
        <w:rPr>
          <w:rStyle w:val="16"/>
        </w:rPr>
        <w:fldChar w:fldCharType="end"/>
      </w:r>
    </w:p>
    <w:p w14:paraId="752670CC"/>
    <w:p w14:paraId="0BF02B3E">
      <w:r>
        <w:t xml:space="preserve">adidas (2026b) adidas US online shop. Available at: </w:t>
      </w:r>
      <w:r>
        <w:fldChar w:fldCharType="begin"/>
      </w:r>
      <w:r>
        <w:instrText xml:space="preserve"> HYPERLINK "https://www.adidas.com/us/welcome%20(Accessed:%2011%20August%202026)." </w:instrText>
      </w:r>
      <w:r>
        <w:fldChar w:fldCharType="separate"/>
      </w:r>
      <w:r>
        <w:rPr>
          <w:rStyle w:val="16"/>
        </w:rPr>
        <w:t>https://www.adidas.com/us/welcome (Accessed: 11 August 2026).</w:t>
      </w:r>
      <w:r>
        <w:rPr>
          <w:rStyle w:val="16"/>
        </w:rPr>
        <w:fldChar w:fldCharType="end"/>
      </w:r>
    </w:p>
    <w:p w14:paraId="5E907C22"/>
    <w:p w14:paraId="17B7A279">
      <w:r>
        <w:t>Kotler, P. and Armstrong, G. (2021) Principles of Marketing. 18th edn. Harlow: Pearson.</w:t>
      </w:r>
    </w:p>
    <w:p w14:paraId="7AE0B13A"/>
    <w:p w14:paraId="6143E5A2"/>
    <w:sectPr>
      <w:headerReference r:id="rId3" w:type="default"/>
      <w:footerReference r:id="rId4" w:type="default"/>
      <w:pgSz w:w="12240" w:h="15840"/>
      <w:pgMar w:top="1440" w:right="1440" w:bottom="1440" w:left="1440" w:header="708" w:footer="708"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MT">
    <w:altName w:val="Arial"/>
    <w:panose1 w:val="020B0604020202020204"/>
    <w:charset w:val="01"/>
    <w:family w:val="swiss"/>
    <w:pitch w:val="default"/>
    <w:sig w:usb0="00000000" w:usb1="00000000" w:usb2="00000000" w:usb3="00000000" w:csb0="00000000" w:csb1="00000000"/>
  </w:font>
  <w:font w:name="Aptos">
    <w:altName w:val="Segoe UI"/>
    <w:panose1 w:val="020B0004020202020204"/>
    <w:charset w:val="00"/>
    <w:family w:val="swiss"/>
    <w:pitch w:val="default"/>
    <w:sig w:usb0="00000000" w:usb1="00000000" w:usb2="00000000" w:usb3="00000000" w:csb0="0000019F" w:csb1="00000000"/>
  </w:font>
  <w:font w:name="等线">
    <w:altName w:val="Microsoft YaHei"/>
    <w:panose1 w:val="00000000000000000000"/>
    <w:charset w:val="00"/>
    <w:family w:val="auto"/>
    <w:pitch w:val="default"/>
    <w:sig w:usb0="00000000" w:usb1="00000000" w:usb2="00000000" w:usb3="00000000" w:csb0="00000000" w:csb1="00000000"/>
  </w:font>
  <w:font w:name="Shruti">
    <w:altName w:val="Segoe UI Symbol"/>
    <w:panose1 w:val="020B0502040204020203"/>
    <w:charset w:val="00"/>
    <w:family w:val="swiss"/>
    <w:pitch w:val="default"/>
    <w:sig w:usb0="00000000" w:usb1="00000000" w:usb2="00000000" w:usb3="00000000" w:csb0="00000001" w:csb1="00000000"/>
  </w:font>
  <w:font w:name="Segoe UI">
    <w:panose1 w:val="020B0502040204020203"/>
    <w:charset w:val="00"/>
    <w:family w:val="auto"/>
    <w:pitch w:val="default"/>
    <w:sig w:usb0="E4002EFF" w:usb1="C000E47F" w:usb2="00000009" w:usb3="00000000" w:csb0="200001FF" w:csb1="00000000"/>
  </w:font>
  <w:font w:name="Cambria Math">
    <w:panose1 w:val="02040503050406030204"/>
    <w:charset w:val="00"/>
    <w:family w:val="auto"/>
    <w:pitch w:val="variable"/>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67F9806">
    <w:pPr>
      <w:jc w:val="center"/>
    </w:pPr>
    <w:r>
      <w:fldChar w:fldCharType="begin"/>
    </w:r>
    <w:r>
      <w:instrText xml:space="preserve">PAGE</w:instrText>
    </w:r>
    <w:r>
      <w:fldChar w:fldCharType="separate"/>
    </w:r>
    <w:r>
      <w:t>1</w:t>
    </w:r>
    <w: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EC5E58">
    <w:pPr>
      <w:jc w:val="right"/>
    </w:pPr>
    <w:r>
      <w:rPr>
        <w:color w:val="888888"/>
        <w:sz w:val="18"/>
        <w:szCs w:val="18"/>
      </w:rPr>
      <w:t>Adidas: International Market Entry &amp; Marketing Mix</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6025A8A"/>
    <w:multiLevelType w:val="multilevel"/>
    <w:tmpl w:val="56025A8A"/>
    <w:lvl w:ilvl="0" w:tentative="0">
      <w:start w:val="1"/>
      <w:numFmt w:val="bullet"/>
      <w:lvlText w:val="●"/>
      <w:lvlJc w:val="left"/>
      <w:pPr>
        <w:ind w:left="720" w:hanging="360"/>
      </w:pPr>
    </w:lvl>
    <w:lvl w:ilvl="1" w:tentative="0">
      <w:start w:val="1"/>
      <w:numFmt w:val="bullet"/>
      <w:lvlText w:val="○"/>
      <w:lvlJc w:val="left"/>
      <w:pPr>
        <w:ind w:left="1440" w:hanging="360"/>
      </w:pPr>
    </w:lvl>
    <w:lvl w:ilvl="2" w:tentative="0">
      <w:start w:val="1"/>
      <w:numFmt w:val="bullet"/>
      <w:lvlText w:val="■"/>
      <w:lvlJc w:val="left"/>
      <w:pPr>
        <w:ind w:left="2160" w:hanging="360"/>
      </w:pPr>
    </w:lvl>
    <w:lvl w:ilvl="3" w:tentative="0">
      <w:start w:val="1"/>
      <w:numFmt w:val="bullet"/>
      <w:lvlText w:val="●"/>
      <w:lvlJc w:val="left"/>
      <w:pPr>
        <w:ind w:left="2880" w:hanging="360"/>
      </w:pPr>
    </w:lvl>
    <w:lvl w:ilvl="4" w:tentative="0">
      <w:start w:val="1"/>
      <w:numFmt w:val="bullet"/>
      <w:lvlText w:val="○"/>
      <w:lvlJc w:val="left"/>
      <w:pPr>
        <w:ind w:left="3600" w:hanging="360"/>
      </w:pPr>
    </w:lvl>
    <w:lvl w:ilvl="5" w:tentative="0">
      <w:start w:val="1"/>
      <w:numFmt w:val="bullet"/>
      <w:lvlText w:val="■"/>
      <w:lvlJc w:val="left"/>
      <w:pPr>
        <w:ind w:left="4320" w:hanging="360"/>
      </w:pPr>
    </w:lvl>
    <w:lvl w:ilvl="6" w:tentative="0">
      <w:start w:val="1"/>
      <w:numFmt w:val="bullet"/>
      <w:lvlText w:val="●"/>
      <w:lvlJc w:val="left"/>
      <w:pPr>
        <w:ind w:left="5040" w:hanging="360"/>
      </w:pPr>
    </w:lvl>
    <w:lvl w:ilvl="7" w:tentative="0">
      <w:start w:val="1"/>
      <w:numFmt w:val="bullet"/>
      <w:lvlText w:val="●"/>
      <w:lvlJc w:val="left"/>
      <w:pPr>
        <w:ind w:left="5760" w:hanging="360"/>
      </w:pPr>
    </w:lvl>
    <w:lvl w:ilvl="8" w:tentative="0">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F2D"/>
    <w:rsid w:val="0005641E"/>
    <w:rsid w:val="00102CD7"/>
    <w:rsid w:val="001121BF"/>
    <w:rsid w:val="00157C5D"/>
    <w:rsid w:val="001B1B45"/>
    <w:rsid w:val="00203D85"/>
    <w:rsid w:val="00261EAB"/>
    <w:rsid w:val="002845CE"/>
    <w:rsid w:val="0039750A"/>
    <w:rsid w:val="00432F2C"/>
    <w:rsid w:val="004A7E76"/>
    <w:rsid w:val="004E0E84"/>
    <w:rsid w:val="00531412"/>
    <w:rsid w:val="00537EC5"/>
    <w:rsid w:val="00581954"/>
    <w:rsid w:val="00642741"/>
    <w:rsid w:val="006D3441"/>
    <w:rsid w:val="006D6898"/>
    <w:rsid w:val="00814F61"/>
    <w:rsid w:val="00876F2D"/>
    <w:rsid w:val="00921451"/>
    <w:rsid w:val="009269CC"/>
    <w:rsid w:val="00976655"/>
    <w:rsid w:val="00991BFE"/>
    <w:rsid w:val="009B5998"/>
    <w:rsid w:val="009F7E51"/>
    <w:rsid w:val="00A27F34"/>
    <w:rsid w:val="00A56ABD"/>
    <w:rsid w:val="00B464F3"/>
    <w:rsid w:val="00C86B4B"/>
    <w:rsid w:val="00CD5D49"/>
    <w:rsid w:val="00DD16D4"/>
    <w:rsid w:val="00EA19BB"/>
    <w:rsid w:val="00F046EA"/>
    <w:rsid w:val="00F14910"/>
    <w:rsid w:val="00F9651D"/>
    <w:rsid w:val="00FA5EB7"/>
    <w:rsid w:val="58EF238B"/>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Calibri" w:cs="Calibri"/>
      <w:sz w:val="22"/>
      <w:szCs w:val="22"/>
      <w:lang w:val="en-GB" w:eastAsia="en-GB" w:bidi="ar-SA"/>
    </w:rPr>
  </w:style>
  <w:style w:type="paragraph" w:styleId="2">
    <w:name w:val="heading 1"/>
    <w:link w:val="25"/>
    <w:qFormat/>
    <w:uiPriority w:val="9"/>
    <w:pPr>
      <w:outlineLvl w:val="0"/>
    </w:pPr>
    <w:rPr>
      <w:rFonts w:ascii="Arial" w:hAnsi="Arial" w:eastAsia="Calibri" w:cs="Calibri"/>
      <w:color w:val="2E74B5"/>
      <w:sz w:val="32"/>
      <w:szCs w:val="32"/>
      <w:lang w:val="en-GB" w:eastAsia="en-GB" w:bidi="ar-SA"/>
    </w:rPr>
  </w:style>
  <w:style w:type="paragraph" w:styleId="3">
    <w:name w:val="heading 2"/>
    <w:link w:val="26"/>
    <w:unhideWhenUsed/>
    <w:qFormat/>
    <w:uiPriority w:val="9"/>
    <w:pPr>
      <w:outlineLvl w:val="1"/>
    </w:pPr>
    <w:rPr>
      <w:rFonts w:ascii="Arial" w:hAnsi="Arial" w:eastAsia="Calibri" w:cs="Calibri"/>
      <w:color w:val="2E74B5"/>
      <w:sz w:val="26"/>
      <w:szCs w:val="26"/>
      <w:lang w:val="en-GB" w:eastAsia="en-GB" w:bidi="ar-SA"/>
    </w:rPr>
  </w:style>
  <w:style w:type="paragraph" w:styleId="4">
    <w:name w:val="heading 3"/>
    <w:unhideWhenUsed/>
    <w:qFormat/>
    <w:uiPriority w:val="9"/>
    <w:pPr>
      <w:outlineLvl w:val="2"/>
    </w:pPr>
    <w:rPr>
      <w:rFonts w:ascii="Arial" w:hAnsi="Arial" w:eastAsia="Calibri" w:cs="Calibri"/>
      <w:color w:val="1F4D78"/>
      <w:sz w:val="24"/>
      <w:szCs w:val="24"/>
      <w:lang w:val="en-GB" w:eastAsia="en-GB" w:bidi="ar-SA"/>
    </w:rPr>
  </w:style>
  <w:style w:type="paragraph" w:styleId="5">
    <w:name w:val="heading 4"/>
    <w:semiHidden/>
    <w:unhideWhenUsed/>
    <w:qFormat/>
    <w:uiPriority w:val="9"/>
    <w:pPr>
      <w:outlineLvl w:val="3"/>
    </w:pPr>
    <w:rPr>
      <w:rFonts w:ascii="Calibri" w:hAnsi="Calibri" w:eastAsia="Calibri" w:cs="Calibri"/>
      <w:i/>
      <w:iCs/>
      <w:color w:val="2E74B5"/>
      <w:sz w:val="22"/>
      <w:szCs w:val="22"/>
      <w:lang w:val="en-GB" w:eastAsia="en-GB" w:bidi="ar-SA"/>
    </w:rPr>
  </w:style>
  <w:style w:type="paragraph" w:styleId="6">
    <w:name w:val="heading 5"/>
    <w:semiHidden/>
    <w:unhideWhenUsed/>
    <w:qFormat/>
    <w:uiPriority w:val="9"/>
    <w:pPr>
      <w:outlineLvl w:val="4"/>
    </w:pPr>
    <w:rPr>
      <w:rFonts w:ascii="Calibri" w:hAnsi="Calibri" w:eastAsia="Calibri" w:cs="Calibri"/>
      <w:color w:val="2E74B5"/>
      <w:sz w:val="22"/>
      <w:szCs w:val="22"/>
      <w:lang w:val="en-GB" w:eastAsia="en-GB" w:bidi="ar-SA"/>
    </w:rPr>
  </w:style>
  <w:style w:type="paragraph" w:styleId="7">
    <w:name w:val="heading 6"/>
    <w:semiHidden/>
    <w:unhideWhenUsed/>
    <w:qFormat/>
    <w:uiPriority w:val="9"/>
    <w:pPr>
      <w:outlineLvl w:val="5"/>
    </w:pPr>
    <w:rPr>
      <w:rFonts w:ascii="Calibri" w:hAnsi="Calibri" w:eastAsia="Calibri" w:cs="Calibri"/>
      <w:color w:val="1F4D78"/>
      <w:sz w:val="22"/>
      <w:szCs w:val="22"/>
      <w:lang w:val="en-GB" w:eastAsia="en-GB" w:bidi="ar-SA"/>
    </w:rPr>
  </w:style>
  <w:style w:type="character" w:default="1" w:styleId="8">
    <w:name w:val="Default Paragraph Font"/>
    <w:semiHidden/>
    <w:unhideWhenUsed/>
    <w:uiPriority w:val="1"/>
  </w:style>
  <w:style w:type="table" w:default="1" w:styleId="9">
    <w:name w:val="Normal Table"/>
    <w:semiHidden/>
    <w:unhideWhenUsed/>
    <w:qFormat/>
    <w:uiPriority w:val="99"/>
    <w:pPr>
      <w:keepNext w:val="0"/>
      <w:keepLines w:val="0"/>
      <w:widowControl/>
      <w:suppressLineNumbers w:val="0"/>
      <w:spacing w:before="0" w:beforeAutospacing="0" w:after="160" w:afterAutospacing="0" w:line="360" w:lineRule="auto"/>
      <w:ind w:left="0" w:right="0"/>
    </w:pPr>
    <w:rPr>
      <w:rFonts w:hint="default" w:ascii="Times New Roman" w:hAnsi="Times New Roman" w:cs="Times New Roman"/>
      <w:sz w:val="24"/>
      <w:szCs w:val="24"/>
      <w:lang w:val="en-US" w:eastAsia="zh-CN" w:bidi="ar"/>
    </w:rPr>
    <w:tblPr>
      <w:tblCellMar>
        <w:top w:w="0" w:type="dxa"/>
        <w:left w:w="108" w:type="dxa"/>
        <w:bottom w:w="0" w:type="dxa"/>
        <w:right w:w="108" w:type="dxa"/>
      </w:tblCellMar>
    </w:tblPr>
  </w:style>
  <w:style w:type="paragraph" w:styleId="10">
    <w:name w:val="Body Text"/>
    <w:basedOn w:val="1"/>
    <w:link w:val="28"/>
    <w:qFormat/>
    <w:uiPriority w:val="1"/>
    <w:pPr>
      <w:widowControl w:val="0"/>
      <w:autoSpaceDE w:val="0"/>
      <w:autoSpaceDN w:val="0"/>
      <w:ind w:left="360"/>
      <w:jc w:val="both"/>
    </w:pPr>
    <w:rPr>
      <w:rFonts w:ascii="Arial MT" w:hAnsi="Arial MT" w:eastAsia="Arial MT" w:cs="Arial MT"/>
      <w:sz w:val="24"/>
      <w:szCs w:val="24"/>
      <w:lang w:val="en-US" w:eastAsia="en-US"/>
    </w:rPr>
  </w:style>
  <w:style w:type="character" w:styleId="11">
    <w:name w:val="endnote reference"/>
    <w:semiHidden/>
    <w:unhideWhenUsed/>
    <w:uiPriority w:val="99"/>
    <w:rPr>
      <w:vertAlign w:val="superscript"/>
    </w:rPr>
  </w:style>
  <w:style w:type="paragraph" w:styleId="12">
    <w:name w:val="endnote text"/>
    <w:link w:val="24"/>
    <w:semiHidden/>
    <w:unhideWhenUsed/>
    <w:uiPriority w:val="99"/>
    <w:rPr>
      <w:rFonts w:ascii="Calibri" w:hAnsi="Calibri" w:eastAsia="Calibri" w:cs="Calibri"/>
      <w:sz w:val="20"/>
      <w:szCs w:val="20"/>
      <w:lang w:val="en-GB" w:eastAsia="en-GB" w:bidi="ar-SA"/>
    </w:rPr>
  </w:style>
  <w:style w:type="character" w:styleId="13">
    <w:name w:val="FollowedHyperlink"/>
    <w:basedOn w:val="8"/>
    <w:semiHidden/>
    <w:unhideWhenUsed/>
    <w:uiPriority w:val="99"/>
    <w:rPr>
      <w:color w:val="96607D" w:themeColor="followedHyperlink"/>
      <w:u w:val="single"/>
      <w14:textFill>
        <w14:solidFill>
          <w14:schemeClr w14:val="folHlink"/>
        </w14:solidFill>
      </w14:textFill>
    </w:rPr>
  </w:style>
  <w:style w:type="character" w:styleId="14">
    <w:name w:val="footnote reference"/>
    <w:semiHidden/>
    <w:unhideWhenUsed/>
    <w:uiPriority w:val="99"/>
    <w:rPr>
      <w:vertAlign w:val="superscript"/>
    </w:rPr>
  </w:style>
  <w:style w:type="paragraph" w:styleId="15">
    <w:name w:val="footnote text"/>
    <w:link w:val="23"/>
    <w:semiHidden/>
    <w:unhideWhenUsed/>
    <w:uiPriority w:val="99"/>
    <w:rPr>
      <w:rFonts w:ascii="Calibri" w:hAnsi="Calibri" w:eastAsia="Calibri" w:cs="Calibri"/>
      <w:sz w:val="20"/>
      <w:szCs w:val="20"/>
      <w:lang w:val="en-GB" w:eastAsia="en-GB" w:bidi="ar-SA"/>
    </w:rPr>
  </w:style>
  <w:style w:type="character" w:styleId="16">
    <w:name w:val="Hyperlink"/>
    <w:unhideWhenUsed/>
    <w:uiPriority w:val="99"/>
    <w:rPr>
      <w:color w:val="0563C1"/>
      <w:u w:val="single"/>
    </w:rPr>
  </w:style>
  <w:style w:type="paragraph" w:styleId="17">
    <w:name w:val="Title"/>
    <w:qFormat/>
    <w:uiPriority w:val="10"/>
    <w:rPr>
      <w:rFonts w:ascii="Calibri" w:hAnsi="Calibri" w:eastAsia="Calibri" w:cs="Calibri"/>
      <w:sz w:val="56"/>
      <w:szCs w:val="56"/>
      <w:lang w:val="en-GB" w:eastAsia="en-GB" w:bidi="ar-SA"/>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uiPriority w:val="39"/>
    <w:pPr>
      <w:spacing w:after="100"/>
      <w:ind w:left="220"/>
    </w:pPr>
  </w:style>
  <w:style w:type="paragraph" w:styleId="20">
    <w:name w:val="toc 3"/>
    <w:basedOn w:val="1"/>
    <w:next w:val="1"/>
    <w:autoRedefine/>
    <w:unhideWhenUsed/>
    <w:uiPriority w:val="39"/>
    <w:pPr>
      <w:spacing w:after="100"/>
      <w:ind w:left="440"/>
    </w:pPr>
  </w:style>
  <w:style w:type="paragraph" w:customStyle="1" w:styleId="21">
    <w:name w:val="Strong1"/>
    <w:qFormat/>
    <w:uiPriority w:val="0"/>
    <w:rPr>
      <w:rFonts w:ascii="Calibri" w:hAnsi="Calibri" w:eastAsia="Calibri" w:cs="Calibri"/>
      <w:b/>
      <w:bCs/>
      <w:sz w:val="22"/>
      <w:szCs w:val="22"/>
      <w:lang w:val="en-GB" w:eastAsia="en-GB" w:bidi="ar-SA"/>
    </w:rPr>
  </w:style>
  <w:style w:type="paragraph" w:styleId="22">
    <w:name w:val="List Paragraph"/>
    <w:qFormat/>
    <w:uiPriority w:val="0"/>
    <w:rPr>
      <w:rFonts w:ascii="Calibri" w:hAnsi="Calibri" w:eastAsia="Calibri" w:cs="Calibri"/>
      <w:sz w:val="22"/>
      <w:szCs w:val="22"/>
      <w:lang w:val="en-GB" w:eastAsia="en-GB" w:bidi="ar-SA"/>
    </w:rPr>
  </w:style>
  <w:style w:type="character" w:customStyle="1" w:styleId="23">
    <w:name w:val="Footnote Text Char"/>
    <w:link w:val="15"/>
    <w:semiHidden/>
    <w:unhideWhenUsed/>
    <w:uiPriority w:val="99"/>
    <w:rPr>
      <w:sz w:val="20"/>
      <w:szCs w:val="20"/>
    </w:rPr>
  </w:style>
  <w:style w:type="character" w:customStyle="1" w:styleId="24">
    <w:name w:val="Endnote Text Char"/>
    <w:link w:val="12"/>
    <w:semiHidden/>
    <w:unhideWhenUsed/>
    <w:uiPriority w:val="99"/>
    <w:rPr>
      <w:sz w:val="20"/>
      <w:szCs w:val="20"/>
    </w:rPr>
  </w:style>
  <w:style w:type="character" w:customStyle="1" w:styleId="25">
    <w:name w:val="Heading 1 Char"/>
    <w:basedOn w:val="8"/>
    <w:link w:val="2"/>
    <w:uiPriority w:val="9"/>
    <w:rPr>
      <w:color w:val="2E74B5"/>
      <w:sz w:val="32"/>
      <w:szCs w:val="32"/>
    </w:rPr>
  </w:style>
  <w:style w:type="character" w:customStyle="1" w:styleId="26">
    <w:name w:val="Heading 2 Char"/>
    <w:basedOn w:val="8"/>
    <w:link w:val="3"/>
    <w:uiPriority w:val="9"/>
    <w:rPr>
      <w:color w:val="2E74B5"/>
      <w:sz w:val="26"/>
      <w:szCs w:val="26"/>
    </w:rPr>
  </w:style>
  <w:style w:type="character" w:customStyle="1" w:styleId="27">
    <w:name w:val="Unresolved Mention"/>
    <w:basedOn w:val="8"/>
    <w:semiHidden/>
    <w:unhideWhenUsed/>
    <w:uiPriority w:val="99"/>
    <w:rPr>
      <w:color w:val="605E5C"/>
      <w:shd w:val="clear" w:color="auto" w:fill="E1DFDD"/>
    </w:rPr>
  </w:style>
  <w:style w:type="character" w:customStyle="1" w:styleId="28">
    <w:name w:val="Body Text Char"/>
    <w:basedOn w:val="8"/>
    <w:link w:val="10"/>
    <w:uiPriority w:val="1"/>
    <w:rPr>
      <w:rFonts w:ascii="Arial MT" w:hAnsi="Arial MT" w:eastAsia="Arial MT" w:cs="Arial MT"/>
      <w:sz w:val="24"/>
      <w:szCs w:val="24"/>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2.jpe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32</Pages>
  <Words>9628</Words>
  <Characters>59623</Characters>
  <Lines>554</Lines>
  <Paragraphs>155</Paragraphs>
  <TotalTime>1</TotalTime>
  <ScaleCrop>false</ScaleCrop>
  <LinksUpToDate>false</LinksUpToDate>
  <CharactersWithSpaces>68823</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2026-08-13T12:15:00Z</dcterms:created>
  <dc:creator>Un-named</dc:creator>
  <cp:lastModifiedBy>LENOVO</cp:lastModifiedBy>
  <cp:lastPrinted>2026-08-13T10:56:00Z</cp:lastPrinted>
  <dcterms:modified xsi:type="dcterms:W3CDTF">2026-08-13T12:33:04Z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5edfd5ad-b58b-4917-9514-e1fe5e60466c</vt:lpwstr>
  </property>
  <property fmtid="{D5CDD505-2E9C-101B-9397-08002B2CF9AE}" pid="3" name="KSOTemplateDocerSaveRecord">
    <vt:lpwstr>eyJoZGlkIjoiMDljYzUzMWQ4OWI0YzBkYjYzMDRhZTY5ZjZkYmFmYTgifQ==</vt:lpwstr>
  </property>
  <property fmtid="{D5CDD505-2E9C-101B-9397-08002B2CF9AE}" pid="4" name="KSOProductBuildVer">
    <vt:lpwstr>1033-12.1.0.28032</vt:lpwstr>
  </property>
  <property fmtid="{D5CDD505-2E9C-101B-9397-08002B2CF9AE}" pid="5" name="ICV">
    <vt:lpwstr>79D1F3EF21D84FC4AC38FCFB5FE2E832_12</vt:lpwstr>
  </property>
</Properties>
</file>