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E416DF" w14:textId="4B57C195" w:rsidR="00372796" w:rsidRDefault="00372796">
      <w:pPr>
        <w:rPr>
          <w:b/>
          <w:sz w:val="36"/>
          <w:szCs w:val="36"/>
        </w:rPr>
      </w:pPr>
    </w:p>
    <w:p w14:paraId="00AA4248" w14:textId="1EBD6CC5" w:rsidR="00372796" w:rsidRDefault="00372796">
      <w:pPr>
        <w:rPr>
          <w:b/>
          <w:sz w:val="36"/>
          <w:szCs w:val="36"/>
        </w:rPr>
      </w:pPr>
    </w:p>
    <w:p w14:paraId="64028646" w14:textId="4FE6266C" w:rsidR="00372796" w:rsidRDefault="00372796">
      <w:pPr>
        <w:rPr>
          <w:b/>
          <w:sz w:val="36"/>
          <w:szCs w:val="36"/>
        </w:rPr>
      </w:pPr>
    </w:p>
    <w:p w14:paraId="4B5CF079" w14:textId="77777777" w:rsidR="00372796" w:rsidRDefault="00372796">
      <w:pPr>
        <w:rPr>
          <w:sz w:val="36"/>
          <w:szCs w:val="36"/>
        </w:rPr>
      </w:pPr>
    </w:p>
    <w:tbl>
      <w:tblPr>
        <w:tblStyle w:val="TableGrid"/>
        <w:tblW w:w="0" w:type="auto"/>
        <w:tblInd w:w="0" w:type="dxa"/>
        <w:tblLook w:val="04A0" w:firstRow="1" w:lastRow="0" w:firstColumn="1" w:lastColumn="0" w:noHBand="0" w:noVBand="1"/>
      </w:tblPr>
      <w:tblGrid>
        <w:gridCol w:w="2830"/>
        <w:gridCol w:w="6189"/>
      </w:tblGrid>
      <w:tr w:rsidR="00372796" w14:paraId="48775426" w14:textId="77777777" w:rsidTr="00372796">
        <w:tc>
          <w:tcPr>
            <w:tcW w:w="2830" w:type="dxa"/>
            <w:tcBorders>
              <w:top w:val="single" w:sz="4" w:space="0" w:color="auto"/>
              <w:left w:val="single" w:sz="4" w:space="0" w:color="auto"/>
              <w:bottom w:val="single" w:sz="4" w:space="0" w:color="auto"/>
              <w:right w:val="single" w:sz="4" w:space="0" w:color="auto"/>
            </w:tcBorders>
            <w:hideMark/>
          </w:tcPr>
          <w:p w14:paraId="0D6A3A37" w14:textId="77777777" w:rsidR="00372796" w:rsidRDefault="00372796">
            <w:pPr>
              <w:spacing w:line="360" w:lineRule="auto"/>
              <w:jc w:val="center"/>
            </w:pPr>
            <w:r>
              <w:t>MODULE</w:t>
            </w:r>
          </w:p>
        </w:tc>
        <w:tc>
          <w:tcPr>
            <w:tcW w:w="6189" w:type="dxa"/>
            <w:tcBorders>
              <w:top w:val="single" w:sz="4" w:space="0" w:color="auto"/>
              <w:left w:val="single" w:sz="4" w:space="0" w:color="auto"/>
              <w:bottom w:val="single" w:sz="4" w:space="0" w:color="auto"/>
              <w:right w:val="single" w:sz="4" w:space="0" w:color="auto"/>
            </w:tcBorders>
            <w:hideMark/>
          </w:tcPr>
          <w:p w14:paraId="3F4801BC" w14:textId="77777777" w:rsidR="00372796" w:rsidRDefault="00372796">
            <w:pPr>
              <w:spacing w:line="360" w:lineRule="auto"/>
              <w:jc w:val="center"/>
            </w:pPr>
            <w:r>
              <w:t xml:space="preserve">THE GLOBAL BUSINESS ENVIRONMENT </w:t>
            </w:r>
          </w:p>
        </w:tc>
      </w:tr>
      <w:tr w:rsidR="00372796" w14:paraId="4C2FDABB" w14:textId="77777777" w:rsidTr="00372796">
        <w:tc>
          <w:tcPr>
            <w:tcW w:w="2830" w:type="dxa"/>
            <w:tcBorders>
              <w:top w:val="single" w:sz="4" w:space="0" w:color="auto"/>
              <w:left w:val="single" w:sz="4" w:space="0" w:color="auto"/>
              <w:bottom w:val="single" w:sz="4" w:space="0" w:color="auto"/>
              <w:right w:val="single" w:sz="4" w:space="0" w:color="auto"/>
            </w:tcBorders>
            <w:hideMark/>
          </w:tcPr>
          <w:p w14:paraId="24E42141" w14:textId="77777777" w:rsidR="00372796" w:rsidRDefault="00372796">
            <w:pPr>
              <w:spacing w:line="360" w:lineRule="auto"/>
              <w:jc w:val="center"/>
            </w:pPr>
            <w:r>
              <w:t xml:space="preserve">STUDENT NAME </w:t>
            </w:r>
          </w:p>
        </w:tc>
        <w:tc>
          <w:tcPr>
            <w:tcW w:w="6189" w:type="dxa"/>
            <w:tcBorders>
              <w:top w:val="single" w:sz="4" w:space="0" w:color="auto"/>
              <w:left w:val="single" w:sz="4" w:space="0" w:color="auto"/>
              <w:bottom w:val="single" w:sz="4" w:space="0" w:color="auto"/>
              <w:right w:val="single" w:sz="4" w:space="0" w:color="auto"/>
            </w:tcBorders>
            <w:hideMark/>
          </w:tcPr>
          <w:p w14:paraId="5EDC8038" w14:textId="77777777" w:rsidR="00372796" w:rsidRDefault="00372796">
            <w:pPr>
              <w:spacing w:line="360" w:lineRule="auto"/>
              <w:jc w:val="center"/>
            </w:pPr>
            <w:r>
              <w:t>DIANA GABRIELA BUCATARU</w:t>
            </w:r>
          </w:p>
        </w:tc>
      </w:tr>
      <w:tr w:rsidR="00372796" w14:paraId="7D0107C5" w14:textId="77777777" w:rsidTr="00372796">
        <w:tc>
          <w:tcPr>
            <w:tcW w:w="2830" w:type="dxa"/>
            <w:tcBorders>
              <w:top w:val="single" w:sz="4" w:space="0" w:color="auto"/>
              <w:left w:val="single" w:sz="4" w:space="0" w:color="auto"/>
              <w:bottom w:val="single" w:sz="4" w:space="0" w:color="auto"/>
              <w:right w:val="single" w:sz="4" w:space="0" w:color="auto"/>
            </w:tcBorders>
            <w:hideMark/>
          </w:tcPr>
          <w:p w14:paraId="62E71179" w14:textId="77777777" w:rsidR="00372796" w:rsidRDefault="00372796">
            <w:pPr>
              <w:spacing w:line="360" w:lineRule="auto"/>
              <w:jc w:val="center"/>
            </w:pPr>
            <w:r>
              <w:t>STUDENT ID</w:t>
            </w:r>
          </w:p>
        </w:tc>
        <w:tc>
          <w:tcPr>
            <w:tcW w:w="6189" w:type="dxa"/>
            <w:tcBorders>
              <w:top w:val="single" w:sz="4" w:space="0" w:color="auto"/>
              <w:left w:val="single" w:sz="4" w:space="0" w:color="auto"/>
              <w:bottom w:val="single" w:sz="4" w:space="0" w:color="auto"/>
              <w:right w:val="single" w:sz="4" w:space="0" w:color="auto"/>
            </w:tcBorders>
            <w:hideMark/>
          </w:tcPr>
          <w:p w14:paraId="55962B1E" w14:textId="77777777" w:rsidR="00372796" w:rsidRDefault="00372796">
            <w:pPr>
              <w:spacing w:line="360" w:lineRule="auto"/>
              <w:jc w:val="center"/>
            </w:pPr>
            <w:r>
              <w:t>2122807</w:t>
            </w:r>
          </w:p>
        </w:tc>
      </w:tr>
      <w:tr w:rsidR="00372796" w14:paraId="574FC5AF" w14:textId="77777777" w:rsidTr="00372796">
        <w:tc>
          <w:tcPr>
            <w:tcW w:w="2830" w:type="dxa"/>
            <w:tcBorders>
              <w:top w:val="single" w:sz="4" w:space="0" w:color="auto"/>
              <w:left w:val="single" w:sz="4" w:space="0" w:color="auto"/>
              <w:bottom w:val="single" w:sz="4" w:space="0" w:color="auto"/>
              <w:right w:val="single" w:sz="4" w:space="0" w:color="auto"/>
            </w:tcBorders>
            <w:hideMark/>
          </w:tcPr>
          <w:p w14:paraId="2B9403A8" w14:textId="77777777" w:rsidR="00372796" w:rsidRDefault="00372796">
            <w:pPr>
              <w:spacing w:line="360" w:lineRule="auto"/>
              <w:jc w:val="center"/>
            </w:pPr>
            <w:r>
              <w:t>LECTURER</w:t>
            </w:r>
          </w:p>
        </w:tc>
        <w:tc>
          <w:tcPr>
            <w:tcW w:w="6189" w:type="dxa"/>
            <w:tcBorders>
              <w:top w:val="single" w:sz="4" w:space="0" w:color="auto"/>
              <w:left w:val="single" w:sz="4" w:space="0" w:color="auto"/>
              <w:bottom w:val="single" w:sz="4" w:space="0" w:color="auto"/>
              <w:right w:val="single" w:sz="4" w:space="0" w:color="auto"/>
            </w:tcBorders>
            <w:hideMark/>
          </w:tcPr>
          <w:p w14:paraId="685D1DDE" w14:textId="77777777" w:rsidR="00372796" w:rsidRDefault="00372796">
            <w:pPr>
              <w:spacing w:line="360" w:lineRule="auto"/>
              <w:jc w:val="center"/>
            </w:pPr>
            <w:r>
              <w:t>NADEEM MIRZA</w:t>
            </w:r>
          </w:p>
        </w:tc>
      </w:tr>
      <w:tr w:rsidR="00372796" w14:paraId="5EBE6AC1" w14:textId="77777777" w:rsidTr="00372796">
        <w:tc>
          <w:tcPr>
            <w:tcW w:w="2830" w:type="dxa"/>
            <w:tcBorders>
              <w:top w:val="single" w:sz="4" w:space="0" w:color="auto"/>
              <w:left w:val="single" w:sz="4" w:space="0" w:color="auto"/>
              <w:bottom w:val="single" w:sz="4" w:space="0" w:color="auto"/>
              <w:right w:val="single" w:sz="4" w:space="0" w:color="auto"/>
            </w:tcBorders>
            <w:hideMark/>
          </w:tcPr>
          <w:p w14:paraId="2A5FA3F7" w14:textId="77777777" w:rsidR="00372796" w:rsidRDefault="00372796">
            <w:pPr>
              <w:spacing w:line="360" w:lineRule="auto"/>
              <w:jc w:val="center"/>
            </w:pPr>
            <w:r>
              <w:t>MODULE CODE</w:t>
            </w:r>
          </w:p>
        </w:tc>
        <w:tc>
          <w:tcPr>
            <w:tcW w:w="6189" w:type="dxa"/>
            <w:tcBorders>
              <w:top w:val="single" w:sz="4" w:space="0" w:color="auto"/>
              <w:left w:val="single" w:sz="4" w:space="0" w:color="auto"/>
              <w:bottom w:val="single" w:sz="4" w:space="0" w:color="auto"/>
              <w:right w:val="single" w:sz="4" w:space="0" w:color="auto"/>
            </w:tcBorders>
            <w:hideMark/>
          </w:tcPr>
          <w:p w14:paraId="322208F5" w14:textId="77777777" w:rsidR="00372796" w:rsidRDefault="00372796">
            <w:pPr>
              <w:spacing w:line="360" w:lineRule="auto"/>
              <w:jc w:val="center"/>
            </w:pPr>
            <w:r>
              <w:t>LCBB4005</w:t>
            </w:r>
          </w:p>
        </w:tc>
      </w:tr>
      <w:tr w:rsidR="00372796" w14:paraId="4C4B71B3" w14:textId="77777777" w:rsidTr="00372796">
        <w:tc>
          <w:tcPr>
            <w:tcW w:w="2830" w:type="dxa"/>
            <w:tcBorders>
              <w:top w:val="single" w:sz="4" w:space="0" w:color="auto"/>
              <w:left w:val="single" w:sz="4" w:space="0" w:color="auto"/>
              <w:bottom w:val="single" w:sz="4" w:space="0" w:color="auto"/>
              <w:right w:val="single" w:sz="4" w:space="0" w:color="auto"/>
            </w:tcBorders>
            <w:hideMark/>
          </w:tcPr>
          <w:p w14:paraId="4A126074" w14:textId="77777777" w:rsidR="00372796" w:rsidRDefault="00372796">
            <w:pPr>
              <w:spacing w:line="360" w:lineRule="auto"/>
              <w:jc w:val="center"/>
            </w:pPr>
            <w:r>
              <w:t>ASSIGNMENT TITLE</w:t>
            </w:r>
          </w:p>
        </w:tc>
        <w:tc>
          <w:tcPr>
            <w:tcW w:w="6189" w:type="dxa"/>
            <w:tcBorders>
              <w:top w:val="single" w:sz="4" w:space="0" w:color="auto"/>
              <w:left w:val="single" w:sz="4" w:space="0" w:color="auto"/>
              <w:bottom w:val="single" w:sz="4" w:space="0" w:color="auto"/>
              <w:right w:val="single" w:sz="4" w:space="0" w:color="auto"/>
            </w:tcBorders>
            <w:hideMark/>
          </w:tcPr>
          <w:p w14:paraId="3E0B2306" w14:textId="44275290" w:rsidR="00372796" w:rsidRDefault="00372796">
            <w:pPr>
              <w:spacing w:line="360" w:lineRule="auto"/>
              <w:jc w:val="center"/>
            </w:pPr>
            <w:r>
              <w:t xml:space="preserve">ASSESSMENT </w:t>
            </w:r>
            <w:r>
              <w:t>2</w:t>
            </w:r>
          </w:p>
        </w:tc>
      </w:tr>
    </w:tbl>
    <w:p w14:paraId="00000003" w14:textId="4D03ABD6" w:rsidR="00F7370F" w:rsidRDefault="00C715B2">
      <w:pPr>
        <w:rPr>
          <w:sz w:val="36"/>
          <w:szCs w:val="36"/>
        </w:rPr>
      </w:pPr>
      <w:r>
        <w:br w:type="page"/>
      </w:r>
    </w:p>
    <w:p w14:paraId="00000004" w14:textId="77777777" w:rsidR="00F7370F" w:rsidRDefault="00C715B2">
      <w:pPr>
        <w:jc w:val="left"/>
        <w:rPr>
          <w:sz w:val="36"/>
          <w:szCs w:val="36"/>
        </w:rPr>
      </w:pPr>
      <w:r>
        <w:rPr>
          <w:b/>
          <w:sz w:val="28"/>
          <w:szCs w:val="28"/>
        </w:rPr>
        <w:lastRenderedPageBreak/>
        <w:t>Table of Contents</w:t>
      </w:r>
    </w:p>
    <w:sdt>
      <w:sdtPr>
        <w:id w:val="-1909905969"/>
        <w:docPartObj>
          <w:docPartGallery w:val="Table of Contents"/>
          <w:docPartUnique/>
        </w:docPartObj>
      </w:sdtPr>
      <w:sdtEndPr/>
      <w:sdtContent>
        <w:p w14:paraId="00000005" w14:textId="1DC63F3C" w:rsidR="00F7370F" w:rsidRDefault="00C715B2">
          <w:pPr>
            <w:tabs>
              <w:tab w:val="right" w:pos="9025"/>
            </w:tabs>
            <w:spacing w:before="80" w:line="240" w:lineRule="auto"/>
            <w:rPr>
              <w:noProof/>
              <w:color w:val="000000"/>
            </w:rPr>
          </w:pPr>
          <w:r>
            <w:fldChar w:fldCharType="begin"/>
          </w:r>
          <w:r>
            <w:instrText xml:space="preserve"> TOC \h \u \z </w:instrText>
          </w:r>
          <w:r>
            <w:fldChar w:fldCharType="separate"/>
          </w:r>
          <w:hyperlink w:anchor="_stm0ysuzwyza">
            <w:r>
              <w:rPr>
                <w:noProof/>
                <w:color w:val="000000"/>
              </w:rPr>
              <w:t>Introduction</w:t>
            </w:r>
          </w:hyperlink>
          <w:r>
            <w:rPr>
              <w:noProof/>
              <w:color w:val="000000"/>
            </w:rPr>
            <w:tab/>
          </w:r>
          <w:r>
            <w:rPr>
              <w:noProof/>
            </w:rPr>
            <w:fldChar w:fldCharType="begin"/>
          </w:r>
          <w:r>
            <w:rPr>
              <w:noProof/>
            </w:rPr>
            <w:instrText xml:space="preserve"> PAGEREF _stm0ysuzwyza \h </w:instrText>
          </w:r>
          <w:r>
            <w:rPr>
              <w:noProof/>
            </w:rPr>
          </w:r>
          <w:r>
            <w:rPr>
              <w:noProof/>
            </w:rPr>
            <w:fldChar w:fldCharType="separate"/>
          </w:r>
          <w:r w:rsidR="00372796">
            <w:rPr>
              <w:noProof/>
            </w:rPr>
            <w:t>3</w:t>
          </w:r>
          <w:r>
            <w:rPr>
              <w:noProof/>
            </w:rPr>
            <w:fldChar w:fldCharType="end"/>
          </w:r>
        </w:p>
        <w:p w14:paraId="00000006" w14:textId="087B4543" w:rsidR="00F7370F" w:rsidRDefault="003D5987">
          <w:pPr>
            <w:tabs>
              <w:tab w:val="right" w:pos="9025"/>
            </w:tabs>
            <w:spacing w:before="200" w:line="240" w:lineRule="auto"/>
            <w:rPr>
              <w:noProof/>
              <w:color w:val="000000"/>
            </w:rPr>
          </w:pPr>
          <w:hyperlink w:anchor="_5msmek4tbuva">
            <w:r w:rsidR="00C715B2">
              <w:rPr>
                <w:noProof/>
                <w:color w:val="000000"/>
              </w:rPr>
              <w:t>The automobile industry and the influence of COVID19</w:t>
            </w:r>
          </w:hyperlink>
          <w:r w:rsidR="00C715B2">
            <w:rPr>
              <w:noProof/>
              <w:color w:val="000000"/>
            </w:rPr>
            <w:tab/>
          </w:r>
          <w:r w:rsidR="00C715B2">
            <w:rPr>
              <w:noProof/>
            </w:rPr>
            <w:fldChar w:fldCharType="begin"/>
          </w:r>
          <w:r w:rsidR="00C715B2">
            <w:rPr>
              <w:noProof/>
            </w:rPr>
            <w:instrText xml:space="preserve"> PAGEREF _5msmek4tbuva \h </w:instrText>
          </w:r>
          <w:r w:rsidR="00C715B2">
            <w:rPr>
              <w:noProof/>
            </w:rPr>
          </w:r>
          <w:r w:rsidR="00C715B2">
            <w:rPr>
              <w:noProof/>
            </w:rPr>
            <w:fldChar w:fldCharType="separate"/>
          </w:r>
          <w:r w:rsidR="00372796">
            <w:rPr>
              <w:noProof/>
            </w:rPr>
            <w:t>4</w:t>
          </w:r>
          <w:r w:rsidR="00C715B2">
            <w:rPr>
              <w:noProof/>
            </w:rPr>
            <w:fldChar w:fldCharType="end"/>
          </w:r>
        </w:p>
        <w:p w14:paraId="00000007" w14:textId="2B8F3C2D" w:rsidR="00F7370F" w:rsidRDefault="003D5987">
          <w:pPr>
            <w:tabs>
              <w:tab w:val="right" w:pos="9025"/>
            </w:tabs>
            <w:spacing w:before="200" w:line="240" w:lineRule="auto"/>
            <w:rPr>
              <w:noProof/>
              <w:color w:val="000000"/>
            </w:rPr>
          </w:pPr>
          <w:hyperlink w:anchor="_rac2vale87bb">
            <w:r w:rsidR="00C715B2">
              <w:rPr>
                <w:noProof/>
                <w:color w:val="000000"/>
              </w:rPr>
              <w:t>COVID-19-related problems in the automotive industry</w:t>
            </w:r>
          </w:hyperlink>
          <w:r w:rsidR="00C715B2">
            <w:rPr>
              <w:noProof/>
              <w:color w:val="000000"/>
            </w:rPr>
            <w:tab/>
          </w:r>
          <w:r w:rsidR="00C715B2">
            <w:rPr>
              <w:noProof/>
            </w:rPr>
            <w:fldChar w:fldCharType="begin"/>
          </w:r>
          <w:r w:rsidR="00C715B2">
            <w:rPr>
              <w:noProof/>
            </w:rPr>
            <w:instrText xml:space="preserve"> PAGEREF _rac2vale87bb \h </w:instrText>
          </w:r>
          <w:r w:rsidR="00C715B2">
            <w:rPr>
              <w:noProof/>
            </w:rPr>
          </w:r>
          <w:r w:rsidR="00C715B2">
            <w:rPr>
              <w:noProof/>
            </w:rPr>
            <w:fldChar w:fldCharType="separate"/>
          </w:r>
          <w:r w:rsidR="00372796">
            <w:rPr>
              <w:noProof/>
            </w:rPr>
            <w:t>5</w:t>
          </w:r>
          <w:r w:rsidR="00C715B2">
            <w:rPr>
              <w:noProof/>
            </w:rPr>
            <w:fldChar w:fldCharType="end"/>
          </w:r>
        </w:p>
        <w:p w14:paraId="00000008" w14:textId="4BF4735F" w:rsidR="00F7370F" w:rsidRDefault="003D5987">
          <w:pPr>
            <w:tabs>
              <w:tab w:val="right" w:pos="9025"/>
            </w:tabs>
            <w:spacing w:before="200" w:line="240" w:lineRule="auto"/>
            <w:rPr>
              <w:noProof/>
              <w:color w:val="000000"/>
            </w:rPr>
          </w:pPr>
          <w:hyperlink w:anchor="_23lme0bpxdi">
            <w:r w:rsidR="00C715B2">
              <w:rPr>
                <w:noProof/>
                <w:color w:val="000000"/>
              </w:rPr>
              <w:t>Development of survival and success factors</w:t>
            </w:r>
          </w:hyperlink>
          <w:r w:rsidR="00C715B2">
            <w:rPr>
              <w:noProof/>
              <w:color w:val="000000"/>
            </w:rPr>
            <w:tab/>
          </w:r>
          <w:r w:rsidR="00C715B2">
            <w:rPr>
              <w:noProof/>
            </w:rPr>
            <w:fldChar w:fldCharType="begin"/>
          </w:r>
          <w:r w:rsidR="00C715B2">
            <w:rPr>
              <w:noProof/>
            </w:rPr>
            <w:instrText xml:space="preserve"> PAGEREF _23lme0bpxdi \h </w:instrText>
          </w:r>
          <w:r w:rsidR="00C715B2">
            <w:rPr>
              <w:noProof/>
            </w:rPr>
          </w:r>
          <w:r w:rsidR="00C715B2">
            <w:rPr>
              <w:noProof/>
            </w:rPr>
            <w:fldChar w:fldCharType="separate"/>
          </w:r>
          <w:r w:rsidR="00372796">
            <w:rPr>
              <w:noProof/>
            </w:rPr>
            <w:t>7</w:t>
          </w:r>
          <w:r w:rsidR="00C715B2">
            <w:rPr>
              <w:noProof/>
            </w:rPr>
            <w:fldChar w:fldCharType="end"/>
          </w:r>
        </w:p>
        <w:p w14:paraId="00000009" w14:textId="4F0C75A2" w:rsidR="00F7370F" w:rsidRDefault="003D5987">
          <w:pPr>
            <w:tabs>
              <w:tab w:val="right" w:pos="9025"/>
            </w:tabs>
            <w:spacing w:before="200" w:line="240" w:lineRule="auto"/>
            <w:rPr>
              <w:noProof/>
              <w:color w:val="000000"/>
            </w:rPr>
          </w:pPr>
          <w:hyperlink w:anchor="_t8inxry0vq7d">
            <w:r w:rsidR="00C715B2">
              <w:rPr>
                <w:noProof/>
                <w:color w:val="000000"/>
              </w:rPr>
              <w:t>Conclusion</w:t>
            </w:r>
          </w:hyperlink>
          <w:r w:rsidR="00C715B2">
            <w:rPr>
              <w:noProof/>
              <w:color w:val="000000"/>
            </w:rPr>
            <w:tab/>
          </w:r>
          <w:r w:rsidR="00C715B2">
            <w:rPr>
              <w:noProof/>
            </w:rPr>
            <w:fldChar w:fldCharType="begin"/>
          </w:r>
          <w:r w:rsidR="00C715B2">
            <w:rPr>
              <w:noProof/>
            </w:rPr>
            <w:instrText xml:space="preserve"> PAGEREF _t8inxry0vq7d \h </w:instrText>
          </w:r>
          <w:r w:rsidR="00C715B2">
            <w:rPr>
              <w:noProof/>
            </w:rPr>
          </w:r>
          <w:r w:rsidR="00C715B2">
            <w:rPr>
              <w:noProof/>
            </w:rPr>
            <w:fldChar w:fldCharType="separate"/>
          </w:r>
          <w:r w:rsidR="00372796">
            <w:rPr>
              <w:noProof/>
            </w:rPr>
            <w:t>9</w:t>
          </w:r>
          <w:r w:rsidR="00C715B2">
            <w:rPr>
              <w:noProof/>
            </w:rPr>
            <w:fldChar w:fldCharType="end"/>
          </w:r>
        </w:p>
        <w:p w14:paraId="0000000A" w14:textId="6E5B17B5" w:rsidR="00F7370F" w:rsidRDefault="003D5987">
          <w:pPr>
            <w:tabs>
              <w:tab w:val="right" w:pos="9025"/>
            </w:tabs>
            <w:spacing w:before="200" w:after="80" w:line="240" w:lineRule="auto"/>
          </w:pPr>
          <w:hyperlink w:anchor="_ro8mgtahny1x">
            <w:r w:rsidR="00C715B2">
              <w:rPr>
                <w:noProof/>
              </w:rPr>
              <w:t>References</w:t>
            </w:r>
          </w:hyperlink>
          <w:r w:rsidR="00C715B2">
            <w:rPr>
              <w:noProof/>
            </w:rPr>
            <w:tab/>
          </w:r>
          <w:r w:rsidR="00C715B2">
            <w:rPr>
              <w:noProof/>
            </w:rPr>
            <w:fldChar w:fldCharType="begin"/>
          </w:r>
          <w:r w:rsidR="00C715B2">
            <w:rPr>
              <w:noProof/>
            </w:rPr>
            <w:instrText xml:space="preserve"> PAGEREF _ro8mgtahny1x \h </w:instrText>
          </w:r>
          <w:r w:rsidR="00C715B2">
            <w:rPr>
              <w:noProof/>
            </w:rPr>
          </w:r>
          <w:r w:rsidR="00C715B2">
            <w:rPr>
              <w:noProof/>
            </w:rPr>
            <w:fldChar w:fldCharType="separate"/>
          </w:r>
          <w:r w:rsidR="00372796">
            <w:rPr>
              <w:noProof/>
            </w:rPr>
            <w:t>10</w:t>
          </w:r>
          <w:r w:rsidR="00C715B2">
            <w:rPr>
              <w:noProof/>
            </w:rPr>
            <w:fldChar w:fldCharType="end"/>
          </w:r>
          <w:r w:rsidR="00C715B2">
            <w:fldChar w:fldCharType="end"/>
          </w:r>
        </w:p>
      </w:sdtContent>
    </w:sdt>
    <w:p w14:paraId="0000000B" w14:textId="77777777" w:rsidR="00F7370F" w:rsidRDefault="00F7370F">
      <w:pPr>
        <w:rPr>
          <w:sz w:val="36"/>
          <w:szCs w:val="36"/>
        </w:rPr>
      </w:pPr>
    </w:p>
    <w:p w14:paraId="0000000C" w14:textId="77777777" w:rsidR="00F7370F" w:rsidRDefault="00C715B2">
      <w:pPr>
        <w:jc w:val="left"/>
        <w:rPr>
          <w:sz w:val="36"/>
          <w:szCs w:val="36"/>
        </w:rPr>
      </w:pPr>
      <w:r>
        <w:br w:type="page"/>
      </w:r>
    </w:p>
    <w:p w14:paraId="0000000D" w14:textId="77777777" w:rsidR="00F7370F" w:rsidRDefault="00C715B2">
      <w:pPr>
        <w:pStyle w:val="Heading1"/>
      </w:pPr>
      <w:bookmarkStart w:id="0" w:name="_stm0ysuzwyza" w:colFirst="0" w:colLast="0"/>
      <w:bookmarkEnd w:id="0"/>
      <w:r>
        <w:lastRenderedPageBreak/>
        <w:t>Introduction</w:t>
      </w:r>
    </w:p>
    <w:p w14:paraId="0000000E" w14:textId="3E74288F" w:rsidR="00F7370F" w:rsidRDefault="00C715B2">
      <w:r>
        <w:t>The global economic system is in disarray due to the COVID-19 pandemic. As a precautionary measure, the governments of all countries have enacted a nationwide lockdown. It is possible that the lockdown prevented the spread of the disease. Still, it has had a disastrous effect on the land, interrupting entire value chai</w:t>
      </w:r>
      <w:r w:rsidR="00AC61BA">
        <w:t>ns in its most important busine</w:t>
      </w:r>
      <w:r>
        <w:t>s</w:t>
      </w:r>
      <w:r w:rsidR="00AC61BA">
        <w:t>s</w:t>
      </w:r>
      <w:r>
        <w:t xml:space="preserve">es. There is a substantial impact on all industries, including the automobile sector, with key manufacturers closing or running an </w:t>
      </w:r>
      <w:proofErr w:type="spellStart"/>
      <w:r>
        <w:t>organisation</w:t>
      </w:r>
      <w:proofErr w:type="spellEnd"/>
      <w:r>
        <w:t xml:space="preserve"> with the smallest number of people at manufacturing plants to protect their workers. Many structural changes, such as the GST, axle load reforms, the transition to shared mobility, and a liquidity shortage, have contributed to significant delays in the vehicle industry in recent months. The COVID19 lockdow</w:t>
      </w:r>
      <w:r w:rsidR="00AC61BA">
        <w:t xml:space="preserve">n </w:t>
      </w:r>
      <w:r>
        <w:t xml:space="preserve">significantly impacted the economy and has left many businesses unable to operate. Automakers are deeply concerned about the long-term effect of the lockout on customer demand. For many </w:t>
      </w:r>
      <w:proofErr w:type="spellStart"/>
      <w:r>
        <w:t>organisations</w:t>
      </w:r>
      <w:proofErr w:type="spellEnd"/>
      <w:r>
        <w:t>, R&amp;D (Research and Development) must maintain or even recoup progress in mobility technology and alternative fuels. Using megatrends as a guide, this paper will investigate the impact of the pandemic on the automobile sector and identify the survival and success determinants for the firm.</w:t>
      </w:r>
    </w:p>
    <w:p w14:paraId="0000000F" w14:textId="77777777" w:rsidR="00F7370F" w:rsidRDefault="00C715B2">
      <w:r>
        <w:br w:type="page"/>
      </w:r>
    </w:p>
    <w:p w14:paraId="00000010" w14:textId="77777777" w:rsidR="00F7370F" w:rsidRDefault="00C715B2">
      <w:pPr>
        <w:pStyle w:val="Heading1"/>
      </w:pPr>
      <w:bookmarkStart w:id="1" w:name="_5msmek4tbuva" w:colFirst="0" w:colLast="0"/>
      <w:bookmarkEnd w:id="1"/>
      <w:r>
        <w:lastRenderedPageBreak/>
        <w:t>The automobile industry and the influence of COVID19</w:t>
      </w:r>
    </w:p>
    <w:p w14:paraId="00000011" w14:textId="77777777" w:rsidR="00F7370F" w:rsidRDefault="00C715B2">
      <w:r>
        <w:t>The automotive sector faces several new concerns in the wake of the COVID-19 outbreak. In addition to the fields listed below, the impact of COVID19 has been felt in several other areas.</w:t>
      </w:r>
    </w:p>
    <w:p w14:paraId="00000012" w14:textId="77777777" w:rsidR="00F7370F" w:rsidRDefault="00C715B2">
      <w:r>
        <w:rPr>
          <w:b/>
        </w:rPr>
        <w:t xml:space="preserve">Dealerships in automobiles: </w:t>
      </w:r>
      <w:r>
        <w:t>Auto dealers have been confronted with significant difficulties. Auto dealers sell two, three, and four-wheelers in India, with more than 15,000 units. During the lockdown time, they were unable to transport any motor vehicles. Car sellers have been educated that their last things will be available 30-45 days after fruition. They will be impressively limited before the beginning of the post-lockdown time frame (Baron, 2018). It is extended that somewhere in the range of 8% and 10% of these showrooms will close their entryways over a half year.</w:t>
      </w:r>
    </w:p>
    <w:p w14:paraId="00000013" w14:textId="77777777" w:rsidR="00F7370F" w:rsidRDefault="00C715B2">
      <w:r>
        <w:rPr>
          <w:b/>
        </w:rPr>
        <w:t xml:space="preserve">Automobile component suppliers: </w:t>
      </w:r>
      <w:r>
        <w:t xml:space="preserve">Auto </w:t>
      </w:r>
      <w:proofErr w:type="spellStart"/>
      <w:r>
        <w:t>organisations</w:t>
      </w:r>
      <w:proofErr w:type="spellEnd"/>
      <w:r>
        <w:t xml:space="preserve"> vigorously depend on unfamiliar work to meet their creative needs. Without a trace of these people, the resumption of activities following the lockdown will be additionally deferred, bringing about a cascading type of influence throughout the whole assessment chain (Coffman, 2016). Production network members are stood up to with liquidity concerns, which might bring about falling apart economic situations, causing broad interruption throughout the entire presentation </w:t>
      </w:r>
      <w:proofErr w:type="spellStart"/>
      <w:r>
        <w:t>organisation</w:t>
      </w:r>
      <w:proofErr w:type="spellEnd"/>
      <w:r>
        <w:t>.</w:t>
      </w:r>
    </w:p>
    <w:p w14:paraId="00000014" w14:textId="647D7C45" w:rsidR="00F7370F" w:rsidRDefault="00C715B2">
      <w:r>
        <w:rPr>
          <w:b/>
        </w:rPr>
        <w:t xml:space="preserve">Financial institutions: </w:t>
      </w:r>
      <w:r>
        <w:t xml:space="preserve">Given the trouble in laying out a client's reliability, it is guessed that these monetary foundations will confront the brunt of the economic weight, as credit avoidances are supposed to increment, and new advances are supposed to drop accordingly. The current </w:t>
      </w:r>
      <w:r w:rsidR="00AC61BA">
        <w:t>year's COVID-19 will hurt utiliz</w:t>
      </w:r>
      <w:r>
        <w:t>ed automobiles, versatility arrangements, and secondary selling specialist co-ops (Conklin, 2018). All three industries rely on expectations of solid growth to preserve their financial stability and sustainability.</w:t>
      </w:r>
    </w:p>
    <w:p w14:paraId="00000015" w14:textId="77777777" w:rsidR="00F7370F" w:rsidRDefault="00C715B2">
      <w:r>
        <w:rPr>
          <w:b/>
        </w:rPr>
        <w:t xml:space="preserve">Sales and marketing: </w:t>
      </w:r>
      <w:r>
        <w:t xml:space="preserve">It is estimated that COVID19 had a considerable negative influence on new vehicle sales, notably in February 2019. Consider that recent vehicle sales in China decreased by 92 per cent in February compared to the same month the previous year. Also, all-out vehicle deals in European nations declined by 7.4 per cent, contrasted with arrangements the last year (Guy, 2017).  Moreover, significant vehicle </w:t>
      </w:r>
      <w:proofErr w:type="spellStart"/>
      <w:r>
        <w:t>organisations</w:t>
      </w:r>
      <w:proofErr w:type="spellEnd"/>
      <w:r>
        <w:t xml:space="preserve"> in India, like TVs and Mahindra, have stopped creation and contracts because of the closure, and a broad scope of different enterprises have endured.</w:t>
      </w:r>
    </w:p>
    <w:p w14:paraId="00000016" w14:textId="77777777" w:rsidR="00F7370F" w:rsidRDefault="00C715B2">
      <w:pPr>
        <w:pStyle w:val="Heading1"/>
      </w:pPr>
      <w:bookmarkStart w:id="2" w:name="_rac2vale87bb" w:colFirst="0" w:colLast="0"/>
      <w:bookmarkEnd w:id="2"/>
      <w:r>
        <w:lastRenderedPageBreak/>
        <w:t>COVID-19-related problems in the automotive industry</w:t>
      </w:r>
    </w:p>
    <w:p w14:paraId="00000017" w14:textId="783CD8D4" w:rsidR="00F7370F" w:rsidRDefault="00C715B2">
      <w:r>
        <w:t>The automobile sector is on the front lines due to the outbreak's disruption of normal business activities, which has thrown the industry's financial condition into chaos and forced it to close its doors (</w:t>
      </w:r>
      <w:proofErr w:type="spellStart"/>
      <w:r>
        <w:t>Cherunilam</w:t>
      </w:r>
      <w:proofErr w:type="spellEnd"/>
      <w:r>
        <w:t xml:space="preserve">, 2017). The absolute most gravely affected regions are home to essential modern </w:t>
      </w:r>
      <w:proofErr w:type="spellStart"/>
      <w:r>
        <w:t>centre</w:t>
      </w:r>
      <w:proofErr w:type="spellEnd"/>
      <w:r>
        <w:t xml:space="preserve"> points for a portion of the fundamental linkages in the production network, making them especially </w:t>
      </w:r>
      <w:proofErr w:type="spellStart"/>
      <w:r>
        <w:t>defenceless</w:t>
      </w:r>
      <w:proofErr w:type="spellEnd"/>
      <w:r>
        <w:t>. Blackouts, digital occurrences, and catastrophic events were tended to in individual crisis plans, which aided keep activities moving along as expected. Because of the far and wide outcomes, the circumstance is quick weakening (Kelly, 2016). The primary areas of stress for these challenges are emergency the board and reaction, HR, inventory network, money and liquidity, expense and exchange, and methodology, to give some examples of areas of concern.</w:t>
      </w:r>
    </w:p>
    <w:p w14:paraId="00000018" w14:textId="4C2D9859" w:rsidR="00F7370F" w:rsidRDefault="00C715B2">
      <w:r>
        <w:rPr>
          <w:b/>
        </w:rPr>
        <w:t xml:space="preserve">Management and response in times of crisis: </w:t>
      </w:r>
      <w:r w:rsidR="00173F9C">
        <w:t>I</w:t>
      </w:r>
      <w:r>
        <w:t xml:space="preserve">n these circumstances, careful arranging is essential. In light of progress in the pestilence's focal point from Asia to North America and Europe, auto </w:t>
      </w:r>
      <w:proofErr w:type="spellStart"/>
      <w:r>
        <w:t>organisations</w:t>
      </w:r>
      <w:proofErr w:type="spellEnd"/>
      <w:r>
        <w:t xml:space="preserve"> need to hold a "surprisingly realistic" approach in their re</w:t>
      </w:r>
      <w:r w:rsidR="008D4526">
        <w:t>action to the emergency (</w:t>
      </w:r>
      <w:proofErr w:type="spellStart"/>
      <w:r w:rsidR="008D4526">
        <w:t>Alliso</w:t>
      </w:r>
      <w:proofErr w:type="spellEnd"/>
      <w:r>
        <w:t xml:space="preserve">, 2018). </w:t>
      </w:r>
      <w:proofErr w:type="spellStart"/>
      <w:r>
        <w:t>Organisations</w:t>
      </w:r>
      <w:proofErr w:type="spellEnd"/>
      <w:r>
        <w:t xml:space="preserve"> ought to assess the pestilence's effect on a broad scope of required fields. However, they should likewise consider the detonating economic, vital, and monetary market landscape.</w:t>
      </w:r>
    </w:p>
    <w:p w14:paraId="00000019" w14:textId="0D70E2C1" w:rsidR="00F7370F" w:rsidRDefault="00C715B2">
      <w:r>
        <w:rPr>
          <w:b/>
        </w:rPr>
        <w:t xml:space="preserve">Human Resources: </w:t>
      </w:r>
      <w:r>
        <w:t>Autom</w:t>
      </w:r>
      <w:r w:rsidR="00173F9C">
        <w:t>akers and their providers utiliz</w:t>
      </w:r>
      <w:r>
        <w:t>ed more than 1,000,000 individuals in the United Kingdom in 2016, as per the accessible information</w:t>
      </w:r>
      <w:r>
        <w:rPr>
          <w:b/>
        </w:rPr>
        <w:t>.</w:t>
      </w:r>
      <w:r>
        <w:t xml:space="preserve"> Executives at companies should place a high priority on the well-being of their staff. A substantial percentage of a manufacturing facility's employees becoming sick if the pandemic spreads might seriously impair the facility's capacity to produce (Bixby, 2017). It is also critical to have clear, visible, and meaningful contacts with employees as the number of difficult situations increases due to increasing access to testing.</w:t>
      </w:r>
    </w:p>
    <w:p w14:paraId="0000001A" w14:textId="29632703" w:rsidR="00F7370F" w:rsidRDefault="00C715B2">
      <w:r>
        <w:rPr>
          <w:b/>
        </w:rPr>
        <w:t xml:space="preserve">Operational and supply-chain management: </w:t>
      </w:r>
      <w:r>
        <w:t>COVID19 has the potential to have a substantial impact on the automotive supply chain. The manufacture of inclusiv</w:t>
      </w:r>
      <w:r w:rsidR="00173F9C">
        <w:t>e vehicles in countries such as</w:t>
      </w:r>
      <w:r>
        <w:t xml:space="preserve"> China, Japan, and South Korea contributed to a significant share of global total vehicle production (</w:t>
      </w:r>
      <w:proofErr w:type="spellStart"/>
      <w:r>
        <w:t>Lipczynski</w:t>
      </w:r>
      <w:proofErr w:type="spellEnd"/>
      <w:r>
        <w:t xml:space="preserve">, 2018). All of these countries have been negatively affected by the spread of the Coronavirus. As indicated by automakers with overall inventory chains, Sellers in the second and third levels are supposed to be the most seriously affected by </w:t>
      </w:r>
      <w:r>
        <w:lastRenderedPageBreak/>
        <w:t>plague-related interferences. Enhancements in correspondence and chain permeability are being researched to distinguish potential issues rapidly and start chipping away at remediation plans when attainable, in addition to other things.</w:t>
      </w:r>
    </w:p>
    <w:p w14:paraId="0000001B" w14:textId="77777777" w:rsidR="00F7370F" w:rsidRDefault="00C715B2">
      <w:r>
        <w:rPr>
          <w:b/>
        </w:rPr>
        <w:t xml:space="preserve">Finance and liquidity: </w:t>
      </w:r>
      <w:r>
        <w:t xml:space="preserve">The fast double-dealing of the COVID19 episode has related to the most recent couple of long stretches of the prior quarter of this year, as per the most recent accessible information. </w:t>
      </w:r>
      <w:proofErr w:type="spellStart"/>
      <w:r>
        <w:t>Organisations</w:t>
      </w:r>
      <w:proofErr w:type="spellEnd"/>
      <w:r>
        <w:t xml:space="preserve"> in Spain, Italy, and France, all situated in specific locales, have experienced practical issues which have made them unable to complete their budget summaries on schedule. A set number of vehicle </w:t>
      </w:r>
      <w:proofErr w:type="spellStart"/>
      <w:r>
        <w:t>organisations</w:t>
      </w:r>
      <w:proofErr w:type="spellEnd"/>
      <w:r>
        <w:t xml:space="preserve"> are turning out to be progressively worried that the economic effect of the pandemic might bring about the commencement of recoverability procedures, change occasions, long haul quality lacks, and liquidity issues because of the plague (Morrison, 2019). The better efficiency of the supporting group in the present moment might be liable for a considerable expansion in how much work to be gotten before long, as indicated by the financing group. Since the pestilence affects the whole world and the credit showcases, the significant, more remarkable part of providers and worldwide associations ought to </w:t>
      </w:r>
      <w:proofErr w:type="spellStart"/>
      <w:r>
        <w:t>analyse</w:t>
      </w:r>
      <w:proofErr w:type="spellEnd"/>
      <w:r>
        <w:t xml:space="preserve"> their cash, liquidity, working capital systems, and hazard the executive's plans.</w:t>
      </w:r>
    </w:p>
    <w:p w14:paraId="0000001C" w14:textId="28E9F601" w:rsidR="00F7370F" w:rsidRDefault="00C715B2">
      <w:r>
        <w:rPr>
          <w:b/>
        </w:rPr>
        <w:t xml:space="preserve">Strategy: </w:t>
      </w:r>
      <w:r>
        <w:t>During the short term, the flare-up of COVID19, along with the ensuing financial uncertainty, may bring about lower customer prerequisites, which will doubtlessly bring about a decrease in deals of new vehicles and a deferral in instal</w:t>
      </w:r>
      <w:r w:rsidR="00173F9C">
        <w:t>l</w:t>
      </w:r>
      <w:r>
        <w:t xml:space="preserve">ments for extra upkeep and fixes. It is possible that when the vehicle supply chain is disrupted, monies will collect that can be used to provide employee relief and support services to those affected (Blackburn, 2016). Intent cash may be inactive in the market for an extended period due to these circumstances; nevertheless, new strategies can be established to reduce the negative impact of the sinking market. </w:t>
      </w:r>
    </w:p>
    <w:p w14:paraId="0000001D" w14:textId="40CA7D51" w:rsidR="00F7370F" w:rsidRDefault="00C715B2">
      <w:pPr>
        <w:rPr>
          <w:b/>
          <w:sz w:val="34"/>
          <w:szCs w:val="34"/>
        </w:rPr>
      </w:pPr>
      <w:r>
        <w:rPr>
          <w:b/>
        </w:rPr>
        <w:t xml:space="preserve">Adapting to New Technological Developments: </w:t>
      </w:r>
      <w:r>
        <w:t>Automobile dealers should encourage and move from offline to online modes such as at-home test drives, virtual reality test drives, review videos, digit</w:t>
      </w:r>
      <w:r w:rsidR="006201F1">
        <w:t>al showrooms, and enhance sales</w:t>
      </w:r>
      <w:r>
        <w:t>. Constructing digital car shows, rather than abolishing or postponing existing auto shows, will assist in introducing new automobiles and disseminating information.</w:t>
      </w:r>
      <w:r>
        <w:rPr>
          <w:sz w:val="36"/>
          <w:szCs w:val="36"/>
        </w:rPr>
        <w:tab/>
      </w:r>
      <w:r>
        <w:rPr>
          <w:sz w:val="36"/>
          <w:szCs w:val="36"/>
        </w:rPr>
        <w:tab/>
      </w:r>
      <w:r>
        <w:rPr>
          <w:sz w:val="36"/>
          <w:szCs w:val="36"/>
        </w:rPr>
        <w:tab/>
      </w:r>
      <w:r>
        <w:rPr>
          <w:b/>
          <w:sz w:val="34"/>
          <w:szCs w:val="34"/>
        </w:rPr>
        <w:tab/>
      </w:r>
      <w:r>
        <w:rPr>
          <w:b/>
          <w:sz w:val="34"/>
          <w:szCs w:val="34"/>
        </w:rPr>
        <w:tab/>
      </w:r>
    </w:p>
    <w:p w14:paraId="0000001E" w14:textId="77777777" w:rsidR="00F7370F" w:rsidRDefault="00C715B2">
      <w:pPr>
        <w:pStyle w:val="Heading1"/>
        <w:jc w:val="both"/>
      </w:pPr>
      <w:bookmarkStart w:id="3" w:name="_23lme0bpxdi" w:colFirst="0" w:colLast="0"/>
      <w:bookmarkEnd w:id="3"/>
      <w:r>
        <w:lastRenderedPageBreak/>
        <w:t>Development of survival and success factors</w:t>
      </w:r>
    </w:p>
    <w:p w14:paraId="0000001F" w14:textId="483A992B" w:rsidR="00F7370F" w:rsidRDefault="00C715B2">
      <w:r>
        <w:t>Even though the automobile industry is large by nature and employs large numbers of people, it has remained highly competitive throughout the industrial revolution, with significant worldwide firms competing for market share in every country (Whittington, 2017). During the pandemic, the industry encountered numerous difficulties. The following are the factors that will help the industry survive and succeed in the face of these challenges:</w:t>
      </w:r>
    </w:p>
    <w:p w14:paraId="00000020" w14:textId="5AA9F31F" w:rsidR="00F7370F" w:rsidRDefault="00C715B2">
      <w:r>
        <w:rPr>
          <w:b/>
        </w:rPr>
        <w:t>Positive Image:</w:t>
      </w:r>
      <w:r>
        <w:t xml:space="preserve"> In the auto business, the public picture of the </w:t>
      </w:r>
      <w:proofErr w:type="spellStart"/>
      <w:r>
        <w:t>organisation</w:t>
      </w:r>
      <w:proofErr w:type="spellEnd"/>
      <w:r>
        <w:t xml:space="preserve"> is a fundamental component t</w:t>
      </w:r>
      <w:r w:rsidR="006201F1">
        <w:t>hat much of the time characteriz</w:t>
      </w:r>
      <w:r>
        <w:t xml:space="preserve">es the </w:t>
      </w:r>
      <w:proofErr w:type="spellStart"/>
      <w:r>
        <w:t>organisation</w:t>
      </w:r>
      <w:proofErr w:type="spellEnd"/>
      <w:r>
        <w:t xml:space="preserve">. Since clients depend on a vehicle maker with their security and an extensive piece of their abundance, the </w:t>
      </w:r>
      <w:proofErr w:type="spellStart"/>
      <w:r>
        <w:t>organisation's</w:t>
      </w:r>
      <w:proofErr w:type="spellEnd"/>
      <w:r>
        <w:t xml:space="preserve"> standing is essential in deciding if to gain a vehicle from them (</w:t>
      </w:r>
      <w:proofErr w:type="spellStart"/>
      <w:r>
        <w:t>Rud</w:t>
      </w:r>
      <w:proofErr w:type="spellEnd"/>
      <w:r>
        <w:t xml:space="preserve">, 2018). A brand's picture is impacted by different factors, including </w:t>
      </w:r>
      <w:proofErr w:type="spellStart"/>
      <w:r>
        <w:t>publicising</w:t>
      </w:r>
      <w:proofErr w:type="spellEnd"/>
      <w:r>
        <w:t>, informal, master surveys and suppositions.</w:t>
      </w:r>
    </w:p>
    <w:p w14:paraId="00000021" w14:textId="69EDAAB9" w:rsidR="00F7370F" w:rsidRDefault="00C715B2">
      <w:r>
        <w:rPr>
          <w:b/>
        </w:rPr>
        <w:t xml:space="preserve">Network of Distribution: </w:t>
      </w:r>
      <w:r>
        <w:t xml:space="preserve">The development of solid distribution networks is a more real and crucial success factor for any vehicle company, and they are also required for growth. Since vehicles and trucks are not sold straightforwardly to clients, automobile makers depend on diversified showrooms to work as nearby display areas for their items (Worthington, Britton and Thompson, 2018). The capacity of these vendors to sell vehicles should be both experienced and trustworthy, which is pivotal for the auto producer. Regarding progress, vehicle sales </w:t>
      </w:r>
      <w:r w:rsidR="00372796">
        <w:t>centers</w:t>
      </w:r>
      <w:r>
        <w:t xml:space="preserve"> and auto </w:t>
      </w:r>
      <w:proofErr w:type="spellStart"/>
      <w:r>
        <w:t>organisations</w:t>
      </w:r>
      <w:proofErr w:type="spellEnd"/>
      <w:r>
        <w:t xml:space="preserve"> both depend on a positive public picture that might be impacted by or influence the idea of the auto producer to succeed.</w:t>
      </w:r>
    </w:p>
    <w:p w14:paraId="00000022" w14:textId="7C85BC4C" w:rsidR="00F7370F" w:rsidRDefault="00C715B2">
      <w:r>
        <w:rPr>
          <w:b/>
        </w:rPr>
        <w:t xml:space="preserve">Managing Cash Flow:  </w:t>
      </w:r>
      <w:r>
        <w:t xml:space="preserve">Keeping a decent income is another fundamental and down to earth achievement component. When a producer offers motivators or brings down costs, it often brings about expanded vehicle deals; nonetheless, the overall revenue may not be significant because of the activity. Keeping costs under control is essential in this </w:t>
      </w:r>
      <w:proofErr w:type="spellStart"/>
      <w:r>
        <w:t>endeavour</w:t>
      </w:r>
      <w:proofErr w:type="spellEnd"/>
      <w:r>
        <w:t xml:space="preserve">, especially for goods vulnerable to fluctuations in price, such as raw materials and outsourced components, which are common in the automotive industry (Blackstone and Christian, 2017). Automakers and </w:t>
      </w:r>
      <w:proofErr w:type="spellStart"/>
      <w:r>
        <w:t>labour</w:t>
      </w:r>
      <w:proofErr w:type="spellEnd"/>
      <w:r>
        <w:t xml:space="preserve"> </w:t>
      </w:r>
      <w:proofErr w:type="spellStart"/>
      <w:r>
        <w:t>organisations</w:t>
      </w:r>
      <w:proofErr w:type="spellEnd"/>
      <w:r>
        <w:t xml:space="preserve"> have regular discussions about achieving a consistent cash flow, which is at the </w:t>
      </w:r>
      <w:r w:rsidR="00372796">
        <w:t>center</w:t>
      </w:r>
      <w:r>
        <w:t>.</w:t>
      </w:r>
    </w:p>
    <w:p w14:paraId="00000023" w14:textId="77777777" w:rsidR="00F7370F" w:rsidRDefault="00C715B2">
      <w:r>
        <w:rPr>
          <w:b/>
        </w:rPr>
        <w:t xml:space="preserve">Flexibility: </w:t>
      </w:r>
      <w:r>
        <w:t xml:space="preserve">The ability to be adaptable is a fundamental achievement of the vehicle business, yet it is generally challenging to get a hold of. Vehicle buyers in the United Kingdom can </w:t>
      </w:r>
      <w:r>
        <w:lastRenderedPageBreak/>
        <w:t>rapidly change their buying designs because of different conditions, including the state of the economy, the cost of gas, and the presentation of new car advancements. Automakers should keep watch for these patterns and maintain a framework fit for responding rapidly to create new items that meet clients' needs now and presently.</w:t>
      </w:r>
    </w:p>
    <w:p w14:paraId="00000024" w14:textId="29318BC5" w:rsidR="00F7370F" w:rsidRDefault="00C715B2">
      <w:r>
        <w:rPr>
          <w:b/>
        </w:rPr>
        <w:t xml:space="preserve">Compliance: </w:t>
      </w:r>
      <w:r>
        <w:t>Auto producers should guarantee that their vehicles meet a broad scope o</w:t>
      </w:r>
      <w:r w:rsidR="00795C24">
        <w:t xml:space="preserve">f government, state, and </w:t>
      </w:r>
      <w:r w:rsidR="00372796">
        <w:t>neighborhood</w:t>
      </w:r>
      <w:r>
        <w:t xml:space="preserve"> guidelines before being offered to shoppers. All cars should meet discharge rules and limitations, like mileage and wellbeing standards. The expense of a wellbeing review or government-ordered fixes is frequently higher and more testing to expect, even though it could be more affordable to create vehicles that perform insignificantly better in certain areas.</w:t>
      </w:r>
    </w:p>
    <w:p w14:paraId="00000025" w14:textId="5896EC43" w:rsidR="00F7370F" w:rsidRDefault="00C715B2">
      <w:r>
        <w:rPr>
          <w:b/>
        </w:rPr>
        <w:t xml:space="preserve">Boost supply chain resilience: </w:t>
      </w:r>
      <w:r>
        <w:t xml:space="preserve">COVID-19's early weeks showed just how insecure the world's supply chains had become. Before the attacks in Europe and the United States, supply disruptions at multiple tier-one suppliers were caused by losing critical parts from China. This issue has highlighted UK's rising dependence on single-country supply sources. Weakened linkages cause more severe problems. As of 2020, </w:t>
      </w:r>
      <w:proofErr w:type="spellStart"/>
      <w:r>
        <w:t>Uk’s</w:t>
      </w:r>
      <w:proofErr w:type="spellEnd"/>
      <w:r>
        <w:t xml:space="preserve"> manufacturing value-added will account for 30 per cent of the global total, up from 5 per cent in 2000. Companies will need to focus on specific areas to improve their supply chains following the pandemic. As an example, they should ensure that workers' health and product safety are thoroughly inspected and monitor their interactions an</w:t>
      </w:r>
      <w:r w:rsidR="008D4526">
        <w:t xml:space="preserve">d raise any concerns (Blackburn, </w:t>
      </w:r>
      <w:r>
        <w:t xml:space="preserve">2016). Data and analytics-driven demand and supply-chain transparency must be restored to win the trust of key stakeholders. </w:t>
      </w:r>
      <w:proofErr w:type="spellStart"/>
      <w:r>
        <w:t>Organisations</w:t>
      </w:r>
      <w:proofErr w:type="spellEnd"/>
      <w:r>
        <w:t xml:space="preserve"> should not continue operations as envisaged but should start again with new, faster procedures and technologies and scaled agile methods.</w:t>
      </w:r>
    </w:p>
    <w:p w14:paraId="00000026" w14:textId="77777777" w:rsidR="00F7370F" w:rsidRDefault="00F7370F"/>
    <w:p w14:paraId="00000027" w14:textId="77777777" w:rsidR="00F7370F" w:rsidRDefault="00F7370F"/>
    <w:p w14:paraId="00000028" w14:textId="77777777" w:rsidR="00F7370F" w:rsidRDefault="00F7370F"/>
    <w:p w14:paraId="00000029" w14:textId="77777777" w:rsidR="00F7370F" w:rsidRDefault="00F7370F"/>
    <w:p w14:paraId="0000002A" w14:textId="77777777" w:rsidR="00F7370F" w:rsidRDefault="00C715B2">
      <w:pPr>
        <w:pStyle w:val="Heading1"/>
      </w:pPr>
      <w:bookmarkStart w:id="4" w:name="_t8inxry0vq7d" w:colFirst="0" w:colLast="0"/>
      <w:bookmarkEnd w:id="4"/>
      <w:r>
        <w:lastRenderedPageBreak/>
        <w:t>Conclusion</w:t>
      </w:r>
    </w:p>
    <w:p w14:paraId="0000002B" w14:textId="77777777" w:rsidR="00F7370F" w:rsidRDefault="00C715B2">
      <w:r>
        <w:t>According to the World Economic Forum, auto manufacturing is the most critical driver of economic growth today. Every major country in the world relies on the global auto industry as a crucial part of its economy. Technology has continuously enhanced safety, performance, and efficiency from a product standpoint over the previous century. In the present day, it is impossible to conceive the development of any country's economy without the car industry's growth on its doorstep. This industry has encountered many difficulties due to the pandemic. Developing inevitable success and survival factors in the industry can help them improve their situation.</w:t>
      </w:r>
      <w:r>
        <w:br w:type="page"/>
      </w:r>
    </w:p>
    <w:p w14:paraId="0000002C" w14:textId="77777777" w:rsidR="00F7370F" w:rsidRDefault="00C715B2">
      <w:pPr>
        <w:pStyle w:val="Heading1"/>
        <w:keepNext w:val="0"/>
        <w:keepLines w:val="0"/>
        <w:spacing w:after="80"/>
      </w:pPr>
      <w:bookmarkStart w:id="5" w:name="_ro8mgtahny1x" w:colFirst="0" w:colLast="0"/>
      <w:bookmarkEnd w:id="5"/>
      <w:r>
        <w:lastRenderedPageBreak/>
        <w:t>References</w:t>
      </w:r>
    </w:p>
    <w:p w14:paraId="0000002D" w14:textId="77777777" w:rsidR="00F7370F" w:rsidRDefault="00C715B2">
      <w:pPr>
        <w:jc w:val="left"/>
      </w:pPr>
      <w:r>
        <w:t xml:space="preserve">Allison, J. and Prentice, R., 2018. </w:t>
      </w:r>
      <w:r>
        <w:rPr>
          <w:i/>
        </w:rPr>
        <w:t>The legal environment of business</w:t>
      </w:r>
      <w:r>
        <w:t>. 15th ed. Fort Worth: Dryden Press.</w:t>
      </w:r>
    </w:p>
    <w:p w14:paraId="0000002E" w14:textId="77777777" w:rsidR="00F7370F" w:rsidRDefault="00C715B2">
      <w:pPr>
        <w:jc w:val="left"/>
      </w:pPr>
      <w:r>
        <w:t xml:space="preserve">Baron, D., 2018. </w:t>
      </w:r>
      <w:r>
        <w:rPr>
          <w:i/>
        </w:rPr>
        <w:t>Business and its environment</w:t>
      </w:r>
      <w:r>
        <w:t>. 4th ed. Boston: Pearson.</w:t>
      </w:r>
    </w:p>
    <w:p w14:paraId="0000002F" w14:textId="77777777" w:rsidR="00F7370F" w:rsidRDefault="00C715B2">
      <w:pPr>
        <w:jc w:val="left"/>
      </w:pPr>
      <w:r>
        <w:t xml:space="preserve">Bixby, M., 2017. </w:t>
      </w:r>
      <w:r>
        <w:rPr>
          <w:i/>
        </w:rPr>
        <w:t>The legal environment of business</w:t>
      </w:r>
      <w:r>
        <w:t>. 4th ed. Upper Saddle River, N.J.: Pearson.</w:t>
      </w:r>
    </w:p>
    <w:p w14:paraId="00000030" w14:textId="77777777" w:rsidR="00F7370F" w:rsidRDefault="00C715B2">
      <w:pPr>
        <w:jc w:val="left"/>
      </w:pPr>
      <w:r>
        <w:t xml:space="preserve">Blackburn, J. and </w:t>
      </w:r>
      <w:proofErr w:type="spellStart"/>
      <w:r>
        <w:t>Klayman</w:t>
      </w:r>
      <w:proofErr w:type="spellEnd"/>
      <w:r>
        <w:t xml:space="preserve">, E., 2016. </w:t>
      </w:r>
      <w:r>
        <w:rPr>
          <w:i/>
        </w:rPr>
        <w:t>The legal environment of business</w:t>
      </w:r>
      <w:r>
        <w:t>. 3rd ed. Boston, Mass.: Pearson Learning Solutions.</w:t>
      </w:r>
    </w:p>
    <w:p w14:paraId="00000031" w14:textId="77777777" w:rsidR="00F7370F" w:rsidRDefault="00C715B2">
      <w:pPr>
        <w:jc w:val="left"/>
      </w:pPr>
      <w:r>
        <w:t xml:space="preserve">Blackstone, W. and Christian, E., 2017. </w:t>
      </w:r>
      <w:r>
        <w:rPr>
          <w:i/>
        </w:rPr>
        <w:t>Business Environment Analysis</w:t>
      </w:r>
      <w:r>
        <w:t>. [Charleston, S.C.]: Forgotten Books.</w:t>
      </w:r>
    </w:p>
    <w:p w14:paraId="00000032" w14:textId="77777777" w:rsidR="00F7370F" w:rsidRDefault="00C715B2">
      <w:pPr>
        <w:jc w:val="left"/>
      </w:pPr>
      <w:proofErr w:type="spellStart"/>
      <w:r>
        <w:t>Cherunilam</w:t>
      </w:r>
      <w:proofErr w:type="spellEnd"/>
      <w:r>
        <w:t xml:space="preserve">, F., 2017. </w:t>
      </w:r>
      <w:r>
        <w:rPr>
          <w:i/>
        </w:rPr>
        <w:t>Elements of business environment</w:t>
      </w:r>
      <w:r>
        <w:t>. 5th ed. Mumbai [India]: Himalaya Pub. House.</w:t>
      </w:r>
    </w:p>
    <w:p w14:paraId="00000033" w14:textId="77777777" w:rsidR="00F7370F" w:rsidRDefault="00C715B2">
      <w:pPr>
        <w:jc w:val="left"/>
      </w:pPr>
      <w:r>
        <w:t xml:space="preserve">Coffman, P., 2016. </w:t>
      </w:r>
      <w:r>
        <w:rPr>
          <w:i/>
        </w:rPr>
        <w:t>Automobile industry</w:t>
      </w:r>
      <w:r>
        <w:t>. 14th ed. New York: Poor's Pub. Co.</w:t>
      </w:r>
    </w:p>
    <w:p w14:paraId="00000034" w14:textId="77777777" w:rsidR="00F7370F" w:rsidRDefault="00C715B2">
      <w:pPr>
        <w:jc w:val="left"/>
      </w:pPr>
      <w:r>
        <w:t xml:space="preserve">Conklin, D., 2018. </w:t>
      </w:r>
      <w:r>
        <w:rPr>
          <w:i/>
        </w:rPr>
        <w:t>The global environment of business</w:t>
      </w:r>
      <w:r>
        <w:t>. 5th ed. Thousand Oaks, Calif: Sage.</w:t>
      </w:r>
    </w:p>
    <w:p w14:paraId="00000035" w14:textId="77777777" w:rsidR="00F7370F" w:rsidRDefault="00C715B2">
      <w:pPr>
        <w:jc w:val="left"/>
      </w:pPr>
      <w:r>
        <w:t xml:space="preserve">Guy, F., 2017. </w:t>
      </w:r>
      <w:r>
        <w:rPr>
          <w:i/>
        </w:rPr>
        <w:t>The global environment of business</w:t>
      </w:r>
      <w:r>
        <w:t>. 4th ed. Oxford: Oxford University Press.</w:t>
      </w:r>
    </w:p>
    <w:p w14:paraId="00000036" w14:textId="77777777" w:rsidR="00F7370F" w:rsidRDefault="00C715B2">
      <w:pPr>
        <w:jc w:val="left"/>
      </w:pPr>
      <w:r>
        <w:t xml:space="preserve">Kelly, P. and Ashwin, A., 2016. </w:t>
      </w:r>
      <w:r>
        <w:rPr>
          <w:i/>
        </w:rPr>
        <w:t>The business environment</w:t>
      </w:r>
      <w:r>
        <w:t>. 2nd ed. Andover: Cengage Learning.</w:t>
      </w:r>
    </w:p>
    <w:p w14:paraId="00000037" w14:textId="77777777" w:rsidR="00F7370F" w:rsidRDefault="00C715B2">
      <w:pPr>
        <w:jc w:val="left"/>
      </w:pPr>
      <w:proofErr w:type="spellStart"/>
      <w:r>
        <w:t>Lipczynski</w:t>
      </w:r>
      <w:proofErr w:type="spellEnd"/>
      <w:r>
        <w:t xml:space="preserve">, J., 2018. </w:t>
      </w:r>
      <w:r>
        <w:rPr>
          <w:i/>
        </w:rPr>
        <w:t>Business</w:t>
      </w:r>
      <w:r>
        <w:t>. 5th ed. Chicago: Chicago Review Press.</w:t>
      </w:r>
    </w:p>
    <w:p w14:paraId="00000038" w14:textId="77777777" w:rsidR="00F7370F" w:rsidRDefault="00C715B2">
      <w:pPr>
        <w:jc w:val="left"/>
      </w:pPr>
      <w:r>
        <w:t xml:space="preserve">Morrison, J., 2019. </w:t>
      </w:r>
      <w:r>
        <w:rPr>
          <w:i/>
        </w:rPr>
        <w:t xml:space="preserve">The global </w:t>
      </w:r>
      <w:proofErr w:type="spellStart"/>
      <w:r>
        <w:rPr>
          <w:i/>
        </w:rPr>
        <w:t>busines</w:t>
      </w:r>
      <w:proofErr w:type="spellEnd"/>
      <w:r>
        <w:rPr>
          <w:i/>
        </w:rPr>
        <w:t xml:space="preserve"> environment</w:t>
      </w:r>
      <w:r>
        <w:t>. 6th ed. Hampshire: Palgrave Macmillan.</w:t>
      </w:r>
    </w:p>
    <w:p w14:paraId="00000039" w14:textId="77777777" w:rsidR="00F7370F" w:rsidRDefault="00C715B2">
      <w:pPr>
        <w:jc w:val="left"/>
      </w:pPr>
      <w:proofErr w:type="spellStart"/>
      <w:r>
        <w:t>Rud</w:t>
      </w:r>
      <w:proofErr w:type="spellEnd"/>
      <w:r>
        <w:t xml:space="preserve">, O., 2018. </w:t>
      </w:r>
      <w:r>
        <w:rPr>
          <w:i/>
        </w:rPr>
        <w:t>Business intelligence success factors</w:t>
      </w:r>
      <w:r>
        <w:t>. 5th ed. London: Willey.</w:t>
      </w:r>
    </w:p>
    <w:p w14:paraId="0000003A" w14:textId="77777777" w:rsidR="00F7370F" w:rsidRDefault="00C715B2">
      <w:pPr>
        <w:jc w:val="left"/>
      </w:pPr>
      <w:r>
        <w:t xml:space="preserve">Whittington, R., </w:t>
      </w:r>
      <w:proofErr w:type="spellStart"/>
      <w:r>
        <w:t>Regner</w:t>
      </w:r>
      <w:proofErr w:type="spellEnd"/>
      <w:r>
        <w:t xml:space="preserve">, P., Angwin, D., Johnson, G. and Scholes, K., 2017. </w:t>
      </w:r>
      <w:r>
        <w:rPr>
          <w:i/>
        </w:rPr>
        <w:t>Exploring strategy</w:t>
      </w:r>
      <w:r>
        <w:t>. 11th ed. Pearson Education.</w:t>
      </w:r>
    </w:p>
    <w:p w14:paraId="0000003B" w14:textId="77777777" w:rsidR="00F7370F" w:rsidRDefault="00C715B2">
      <w:pPr>
        <w:jc w:val="left"/>
      </w:pPr>
      <w:r>
        <w:t xml:space="preserve">Worthington, I., Britton, C. and Thompson, E., 2018. </w:t>
      </w:r>
      <w:r>
        <w:rPr>
          <w:i/>
        </w:rPr>
        <w:t>The Business Environment</w:t>
      </w:r>
      <w:r>
        <w:t>. Harlow, United Kingdom: Pearson Education Canada.</w:t>
      </w:r>
    </w:p>
    <w:p w14:paraId="0000003C" w14:textId="77777777" w:rsidR="00F7370F" w:rsidRDefault="00F7370F"/>
    <w:p w14:paraId="0000003D" w14:textId="77777777" w:rsidR="00F7370F" w:rsidRDefault="00F7370F"/>
    <w:p w14:paraId="0000003E" w14:textId="77777777" w:rsidR="00F7370F" w:rsidRDefault="00F7370F"/>
    <w:p w14:paraId="0000003F" w14:textId="77777777" w:rsidR="00F7370F" w:rsidRDefault="00F7370F"/>
    <w:p w14:paraId="00000040" w14:textId="77777777" w:rsidR="00F7370F" w:rsidRDefault="00C715B2">
      <w:pPr>
        <w:pStyle w:val="Heading1"/>
        <w:jc w:val="both"/>
      </w:pPr>
      <w:bookmarkStart w:id="6" w:name="_pm66wnpjntpm" w:colFirst="0" w:colLast="0"/>
      <w:bookmarkEnd w:id="6"/>
      <w:r>
        <w:tab/>
        <w:t xml:space="preserve"> </w:t>
      </w:r>
      <w:r>
        <w:br w:type="page"/>
      </w:r>
    </w:p>
    <w:sectPr w:rsidR="00F7370F">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E3E1D" w14:textId="77777777" w:rsidR="003D5987" w:rsidRDefault="003D5987">
      <w:pPr>
        <w:spacing w:before="0" w:after="0" w:line="240" w:lineRule="auto"/>
      </w:pPr>
      <w:r>
        <w:separator/>
      </w:r>
    </w:p>
  </w:endnote>
  <w:endnote w:type="continuationSeparator" w:id="0">
    <w:p w14:paraId="79367112" w14:textId="77777777" w:rsidR="003D5987" w:rsidRDefault="003D598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1" w14:textId="77777777" w:rsidR="00F7370F" w:rsidRDefault="00C715B2">
    <w:pPr>
      <w:jc w:val="right"/>
    </w:pPr>
    <w:r>
      <w:fldChar w:fldCharType="begin"/>
    </w:r>
    <w:r>
      <w:instrText>PAGE</w:instrText>
    </w:r>
    <w:r>
      <w:fldChar w:fldCharType="separate"/>
    </w:r>
    <w:r w:rsidR="008D4526">
      <w:rPr>
        <w:noProof/>
      </w:rPr>
      <w:t>7</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15613" w14:textId="77777777" w:rsidR="003D5987" w:rsidRDefault="003D5987">
      <w:pPr>
        <w:spacing w:before="0" w:after="0" w:line="240" w:lineRule="auto"/>
      </w:pPr>
      <w:r>
        <w:separator/>
      </w:r>
    </w:p>
  </w:footnote>
  <w:footnote w:type="continuationSeparator" w:id="0">
    <w:p w14:paraId="13655142" w14:textId="77777777" w:rsidR="003D5987" w:rsidRDefault="003D5987">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70F"/>
    <w:rsid w:val="00173F9C"/>
    <w:rsid w:val="00372796"/>
    <w:rsid w:val="003D5987"/>
    <w:rsid w:val="006201F1"/>
    <w:rsid w:val="00795C24"/>
    <w:rsid w:val="00826BED"/>
    <w:rsid w:val="008D4526"/>
    <w:rsid w:val="00AC61BA"/>
    <w:rsid w:val="00C715B2"/>
    <w:rsid w:val="00E045BF"/>
    <w:rsid w:val="00F7370F"/>
    <w:rsid w:val="00FF35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51669"/>
  <w15:docId w15:val="{E4C5658D-F73E-4E2A-8825-CD40F493D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left"/>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AC61B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61BA"/>
    <w:rPr>
      <w:rFonts w:ascii="Tahoma" w:hAnsi="Tahoma" w:cs="Tahoma"/>
      <w:sz w:val="16"/>
      <w:szCs w:val="16"/>
    </w:rPr>
  </w:style>
  <w:style w:type="table" w:styleId="TableGrid">
    <w:name w:val="Table Grid"/>
    <w:basedOn w:val="TableNormal"/>
    <w:uiPriority w:val="59"/>
    <w:rsid w:val="00372796"/>
    <w:pPr>
      <w:spacing w:before="0"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506983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12</Pages>
  <Words>2405</Words>
  <Characters>13713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2022-05-01T15:51:00Z</dcterms:created>
  <dcterms:modified xsi:type="dcterms:W3CDTF">2022-05-01T15:51:00Z</dcterms:modified>
</cp:coreProperties>
</file>