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6BEA6" w14:textId="77777777" w:rsidR="00650B76" w:rsidRPr="007569EF" w:rsidRDefault="00650B76" w:rsidP="00EE6D4E">
      <w:pPr>
        <w:jc w:val="center"/>
        <w:rPr>
          <w:sz w:val="22"/>
          <w:szCs w:val="22"/>
        </w:rPr>
      </w:pPr>
      <w:r w:rsidRPr="007569EF">
        <w:rPr>
          <w:sz w:val="22"/>
          <w:szCs w:val="22"/>
        </w:rPr>
        <w:t>Name: Sharon Cuthbert</w:t>
      </w:r>
    </w:p>
    <w:p w14:paraId="283CAA44" w14:textId="77777777" w:rsidR="00650B76" w:rsidRPr="007569EF" w:rsidRDefault="00650B76" w:rsidP="00650B76">
      <w:pPr>
        <w:jc w:val="center"/>
        <w:rPr>
          <w:sz w:val="22"/>
          <w:szCs w:val="22"/>
        </w:rPr>
      </w:pPr>
      <w:r w:rsidRPr="007569EF">
        <w:rPr>
          <w:sz w:val="22"/>
          <w:szCs w:val="22"/>
        </w:rPr>
        <w:t>Student No: 2409782</w:t>
      </w:r>
    </w:p>
    <w:p w14:paraId="3A5CC2E1" w14:textId="482E90BC" w:rsidR="00650B76" w:rsidRPr="007569EF" w:rsidRDefault="00650B76" w:rsidP="00650B76">
      <w:pPr>
        <w:jc w:val="center"/>
        <w:rPr>
          <w:sz w:val="22"/>
          <w:szCs w:val="22"/>
        </w:rPr>
      </w:pPr>
      <w:r w:rsidRPr="007569EF">
        <w:rPr>
          <w:sz w:val="22"/>
          <w:szCs w:val="22"/>
        </w:rPr>
        <w:t xml:space="preserve">Word Count: </w:t>
      </w:r>
      <w:r w:rsidR="002A022D">
        <w:rPr>
          <w:sz w:val="22"/>
          <w:szCs w:val="22"/>
        </w:rPr>
        <w:t>4,19</w:t>
      </w:r>
      <w:r w:rsidR="00DE5FF1">
        <w:rPr>
          <w:sz w:val="22"/>
          <w:szCs w:val="22"/>
        </w:rPr>
        <w:t>6</w:t>
      </w:r>
    </w:p>
    <w:p w14:paraId="13ACF2DB" w14:textId="77777777" w:rsidR="00650B76" w:rsidRDefault="00650B76" w:rsidP="00650B76">
      <w:pPr>
        <w:jc w:val="center"/>
        <w:rPr>
          <w:sz w:val="22"/>
          <w:szCs w:val="22"/>
        </w:rPr>
      </w:pPr>
      <w:r w:rsidRPr="007569EF">
        <w:rPr>
          <w:sz w:val="22"/>
          <w:szCs w:val="22"/>
        </w:rPr>
        <w:t>CIPD 5OS01</w:t>
      </w:r>
    </w:p>
    <w:p w14:paraId="17CD18B0" w14:textId="6E3FD08D" w:rsidR="002A2382" w:rsidRPr="007569EF" w:rsidRDefault="002A2382" w:rsidP="00650B76">
      <w:pPr>
        <w:jc w:val="center"/>
        <w:rPr>
          <w:sz w:val="22"/>
          <w:szCs w:val="22"/>
        </w:rPr>
      </w:pPr>
      <w:r>
        <w:rPr>
          <w:sz w:val="22"/>
          <w:szCs w:val="22"/>
        </w:rPr>
        <w:t>Specialist Employment Law</w:t>
      </w:r>
    </w:p>
    <w:p w14:paraId="6AE66828" w14:textId="77777777" w:rsidR="00650B76" w:rsidRPr="007569EF" w:rsidRDefault="00650B76" w:rsidP="00650B76">
      <w:pPr>
        <w:rPr>
          <w:sz w:val="22"/>
          <w:szCs w:val="22"/>
        </w:rPr>
      </w:pPr>
    </w:p>
    <w:p w14:paraId="6DD870D2" w14:textId="77777777" w:rsidR="00650B76" w:rsidRPr="007569EF" w:rsidRDefault="00650B76" w:rsidP="00650B76">
      <w:pPr>
        <w:spacing w:after="0" w:line="259" w:lineRule="auto"/>
        <w:contextualSpacing/>
        <w:rPr>
          <w:rFonts w:eastAsia="Arial" w:cs="Times New Roman"/>
          <w:b/>
          <w:bCs/>
          <w:sz w:val="22"/>
          <w:szCs w:val="22"/>
        </w:rPr>
      </w:pPr>
    </w:p>
    <w:p w14:paraId="236D0B7F" w14:textId="77777777" w:rsidR="00650B76" w:rsidRPr="007569EF" w:rsidRDefault="00650B76" w:rsidP="00650B76">
      <w:pPr>
        <w:pStyle w:val="Body"/>
        <w:spacing w:line="240" w:lineRule="auto"/>
        <w:rPr>
          <w:rFonts w:asciiTheme="minorHAnsi" w:eastAsia="Trebuchet MS" w:hAnsiTheme="minorHAnsi" w:cs="Trebuchet MS"/>
          <w:b/>
          <w:bCs/>
          <w:color w:val="004147"/>
          <w:u w:color="004147"/>
        </w:rPr>
      </w:pPr>
      <w:r w:rsidRPr="003F78DB">
        <w:rPr>
          <w:rFonts w:asciiTheme="minorHAnsi" w:hAnsiTheme="minorHAnsi"/>
          <w:b/>
          <w:bCs/>
          <w:color w:val="004147"/>
          <w:u w:color="004147"/>
          <w:lang w:val="en-US"/>
        </w:rPr>
        <w:t>(AC 1.1)</w:t>
      </w:r>
    </w:p>
    <w:p w14:paraId="295ECD7F" w14:textId="77777777" w:rsidR="00650B76" w:rsidRPr="007569EF" w:rsidRDefault="00650B76" w:rsidP="00650B76">
      <w:pPr>
        <w:pStyle w:val="Body"/>
        <w:spacing w:line="240" w:lineRule="auto"/>
        <w:rPr>
          <w:rFonts w:asciiTheme="minorHAnsi" w:eastAsia="Trebuchet MS" w:hAnsiTheme="minorHAnsi" w:cs="Trebuchet MS"/>
          <w:b/>
          <w:bCs/>
        </w:rPr>
      </w:pPr>
    </w:p>
    <w:p w14:paraId="34FE4A1E" w14:textId="77777777" w:rsidR="00650B76" w:rsidRPr="003F78DB" w:rsidRDefault="00650B76" w:rsidP="00650B76">
      <w:pPr>
        <w:rPr>
          <w:sz w:val="22"/>
          <w:szCs w:val="22"/>
        </w:rPr>
      </w:pPr>
      <w:r w:rsidRPr="003F78DB">
        <w:rPr>
          <w:b/>
          <w:bCs/>
          <w:sz w:val="22"/>
          <w:szCs w:val="22"/>
        </w:rPr>
        <w:t>Subject: In Response to Your Concerns About Employment Regulation</w:t>
      </w:r>
    </w:p>
    <w:p w14:paraId="1A6E3798" w14:textId="77777777" w:rsidR="00650B76" w:rsidRPr="003F78DB" w:rsidRDefault="00650B76" w:rsidP="00650B76">
      <w:pPr>
        <w:spacing w:after="0" w:line="259" w:lineRule="auto"/>
        <w:contextualSpacing/>
        <w:rPr>
          <w:rFonts w:eastAsia="Arial" w:cs="Times New Roman"/>
          <w:sz w:val="22"/>
          <w:szCs w:val="22"/>
        </w:rPr>
      </w:pPr>
      <w:r w:rsidRPr="003F78DB">
        <w:rPr>
          <w:rFonts w:eastAsia="Arial" w:cs="Times New Roman"/>
          <w:sz w:val="22"/>
          <w:szCs w:val="22"/>
        </w:rPr>
        <w:t>Dear Colleague,</w:t>
      </w:r>
    </w:p>
    <w:p w14:paraId="11577BC4" w14:textId="77777777" w:rsidR="00650B76" w:rsidRPr="003F78DB" w:rsidRDefault="00650B76" w:rsidP="00650B76">
      <w:pPr>
        <w:spacing w:after="0" w:line="259" w:lineRule="auto"/>
        <w:contextualSpacing/>
        <w:rPr>
          <w:rFonts w:eastAsia="Arial" w:cs="Times New Roman"/>
          <w:sz w:val="22"/>
          <w:szCs w:val="22"/>
        </w:rPr>
      </w:pPr>
    </w:p>
    <w:p w14:paraId="4C103D14" w14:textId="77777777" w:rsidR="003F78DB" w:rsidRPr="003F78DB" w:rsidRDefault="003F78DB" w:rsidP="003F78DB">
      <w:pPr>
        <w:spacing w:after="0" w:line="259" w:lineRule="auto"/>
        <w:contextualSpacing/>
        <w:rPr>
          <w:rFonts w:eastAsia="Arial" w:cs="Times New Roman"/>
          <w:sz w:val="22"/>
          <w:szCs w:val="22"/>
        </w:rPr>
      </w:pPr>
      <w:r w:rsidRPr="003F78DB">
        <w:rPr>
          <w:rFonts w:eastAsia="Arial" w:cs="Times New Roman"/>
          <w:sz w:val="22"/>
          <w:szCs w:val="22"/>
        </w:rPr>
        <w:t>Thank you for your email and for sharing your concerns. I completely understand your wish to spend more time enhancing the employment experience at the Trust. However, employment regulation plays a vital role in creating a fair, safe, and legally compliant workplace, and it's important to evaluate its aims and broader impact.</w:t>
      </w:r>
    </w:p>
    <w:p w14:paraId="4D0C7559" w14:textId="77777777" w:rsidR="003F78DB" w:rsidRPr="003F78DB" w:rsidRDefault="003F78DB" w:rsidP="003F78DB">
      <w:pPr>
        <w:spacing w:after="0" w:line="259" w:lineRule="auto"/>
        <w:contextualSpacing/>
        <w:rPr>
          <w:rFonts w:eastAsia="Arial" w:cs="Times New Roman"/>
          <w:sz w:val="22"/>
          <w:szCs w:val="22"/>
        </w:rPr>
      </w:pPr>
    </w:p>
    <w:p w14:paraId="26040434" w14:textId="77777777" w:rsidR="003F78DB" w:rsidRPr="003F78DB" w:rsidRDefault="003F78DB" w:rsidP="003F78DB">
      <w:pPr>
        <w:spacing w:after="0" w:line="259" w:lineRule="auto"/>
        <w:contextualSpacing/>
        <w:rPr>
          <w:rFonts w:eastAsia="Arial" w:cs="Times New Roman"/>
          <w:sz w:val="22"/>
          <w:szCs w:val="22"/>
        </w:rPr>
      </w:pPr>
      <w:r w:rsidRPr="003F78DB">
        <w:rPr>
          <w:rFonts w:eastAsia="Arial" w:cs="Times New Roman"/>
          <w:sz w:val="22"/>
          <w:szCs w:val="22"/>
        </w:rPr>
        <w:t>Employment regulations are not merely administrative obligations—they protect employee rights and ensure fair treatment. Anti-discrimination laws, for instance, safeguard individuals from unfair treatment based on race, gender, disability, or age (CIPD, 2023). These protections help promote equality and prevent a workplace culture that could harm morale and performance (Daniels, 2025, pp. 262–263).</w:t>
      </w:r>
    </w:p>
    <w:p w14:paraId="5283BACB" w14:textId="77777777" w:rsidR="003F78DB" w:rsidRPr="003F78DB" w:rsidRDefault="003F78DB" w:rsidP="003F78DB">
      <w:pPr>
        <w:spacing w:after="0" w:line="259" w:lineRule="auto"/>
        <w:contextualSpacing/>
        <w:rPr>
          <w:rFonts w:eastAsia="Arial" w:cs="Times New Roman"/>
          <w:sz w:val="22"/>
          <w:szCs w:val="22"/>
        </w:rPr>
      </w:pPr>
    </w:p>
    <w:p w14:paraId="032213DD" w14:textId="77777777" w:rsidR="003F78DB" w:rsidRPr="003F78DB" w:rsidRDefault="003F78DB" w:rsidP="003F78DB">
      <w:pPr>
        <w:spacing w:after="0" w:line="259" w:lineRule="auto"/>
        <w:contextualSpacing/>
        <w:rPr>
          <w:rFonts w:eastAsia="Arial" w:cs="Times New Roman"/>
          <w:sz w:val="22"/>
          <w:szCs w:val="22"/>
        </w:rPr>
      </w:pPr>
      <w:r w:rsidRPr="003F78DB">
        <w:rPr>
          <w:rFonts w:eastAsia="Arial" w:cs="Times New Roman"/>
          <w:sz w:val="22"/>
          <w:szCs w:val="22"/>
        </w:rPr>
        <w:t>In addition, employment law supports health, safety, and fair pay through legislation such as the National Minimum Wage Act. It also upholds rights to collective bargaining and industrial action, all of which contribute to better engagement, reduced turnover, and stronger organisational reputation (CIPD, 2023).</w:t>
      </w:r>
    </w:p>
    <w:p w14:paraId="3850CAB7" w14:textId="77777777" w:rsidR="003F78DB" w:rsidRPr="003F78DB" w:rsidRDefault="003F78DB" w:rsidP="003F78DB">
      <w:pPr>
        <w:spacing w:after="0" w:line="259" w:lineRule="auto"/>
        <w:contextualSpacing/>
        <w:rPr>
          <w:rFonts w:eastAsia="Arial" w:cs="Times New Roman"/>
          <w:sz w:val="22"/>
          <w:szCs w:val="22"/>
        </w:rPr>
      </w:pPr>
    </w:p>
    <w:p w14:paraId="4D60B803" w14:textId="77777777" w:rsidR="003F78DB" w:rsidRPr="003F78DB" w:rsidRDefault="003F78DB" w:rsidP="003F78DB">
      <w:pPr>
        <w:spacing w:after="0" w:line="259" w:lineRule="auto"/>
        <w:contextualSpacing/>
        <w:rPr>
          <w:rFonts w:eastAsia="Arial" w:cs="Times New Roman"/>
          <w:sz w:val="22"/>
          <w:szCs w:val="22"/>
        </w:rPr>
      </w:pPr>
      <w:r w:rsidRPr="003F78DB">
        <w:rPr>
          <w:rFonts w:eastAsia="Arial" w:cs="Times New Roman"/>
          <w:sz w:val="22"/>
          <w:szCs w:val="22"/>
        </w:rPr>
        <w:t>Regulation promotes transparency, inclusion, and a sense of security. Collective bargaining rights give employees a formal voice in decisions (Taylor and Woodham, 2022, p. 74).</w:t>
      </w:r>
    </w:p>
    <w:p w14:paraId="01FA8E24" w14:textId="77777777" w:rsidR="003F78DB" w:rsidRPr="003F78DB" w:rsidRDefault="003F78DB" w:rsidP="003F78DB">
      <w:pPr>
        <w:spacing w:after="0" w:line="259" w:lineRule="auto"/>
        <w:contextualSpacing/>
        <w:rPr>
          <w:rFonts w:eastAsia="Arial" w:cs="Times New Roman"/>
          <w:sz w:val="22"/>
          <w:szCs w:val="22"/>
        </w:rPr>
      </w:pPr>
    </w:p>
    <w:p w14:paraId="128023CF" w14:textId="77777777" w:rsidR="003F78DB" w:rsidRPr="003F78DB" w:rsidRDefault="003F78DB" w:rsidP="003F78DB">
      <w:pPr>
        <w:spacing w:after="0" w:line="259" w:lineRule="auto"/>
        <w:contextualSpacing/>
        <w:rPr>
          <w:rFonts w:eastAsia="Arial" w:cs="Times New Roman"/>
          <w:sz w:val="22"/>
          <w:szCs w:val="22"/>
        </w:rPr>
      </w:pPr>
      <w:r w:rsidRPr="003F78DB">
        <w:rPr>
          <w:rFonts w:eastAsia="Arial" w:cs="Times New Roman"/>
          <w:sz w:val="22"/>
          <w:szCs w:val="22"/>
        </w:rPr>
        <w:t>While compliance can be time-consuming, it often brings long-term benefits such as improved relations, reduced legal risk, and public trust. The CIPD (2023) stresses that employment rights are ineffective without enforcement. Strengthening enforcement could involve more frequent inspections by bodies like the HSE or HMRC and clearer guidance for employers—especially on flexible working and employment status. Improving early conciliation access and resourcing tribunals could also reinforce the system’s credibility.</w:t>
      </w:r>
    </w:p>
    <w:p w14:paraId="1D58324B" w14:textId="77777777" w:rsidR="003F78DB" w:rsidRPr="003F78DB" w:rsidRDefault="003F78DB" w:rsidP="003F78DB">
      <w:pPr>
        <w:spacing w:after="0" w:line="259" w:lineRule="auto"/>
        <w:contextualSpacing/>
        <w:rPr>
          <w:rFonts w:eastAsia="Arial" w:cs="Times New Roman"/>
          <w:sz w:val="22"/>
          <w:szCs w:val="22"/>
        </w:rPr>
      </w:pPr>
    </w:p>
    <w:p w14:paraId="58EA8913" w14:textId="77777777" w:rsidR="003F78DB" w:rsidRPr="003F78DB" w:rsidRDefault="003F78DB" w:rsidP="003F78DB">
      <w:pPr>
        <w:spacing w:after="0" w:line="259" w:lineRule="auto"/>
        <w:contextualSpacing/>
        <w:rPr>
          <w:rFonts w:eastAsia="Arial" w:cs="Times New Roman"/>
          <w:sz w:val="22"/>
          <w:szCs w:val="22"/>
        </w:rPr>
      </w:pPr>
      <w:r w:rsidRPr="003F78DB">
        <w:rPr>
          <w:rFonts w:eastAsia="Arial" w:cs="Times New Roman"/>
          <w:sz w:val="22"/>
          <w:szCs w:val="22"/>
        </w:rPr>
        <w:t>The growing complexity of employment laws can overwhelm employers, particularly when navigating distinctions between employees, workers, and the self-employed. Simplifying employment status categories—especially the ambiguous 'worker' classification—could clarify entitlements and tax responsibilities (Taylor and Woodham, 2022, p. 36). This is especially relevant in the gig economy. Clearer definitions would ensure fair access to protections like holiday pay and clarify tax obligations for both employers and individuals (HMRC, 2023; Department for Business, Energy &amp; Industrial Strategy, 2017).</w:t>
      </w:r>
    </w:p>
    <w:p w14:paraId="78A8DE1D" w14:textId="77777777" w:rsidR="003F78DB" w:rsidRPr="003F78DB" w:rsidRDefault="003F78DB" w:rsidP="003F78DB">
      <w:pPr>
        <w:spacing w:after="0" w:line="259" w:lineRule="auto"/>
        <w:contextualSpacing/>
        <w:rPr>
          <w:rFonts w:eastAsia="Arial" w:cs="Times New Roman"/>
          <w:sz w:val="22"/>
          <w:szCs w:val="22"/>
        </w:rPr>
      </w:pPr>
    </w:p>
    <w:p w14:paraId="389985AE" w14:textId="77777777" w:rsidR="003F78DB" w:rsidRPr="003F78DB" w:rsidRDefault="003F78DB" w:rsidP="003F78DB">
      <w:pPr>
        <w:spacing w:after="0" w:line="259" w:lineRule="auto"/>
        <w:contextualSpacing/>
        <w:rPr>
          <w:rFonts w:eastAsia="Arial" w:cs="Times New Roman"/>
          <w:sz w:val="22"/>
          <w:szCs w:val="22"/>
        </w:rPr>
      </w:pPr>
      <w:r w:rsidRPr="003F78DB">
        <w:rPr>
          <w:rFonts w:eastAsia="Arial" w:cs="Times New Roman"/>
          <w:sz w:val="22"/>
          <w:szCs w:val="22"/>
        </w:rPr>
        <w:t>Emerging trends like hybrid work, shifting wage structures, and rising tribunal claims are placing new demands on current frameworks and highlighting gaps—particularly around flexible working rights and employment status clarity (Taylor and Woodham, 2022, p. 75).</w:t>
      </w:r>
    </w:p>
    <w:p w14:paraId="0BDD6309" w14:textId="77777777" w:rsidR="003F78DB" w:rsidRPr="003F78DB" w:rsidRDefault="003F78DB" w:rsidP="003F78DB">
      <w:pPr>
        <w:spacing w:after="0" w:line="259" w:lineRule="auto"/>
        <w:contextualSpacing/>
        <w:rPr>
          <w:rFonts w:eastAsia="Arial" w:cs="Times New Roman"/>
          <w:sz w:val="22"/>
          <w:szCs w:val="22"/>
        </w:rPr>
      </w:pPr>
    </w:p>
    <w:p w14:paraId="74AA2DA3" w14:textId="77777777" w:rsidR="003F78DB" w:rsidRPr="003F78DB" w:rsidRDefault="003F78DB" w:rsidP="003F78DB">
      <w:pPr>
        <w:spacing w:after="0" w:line="259" w:lineRule="auto"/>
        <w:contextualSpacing/>
        <w:rPr>
          <w:rFonts w:eastAsia="Arial" w:cs="Times New Roman"/>
          <w:sz w:val="22"/>
          <w:szCs w:val="22"/>
        </w:rPr>
      </w:pPr>
      <w:r w:rsidRPr="003F78DB">
        <w:rPr>
          <w:rFonts w:eastAsia="Arial" w:cs="Times New Roman"/>
          <w:sz w:val="22"/>
          <w:szCs w:val="22"/>
        </w:rPr>
        <w:t>In conclusion, while regulation can be demanding, it is essential for building a fair, resilient, and inclusive workplace. With thoughtful reform and stronger enforcement, it can continue to support both employee wellbeing and organisational success.</w:t>
      </w:r>
    </w:p>
    <w:p w14:paraId="363F454C" w14:textId="77777777" w:rsidR="00650B76" w:rsidRDefault="00650B76" w:rsidP="00650B76">
      <w:pPr>
        <w:spacing w:after="0" w:line="259" w:lineRule="auto"/>
        <w:contextualSpacing/>
        <w:rPr>
          <w:rFonts w:eastAsia="Arial" w:cs="Times New Roman"/>
          <w:sz w:val="22"/>
          <w:szCs w:val="22"/>
          <w:highlight w:val="yellow"/>
        </w:rPr>
      </w:pPr>
    </w:p>
    <w:p w14:paraId="2825AF61" w14:textId="77777777" w:rsidR="00696A73" w:rsidRPr="007569EF" w:rsidRDefault="00696A73" w:rsidP="00650B76">
      <w:pPr>
        <w:spacing w:after="0" w:line="259" w:lineRule="auto"/>
        <w:contextualSpacing/>
        <w:rPr>
          <w:rFonts w:eastAsia="Arial" w:cs="Times New Roman"/>
          <w:sz w:val="22"/>
          <w:szCs w:val="22"/>
          <w:highlight w:val="yellow"/>
        </w:rPr>
      </w:pPr>
    </w:p>
    <w:p w14:paraId="3452466F" w14:textId="77777777" w:rsidR="00650B76" w:rsidRPr="007569EF" w:rsidRDefault="00650B76" w:rsidP="00650B76">
      <w:pPr>
        <w:spacing w:after="0" w:line="259" w:lineRule="auto"/>
        <w:contextualSpacing/>
        <w:rPr>
          <w:rFonts w:eastAsia="Arial" w:cs="Times New Roman"/>
          <w:sz w:val="22"/>
          <w:szCs w:val="22"/>
        </w:rPr>
      </w:pPr>
      <w:r w:rsidRPr="007569EF">
        <w:rPr>
          <w:rFonts w:eastAsia="Arial" w:cs="Times New Roman"/>
          <w:sz w:val="22"/>
          <w:szCs w:val="22"/>
        </w:rPr>
        <w:t>Kind regards,</w:t>
      </w:r>
      <w:r w:rsidRPr="007569EF">
        <w:rPr>
          <w:rFonts w:eastAsia="Arial" w:cs="Times New Roman"/>
          <w:sz w:val="22"/>
          <w:szCs w:val="22"/>
        </w:rPr>
        <w:br/>
        <w:t>Sharon Cuthbert</w:t>
      </w:r>
    </w:p>
    <w:p w14:paraId="5364D149" w14:textId="77777777" w:rsidR="00650B76" w:rsidRPr="007569EF" w:rsidRDefault="00650B76" w:rsidP="00650B76">
      <w:pPr>
        <w:spacing w:after="0" w:line="259" w:lineRule="auto"/>
        <w:contextualSpacing/>
        <w:rPr>
          <w:rFonts w:eastAsia="Arial" w:cs="Times New Roman"/>
          <w:b/>
          <w:bCs/>
          <w:sz w:val="22"/>
          <w:szCs w:val="22"/>
        </w:rPr>
      </w:pPr>
    </w:p>
    <w:p w14:paraId="54F61626" w14:textId="77777777" w:rsidR="00650B76" w:rsidRPr="007569EF" w:rsidRDefault="00650B76" w:rsidP="00650B76">
      <w:pPr>
        <w:spacing w:after="0" w:line="259" w:lineRule="auto"/>
        <w:contextualSpacing/>
        <w:rPr>
          <w:rFonts w:eastAsia="Arial" w:cs="Times New Roman"/>
          <w:b/>
          <w:bCs/>
          <w:sz w:val="22"/>
          <w:szCs w:val="22"/>
        </w:rPr>
      </w:pPr>
    </w:p>
    <w:p w14:paraId="7FBC9B19" w14:textId="77777777" w:rsidR="00650B76" w:rsidRPr="007569EF" w:rsidRDefault="00650B76" w:rsidP="00D5064D">
      <w:pPr>
        <w:pStyle w:val="Body"/>
        <w:spacing w:line="240" w:lineRule="auto"/>
        <w:rPr>
          <w:rFonts w:asciiTheme="minorHAnsi" w:eastAsia="Trebuchet MS" w:hAnsiTheme="minorHAnsi" w:cs="Trebuchet MS"/>
          <w:b/>
          <w:bCs/>
          <w:color w:val="004147"/>
          <w:u w:color="004147"/>
        </w:rPr>
      </w:pPr>
      <w:r w:rsidRPr="00D5064D">
        <w:rPr>
          <w:rFonts w:asciiTheme="minorHAnsi" w:hAnsiTheme="minorHAnsi"/>
          <w:b/>
          <w:bCs/>
          <w:color w:val="004147"/>
          <w:u w:color="004147"/>
          <w:lang w:val="en-US"/>
        </w:rPr>
        <w:t>(AC 1.2)</w:t>
      </w:r>
    </w:p>
    <w:p w14:paraId="0197127C" w14:textId="77777777" w:rsidR="00650B76" w:rsidRPr="007569EF" w:rsidRDefault="00650B76" w:rsidP="00D5064D">
      <w:pPr>
        <w:pStyle w:val="Body"/>
        <w:spacing w:line="240" w:lineRule="auto"/>
        <w:rPr>
          <w:rFonts w:asciiTheme="minorHAnsi" w:eastAsia="Trebuchet MS" w:hAnsiTheme="minorHAnsi" w:cs="Trebuchet MS"/>
          <w:b/>
          <w:bCs/>
          <w:highlight w:val="yellow"/>
        </w:rPr>
      </w:pPr>
    </w:p>
    <w:p w14:paraId="1BACD107" w14:textId="77777777" w:rsidR="00650B76" w:rsidRPr="007569EF" w:rsidRDefault="00650B76" w:rsidP="00650B76">
      <w:pPr>
        <w:spacing w:after="0" w:line="259" w:lineRule="auto"/>
        <w:contextualSpacing/>
        <w:rPr>
          <w:b/>
          <w:bCs/>
          <w:sz w:val="22"/>
          <w:szCs w:val="22"/>
        </w:rPr>
      </w:pPr>
      <w:r w:rsidRPr="007569EF">
        <w:rPr>
          <w:b/>
          <w:bCs/>
          <w:sz w:val="22"/>
          <w:szCs w:val="22"/>
        </w:rPr>
        <w:t>Subject: Briefing on the Status of European Court of Justice Judgements Post-Brexit</w:t>
      </w:r>
    </w:p>
    <w:p w14:paraId="4FDBB2F0" w14:textId="77777777" w:rsidR="00650B76" w:rsidRPr="007569EF" w:rsidRDefault="00650B76" w:rsidP="00650B76">
      <w:pPr>
        <w:spacing w:after="0" w:line="259" w:lineRule="auto"/>
        <w:contextualSpacing/>
        <w:rPr>
          <w:b/>
          <w:bCs/>
          <w:sz w:val="22"/>
          <w:szCs w:val="22"/>
        </w:rPr>
      </w:pPr>
    </w:p>
    <w:p w14:paraId="2129E2A6" w14:textId="77777777" w:rsidR="001E199B" w:rsidRPr="007569EF" w:rsidRDefault="001E199B" w:rsidP="00650B76">
      <w:pPr>
        <w:spacing w:after="0" w:line="259" w:lineRule="auto"/>
        <w:contextualSpacing/>
        <w:rPr>
          <w:rFonts w:eastAsia="Arial" w:cs="Times New Roman"/>
          <w:sz w:val="22"/>
          <w:szCs w:val="22"/>
        </w:rPr>
      </w:pPr>
    </w:p>
    <w:p w14:paraId="71128ADB" w14:textId="77777777" w:rsidR="004F643E" w:rsidRDefault="004F643E" w:rsidP="004F643E">
      <w:pPr>
        <w:spacing w:after="0" w:line="259" w:lineRule="auto"/>
        <w:contextualSpacing/>
        <w:rPr>
          <w:rFonts w:eastAsia="Arial" w:cs="Times New Roman"/>
          <w:sz w:val="22"/>
          <w:szCs w:val="22"/>
        </w:rPr>
      </w:pPr>
      <w:r w:rsidRPr="00C76297">
        <w:rPr>
          <w:rFonts w:eastAsia="Arial" w:cs="Times New Roman"/>
          <w:sz w:val="22"/>
          <w:szCs w:val="22"/>
        </w:rPr>
        <w:t>Dear Colleague,</w:t>
      </w:r>
    </w:p>
    <w:p w14:paraId="109AC32D" w14:textId="77777777" w:rsidR="00C76297" w:rsidRPr="00C76297" w:rsidRDefault="00C76297" w:rsidP="004F643E">
      <w:pPr>
        <w:spacing w:after="0" w:line="259" w:lineRule="auto"/>
        <w:contextualSpacing/>
        <w:rPr>
          <w:rFonts w:eastAsia="Arial" w:cs="Times New Roman"/>
          <w:sz w:val="22"/>
          <w:szCs w:val="22"/>
        </w:rPr>
      </w:pPr>
    </w:p>
    <w:p w14:paraId="6A4136D3" w14:textId="77777777" w:rsidR="00983AE0" w:rsidRPr="00983AE0" w:rsidRDefault="00983AE0" w:rsidP="00983AE0">
      <w:pPr>
        <w:spacing w:after="0" w:line="259" w:lineRule="auto"/>
        <w:contextualSpacing/>
        <w:rPr>
          <w:rFonts w:eastAsia="Arial" w:cs="Times New Roman"/>
          <w:sz w:val="22"/>
          <w:szCs w:val="22"/>
        </w:rPr>
      </w:pPr>
      <w:r w:rsidRPr="00983AE0">
        <w:rPr>
          <w:rFonts w:eastAsia="Arial" w:cs="Times New Roman"/>
          <w:sz w:val="22"/>
          <w:szCs w:val="22"/>
        </w:rPr>
        <w:t>Thank you for your query regarding the status of European Court of Justice (ECJ) judgments and their relationship to UK law following Brexit. I appreciate your interest in the current legal landscape and its implications for our work.</w:t>
      </w:r>
    </w:p>
    <w:p w14:paraId="62E13C1B" w14:textId="77777777" w:rsidR="00983AE0" w:rsidRDefault="00983AE0" w:rsidP="00983AE0">
      <w:pPr>
        <w:spacing w:after="0" w:line="259" w:lineRule="auto"/>
        <w:contextualSpacing/>
        <w:rPr>
          <w:rFonts w:eastAsia="Arial" w:cs="Times New Roman"/>
          <w:sz w:val="22"/>
          <w:szCs w:val="22"/>
        </w:rPr>
      </w:pPr>
      <w:r w:rsidRPr="00983AE0">
        <w:rPr>
          <w:rFonts w:eastAsia="Arial" w:cs="Times New Roman"/>
          <w:sz w:val="22"/>
          <w:szCs w:val="22"/>
        </w:rPr>
        <w:t>To provide some context, the UK held a referendum in June 2016, with the majority voting to leave the European Union. The UK officially exited the EU on 31 December 2020, following a year-long transition period (Daniels, 2020, p. 10).</w:t>
      </w:r>
    </w:p>
    <w:p w14:paraId="1E4B6381" w14:textId="77777777" w:rsidR="00C76297" w:rsidRPr="00983AE0" w:rsidRDefault="00C76297" w:rsidP="00983AE0">
      <w:pPr>
        <w:spacing w:after="0" w:line="259" w:lineRule="auto"/>
        <w:contextualSpacing/>
        <w:rPr>
          <w:rFonts w:eastAsia="Arial" w:cs="Times New Roman"/>
          <w:sz w:val="22"/>
          <w:szCs w:val="22"/>
        </w:rPr>
      </w:pPr>
    </w:p>
    <w:p w14:paraId="75CBB085" w14:textId="77777777" w:rsidR="00983AE0" w:rsidRDefault="00983AE0" w:rsidP="00983AE0">
      <w:pPr>
        <w:spacing w:after="0" w:line="259" w:lineRule="auto"/>
        <w:contextualSpacing/>
        <w:rPr>
          <w:rFonts w:eastAsia="Arial" w:cs="Times New Roman"/>
          <w:sz w:val="22"/>
          <w:szCs w:val="22"/>
        </w:rPr>
      </w:pPr>
      <w:r w:rsidRPr="00983AE0">
        <w:rPr>
          <w:rFonts w:eastAsia="Arial" w:cs="Times New Roman"/>
          <w:sz w:val="22"/>
          <w:szCs w:val="22"/>
        </w:rPr>
        <w:t>Judgments made by the ECJ prior to the UK’s departure on 31 January 2020 remain part of retained EU law under the European Union (Withdrawal) Act 2018. They continue to apply in UK courts unless overturned by domestic legislation or higher court rulings. These judgments remain binding on lower courts, although the UK Supreme Court and Court of Appeal have discretion to depart from them (HM Government, 2023).</w:t>
      </w:r>
    </w:p>
    <w:p w14:paraId="0930F05F" w14:textId="77777777" w:rsidR="00C76297" w:rsidRPr="00983AE0" w:rsidRDefault="00C76297" w:rsidP="00983AE0">
      <w:pPr>
        <w:spacing w:after="0" w:line="259" w:lineRule="auto"/>
        <w:contextualSpacing/>
        <w:rPr>
          <w:rFonts w:eastAsia="Arial" w:cs="Times New Roman"/>
          <w:sz w:val="22"/>
          <w:szCs w:val="22"/>
        </w:rPr>
      </w:pPr>
    </w:p>
    <w:p w14:paraId="223FE0EB" w14:textId="77777777" w:rsidR="00983AE0" w:rsidRDefault="00983AE0" w:rsidP="00983AE0">
      <w:pPr>
        <w:spacing w:after="0" w:line="259" w:lineRule="auto"/>
        <w:contextualSpacing/>
        <w:rPr>
          <w:rFonts w:eastAsia="Arial" w:cs="Times New Roman"/>
          <w:sz w:val="22"/>
          <w:szCs w:val="22"/>
        </w:rPr>
      </w:pPr>
      <w:r w:rsidRPr="00983AE0">
        <w:rPr>
          <w:rFonts w:eastAsia="Arial" w:cs="Times New Roman"/>
          <w:sz w:val="22"/>
          <w:szCs w:val="22"/>
        </w:rPr>
        <w:t>The supremacy of EU law over UK law formally ended on 31 December 2023. Since then, the UK Government has had full authority to amend, override, or revoke EU-derived laws. While some changes took effect immediately, others are still being interpreted by the courts. Notably, on 30 September 2024, the UK Government halted commencement of Section 6 of the Retained EU Law (Revocation and Reform) Act 2023, which would have encouraged more flexible reinterpretation of EU case law (CIPD, 2024).</w:t>
      </w:r>
    </w:p>
    <w:p w14:paraId="5B3A6848" w14:textId="77777777" w:rsidR="00C76297" w:rsidRPr="00983AE0" w:rsidRDefault="00C76297" w:rsidP="00983AE0">
      <w:pPr>
        <w:spacing w:after="0" w:line="259" w:lineRule="auto"/>
        <w:contextualSpacing/>
        <w:rPr>
          <w:rFonts w:eastAsia="Arial" w:cs="Times New Roman"/>
          <w:sz w:val="22"/>
          <w:szCs w:val="22"/>
        </w:rPr>
      </w:pPr>
    </w:p>
    <w:p w14:paraId="3B51C43F" w14:textId="37303476" w:rsidR="00C76297" w:rsidRDefault="00983AE0" w:rsidP="00983AE0">
      <w:pPr>
        <w:spacing w:after="0" w:line="259" w:lineRule="auto"/>
        <w:contextualSpacing/>
        <w:rPr>
          <w:rFonts w:eastAsia="Arial" w:cs="Times New Roman"/>
          <w:sz w:val="22"/>
          <w:szCs w:val="22"/>
        </w:rPr>
      </w:pPr>
      <w:r w:rsidRPr="00983AE0">
        <w:rPr>
          <w:rFonts w:eastAsia="Arial" w:cs="Times New Roman"/>
          <w:sz w:val="22"/>
          <w:szCs w:val="22"/>
        </w:rPr>
        <w:t xml:space="preserve">A key example still relevant today is </w:t>
      </w:r>
      <w:r w:rsidRPr="00983AE0">
        <w:rPr>
          <w:rFonts w:eastAsia="Arial" w:cs="Times New Roman"/>
          <w:i/>
          <w:iCs/>
          <w:sz w:val="22"/>
          <w:szCs w:val="22"/>
        </w:rPr>
        <w:t>Webb v EMO Air Cargo (UK) Ltd</w:t>
      </w:r>
      <w:r w:rsidRPr="00983AE0">
        <w:rPr>
          <w:rFonts w:eastAsia="Arial" w:cs="Times New Roman"/>
          <w:sz w:val="22"/>
          <w:szCs w:val="22"/>
        </w:rPr>
        <w:t xml:space="preserve"> [1994], where the ECJ ruled that dismissal on the grounds of pregnancy constituted unlawful sex discrimination. This remains embedded in UK law under the Equality Act 2010 and continues to guide tribunal decisions (Daniels, 2020, p. 115).</w:t>
      </w:r>
    </w:p>
    <w:p w14:paraId="33561CD1" w14:textId="77777777" w:rsidR="00C76297" w:rsidRPr="00983AE0" w:rsidRDefault="00C76297" w:rsidP="00983AE0">
      <w:pPr>
        <w:spacing w:after="0" w:line="259" w:lineRule="auto"/>
        <w:contextualSpacing/>
        <w:rPr>
          <w:rFonts w:eastAsia="Arial" w:cs="Times New Roman"/>
          <w:sz w:val="22"/>
          <w:szCs w:val="22"/>
        </w:rPr>
      </w:pPr>
    </w:p>
    <w:p w14:paraId="484D90AC" w14:textId="77777777" w:rsidR="00983AE0" w:rsidRDefault="00983AE0" w:rsidP="00983AE0">
      <w:pPr>
        <w:spacing w:after="0" w:line="259" w:lineRule="auto"/>
        <w:contextualSpacing/>
        <w:rPr>
          <w:rFonts w:eastAsia="Arial" w:cs="Times New Roman"/>
          <w:sz w:val="22"/>
          <w:szCs w:val="22"/>
        </w:rPr>
      </w:pPr>
      <w:r w:rsidRPr="00983AE0">
        <w:rPr>
          <w:rFonts w:eastAsia="Arial" w:cs="Times New Roman"/>
          <w:sz w:val="22"/>
          <w:szCs w:val="22"/>
        </w:rPr>
        <w:t>Employment regulation in the UK continues to balance flexibility for employers with worker protections (CIPD, 2023). ACAS also plays a key role by offering practical guidance on employment rights and dispute resolution, helping ensure compliance and fairness (ACAS, n.d.).</w:t>
      </w:r>
    </w:p>
    <w:p w14:paraId="4C8F7B01" w14:textId="77777777" w:rsidR="00C76297" w:rsidRPr="00983AE0" w:rsidRDefault="00C76297" w:rsidP="00983AE0">
      <w:pPr>
        <w:spacing w:after="0" w:line="259" w:lineRule="auto"/>
        <w:contextualSpacing/>
        <w:rPr>
          <w:rFonts w:eastAsia="Arial" w:cs="Times New Roman"/>
          <w:sz w:val="22"/>
          <w:szCs w:val="22"/>
        </w:rPr>
      </w:pPr>
    </w:p>
    <w:p w14:paraId="62B3EC93" w14:textId="77777777" w:rsidR="00983AE0" w:rsidRPr="00983AE0" w:rsidRDefault="00983AE0" w:rsidP="00983AE0">
      <w:pPr>
        <w:spacing w:after="0" w:line="259" w:lineRule="auto"/>
        <w:contextualSpacing/>
        <w:rPr>
          <w:rFonts w:eastAsia="Arial" w:cs="Times New Roman"/>
          <w:sz w:val="22"/>
          <w:szCs w:val="22"/>
        </w:rPr>
      </w:pPr>
      <w:r w:rsidRPr="00983AE0">
        <w:rPr>
          <w:rFonts w:eastAsia="Arial" w:cs="Times New Roman"/>
          <w:sz w:val="22"/>
          <w:szCs w:val="22"/>
        </w:rPr>
        <w:t>In summary, ECJ rulings made before Brexit still carry legal weight unless replaced by UK law. While binding on lower courts, they may be departed from by higher courts. Post-Brexit ECJ decisions are no longer binding but may be considered persuasive. Staying informed is key, as the legal framework continues to evolve in support of lawful and fair practice (HM Government, 2023; CIPD, 2024).</w:t>
      </w:r>
    </w:p>
    <w:p w14:paraId="1EFBB73B" w14:textId="77777777" w:rsidR="001D4B39" w:rsidRPr="007569EF" w:rsidRDefault="001D4B39" w:rsidP="00650B76">
      <w:pPr>
        <w:spacing w:after="0" w:line="259" w:lineRule="auto"/>
        <w:contextualSpacing/>
        <w:rPr>
          <w:rFonts w:eastAsia="Arial" w:cs="Times New Roman"/>
          <w:sz w:val="22"/>
          <w:szCs w:val="22"/>
        </w:rPr>
      </w:pPr>
    </w:p>
    <w:p w14:paraId="52387AB9" w14:textId="77777777" w:rsidR="00650B76" w:rsidRPr="007569EF" w:rsidRDefault="00650B76" w:rsidP="00650B76">
      <w:pPr>
        <w:spacing w:after="0" w:line="259" w:lineRule="auto"/>
        <w:contextualSpacing/>
        <w:rPr>
          <w:rFonts w:eastAsia="Arial" w:cs="Times New Roman"/>
          <w:sz w:val="22"/>
          <w:szCs w:val="22"/>
        </w:rPr>
      </w:pPr>
      <w:r w:rsidRPr="007569EF">
        <w:rPr>
          <w:rFonts w:eastAsia="Arial" w:cs="Times New Roman"/>
          <w:sz w:val="22"/>
          <w:szCs w:val="22"/>
        </w:rPr>
        <w:t>Kind regards</w:t>
      </w:r>
      <w:r>
        <w:rPr>
          <w:rFonts w:eastAsia="Arial" w:cs="Times New Roman"/>
          <w:sz w:val="22"/>
          <w:szCs w:val="22"/>
        </w:rPr>
        <w:t>,</w:t>
      </w:r>
    </w:p>
    <w:p w14:paraId="5BC8F54E" w14:textId="77777777" w:rsidR="00650B76" w:rsidRPr="007569EF" w:rsidRDefault="00650B76" w:rsidP="00650B76">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477792F8" w14:textId="77777777" w:rsidR="00650B76" w:rsidRPr="007569EF" w:rsidRDefault="00650B76" w:rsidP="00650B76">
      <w:pPr>
        <w:spacing w:after="0" w:line="259" w:lineRule="auto"/>
        <w:contextualSpacing/>
        <w:rPr>
          <w:rFonts w:eastAsia="Arial" w:cs="Times New Roman"/>
          <w:b/>
          <w:bCs/>
          <w:sz w:val="22"/>
          <w:szCs w:val="22"/>
        </w:rPr>
      </w:pPr>
    </w:p>
    <w:p w14:paraId="514E0192" w14:textId="77777777" w:rsidR="00650B76" w:rsidRPr="007569EF" w:rsidRDefault="00650B76" w:rsidP="00650B76">
      <w:pPr>
        <w:spacing w:after="0" w:line="259" w:lineRule="auto"/>
        <w:contextualSpacing/>
        <w:rPr>
          <w:rFonts w:eastAsia="Arial" w:cs="Times New Roman"/>
          <w:b/>
          <w:bCs/>
          <w:sz w:val="22"/>
          <w:szCs w:val="22"/>
        </w:rPr>
      </w:pPr>
      <w:r w:rsidRPr="009D31DC">
        <w:rPr>
          <w:b/>
          <w:bCs/>
          <w:color w:val="004147"/>
          <w:sz w:val="22"/>
          <w:szCs w:val="22"/>
          <w:u w:color="004147"/>
          <w:lang w:val="en-US"/>
        </w:rPr>
        <w:t>(AC 2.1)</w:t>
      </w:r>
      <w:r w:rsidRPr="007569EF">
        <w:rPr>
          <w:b/>
          <w:bCs/>
          <w:color w:val="004147"/>
          <w:sz w:val="22"/>
          <w:szCs w:val="22"/>
          <w:u w:color="004147"/>
          <w:lang w:val="en-US"/>
        </w:rPr>
        <w:t xml:space="preserve"> </w:t>
      </w:r>
    </w:p>
    <w:p w14:paraId="389F10D6" w14:textId="77777777" w:rsidR="00650B76" w:rsidRPr="007569EF" w:rsidRDefault="00650B76" w:rsidP="00650B76">
      <w:pPr>
        <w:pStyle w:val="Body"/>
        <w:spacing w:line="240" w:lineRule="auto"/>
        <w:rPr>
          <w:rFonts w:asciiTheme="minorHAnsi" w:eastAsia="Trebuchet MS" w:hAnsiTheme="minorHAnsi" w:cs="Trebuchet MS"/>
          <w:b/>
          <w:bCs/>
        </w:rPr>
      </w:pPr>
    </w:p>
    <w:p w14:paraId="6DFF0479" w14:textId="77777777" w:rsidR="00AA2105" w:rsidRPr="00832BC2" w:rsidRDefault="00AA2105" w:rsidP="00AA2105">
      <w:pPr>
        <w:pStyle w:val="Body"/>
        <w:rPr>
          <w:rFonts w:asciiTheme="minorHAnsi" w:eastAsia="Trebuchet MS" w:hAnsiTheme="minorHAnsi" w:cs="Trebuchet MS"/>
          <w:b/>
          <w:bCs/>
        </w:rPr>
      </w:pPr>
      <w:r w:rsidRPr="00832BC2">
        <w:rPr>
          <w:rFonts w:asciiTheme="minorHAnsi" w:eastAsia="Trebuchet MS" w:hAnsiTheme="minorHAnsi" w:cs="Trebuchet MS"/>
          <w:b/>
          <w:bCs/>
        </w:rPr>
        <w:t>Subject: Guidance on Occupational Requirements in Recruitment and Selection</w:t>
      </w:r>
    </w:p>
    <w:p w14:paraId="44E167D8" w14:textId="77777777" w:rsidR="00AA2105" w:rsidRPr="00832BC2" w:rsidRDefault="00AA2105" w:rsidP="00AA2105">
      <w:pPr>
        <w:pStyle w:val="Body"/>
        <w:rPr>
          <w:rFonts w:asciiTheme="minorHAnsi" w:eastAsia="Trebuchet MS" w:hAnsiTheme="minorHAnsi" w:cs="Trebuchet MS"/>
        </w:rPr>
      </w:pPr>
    </w:p>
    <w:p w14:paraId="6B5B7976" w14:textId="77777777" w:rsidR="00AA2105" w:rsidRPr="00832BC2" w:rsidRDefault="00AA2105" w:rsidP="00AA2105">
      <w:pPr>
        <w:pStyle w:val="Body"/>
        <w:rPr>
          <w:rFonts w:asciiTheme="minorHAnsi" w:eastAsia="Trebuchet MS" w:hAnsiTheme="minorHAnsi" w:cs="Trebuchet MS"/>
        </w:rPr>
      </w:pPr>
      <w:r w:rsidRPr="00832BC2">
        <w:rPr>
          <w:rFonts w:asciiTheme="minorHAnsi" w:eastAsia="Trebuchet MS" w:hAnsiTheme="minorHAnsi" w:cs="Trebuchet MS"/>
        </w:rPr>
        <w:t>Dear Colleague,</w:t>
      </w:r>
    </w:p>
    <w:p w14:paraId="2C4929C8" w14:textId="77777777" w:rsidR="00FB21D9" w:rsidRPr="00832BC2" w:rsidRDefault="00FB21D9" w:rsidP="00AA2105">
      <w:pPr>
        <w:pStyle w:val="Body"/>
        <w:rPr>
          <w:rFonts w:asciiTheme="minorHAnsi" w:eastAsia="Trebuchet MS" w:hAnsiTheme="minorHAnsi" w:cs="Trebuchet MS"/>
        </w:rPr>
      </w:pPr>
    </w:p>
    <w:p w14:paraId="520889C7" w14:textId="77777777" w:rsidR="00E317A7" w:rsidRPr="00832BC2" w:rsidRDefault="00E317A7" w:rsidP="00E317A7">
      <w:pPr>
        <w:pStyle w:val="Body"/>
        <w:rPr>
          <w:rFonts w:asciiTheme="minorHAnsi" w:eastAsia="Trebuchet MS" w:hAnsiTheme="minorHAnsi" w:cs="Trebuchet MS"/>
        </w:rPr>
      </w:pPr>
      <w:r w:rsidRPr="00E317A7">
        <w:rPr>
          <w:rFonts w:asciiTheme="minorHAnsi" w:eastAsia="Trebuchet MS" w:hAnsiTheme="minorHAnsi" w:cs="Trebuchet MS"/>
        </w:rPr>
        <w:t>Thank you for your query about when it may be lawful to specify a particular sex for a role within your directorate. This falls under the concept of an occupational requirement, a legal exemption under the Equality Act 2010. While discrimination based on protected characteristics (such as sex, race, or religion) is generally prohibited, there are limited and tightly defined circumstances in which it may be lawful to apply such criteria (Daniels, 2025, p. 141).</w:t>
      </w:r>
    </w:p>
    <w:p w14:paraId="625A2F12" w14:textId="77777777" w:rsidR="00832BC2" w:rsidRPr="00E317A7" w:rsidRDefault="00832BC2" w:rsidP="00E317A7">
      <w:pPr>
        <w:pStyle w:val="Body"/>
        <w:rPr>
          <w:rFonts w:asciiTheme="minorHAnsi" w:eastAsia="Trebuchet MS" w:hAnsiTheme="minorHAnsi" w:cs="Trebuchet MS"/>
        </w:rPr>
      </w:pPr>
    </w:p>
    <w:p w14:paraId="2C9A7601" w14:textId="77777777" w:rsidR="00E317A7" w:rsidRPr="00832BC2" w:rsidRDefault="00E317A7" w:rsidP="00E317A7">
      <w:pPr>
        <w:pStyle w:val="Body"/>
        <w:rPr>
          <w:rFonts w:asciiTheme="minorHAnsi" w:eastAsia="Trebuchet MS" w:hAnsiTheme="minorHAnsi" w:cs="Trebuchet MS"/>
        </w:rPr>
      </w:pPr>
      <w:r w:rsidRPr="00E317A7">
        <w:rPr>
          <w:rFonts w:asciiTheme="minorHAnsi" w:eastAsia="Trebuchet MS" w:hAnsiTheme="minorHAnsi" w:cs="Trebuchet MS"/>
        </w:rPr>
        <w:t xml:space="preserve">An occupational requirement applies only when a particular characteristic is crucial to the performance of the job—not merely desirable. For example, specifying that a role must be carried out by a woman may be lawful if it involves delivering intimate or personal care to female service users, where privacy and dignity are vital. In </w:t>
      </w:r>
      <w:r w:rsidRPr="00E317A7">
        <w:rPr>
          <w:rFonts w:asciiTheme="minorHAnsi" w:eastAsia="Trebuchet MS" w:hAnsiTheme="minorHAnsi" w:cs="Trebuchet MS"/>
          <w:i/>
          <w:iCs/>
        </w:rPr>
        <w:t>Etam plc v Rowan</w:t>
      </w:r>
      <w:r w:rsidRPr="00E317A7">
        <w:rPr>
          <w:rFonts w:asciiTheme="minorHAnsi" w:eastAsia="Trebuchet MS" w:hAnsiTheme="minorHAnsi" w:cs="Trebuchet MS"/>
        </w:rPr>
        <w:t xml:space="preserve"> [1989] IRLR 150, a male applicant was rejected from a women’s clothing shop due to duties involving physical measurement. The Employment Appeal Tribunal found this requirement unreasonable since a female colleague could perform those duties (Daniels, 2025, p. 120).</w:t>
      </w:r>
    </w:p>
    <w:p w14:paraId="1CEE5F35" w14:textId="77777777" w:rsidR="00832BC2" w:rsidRPr="00E317A7" w:rsidRDefault="00832BC2" w:rsidP="00E317A7">
      <w:pPr>
        <w:pStyle w:val="Body"/>
        <w:rPr>
          <w:rFonts w:asciiTheme="minorHAnsi" w:eastAsia="Trebuchet MS" w:hAnsiTheme="minorHAnsi" w:cs="Trebuchet MS"/>
        </w:rPr>
      </w:pPr>
    </w:p>
    <w:p w14:paraId="3CADCE9E" w14:textId="77777777" w:rsidR="00E317A7" w:rsidRPr="00832BC2" w:rsidRDefault="00E317A7" w:rsidP="00E317A7">
      <w:pPr>
        <w:pStyle w:val="Body"/>
        <w:rPr>
          <w:rFonts w:asciiTheme="minorHAnsi" w:eastAsia="Trebuchet MS" w:hAnsiTheme="minorHAnsi" w:cs="Trebuchet MS"/>
        </w:rPr>
      </w:pPr>
      <w:r w:rsidRPr="00E317A7">
        <w:rPr>
          <w:rFonts w:asciiTheme="minorHAnsi" w:eastAsia="Trebuchet MS" w:hAnsiTheme="minorHAnsi" w:cs="Trebuchet MS"/>
        </w:rPr>
        <w:t>Similarly, some roles—such as religious leaders—may require someone of a particular religion or gender if the duties directly relate to religious doctrine or practice. These exemptions must be justified by the specific operational needs of the organisation, rather than subjective belief or cultural norms (Daniels, 2025, p. 291).</w:t>
      </w:r>
    </w:p>
    <w:p w14:paraId="16A7FE78" w14:textId="77777777" w:rsidR="00832BC2" w:rsidRPr="00E317A7" w:rsidRDefault="00832BC2" w:rsidP="00E317A7">
      <w:pPr>
        <w:pStyle w:val="Body"/>
        <w:rPr>
          <w:rFonts w:asciiTheme="minorHAnsi" w:eastAsia="Trebuchet MS" w:hAnsiTheme="minorHAnsi" w:cs="Trebuchet MS"/>
        </w:rPr>
      </w:pPr>
    </w:p>
    <w:p w14:paraId="72DC5D76" w14:textId="77777777" w:rsidR="00E317A7" w:rsidRPr="00832BC2" w:rsidRDefault="00E317A7" w:rsidP="00E317A7">
      <w:pPr>
        <w:pStyle w:val="Body"/>
        <w:rPr>
          <w:rFonts w:asciiTheme="minorHAnsi" w:eastAsia="Trebuchet MS" w:hAnsiTheme="minorHAnsi" w:cs="Trebuchet MS"/>
        </w:rPr>
      </w:pPr>
      <w:r w:rsidRPr="00E317A7">
        <w:rPr>
          <w:rFonts w:asciiTheme="minorHAnsi" w:eastAsia="Trebuchet MS" w:hAnsiTheme="minorHAnsi" w:cs="Trebuchet MS"/>
        </w:rPr>
        <w:t>However, occupational requirement exemptions are strictly interpreted under the Equality Act 2010 (Equality Act 2010, s. 39 and Schedule 9). A customer or colleague’s preference is not sufficient; the employer must demonstrate that the requirement is a proportionate means of achieving a legitimate aim. The characteristic must be essential to the role and objectively justified in context. Employers should assess and document this justification thoroughly. Statutory guidance from the Home Office (2023) and ACAS (2024) stress evidence-based decision-making. While foundational cases help frame legal reasoning, current practice relies on the Equality Act and updated statutory guidance.</w:t>
      </w:r>
    </w:p>
    <w:p w14:paraId="58CBE07B" w14:textId="77777777" w:rsidR="00832BC2" w:rsidRPr="00E317A7" w:rsidRDefault="00832BC2" w:rsidP="00E317A7">
      <w:pPr>
        <w:pStyle w:val="Body"/>
        <w:rPr>
          <w:rFonts w:asciiTheme="minorHAnsi" w:eastAsia="Trebuchet MS" w:hAnsiTheme="minorHAnsi" w:cs="Trebuchet MS"/>
        </w:rPr>
      </w:pPr>
    </w:p>
    <w:p w14:paraId="0AFA5E73" w14:textId="77777777" w:rsidR="00E317A7" w:rsidRPr="00E317A7" w:rsidRDefault="00E317A7" w:rsidP="00E317A7">
      <w:pPr>
        <w:pStyle w:val="Body"/>
        <w:rPr>
          <w:rFonts w:asciiTheme="minorHAnsi" w:eastAsia="Trebuchet MS" w:hAnsiTheme="minorHAnsi" w:cs="Trebuchet MS"/>
        </w:rPr>
      </w:pPr>
      <w:r w:rsidRPr="00E317A7">
        <w:rPr>
          <w:rFonts w:asciiTheme="minorHAnsi" w:eastAsia="Trebuchet MS" w:hAnsiTheme="minorHAnsi" w:cs="Trebuchet MS"/>
        </w:rPr>
        <w:t>If applying an occupational requirement, ensure your rationale is documented and risk-assessed. In our public sector organisation, this typically involves collaboration with HR and alignment with internal equalities policies. Legal advice may be helpful in complex cases, but HR professionals are responsible for initial assessments before any role is advertised (ACAS, 2024).</w:t>
      </w:r>
    </w:p>
    <w:p w14:paraId="14E5912F" w14:textId="77777777" w:rsidR="00E317A7" w:rsidRPr="000D2D33" w:rsidRDefault="00E317A7" w:rsidP="00AA2105">
      <w:pPr>
        <w:pStyle w:val="Body"/>
        <w:rPr>
          <w:rFonts w:asciiTheme="minorHAnsi" w:eastAsia="Trebuchet MS" w:hAnsiTheme="minorHAnsi" w:cs="Trebuchet MS"/>
        </w:rPr>
      </w:pPr>
    </w:p>
    <w:p w14:paraId="180D5562" w14:textId="77777777" w:rsidR="00FB21D9" w:rsidRPr="00AA2105" w:rsidRDefault="00FB21D9" w:rsidP="00AA2105">
      <w:pPr>
        <w:pStyle w:val="Body"/>
        <w:rPr>
          <w:rFonts w:asciiTheme="minorHAnsi" w:eastAsia="Trebuchet MS" w:hAnsiTheme="minorHAnsi" w:cs="Trebuchet MS"/>
        </w:rPr>
      </w:pPr>
    </w:p>
    <w:p w14:paraId="23A85E77" w14:textId="77777777" w:rsidR="00AA2105" w:rsidRPr="00AA2105" w:rsidRDefault="00AA2105" w:rsidP="00AA2105">
      <w:pPr>
        <w:pStyle w:val="Body"/>
        <w:rPr>
          <w:rFonts w:asciiTheme="minorHAnsi" w:eastAsia="Trebuchet MS" w:hAnsiTheme="minorHAnsi" w:cs="Trebuchet MS"/>
        </w:rPr>
      </w:pPr>
      <w:r w:rsidRPr="00AA2105">
        <w:rPr>
          <w:rFonts w:asciiTheme="minorHAnsi" w:eastAsia="Trebuchet MS" w:hAnsiTheme="minorHAnsi" w:cs="Trebuchet MS"/>
        </w:rPr>
        <w:t>Kind regards,</w:t>
      </w:r>
    </w:p>
    <w:p w14:paraId="1134042C" w14:textId="63356485" w:rsidR="00650B76" w:rsidRPr="007569EF" w:rsidRDefault="00650B76" w:rsidP="00650B76">
      <w:pPr>
        <w:pStyle w:val="Body"/>
        <w:rPr>
          <w:rFonts w:asciiTheme="minorHAnsi" w:eastAsia="Trebuchet MS" w:hAnsiTheme="minorHAnsi" w:cs="Trebuchet MS"/>
        </w:rPr>
      </w:pPr>
      <w:r w:rsidRPr="007569EF">
        <w:rPr>
          <w:rFonts w:asciiTheme="minorHAnsi" w:eastAsia="Trebuchet MS" w:hAnsiTheme="minorHAnsi" w:cs="Trebuchet MS"/>
        </w:rPr>
        <w:t>Sharon Cuthbert</w:t>
      </w:r>
    </w:p>
    <w:p w14:paraId="1390C768" w14:textId="77777777" w:rsidR="00650B76" w:rsidRPr="007569EF" w:rsidRDefault="00650B76" w:rsidP="00650B76">
      <w:pPr>
        <w:pStyle w:val="Body"/>
        <w:spacing w:line="240" w:lineRule="auto"/>
        <w:rPr>
          <w:rFonts w:asciiTheme="minorHAnsi" w:eastAsia="Trebuchet MS" w:hAnsiTheme="minorHAnsi" w:cs="Trebuchet MS"/>
          <w:b/>
          <w:bCs/>
        </w:rPr>
      </w:pPr>
    </w:p>
    <w:p w14:paraId="343E95D5" w14:textId="77777777" w:rsidR="00650B76" w:rsidRDefault="00650B76" w:rsidP="00650B76">
      <w:pPr>
        <w:spacing w:after="0" w:line="259" w:lineRule="auto"/>
        <w:contextualSpacing/>
        <w:rPr>
          <w:b/>
          <w:bCs/>
          <w:color w:val="004147"/>
          <w:sz w:val="22"/>
          <w:szCs w:val="22"/>
          <w:u w:color="004147"/>
          <w:lang w:val="en-US"/>
        </w:rPr>
      </w:pPr>
      <w:r w:rsidRPr="005415E5">
        <w:rPr>
          <w:b/>
          <w:bCs/>
          <w:color w:val="004147"/>
          <w:sz w:val="22"/>
          <w:szCs w:val="22"/>
          <w:u w:color="004147"/>
          <w:lang w:val="en-US"/>
        </w:rPr>
        <w:t>(AC 2.2)</w:t>
      </w:r>
    </w:p>
    <w:p w14:paraId="365732DC" w14:textId="77777777" w:rsidR="00785C77" w:rsidRDefault="00785C77" w:rsidP="00650B76">
      <w:pPr>
        <w:spacing w:after="0" w:line="259" w:lineRule="auto"/>
        <w:contextualSpacing/>
        <w:rPr>
          <w:b/>
          <w:bCs/>
          <w:color w:val="004147"/>
          <w:sz w:val="22"/>
          <w:szCs w:val="22"/>
          <w:u w:color="004147"/>
          <w:lang w:val="en-US"/>
        </w:rPr>
      </w:pPr>
    </w:p>
    <w:p w14:paraId="212F4E43" w14:textId="6D1A28E6" w:rsidR="00785C77" w:rsidRPr="00E81997" w:rsidRDefault="00785C77" w:rsidP="00650B76">
      <w:pPr>
        <w:spacing w:after="0" w:line="259" w:lineRule="auto"/>
        <w:contextualSpacing/>
        <w:rPr>
          <w:rFonts w:eastAsia="Arial" w:cs="Times New Roman"/>
          <w:sz w:val="22"/>
          <w:szCs w:val="22"/>
        </w:rPr>
      </w:pPr>
      <w:r w:rsidRPr="00E81997">
        <w:rPr>
          <w:sz w:val="22"/>
          <w:szCs w:val="22"/>
          <w:u w:color="004147"/>
          <w:lang w:val="en-US"/>
        </w:rPr>
        <w:t xml:space="preserve">Dear </w:t>
      </w:r>
      <w:r w:rsidR="00E81997" w:rsidRPr="00E81997">
        <w:rPr>
          <w:sz w:val="22"/>
          <w:szCs w:val="22"/>
          <w:u w:color="004147"/>
          <w:lang w:val="en-US"/>
        </w:rPr>
        <w:t>Colleague</w:t>
      </w:r>
      <w:r w:rsidRPr="00E81997">
        <w:rPr>
          <w:sz w:val="22"/>
          <w:szCs w:val="22"/>
          <w:u w:color="004147"/>
          <w:lang w:val="en-US"/>
        </w:rPr>
        <w:t>,</w:t>
      </w:r>
    </w:p>
    <w:p w14:paraId="05CA753D" w14:textId="77777777" w:rsidR="003F7455" w:rsidRPr="007569EF" w:rsidRDefault="003F7455" w:rsidP="00650B76">
      <w:pPr>
        <w:spacing w:after="0" w:line="259" w:lineRule="auto"/>
        <w:contextualSpacing/>
        <w:rPr>
          <w:rFonts w:eastAsia="Arial" w:cs="Times New Roman"/>
          <w:sz w:val="22"/>
          <w:szCs w:val="22"/>
        </w:rPr>
      </w:pPr>
    </w:p>
    <w:p w14:paraId="526CE45A" w14:textId="77777777" w:rsidR="006F46F9" w:rsidRDefault="006F46F9" w:rsidP="006F46F9">
      <w:pPr>
        <w:spacing w:after="0" w:line="259" w:lineRule="auto"/>
        <w:contextualSpacing/>
        <w:rPr>
          <w:rFonts w:eastAsia="Arial" w:cs="Times New Roman"/>
          <w:sz w:val="22"/>
          <w:szCs w:val="22"/>
        </w:rPr>
      </w:pPr>
      <w:r w:rsidRPr="006F46F9">
        <w:rPr>
          <w:rFonts w:eastAsia="Arial" w:cs="Times New Roman"/>
          <w:sz w:val="22"/>
          <w:szCs w:val="22"/>
        </w:rPr>
        <w:t>Thank you for your request regarding the proposed upgrade of two Health Care Assistants (HCAs) from Grade A to the higher Grade B. However, I must advise that, under the Equality Act 2010, it is essential to ensure the upgrade complies with equal pay legislation (Daniels, 2025, p. 141).</w:t>
      </w:r>
    </w:p>
    <w:p w14:paraId="2010B790" w14:textId="77777777" w:rsidR="009C138E" w:rsidRPr="006F46F9" w:rsidRDefault="009C138E" w:rsidP="006F46F9">
      <w:pPr>
        <w:spacing w:after="0" w:line="259" w:lineRule="auto"/>
        <w:contextualSpacing/>
        <w:rPr>
          <w:rFonts w:eastAsia="Arial" w:cs="Times New Roman"/>
          <w:sz w:val="22"/>
          <w:szCs w:val="22"/>
        </w:rPr>
      </w:pPr>
    </w:p>
    <w:p w14:paraId="36811FE5" w14:textId="77777777" w:rsidR="006F46F9" w:rsidRDefault="006F46F9" w:rsidP="006F46F9">
      <w:pPr>
        <w:spacing w:after="0" w:line="259" w:lineRule="auto"/>
        <w:contextualSpacing/>
        <w:rPr>
          <w:rFonts w:eastAsia="Arial" w:cs="Times New Roman"/>
          <w:sz w:val="22"/>
          <w:szCs w:val="22"/>
        </w:rPr>
      </w:pPr>
      <w:r w:rsidRPr="006F46F9">
        <w:rPr>
          <w:rFonts w:eastAsia="Arial" w:cs="Times New Roman"/>
          <w:sz w:val="22"/>
          <w:szCs w:val="22"/>
        </w:rPr>
        <w:t>The Act stipulates that men and women must receive equal pay for equal work, or work of equal value. In this case, because 80% of HCAs in the Trust are women but the two proposed upgrades are for men, there may be concerns about indirect discrimination. This occurs when a neutral policy or practice (such as upgrading only certain individuals) disproportionately disadvantages a particular group, unless it can be objectively justified. This differs from direct discrimination, which is treating someone less favourably explicitly because of a protected characteristic such as sex (CIPD, 2025).</w:t>
      </w:r>
    </w:p>
    <w:p w14:paraId="165E1B63" w14:textId="77777777" w:rsidR="006F46F9" w:rsidRPr="006F46F9" w:rsidRDefault="006F46F9" w:rsidP="006F46F9">
      <w:pPr>
        <w:spacing w:after="0" w:line="259" w:lineRule="auto"/>
        <w:contextualSpacing/>
        <w:rPr>
          <w:rFonts w:eastAsia="Arial" w:cs="Times New Roman"/>
          <w:sz w:val="22"/>
          <w:szCs w:val="22"/>
        </w:rPr>
      </w:pPr>
    </w:p>
    <w:p w14:paraId="12B16DCF" w14:textId="77777777" w:rsidR="006F46F9" w:rsidRDefault="006F46F9" w:rsidP="006F46F9">
      <w:pPr>
        <w:spacing w:after="0" w:line="259" w:lineRule="auto"/>
        <w:contextualSpacing/>
        <w:rPr>
          <w:rFonts w:eastAsia="Arial" w:cs="Times New Roman"/>
          <w:sz w:val="22"/>
          <w:szCs w:val="22"/>
        </w:rPr>
      </w:pPr>
      <w:r w:rsidRPr="006F46F9">
        <w:rPr>
          <w:rFonts w:eastAsia="Arial" w:cs="Times New Roman"/>
          <w:sz w:val="22"/>
          <w:szCs w:val="22"/>
        </w:rPr>
        <w:t>It is vital to assess whether the roles carried out by the men are the same as, or of equal value to, those of the women remaining on Grade A. If the roles are substantially similar, upgrading only the male HCAs could constitute a breach of equal pay provisions. Under the Act, any pay disparity must be objectively justified with a valid, non-discriminatory reason (Daniels, 2025, p. 132).</w:t>
      </w:r>
    </w:p>
    <w:p w14:paraId="3C82937A" w14:textId="77777777" w:rsidR="006F46F9" w:rsidRPr="006F46F9" w:rsidRDefault="006F46F9" w:rsidP="006F46F9">
      <w:pPr>
        <w:spacing w:after="0" w:line="259" w:lineRule="auto"/>
        <w:contextualSpacing/>
        <w:rPr>
          <w:rFonts w:eastAsia="Arial" w:cs="Times New Roman"/>
          <w:sz w:val="22"/>
          <w:szCs w:val="22"/>
        </w:rPr>
      </w:pPr>
    </w:p>
    <w:p w14:paraId="3BCE5AF7" w14:textId="77777777" w:rsidR="006F46F9" w:rsidRDefault="006F46F9" w:rsidP="006F46F9">
      <w:pPr>
        <w:spacing w:after="0" w:line="259" w:lineRule="auto"/>
        <w:contextualSpacing/>
        <w:rPr>
          <w:rFonts w:eastAsia="Arial" w:cs="Times New Roman"/>
          <w:sz w:val="22"/>
          <w:szCs w:val="22"/>
        </w:rPr>
      </w:pPr>
      <w:r w:rsidRPr="006F46F9">
        <w:rPr>
          <w:rFonts w:eastAsia="Arial" w:cs="Times New Roman"/>
          <w:sz w:val="22"/>
          <w:szCs w:val="22"/>
        </w:rPr>
        <w:t>Such a decision could also be viewed as unfair treatment or indirect discrimination, particularly if it inadvertently disadvantages female HCAs. Indirect discrimination occurs when a policy or practice applies equally but disproportionately affects a protected group—in this case, women—without objective justification. Since 80% of HCAs are women, upgrading only the two male HCAs could place female staff at a disadvantage, even if the decision was not made explicitly on the basis of sex (Equality and Human Rights Commission, 2019). To avoid potential claims of discrimination or unfairness, it is essential that any pay increases or upgrades are applied consistently across all staff, regardless of gender.</w:t>
      </w:r>
    </w:p>
    <w:p w14:paraId="2AC57835" w14:textId="77777777" w:rsidR="006F46F9" w:rsidRPr="006F46F9" w:rsidRDefault="006F46F9" w:rsidP="006F46F9">
      <w:pPr>
        <w:spacing w:after="0" w:line="259" w:lineRule="auto"/>
        <w:contextualSpacing/>
        <w:rPr>
          <w:rFonts w:eastAsia="Arial" w:cs="Times New Roman"/>
          <w:sz w:val="22"/>
          <w:szCs w:val="22"/>
        </w:rPr>
      </w:pPr>
    </w:p>
    <w:p w14:paraId="76849B7B" w14:textId="77777777" w:rsidR="006F46F9" w:rsidRDefault="006F46F9" w:rsidP="006F46F9">
      <w:pPr>
        <w:spacing w:after="0" w:line="259" w:lineRule="auto"/>
        <w:contextualSpacing/>
        <w:rPr>
          <w:rFonts w:eastAsia="Arial" w:cs="Times New Roman"/>
          <w:sz w:val="22"/>
          <w:szCs w:val="22"/>
        </w:rPr>
      </w:pPr>
      <w:r w:rsidRPr="006F46F9">
        <w:rPr>
          <w:rFonts w:eastAsia="Arial" w:cs="Times New Roman"/>
          <w:sz w:val="22"/>
          <w:szCs w:val="22"/>
        </w:rPr>
        <w:t>In addition, if an employee believes an unequal pay decision has been made, they are encouraged to first raise the issue informally or through the organisation’s grievance procedure. This allows for the possibility of resolving the dispute internally before escalating to formal legal action. If the matter remains unresolved, the employee may then bring a claim to an employment tribunal. As part of the process, the organisation may be required to conduct an equal pay audit to identify and address any systemic pay disparities (Daniels, 2025, p. 138).</w:t>
      </w:r>
    </w:p>
    <w:p w14:paraId="69C316AC" w14:textId="77777777" w:rsidR="006F46F9" w:rsidRPr="006F46F9" w:rsidRDefault="006F46F9" w:rsidP="006F46F9">
      <w:pPr>
        <w:spacing w:after="0" w:line="259" w:lineRule="auto"/>
        <w:contextualSpacing/>
        <w:rPr>
          <w:rFonts w:eastAsia="Arial" w:cs="Times New Roman"/>
          <w:sz w:val="22"/>
          <w:szCs w:val="22"/>
        </w:rPr>
      </w:pPr>
    </w:p>
    <w:p w14:paraId="584DB126" w14:textId="19407E98" w:rsidR="006F46F9" w:rsidRPr="006F46F9" w:rsidRDefault="006F46F9" w:rsidP="006F46F9">
      <w:pPr>
        <w:spacing w:after="0" w:line="259" w:lineRule="auto"/>
        <w:contextualSpacing/>
        <w:rPr>
          <w:rFonts w:eastAsia="Arial" w:cs="Times New Roman"/>
          <w:sz w:val="22"/>
          <w:szCs w:val="22"/>
        </w:rPr>
      </w:pPr>
      <w:r w:rsidRPr="006F46F9">
        <w:rPr>
          <w:rFonts w:eastAsia="Arial" w:cs="Times New Roman"/>
          <w:sz w:val="22"/>
          <w:szCs w:val="22"/>
        </w:rPr>
        <w:t>Until this matter is fully reviewed and resolved, I recommend pausing any further discussions regarding changes to grade or pay. A thorough evaluation of the roles and responsibilities of the HCAs involved is necessary to ensure compliance with equal pay legislation. If you believe the upgrade remains justified, it would be prudent to consult with the HR team to ensure the rationale is objective, evidence-based, and free from discriminatory bias (</w:t>
      </w:r>
      <w:r w:rsidR="00D83310">
        <w:rPr>
          <w:rFonts w:eastAsia="Arial" w:cs="Times New Roman"/>
          <w:sz w:val="22"/>
          <w:szCs w:val="22"/>
        </w:rPr>
        <w:t>ACAS, 2024</w:t>
      </w:r>
      <w:r w:rsidRPr="006F46F9">
        <w:rPr>
          <w:rFonts w:eastAsia="Arial" w:cs="Times New Roman"/>
          <w:sz w:val="22"/>
          <w:szCs w:val="22"/>
        </w:rPr>
        <w:t>).</w:t>
      </w:r>
    </w:p>
    <w:p w14:paraId="3B7B411F" w14:textId="77777777" w:rsidR="00650B76" w:rsidRPr="007569EF" w:rsidRDefault="00650B76" w:rsidP="00650B76">
      <w:pPr>
        <w:spacing w:after="0" w:line="259" w:lineRule="auto"/>
        <w:contextualSpacing/>
        <w:rPr>
          <w:rFonts w:eastAsia="Arial" w:cs="Times New Roman"/>
          <w:sz w:val="22"/>
          <w:szCs w:val="22"/>
        </w:rPr>
      </w:pPr>
    </w:p>
    <w:p w14:paraId="027E130A" w14:textId="77777777" w:rsidR="00650B76" w:rsidRPr="007569EF" w:rsidRDefault="00650B76" w:rsidP="00650B76">
      <w:pPr>
        <w:spacing w:after="0" w:line="259" w:lineRule="auto"/>
        <w:contextualSpacing/>
        <w:rPr>
          <w:rFonts w:eastAsia="Arial" w:cs="Times New Roman"/>
          <w:sz w:val="22"/>
          <w:szCs w:val="22"/>
        </w:rPr>
      </w:pPr>
      <w:r w:rsidRPr="007569EF">
        <w:rPr>
          <w:rFonts w:eastAsia="Arial" w:cs="Times New Roman"/>
          <w:sz w:val="22"/>
          <w:szCs w:val="22"/>
        </w:rPr>
        <w:t>Kind regards,</w:t>
      </w:r>
    </w:p>
    <w:p w14:paraId="39AD12C4" w14:textId="77777777" w:rsidR="00650B76" w:rsidRPr="007569EF" w:rsidRDefault="00650B76" w:rsidP="00650B76">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3AF44694" w14:textId="77777777" w:rsidR="00650B76" w:rsidRPr="007569EF" w:rsidRDefault="00650B76" w:rsidP="00650B76">
      <w:pPr>
        <w:spacing w:after="0" w:line="259" w:lineRule="auto"/>
        <w:contextualSpacing/>
        <w:rPr>
          <w:rFonts w:eastAsia="Arial" w:cs="Times New Roman"/>
          <w:b/>
          <w:bCs/>
          <w:sz w:val="22"/>
          <w:szCs w:val="22"/>
        </w:rPr>
      </w:pPr>
    </w:p>
    <w:p w14:paraId="48446293" w14:textId="77777777" w:rsidR="00650B76" w:rsidRPr="007569EF" w:rsidRDefault="00650B76" w:rsidP="00650B76">
      <w:pPr>
        <w:spacing w:after="0" w:line="259" w:lineRule="auto"/>
        <w:contextualSpacing/>
        <w:rPr>
          <w:rFonts w:eastAsia="Arial" w:cs="Times New Roman"/>
          <w:b/>
          <w:bCs/>
          <w:sz w:val="22"/>
          <w:szCs w:val="22"/>
        </w:rPr>
      </w:pPr>
      <w:r w:rsidRPr="009C138E">
        <w:rPr>
          <w:b/>
          <w:bCs/>
          <w:color w:val="004147"/>
          <w:sz w:val="22"/>
          <w:szCs w:val="22"/>
          <w:u w:color="004147"/>
          <w:lang w:val="de-DE"/>
        </w:rPr>
        <w:t>(AC 3.1)</w:t>
      </w:r>
      <w:r w:rsidRPr="007569EF">
        <w:rPr>
          <w:b/>
          <w:bCs/>
          <w:color w:val="004147"/>
          <w:sz w:val="22"/>
          <w:szCs w:val="22"/>
          <w:u w:color="004147"/>
          <w:lang w:val="de-DE"/>
        </w:rPr>
        <w:t xml:space="preserve">    </w:t>
      </w:r>
    </w:p>
    <w:p w14:paraId="02866DD5" w14:textId="77777777" w:rsidR="00650B76" w:rsidRPr="007569EF" w:rsidRDefault="00650B76" w:rsidP="00650B76">
      <w:pPr>
        <w:pStyle w:val="Body"/>
        <w:spacing w:line="240" w:lineRule="auto"/>
        <w:rPr>
          <w:rFonts w:asciiTheme="minorHAnsi" w:eastAsia="Trebuchet MS" w:hAnsiTheme="minorHAnsi" w:cs="Trebuchet MS"/>
          <w:b/>
          <w:bCs/>
        </w:rPr>
      </w:pPr>
      <w:r w:rsidRPr="007569EF">
        <w:rPr>
          <w:rFonts w:asciiTheme="minorHAnsi" w:hAnsiTheme="minorHAnsi"/>
          <w:lang w:val="en-US"/>
        </w:rPr>
        <w:t xml:space="preserve"> </w:t>
      </w:r>
    </w:p>
    <w:p w14:paraId="7A304257" w14:textId="77777777" w:rsidR="00650B76" w:rsidRPr="007569EF" w:rsidRDefault="00650B76" w:rsidP="00650B76">
      <w:pPr>
        <w:spacing w:after="0" w:line="259" w:lineRule="auto"/>
        <w:contextualSpacing/>
        <w:rPr>
          <w:rFonts w:eastAsia="Arial" w:cs="Times New Roman"/>
          <w:b/>
          <w:bCs/>
          <w:sz w:val="22"/>
          <w:szCs w:val="22"/>
        </w:rPr>
      </w:pPr>
      <w:r w:rsidRPr="007569EF">
        <w:rPr>
          <w:rFonts w:eastAsia="Arial" w:cs="Times New Roman"/>
          <w:b/>
          <w:bCs/>
          <w:sz w:val="22"/>
          <w:szCs w:val="22"/>
        </w:rPr>
        <w:t>Subject: Advice on Potential Constructive Dismissal Claim and Time Limits</w:t>
      </w:r>
    </w:p>
    <w:p w14:paraId="286E0C21" w14:textId="77777777" w:rsidR="00650B76" w:rsidRPr="007569EF" w:rsidRDefault="00650B76" w:rsidP="00650B76">
      <w:pPr>
        <w:spacing w:after="0" w:line="259" w:lineRule="auto"/>
        <w:contextualSpacing/>
        <w:rPr>
          <w:rFonts w:eastAsia="Arial" w:cs="Times New Roman"/>
          <w:b/>
          <w:bCs/>
          <w:sz w:val="22"/>
          <w:szCs w:val="22"/>
        </w:rPr>
      </w:pPr>
    </w:p>
    <w:p w14:paraId="20D41699" w14:textId="77777777" w:rsidR="00650B76" w:rsidRPr="00CB3A0F" w:rsidRDefault="00650B76" w:rsidP="00650B76">
      <w:pPr>
        <w:spacing w:after="0" w:line="259" w:lineRule="auto"/>
        <w:contextualSpacing/>
        <w:rPr>
          <w:rFonts w:eastAsia="Arial" w:cs="Times New Roman"/>
          <w:sz w:val="22"/>
          <w:szCs w:val="22"/>
        </w:rPr>
      </w:pPr>
      <w:r w:rsidRPr="00CB3A0F">
        <w:rPr>
          <w:rFonts w:eastAsia="Arial" w:cs="Times New Roman"/>
          <w:sz w:val="22"/>
          <w:szCs w:val="22"/>
        </w:rPr>
        <w:t>Dear Colleague,</w:t>
      </w:r>
    </w:p>
    <w:p w14:paraId="03739F70" w14:textId="77777777" w:rsidR="00650B76" w:rsidRPr="00CB3A0F" w:rsidRDefault="00650B76" w:rsidP="00650B76">
      <w:pPr>
        <w:spacing w:after="0" w:line="259" w:lineRule="auto"/>
        <w:contextualSpacing/>
        <w:rPr>
          <w:rFonts w:eastAsia="Arial" w:cs="Times New Roman"/>
          <w:sz w:val="22"/>
          <w:szCs w:val="22"/>
        </w:rPr>
      </w:pPr>
    </w:p>
    <w:p w14:paraId="4256719E" w14:textId="77777777" w:rsidR="00D65167" w:rsidRPr="00CB3A0F" w:rsidRDefault="00D65167" w:rsidP="00D65167">
      <w:pPr>
        <w:spacing w:after="0" w:line="259" w:lineRule="auto"/>
        <w:contextualSpacing/>
        <w:rPr>
          <w:rFonts w:eastAsia="Arial" w:cs="Times New Roman"/>
          <w:sz w:val="22"/>
          <w:szCs w:val="22"/>
        </w:rPr>
      </w:pPr>
      <w:r w:rsidRPr="00D65167">
        <w:rPr>
          <w:rFonts w:eastAsia="Arial" w:cs="Times New Roman"/>
          <w:sz w:val="22"/>
          <w:szCs w:val="22"/>
        </w:rPr>
        <w:t>Thank you for your recent enquiry regarding the radiographer’s resignation and the potential for a constructive dismissal claim.</w:t>
      </w:r>
    </w:p>
    <w:p w14:paraId="594E6FA4" w14:textId="77777777" w:rsidR="00D65167" w:rsidRPr="00D65167" w:rsidRDefault="00D65167" w:rsidP="00D65167">
      <w:pPr>
        <w:spacing w:after="0" w:line="259" w:lineRule="auto"/>
        <w:contextualSpacing/>
        <w:rPr>
          <w:rFonts w:eastAsia="Arial" w:cs="Times New Roman"/>
          <w:sz w:val="22"/>
          <w:szCs w:val="22"/>
        </w:rPr>
      </w:pPr>
    </w:p>
    <w:p w14:paraId="09519D28" w14:textId="77777777" w:rsidR="00D65167" w:rsidRPr="00CB3A0F" w:rsidRDefault="00D65167" w:rsidP="00D65167">
      <w:pPr>
        <w:spacing w:after="0" w:line="259" w:lineRule="auto"/>
        <w:contextualSpacing/>
        <w:rPr>
          <w:rFonts w:eastAsia="Arial" w:cs="Times New Roman"/>
          <w:sz w:val="22"/>
          <w:szCs w:val="22"/>
        </w:rPr>
      </w:pPr>
      <w:r w:rsidRPr="00D65167">
        <w:rPr>
          <w:rFonts w:eastAsia="Arial" w:cs="Times New Roman"/>
          <w:sz w:val="22"/>
          <w:szCs w:val="22"/>
        </w:rPr>
        <w:t>First, it is important to determine whether the employee had previously requested a change to their working hours, or if the change was imposed by the employer without prior consultation or agreement. Reviewing the individual’s employment contract is essential to establish the terms related to their working hours. If the contract specifies a set working pattern or hours, any unilateral change made by the employer could be considered a fundamental breach of contract. However, if the employee voluntarily agreed to the change, it may be more difficult to argue that it constitutes constructive dismissal (Acas, 2024).</w:t>
      </w:r>
    </w:p>
    <w:p w14:paraId="5D885940" w14:textId="77777777" w:rsidR="00D65167" w:rsidRPr="00D65167" w:rsidRDefault="00D65167" w:rsidP="00D65167">
      <w:pPr>
        <w:spacing w:after="0" w:line="259" w:lineRule="auto"/>
        <w:contextualSpacing/>
        <w:rPr>
          <w:rFonts w:eastAsia="Arial" w:cs="Times New Roman"/>
          <w:sz w:val="22"/>
          <w:szCs w:val="22"/>
        </w:rPr>
      </w:pPr>
    </w:p>
    <w:p w14:paraId="1B06CA72" w14:textId="77777777" w:rsidR="00D65167" w:rsidRPr="00CB3A0F" w:rsidRDefault="00D65167" w:rsidP="00D65167">
      <w:pPr>
        <w:spacing w:after="0" w:line="259" w:lineRule="auto"/>
        <w:contextualSpacing/>
        <w:rPr>
          <w:rFonts w:eastAsia="Arial" w:cs="Times New Roman"/>
          <w:sz w:val="22"/>
          <w:szCs w:val="22"/>
        </w:rPr>
      </w:pPr>
      <w:r w:rsidRPr="00D65167">
        <w:rPr>
          <w:rFonts w:eastAsia="Arial" w:cs="Times New Roman"/>
          <w:sz w:val="22"/>
          <w:szCs w:val="22"/>
        </w:rPr>
        <w:t>Constructive dismissal arises when an employee resigns due to a serious breach of their employment contract. A substantial, imposed change to working hours without the employee’s consent could amount to such a breach, particularly if it renders the role untenable (Daniels, 2025, p. 6).</w:t>
      </w:r>
    </w:p>
    <w:p w14:paraId="56DEBC7D" w14:textId="77777777" w:rsidR="00D65167" w:rsidRPr="00D65167" w:rsidRDefault="00D65167" w:rsidP="00D65167">
      <w:pPr>
        <w:spacing w:after="0" w:line="259" w:lineRule="auto"/>
        <w:contextualSpacing/>
        <w:rPr>
          <w:rFonts w:eastAsia="Arial" w:cs="Times New Roman"/>
          <w:sz w:val="22"/>
          <w:szCs w:val="22"/>
        </w:rPr>
      </w:pPr>
    </w:p>
    <w:p w14:paraId="6E9132C1" w14:textId="77777777" w:rsidR="00D65167" w:rsidRPr="00CB3A0F" w:rsidRDefault="00D65167" w:rsidP="00D65167">
      <w:pPr>
        <w:spacing w:after="0" w:line="259" w:lineRule="auto"/>
        <w:contextualSpacing/>
        <w:rPr>
          <w:rFonts w:eastAsia="Arial" w:cs="Times New Roman"/>
          <w:sz w:val="22"/>
          <w:szCs w:val="22"/>
        </w:rPr>
      </w:pPr>
      <w:r w:rsidRPr="00D65167">
        <w:rPr>
          <w:rFonts w:eastAsia="Arial" w:cs="Times New Roman"/>
          <w:sz w:val="22"/>
          <w:szCs w:val="22"/>
        </w:rPr>
        <w:t>In our NHS Trust, it is vital that any proposed changes to staff working patterns are communicated clearly and consulted upon thoroughly to minimise the risk of disputes. The HR team should work closely with line managers to ensure that NHS-specific consultation procedures are followed, and that all reasonable alternatives are explored wherever possible (NHS Employers, 2023).</w:t>
      </w:r>
    </w:p>
    <w:p w14:paraId="4741B7B8" w14:textId="77777777" w:rsidR="00D65167" w:rsidRPr="00D65167" w:rsidRDefault="00D65167" w:rsidP="00D65167">
      <w:pPr>
        <w:spacing w:after="0" w:line="259" w:lineRule="auto"/>
        <w:contextualSpacing/>
        <w:rPr>
          <w:rFonts w:eastAsia="Arial" w:cs="Times New Roman"/>
          <w:sz w:val="22"/>
          <w:szCs w:val="22"/>
        </w:rPr>
      </w:pPr>
    </w:p>
    <w:p w14:paraId="535510EB" w14:textId="77777777" w:rsidR="00D65167" w:rsidRPr="00D65167" w:rsidRDefault="00D65167" w:rsidP="00D65167">
      <w:pPr>
        <w:spacing w:after="0" w:line="259" w:lineRule="auto"/>
        <w:contextualSpacing/>
        <w:rPr>
          <w:rFonts w:eastAsia="Arial" w:cs="Times New Roman"/>
          <w:sz w:val="22"/>
          <w:szCs w:val="22"/>
        </w:rPr>
      </w:pPr>
      <w:r w:rsidRPr="00D65167">
        <w:rPr>
          <w:rFonts w:eastAsia="Arial" w:cs="Times New Roman"/>
          <w:sz w:val="22"/>
          <w:szCs w:val="22"/>
        </w:rPr>
        <w:t>It is also important to consider eligibility. To bring a constructive dismissal claim, the employee must have completed a minimum of two years of continuous service with the organisation (CIPD, 2024). Without this qualifying period, the claim is unlikely to proceed.</w:t>
      </w:r>
    </w:p>
    <w:p w14:paraId="0176FC7D" w14:textId="77777777" w:rsidR="00D65167" w:rsidRPr="00CB3A0F" w:rsidRDefault="00D65167" w:rsidP="00D65167">
      <w:pPr>
        <w:spacing w:after="0" w:line="259" w:lineRule="auto"/>
        <w:contextualSpacing/>
        <w:rPr>
          <w:rFonts w:eastAsia="Arial" w:cs="Times New Roman"/>
          <w:sz w:val="22"/>
          <w:szCs w:val="22"/>
        </w:rPr>
      </w:pPr>
      <w:r w:rsidRPr="00D65167">
        <w:rPr>
          <w:rFonts w:eastAsia="Arial" w:cs="Times New Roman"/>
          <w:sz w:val="22"/>
          <w:szCs w:val="22"/>
        </w:rPr>
        <w:t>Additionally, there is a strict time limit. The employee must submit a claim to an Employment Tribunal within three months of the effective date of resignation. Claims submitted outside this period will usually be dismissed unless exceptional circumstances apply (CIPD, 2024).</w:t>
      </w:r>
    </w:p>
    <w:p w14:paraId="379890D6" w14:textId="77777777" w:rsidR="00CB3A0F" w:rsidRPr="00D65167" w:rsidRDefault="00CB3A0F" w:rsidP="00D65167">
      <w:pPr>
        <w:spacing w:after="0" w:line="259" w:lineRule="auto"/>
        <w:contextualSpacing/>
        <w:rPr>
          <w:rFonts w:eastAsia="Arial" w:cs="Times New Roman"/>
          <w:sz w:val="22"/>
          <w:szCs w:val="22"/>
        </w:rPr>
      </w:pPr>
    </w:p>
    <w:p w14:paraId="4CC0F737" w14:textId="77777777" w:rsidR="00D65167" w:rsidRPr="00CB3A0F" w:rsidRDefault="00D65167" w:rsidP="00D65167">
      <w:pPr>
        <w:spacing w:after="0" w:line="259" w:lineRule="auto"/>
        <w:contextualSpacing/>
        <w:rPr>
          <w:rFonts w:eastAsia="Arial" w:cs="Times New Roman"/>
          <w:sz w:val="22"/>
          <w:szCs w:val="22"/>
        </w:rPr>
      </w:pPr>
      <w:r w:rsidRPr="00D65167">
        <w:rPr>
          <w:rFonts w:eastAsia="Arial" w:cs="Times New Roman"/>
          <w:sz w:val="22"/>
          <w:szCs w:val="22"/>
        </w:rPr>
        <w:t>In summary, whether a constructive dismissal claim is likely to succeed depends on the specifics of the employment contract, the nature of the change, whether agreement was sought, and the employee’s length of service. A unilateral and substantial change without agreement may amount to a fundamental breach of contract (Daniels, 2025, p. 287).</w:t>
      </w:r>
    </w:p>
    <w:p w14:paraId="76EE4920" w14:textId="77777777" w:rsidR="00D65167" w:rsidRPr="00D65167" w:rsidRDefault="00D65167" w:rsidP="00D65167">
      <w:pPr>
        <w:spacing w:after="0" w:line="259" w:lineRule="auto"/>
        <w:contextualSpacing/>
        <w:rPr>
          <w:rFonts w:eastAsia="Arial" w:cs="Times New Roman"/>
          <w:sz w:val="22"/>
          <w:szCs w:val="22"/>
        </w:rPr>
      </w:pPr>
    </w:p>
    <w:p w14:paraId="21D8CE7A" w14:textId="77777777" w:rsidR="00D65167" w:rsidRPr="00CB3A0F" w:rsidRDefault="00D65167" w:rsidP="00D65167">
      <w:pPr>
        <w:spacing w:after="0" w:line="259" w:lineRule="auto"/>
        <w:contextualSpacing/>
        <w:rPr>
          <w:rFonts w:eastAsia="Arial" w:cs="Times New Roman"/>
          <w:sz w:val="22"/>
          <w:szCs w:val="22"/>
        </w:rPr>
      </w:pPr>
      <w:r w:rsidRPr="00D65167">
        <w:rPr>
          <w:rFonts w:eastAsia="Arial" w:cs="Times New Roman"/>
          <w:sz w:val="22"/>
          <w:szCs w:val="22"/>
        </w:rPr>
        <w:t>Please let me know if you need further clarification or assistance in reviewing the employee's contract or preparing a response.</w:t>
      </w:r>
    </w:p>
    <w:p w14:paraId="5B4D98E2" w14:textId="77777777" w:rsidR="00CB3A0F" w:rsidRPr="00D65167" w:rsidRDefault="00CB3A0F" w:rsidP="00D65167">
      <w:pPr>
        <w:spacing w:after="0" w:line="259" w:lineRule="auto"/>
        <w:contextualSpacing/>
        <w:rPr>
          <w:rFonts w:eastAsia="Arial" w:cs="Times New Roman"/>
          <w:sz w:val="22"/>
          <w:szCs w:val="22"/>
        </w:rPr>
      </w:pPr>
    </w:p>
    <w:p w14:paraId="45EE3F41" w14:textId="77777777" w:rsidR="00650B76" w:rsidRPr="00CB3A0F" w:rsidRDefault="00650B76" w:rsidP="00650B76">
      <w:pPr>
        <w:spacing w:after="0" w:line="259" w:lineRule="auto"/>
        <w:contextualSpacing/>
        <w:rPr>
          <w:rFonts w:eastAsia="Arial" w:cs="Times New Roman"/>
          <w:sz w:val="22"/>
          <w:szCs w:val="22"/>
        </w:rPr>
      </w:pPr>
      <w:r w:rsidRPr="00CB3A0F">
        <w:rPr>
          <w:rFonts w:eastAsia="Arial" w:cs="Times New Roman"/>
          <w:sz w:val="22"/>
          <w:szCs w:val="22"/>
        </w:rPr>
        <w:t>Kind regards,</w:t>
      </w:r>
    </w:p>
    <w:p w14:paraId="5FFD6BFD" w14:textId="77777777" w:rsidR="00650B76" w:rsidRPr="00CB3A0F" w:rsidRDefault="00650B76" w:rsidP="00650B76">
      <w:pPr>
        <w:spacing w:after="0" w:line="259" w:lineRule="auto"/>
        <w:contextualSpacing/>
        <w:rPr>
          <w:rFonts w:eastAsia="Arial" w:cs="Times New Roman"/>
          <w:sz w:val="22"/>
          <w:szCs w:val="22"/>
        </w:rPr>
      </w:pPr>
      <w:r w:rsidRPr="00CB3A0F">
        <w:rPr>
          <w:rFonts w:eastAsia="Arial" w:cs="Times New Roman"/>
          <w:sz w:val="22"/>
          <w:szCs w:val="22"/>
        </w:rPr>
        <w:t>Sharon Cuthbert</w:t>
      </w:r>
    </w:p>
    <w:p w14:paraId="1824BEC6" w14:textId="77777777" w:rsidR="00650B76" w:rsidRPr="007569EF" w:rsidRDefault="00650B76" w:rsidP="00650B76">
      <w:pPr>
        <w:spacing w:after="0" w:line="259" w:lineRule="auto"/>
        <w:contextualSpacing/>
        <w:rPr>
          <w:rFonts w:eastAsia="Arial" w:cs="Times New Roman"/>
          <w:b/>
          <w:bCs/>
          <w:sz w:val="22"/>
          <w:szCs w:val="22"/>
        </w:rPr>
      </w:pPr>
    </w:p>
    <w:p w14:paraId="54B7810E" w14:textId="77777777" w:rsidR="00650B76" w:rsidRPr="007569EF" w:rsidRDefault="00650B76" w:rsidP="00650B76">
      <w:pPr>
        <w:spacing w:after="0" w:line="259" w:lineRule="auto"/>
        <w:contextualSpacing/>
        <w:rPr>
          <w:rFonts w:eastAsia="Arial" w:cs="Times New Roman"/>
          <w:b/>
          <w:bCs/>
          <w:sz w:val="22"/>
          <w:szCs w:val="22"/>
        </w:rPr>
      </w:pPr>
      <w:r w:rsidRPr="007A629B">
        <w:rPr>
          <w:b/>
          <w:bCs/>
          <w:color w:val="004147"/>
          <w:sz w:val="22"/>
          <w:szCs w:val="22"/>
          <w:u w:color="004147"/>
          <w:lang w:val="en-US"/>
        </w:rPr>
        <w:t>(AC 3.2)</w:t>
      </w:r>
    </w:p>
    <w:p w14:paraId="1EDEC8BC" w14:textId="77777777" w:rsidR="00650B76" w:rsidRPr="007569EF" w:rsidRDefault="00650B76" w:rsidP="00650B76">
      <w:pPr>
        <w:spacing w:after="0" w:line="259" w:lineRule="auto"/>
        <w:contextualSpacing/>
        <w:rPr>
          <w:rFonts w:eastAsia="Arial" w:cs="Times New Roman"/>
          <w:b/>
          <w:bCs/>
          <w:sz w:val="22"/>
          <w:szCs w:val="22"/>
        </w:rPr>
      </w:pPr>
    </w:p>
    <w:p w14:paraId="63C7952F" w14:textId="77777777" w:rsidR="00650B76" w:rsidRPr="007C5178" w:rsidRDefault="00650B76" w:rsidP="00650B76">
      <w:pPr>
        <w:spacing w:after="0" w:line="259" w:lineRule="auto"/>
        <w:contextualSpacing/>
        <w:rPr>
          <w:rFonts w:eastAsia="Arial" w:cs="Times New Roman"/>
          <w:b/>
          <w:bCs/>
          <w:sz w:val="22"/>
          <w:szCs w:val="22"/>
        </w:rPr>
      </w:pPr>
      <w:r w:rsidRPr="007C5178">
        <w:rPr>
          <w:rFonts w:eastAsia="Arial" w:cs="Times New Roman"/>
          <w:b/>
          <w:bCs/>
          <w:sz w:val="22"/>
          <w:szCs w:val="22"/>
        </w:rPr>
        <w:t>Subject: Legal Considerations for Redundancy Process and Consultation Requirements</w:t>
      </w:r>
    </w:p>
    <w:p w14:paraId="7AB31173" w14:textId="77777777" w:rsidR="00650B76" w:rsidRPr="007C5178" w:rsidRDefault="00650B76" w:rsidP="00650B76">
      <w:pPr>
        <w:spacing w:after="0" w:line="259" w:lineRule="auto"/>
        <w:contextualSpacing/>
        <w:rPr>
          <w:rFonts w:eastAsia="Arial" w:cs="Times New Roman"/>
          <w:b/>
          <w:bCs/>
          <w:sz w:val="22"/>
          <w:szCs w:val="22"/>
        </w:rPr>
      </w:pPr>
    </w:p>
    <w:p w14:paraId="42B15FC3" w14:textId="77777777" w:rsidR="00650B76" w:rsidRPr="007C5178" w:rsidRDefault="00650B76" w:rsidP="00650B76">
      <w:pPr>
        <w:spacing w:after="0" w:line="259" w:lineRule="auto"/>
        <w:contextualSpacing/>
        <w:rPr>
          <w:rFonts w:eastAsia="Arial" w:cs="Times New Roman"/>
          <w:sz w:val="22"/>
          <w:szCs w:val="22"/>
        </w:rPr>
      </w:pPr>
      <w:r w:rsidRPr="007C5178">
        <w:rPr>
          <w:rFonts w:eastAsia="Arial" w:cs="Times New Roman"/>
          <w:sz w:val="22"/>
          <w:szCs w:val="22"/>
        </w:rPr>
        <w:t>Dear Colleague,</w:t>
      </w:r>
    </w:p>
    <w:p w14:paraId="29891C9B" w14:textId="77777777" w:rsidR="00D33BF3" w:rsidRPr="007C5178" w:rsidRDefault="00D33BF3" w:rsidP="00424548">
      <w:pPr>
        <w:spacing w:after="0" w:line="259" w:lineRule="auto"/>
        <w:contextualSpacing/>
        <w:rPr>
          <w:rFonts w:eastAsia="Arial" w:cs="Times New Roman"/>
          <w:sz w:val="22"/>
          <w:szCs w:val="22"/>
        </w:rPr>
      </w:pPr>
    </w:p>
    <w:p w14:paraId="4EBD2AC8"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Thank you for outlining the proposed reorganisation within your directorate. I understand your aim to proceed efficiently. However, as fifty posts are expected to be made redundant, it is essential that the Trust follows the correct legal and procedural steps to avoid the risk of unfair dismissal claims and to protect employee morale (Acas, n.d.).</w:t>
      </w:r>
    </w:p>
    <w:p w14:paraId="6884A0A1" w14:textId="77777777" w:rsidR="007C5178" w:rsidRPr="00373148" w:rsidRDefault="007C5178" w:rsidP="00373148">
      <w:pPr>
        <w:spacing w:after="0" w:line="259" w:lineRule="auto"/>
        <w:contextualSpacing/>
        <w:rPr>
          <w:rFonts w:eastAsia="Arial" w:cs="Times New Roman"/>
          <w:sz w:val="22"/>
          <w:szCs w:val="22"/>
        </w:rPr>
      </w:pPr>
    </w:p>
    <w:p w14:paraId="7E23F883" w14:textId="77BFC2BA" w:rsidR="00D33BF3" w:rsidRPr="00373148"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Before progressing further, may I clarify the following:</w:t>
      </w:r>
    </w:p>
    <w:p w14:paraId="268A307D"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 Have affected employees been formally informed that their roles are at risk of redundancy?</w:t>
      </w:r>
      <w:r w:rsidRPr="00373148">
        <w:rPr>
          <w:rFonts w:eastAsia="Arial" w:cs="Times New Roman"/>
          <w:sz w:val="22"/>
          <w:szCs w:val="22"/>
        </w:rPr>
        <w:br/>
        <w:t>• Have any discussions or consultations taken place—either collectively or individually?</w:t>
      </w:r>
      <w:r w:rsidRPr="00373148">
        <w:rPr>
          <w:rFonts w:eastAsia="Arial" w:cs="Times New Roman"/>
          <w:sz w:val="22"/>
          <w:szCs w:val="22"/>
        </w:rPr>
        <w:br/>
        <w:t>• Have performance concerns relating to certain staff members been previously addressed through a formal capability or disciplinary procedure?</w:t>
      </w:r>
    </w:p>
    <w:p w14:paraId="428D4805" w14:textId="77777777" w:rsidR="00801534" w:rsidRPr="00373148" w:rsidRDefault="00801534" w:rsidP="00373148">
      <w:pPr>
        <w:spacing w:after="0" w:line="259" w:lineRule="auto"/>
        <w:contextualSpacing/>
        <w:rPr>
          <w:rFonts w:eastAsia="Arial" w:cs="Times New Roman"/>
          <w:sz w:val="22"/>
          <w:szCs w:val="22"/>
        </w:rPr>
      </w:pPr>
    </w:p>
    <w:p w14:paraId="1E730254"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This is particularly important given your reference to dismissing the “poorest performers.” Redundancy must be based on the need for roles, not the performance of individuals. While performance can be part of a redundancy selection matrix, it must be clearly defined, consistently applied, and backed by documented evidence (Acas, n.d.). You should also ensure that performance, attendance, and other objective criteria are fairly measured, and consider whether employees can be redeployed into suitable alternative roles within the organisation (Daniels, 2025, p. 204).</w:t>
      </w:r>
    </w:p>
    <w:p w14:paraId="3C29CCF6" w14:textId="77777777" w:rsidR="00801534" w:rsidRPr="00373148" w:rsidRDefault="00801534" w:rsidP="00373148">
      <w:pPr>
        <w:spacing w:after="0" w:line="259" w:lineRule="auto"/>
        <w:contextualSpacing/>
        <w:rPr>
          <w:rFonts w:eastAsia="Arial" w:cs="Times New Roman"/>
          <w:sz w:val="22"/>
          <w:szCs w:val="22"/>
        </w:rPr>
      </w:pPr>
    </w:p>
    <w:p w14:paraId="3D2D1EF7"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b/>
          <w:bCs/>
          <w:sz w:val="22"/>
          <w:szCs w:val="22"/>
        </w:rPr>
        <w:t>Voluntary Redundancy</w:t>
      </w:r>
      <w:r w:rsidRPr="00373148">
        <w:rPr>
          <w:rFonts w:eastAsia="Arial" w:cs="Times New Roman"/>
          <w:sz w:val="22"/>
          <w:szCs w:val="22"/>
        </w:rPr>
        <w:br/>
        <w:t>Before proceeding with compulsory redundancies, I recommend exploring voluntary redundancy as an initial option. Inviting staff to express interest in leaving voluntarily can:</w:t>
      </w:r>
      <w:r w:rsidRPr="00373148">
        <w:rPr>
          <w:rFonts w:eastAsia="Arial" w:cs="Times New Roman"/>
          <w:sz w:val="22"/>
          <w:szCs w:val="22"/>
        </w:rPr>
        <w:br/>
        <w:t>• Reduce the number of compulsory redundancies</w:t>
      </w:r>
      <w:r w:rsidRPr="00373148">
        <w:rPr>
          <w:rFonts w:eastAsia="Arial" w:cs="Times New Roman"/>
          <w:sz w:val="22"/>
          <w:szCs w:val="22"/>
        </w:rPr>
        <w:br/>
        <w:t>• Minimise the risk of grievances or tribunal claims</w:t>
      </w:r>
      <w:r w:rsidRPr="00373148">
        <w:rPr>
          <w:rFonts w:eastAsia="Arial" w:cs="Times New Roman"/>
          <w:sz w:val="22"/>
          <w:szCs w:val="22"/>
        </w:rPr>
        <w:br/>
        <w:t>• Improve perceptions of fairness and transparency among staff</w:t>
      </w:r>
    </w:p>
    <w:p w14:paraId="283FFB00" w14:textId="77777777" w:rsidR="00801534" w:rsidRPr="00373148" w:rsidRDefault="00801534" w:rsidP="00373148">
      <w:pPr>
        <w:spacing w:after="0" w:line="259" w:lineRule="auto"/>
        <w:contextualSpacing/>
        <w:rPr>
          <w:rFonts w:eastAsia="Arial" w:cs="Times New Roman"/>
          <w:sz w:val="22"/>
          <w:szCs w:val="22"/>
        </w:rPr>
      </w:pPr>
    </w:p>
    <w:p w14:paraId="0709CA64"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The Trust may apply conditions on eligibility and is not obliged to accept every request. However, offering this option demonstrates a constructive and fair approach, particularly when working with recognised trade unions (Daniels, 2025, p. 202; Acas, 2024).</w:t>
      </w:r>
    </w:p>
    <w:p w14:paraId="6DD068DE" w14:textId="77777777" w:rsidR="00801534" w:rsidRPr="00373148" w:rsidRDefault="00801534" w:rsidP="00373148">
      <w:pPr>
        <w:spacing w:after="0" w:line="259" w:lineRule="auto"/>
        <w:contextualSpacing/>
        <w:rPr>
          <w:rFonts w:eastAsia="Arial" w:cs="Times New Roman"/>
          <w:sz w:val="22"/>
          <w:szCs w:val="22"/>
        </w:rPr>
      </w:pPr>
    </w:p>
    <w:p w14:paraId="1DA61DF2"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b/>
          <w:bCs/>
          <w:sz w:val="22"/>
          <w:szCs w:val="22"/>
        </w:rPr>
        <w:t>Collective Consultation and Union Involvement:</w:t>
      </w:r>
      <w:r w:rsidRPr="00373148">
        <w:rPr>
          <w:rFonts w:eastAsia="Arial" w:cs="Times New Roman"/>
          <w:sz w:val="22"/>
          <w:szCs w:val="22"/>
        </w:rPr>
        <w:br/>
        <w:t>Given the scale of the proposed redundancies, the Trust has a legal obligation to consult collectively under the Trade Union and Labour Relations (Consolidation) Act 1992. If 20 or more redundancies are proposed within a 90-day period, consultation must begin at least 30 days before the first dismissal (or 45 days if 100 or more employees are affected) (Acas, 2024).</w:t>
      </w:r>
    </w:p>
    <w:p w14:paraId="050DE980" w14:textId="77777777" w:rsidR="00801534" w:rsidRPr="00373148" w:rsidRDefault="00801534" w:rsidP="00373148">
      <w:pPr>
        <w:spacing w:after="0" w:line="259" w:lineRule="auto"/>
        <w:contextualSpacing/>
        <w:rPr>
          <w:rFonts w:eastAsia="Arial" w:cs="Times New Roman"/>
          <w:sz w:val="22"/>
          <w:szCs w:val="22"/>
        </w:rPr>
      </w:pPr>
    </w:p>
    <w:p w14:paraId="08D78890"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As the Trust is highly likely to recognise trade unions, formal engagement with union representatives is not only legally required but also essential to maintaining constructive industrial relations (Acas, 2024).</w:t>
      </w:r>
    </w:p>
    <w:p w14:paraId="44AAFBAA" w14:textId="77777777" w:rsidR="00801534" w:rsidRPr="00373148" w:rsidRDefault="00801534" w:rsidP="00373148">
      <w:pPr>
        <w:spacing w:after="0" w:line="259" w:lineRule="auto"/>
        <w:contextualSpacing/>
        <w:rPr>
          <w:rFonts w:eastAsia="Arial" w:cs="Times New Roman"/>
          <w:sz w:val="22"/>
          <w:szCs w:val="22"/>
        </w:rPr>
      </w:pPr>
    </w:p>
    <w:p w14:paraId="4F9E9FE7"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In today’s health sector, trade unions play a crucial role—particularly for NHS workers. Unions provide the collective bargaining power needed to negotiate improved pay and working conditions with NHS employers, ultimately enhancing staff well-being. By uniting the voices of thousands of employees, health unions are well-positioned to advocate for better wages, fairer working hours, and safer environments. They also ensure that NHS employees are fairly represented during consultations and negotiations, allowing staff to have a meaningful voice in decisions that impact their working lives (MMA Recruitment, 2024).</w:t>
      </w:r>
    </w:p>
    <w:p w14:paraId="1493BD61" w14:textId="77777777" w:rsidR="00801534" w:rsidRPr="00373148" w:rsidRDefault="00801534" w:rsidP="00373148">
      <w:pPr>
        <w:spacing w:after="0" w:line="259" w:lineRule="auto"/>
        <w:contextualSpacing/>
        <w:rPr>
          <w:rFonts w:eastAsia="Arial" w:cs="Times New Roman"/>
          <w:sz w:val="22"/>
          <w:szCs w:val="22"/>
        </w:rPr>
      </w:pPr>
    </w:p>
    <w:p w14:paraId="1369457A"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Effective union involvement helps both parties—Trusts and staff—to collaboratively manage challenges such as AfC contract changes and staff burnout, building a more equitable and supportive workplace (MMA Recruitment, 2024).</w:t>
      </w:r>
    </w:p>
    <w:p w14:paraId="3CE4EA7F" w14:textId="77777777" w:rsidR="00801534" w:rsidRPr="00373148" w:rsidRDefault="00801534" w:rsidP="00373148">
      <w:pPr>
        <w:spacing w:after="0" w:line="259" w:lineRule="auto"/>
        <w:contextualSpacing/>
        <w:rPr>
          <w:rFonts w:eastAsia="Arial" w:cs="Times New Roman"/>
          <w:sz w:val="22"/>
          <w:szCs w:val="22"/>
        </w:rPr>
      </w:pPr>
    </w:p>
    <w:p w14:paraId="489B03A8" w14:textId="77777777" w:rsidR="00373148" w:rsidRPr="00D33BF3" w:rsidRDefault="00373148" w:rsidP="00373148">
      <w:pPr>
        <w:spacing w:after="0" w:line="259" w:lineRule="auto"/>
        <w:contextualSpacing/>
        <w:rPr>
          <w:rFonts w:eastAsia="Arial" w:cs="Times New Roman"/>
          <w:sz w:val="22"/>
          <w:szCs w:val="22"/>
        </w:rPr>
      </w:pPr>
      <w:r w:rsidRPr="00373148">
        <w:rPr>
          <w:rFonts w:eastAsia="Arial" w:cs="Times New Roman"/>
          <w:b/>
          <w:bCs/>
          <w:sz w:val="22"/>
          <w:szCs w:val="22"/>
        </w:rPr>
        <w:t>Fairness and Equality in Selection:</w:t>
      </w:r>
      <w:r w:rsidRPr="00373148">
        <w:rPr>
          <w:rFonts w:eastAsia="Arial" w:cs="Times New Roman"/>
          <w:sz w:val="22"/>
          <w:szCs w:val="22"/>
        </w:rPr>
        <w:br/>
        <w:t>It is critical that redundancy decisions do not directly or indirectly discriminate against employees with protected characteristics such as age, gender, or disability. Failure to follow a non-discriminatory and transparent process may result in claims of unfair dismissal or unlawful discrimination, with significant financial and reputational consequences (Daniels, 2025).</w:t>
      </w:r>
    </w:p>
    <w:p w14:paraId="185D0E7B" w14:textId="77777777" w:rsidR="00801534" w:rsidRPr="00373148" w:rsidRDefault="00801534" w:rsidP="00373148">
      <w:pPr>
        <w:spacing w:after="0" w:line="259" w:lineRule="auto"/>
        <w:contextualSpacing/>
        <w:rPr>
          <w:rFonts w:eastAsia="Arial" w:cs="Times New Roman"/>
          <w:sz w:val="22"/>
          <w:szCs w:val="22"/>
        </w:rPr>
      </w:pPr>
    </w:p>
    <w:p w14:paraId="7DE80F8E" w14:textId="3FD3D3FD" w:rsidR="00373148" w:rsidRPr="00373148" w:rsidRDefault="00373148" w:rsidP="00373148">
      <w:pPr>
        <w:spacing w:after="0" w:line="259" w:lineRule="auto"/>
        <w:contextualSpacing/>
        <w:rPr>
          <w:rFonts w:eastAsia="Arial" w:cs="Times New Roman"/>
          <w:sz w:val="22"/>
          <w:szCs w:val="22"/>
        </w:rPr>
      </w:pPr>
      <w:r w:rsidRPr="00373148">
        <w:rPr>
          <w:rFonts w:eastAsia="Arial" w:cs="Times New Roman"/>
          <w:sz w:val="22"/>
          <w:szCs w:val="22"/>
        </w:rPr>
        <w:t>Please let me know how you</w:t>
      </w:r>
      <w:r w:rsidR="00F26700">
        <w:rPr>
          <w:rFonts w:eastAsia="Arial" w:cs="Times New Roman"/>
          <w:sz w:val="22"/>
          <w:szCs w:val="22"/>
        </w:rPr>
        <w:t xml:space="preserve"> would</w:t>
      </w:r>
      <w:r w:rsidRPr="00373148">
        <w:rPr>
          <w:rFonts w:eastAsia="Arial" w:cs="Times New Roman"/>
          <w:sz w:val="22"/>
          <w:szCs w:val="22"/>
        </w:rPr>
        <w:t xml:space="preserve"> like to proceed.</w:t>
      </w:r>
    </w:p>
    <w:p w14:paraId="0E34CBD9" w14:textId="77777777" w:rsidR="00373148" w:rsidRPr="00424548" w:rsidRDefault="00373148" w:rsidP="00424548">
      <w:pPr>
        <w:spacing w:after="0" w:line="259" w:lineRule="auto"/>
        <w:contextualSpacing/>
        <w:rPr>
          <w:rFonts w:eastAsia="Arial" w:cs="Times New Roman"/>
          <w:sz w:val="22"/>
          <w:szCs w:val="22"/>
        </w:rPr>
      </w:pPr>
    </w:p>
    <w:p w14:paraId="29B3A6C4" w14:textId="77777777" w:rsidR="00650B76" w:rsidRPr="00D33BF3" w:rsidRDefault="00650B76" w:rsidP="00650B76">
      <w:pPr>
        <w:spacing w:after="0" w:line="259" w:lineRule="auto"/>
        <w:contextualSpacing/>
        <w:rPr>
          <w:rFonts w:eastAsia="Arial" w:cs="Times New Roman"/>
          <w:sz w:val="22"/>
          <w:szCs w:val="22"/>
        </w:rPr>
      </w:pPr>
    </w:p>
    <w:p w14:paraId="66392286" w14:textId="77777777" w:rsidR="00650B76" w:rsidRPr="00D33BF3" w:rsidRDefault="00650B76" w:rsidP="00650B76">
      <w:pPr>
        <w:spacing w:after="0" w:line="259" w:lineRule="auto"/>
        <w:contextualSpacing/>
        <w:rPr>
          <w:rFonts w:eastAsia="Arial" w:cs="Times New Roman"/>
          <w:sz w:val="22"/>
          <w:szCs w:val="22"/>
        </w:rPr>
      </w:pPr>
      <w:r w:rsidRPr="00D33BF3">
        <w:rPr>
          <w:rFonts w:eastAsia="Arial" w:cs="Times New Roman"/>
          <w:sz w:val="22"/>
          <w:szCs w:val="22"/>
        </w:rPr>
        <w:t>Kind regards,</w:t>
      </w:r>
      <w:r w:rsidRPr="00D33BF3">
        <w:rPr>
          <w:rFonts w:eastAsia="Arial" w:cs="Times New Roman"/>
          <w:sz w:val="22"/>
          <w:szCs w:val="22"/>
        </w:rPr>
        <w:br/>
        <w:t>Sharon Cuthbert</w:t>
      </w:r>
    </w:p>
    <w:p w14:paraId="38EE5CE6" w14:textId="77777777" w:rsidR="00650B76" w:rsidRPr="007569EF" w:rsidRDefault="00650B76" w:rsidP="00650B76">
      <w:pPr>
        <w:spacing w:after="0" w:line="259" w:lineRule="auto"/>
        <w:contextualSpacing/>
        <w:rPr>
          <w:rFonts w:eastAsia="Arial" w:cs="Times New Roman"/>
          <w:b/>
          <w:bCs/>
          <w:sz w:val="22"/>
          <w:szCs w:val="22"/>
        </w:rPr>
      </w:pPr>
    </w:p>
    <w:p w14:paraId="2B6EC4D0" w14:textId="77777777" w:rsidR="00650B76" w:rsidRPr="007569EF" w:rsidRDefault="00650B76" w:rsidP="00650B76">
      <w:pPr>
        <w:spacing w:after="0" w:line="259" w:lineRule="auto"/>
        <w:contextualSpacing/>
        <w:rPr>
          <w:rFonts w:eastAsia="Arial" w:cs="Times New Roman"/>
          <w:b/>
          <w:bCs/>
          <w:sz w:val="22"/>
          <w:szCs w:val="22"/>
        </w:rPr>
      </w:pPr>
      <w:r w:rsidRPr="005415E5">
        <w:rPr>
          <w:b/>
          <w:bCs/>
          <w:color w:val="004147"/>
          <w:sz w:val="22"/>
          <w:szCs w:val="22"/>
          <w:u w:color="004147"/>
          <w:lang w:val="en-US"/>
        </w:rPr>
        <w:t>(AC 3.3)</w:t>
      </w:r>
      <w:r w:rsidRPr="007569EF">
        <w:rPr>
          <w:b/>
          <w:bCs/>
          <w:color w:val="004147"/>
          <w:sz w:val="22"/>
          <w:szCs w:val="22"/>
          <w:u w:color="004147"/>
          <w:lang w:val="en-US"/>
        </w:rPr>
        <w:t xml:space="preserve"> </w:t>
      </w:r>
      <w:r w:rsidRPr="007569EF">
        <w:rPr>
          <w:b/>
          <w:bCs/>
          <w:sz w:val="22"/>
          <w:szCs w:val="22"/>
        </w:rPr>
        <w:t xml:space="preserve">  </w:t>
      </w:r>
    </w:p>
    <w:p w14:paraId="5381308F" w14:textId="77777777" w:rsidR="00650B76" w:rsidRPr="00331F98" w:rsidRDefault="00650B76" w:rsidP="00650B76">
      <w:pPr>
        <w:pStyle w:val="Body"/>
        <w:spacing w:line="240" w:lineRule="auto"/>
        <w:rPr>
          <w:rFonts w:asciiTheme="minorHAnsi" w:eastAsia="Trebuchet MS" w:hAnsiTheme="minorHAnsi" w:cs="Trebuchet MS"/>
          <w:b/>
          <w:bCs/>
        </w:rPr>
      </w:pPr>
    </w:p>
    <w:p w14:paraId="21E3ED47" w14:textId="77777777" w:rsidR="007F1963" w:rsidRPr="00331F98" w:rsidRDefault="007F1963" w:rsidP="007F1963">
      <w:pPr>
        <w:pStyle w:val="Body"/>
        <w:rPr>
          <w:rFonts w:asciiTheme="minorHAnsi" w:eastAsia="Trebuchet MS" w:hAnsiTheme="minorHAnsi" w:cs="Trebuchet MS"/>
          <w:b/>
          <w:bCs/>
        </w:rPr>
      </w:pPr>
      <w:r w:rsidRPr="007F1963">
        <w:rPr>
          <w:rFonts w:asciiTheme="minorHAnsi" w:eastAsia="Trebuchet MS" w:hAnsiTheme="minorHAnsi" w:cs="Trebuchet MS"/>
          <w:b/>
          <w:bCs/>
        </w:rPr>
        <w:t>Subject: TUPE Regulations and Employee Rights in Potential Merger</w:t>
      </w:r>
    </w:p>
    <w:p w14:paraId="03D74A26" w14:textId="77777777" w:rsidR="007F1963" w:rsidRPr="007F1963" w:rsidRDefault="007F1963" w:rsidP="007F1963">
      <w:pPr>
        <w:pStyle w:val="Body"/>
        <w:rPr>
          <w:rFonts w:asciiTheme="minorHAnsi" w:eastAsia="Trebuchet MS" w:hAnsiTheme="minorHAnsi" w:cs="Trebuchet MS"/>
          <w:b/>
          <w:bCs/>
        </w:rPr>
      </w:pPr>
    </w:p>
    <w:p w14:paraId="40127BF5"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Dear Colleague,</w:t>
      </w:r>
    </w:p>
    <w:p w14:paraId="5846FD21" w14:textId="77777777" w:rsidR="007F1963" w:rsidRPr="007F1963" w:rsidRDefault="007F1963" w:rsidP="007F1963">
      <w:pPr>
        <w:pStyle w:val="Body"/>
        <w:rPr>
          <w:rFonts w:asciiTheme="minorHAnsi" w:eastAsia="Trebuchet MS" w:hAnsiTheme="minorHAnsi" w:cs="Trebuchet MS"/>
        </w:rPr>
      </w:pPr>
    </w:p>
    <w:p w14:paraId="202A4491"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Thank you for outlining the proposed merger and centralisation of pharmacy services. Should this proceed, the Transfer of Undertakings (Protection of Employment) Regulations 2006 (TUPE) will almost certainly apply.</w:t>
      </w:r>
    </w:p>
    <w:p w14:paraId="0FE93F16" w14:textId="77777777" w:rsidR="007F1963" w:rsidRPr="007F1963" w:rsidRDefault="007F1963" w:rsidP="007F1963">
      <w:pPr>
        <w:pStyle w:val="Body"/>
        <w:rPr>
          <w:rFonts w:asciiTheme="minorHAnsi" w:eastAsia="Trebuchet MS" w:hAnsiTheme="minorHAnsi" w:cs="Trebuchet MS"/>
        </w:rPr>
      </w:pPr>
    </w:p>
    <w:p w14:paraId="10952AFF"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TUPE is designed to safeguard employees when a business or service transfers from one employer to another. If staff are moved to our Trust as part of the expanded operation, they will retain all existing terms and conditions of employment, including pay, hours, and holiday entitlement. Their continuity of service is preserved, ensuring no break in employment history (Daniels, 2025, p. 211).</w:t>
      </w:r>
    </w:p>
    <w:p w14:paraId="061CBCDA" w14:textId="77777777" w:rsidR="007F1963" w:rsidRPr="007F1963" w:rsidRDefault="007F1963" w:rsidP="007F1963">
      <w:pPr>
        <w:pStyle w:val="Body"/>
        <w:rPr>
          <w:rFonts w:asciiTheme="minorHAnsi" w:eastAsia="Trebuchet MS" w:hAnsiTheme="minorHAnsi" w:cs="Trebuchet MS"/>
        </w:rPr>
      </w:pPr>
    </w:p>
    <w:p w14:paraId="459F3494"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Employees are protected from unfair dismissal related to the transfer. Dismissals are automatically deemed unfair if they occur solely due to the transfer, unless the employer can demonstrate an economic, technical, or organisational (ETO) reason involving workforce changes. Employees must have at least two years’ continuous service to bring a claim for unfair dismissal in this context (CIPD, 2024).</w:t>
      </w:r>
    </w:p>
    <w:p w14:paraId="7C874171" w14:textId="77777777" w:rsidR="007F1963" w:rsidRPr="007F1963" w:rsidRDefault="007F1963" w:rsidP="007F1963">
      <w:pPr>
        <w:pStyle w:val="Body"/>
        <w:rPr>
          <w:rFonts w:asciiTheme="minorHAnsi" w:eastAsia="Trebuchet MS" w:hAnsiTheme="minorHAnsi" w:cs="Trebuchet MS"/>
        </w:rPr>
      </w:pPr>
    </w:p>
    <w:p w14:paraId="07B0F799"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TUPE applies to all businesses in the UK, including where a service is transferred between the public and private sectors. This includes business transfers and service provision changes such as outsourcing or insourcing (GOV.UK, 2024).</w:t>
      </w:r>
    </w:p>
    <w:p w14:paraId="5FE88C1E" w14:textId="77777777" w:rsidR="007F1963" w:rsidRPr="007F1963" w:rsidRDefault="007F1963" w:rsidP="007F1963">
      <w:pPr>
        <w:pStyle w:val="Body"/>
        <w:rPr>
          <w:rFonts w:asciiTheme="minorHAnsi" w:eastAsia="Trebuchet MS" w:hAnsiTheme="minorHAnsi" w:cs="Trebuchet MS"/>
        </w:rPr>
      </w:pPr>
    </w:p>
    <w:p w14:paraId="2B17564A"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Recognised trade unions play an important role in safeguarding employee interests and ensuring collective agreements remain binding during organisational changes. Their involvement helps maintain constructive industrial relations and supports employees throughout the transfer process (MMA Recruitment, 2024).</w:t>
      </w:r>
    </w:p>
    <w:p w14:paraId="05FD02B5" w14:textId="77777777" w:rsidR="007F1963" w:rsidRPr="007F1963" w:rsidRDefault="007F1963" w:rsidP="007F1963">
      <w:pPr>
        <w:pStyle w:val="Body"/>
        <w:rPr>
          <w:rFonts w:asciiTheme="minorHAnsi" w:eastAsia="Trebuchet MS" w:hAnsiTheme="minorHAnsi" w:cs="Trebuchet MS"/>
        </w:rPr>
      </w:pPr>
    </w:p>
    <w:p w14:paraId="39562714"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Both outgoing and incoming employers are legally required to inform and consult with employees or their representatives about the transfer, including timing, reasons, and potential impacts. Failure to do so may result in financial penalties (Acas, 2024).</w:t>
      </w:r>
    </w:p>
    <w:p w14:paraId="78A55838" w14:textId="77777777" w:rsidR="007F1963" w:rsidRPr="007F1963" w:rsidRDefault="007F1963" w:rsidP="007F1963">
      <w:pPr>
        <w:pStyle w:val="Body"/>
        <w:rPr>
          <w:rFonts w:asciiTheme="minorHAnsi" w:eastAsia="Trebuchet MS" w:hAnsiTheme="minorHAnsi" w:cs="Trebuchet MS"/>
        </w:rPr>
      </w:pPr>
    </w:p>
    <w:p w14:paraId="39260E12"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 xml:space="preserve">Employees have the right to object to the transfer; however, this is treated as a resignation rather than redundancy. In </w:t>
      </w:r>
      <w:r w:rsidRPr="007F1963">
        <w:rPr>
          <w:rFonts w:asciiTheme="minorHAnsi" w:eastAsia="Trebuchet MS" w:hAnsiTheme="minorHAnsi" w:cs="Trebuchet MS"/>
          <w:i/>
          <w:iCs/>
        </w:rPr>
        <w:t>Capita Health Solutions Ltd v McLean</w:t>
      </w:r>
      <w:r w:rsidRPr="007F1963">
        <w:rPr>
          <w:rFonts w:asciiTheme="minorHAnsi" w:eastAsia="Trebuchet MS" w:hAnsiTheme="minorHAnsi" w:cs="Trebuchet MS"/>
        </w:rPr>
        <w:t xml:space="preserve"> (2008), it was ruled that continuing to work after expressing concerns amounted to acceptance of the transfer (Daniels, 2025, p. 211).</w:t>
      </w:r>
    </w:p>
    <w:p w14:paraId="12B7368A" w14:textId="77777777" w:rsidR="007F1963" w:rsidRPr="007F1963" w:rsidRDefault="007F1963" w:rsidP="007F1963">
      <w:pPr>
        <w:pStyle w:val="Body"/>
        <w:rPr>
          <w:rFonts w:asciiTheme="minorHAnsi" w:eastAsia="Trebuchet MS" w:hAnsiTheme="minorHAnsi" w:cs="Trebuchet MS"/>
        </w:rPr>
      </w:pPr>
    </w:p>
    <w:p w14:paraId="03F6A049" w14:textId="77777777" w:rsidR="007F1963" w:rsidRPr="00331F98"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I am happy to assist in developing communication materials, working with trade unions, and supporting the consultation process to ensure a smooth and compliant transition.</w:t>
      </w:r>
    </w:p>
    <w:p w14:paraId="42B46D21" w14:textId="77777777" w:rsidR="00331F98" w:rsidRPr="007F1963" w:rsidRDefault="00331F98" w:rsidP="007F1963">
      <w:pPr>
        <w:pStyle w:val="Body"/>
        <w:rPr>
          <w:rFonts w:asciiTheme="minorHAnsi" w:eastAsia="Trebuchet MS" w:hAnsiTheme="minorHAnsi" w:cs="Trebuchet MS"/>
        </w:rPr>
      </w:pPr>
    </w:p>
    <w:p w14:paraId="276FB888" w14:textId="77777777" w:rsidR="007F1963" w:rsidRPr="007F1963" w:rsidRDefault="007F1963" w:rsidP="007F1963">
      <w:pPr>
        <w:pStyle w:val="Body"/>
        <w:rPr>
          <w:rFonts w:asciiTheme="minorHAnsi" w:eastAsia="Trebuchet MS" w:hAnsiTheme="minorHAnsi" w:cs="Trebuchet MS"/>
        </w:rPr>
      </w:pPr>
      <w:r w:rsidRPr="007F1963">
        <w:rPr>
          <w:rFonts w:asciiTheme="minorHAnsi" w:eastAsia="Trebuchet MS" w:hAnsiTheme="minorHAnsi" w:cs="Trebuchet MS"/>
        </w:rPr>
        <w:t>Kind regards,</w:t>
      </w:r>
    </w:p>
    <w:p w14:paraId="6B523F11" w14:textId="77777777" w:rsidR="003772CA" w:rsidRPr="007569EF" w:rsidRDefault="003772CA" w:rsidP="00650B76">
      <w:pPr>
        <w:pStyle w:val="Body"/>
        <w:spacing w:line="240" w:lineRule="auto"/>
        <w:rPr>
          <w:rFonts w:asciiTheme="minorHAnsi" w:eastAsia="Trebuchet MS" w:hAnsiTheme="minorHAnsi" w:cs="Trebuchet MS"/>
          <w:b/>
          <w:bCs/>
        </w:rPr>
      </w:pPr>
    </w:p>
    <w:p w14:paraId="32B37F45" w14:textId="77777777" w:rsidR="00650B76" w:rsidRPr="007569EF" w:rsidRDefault="00650B76" w:rsidP="00650B76">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2B26534F" w14:textId="77777777" w:rsidR="00650B76" w:rsidRPr="007569EF" w:rsidRDefault="00650B76" w:rsidP="00650B76">
      <w:pPr>
        <w:spacing w:after="0" w:line="259" w:lineRule="auto"/>
        <w:contextualSpacing/>
        <w:rPr>
          <w:rFonts w:eastAsia="Arial" w:cs="Times New Roman"/>
          <w:b/>
          <w:bCs/>
          <w:sz w:val="22"/>
          <w:szCs w:val="22"/>
        </w:rPr>
      </w:pPr>
    </w:p>
    <w:p w14:paraId="7856BDFC" w14:textId="77777777" w:rsidR="00650B76" w:rsidRPr="007569EF" w:rsidRDefault="00650B76" w:rsidP="00650B76">
      <w:pPr>
        <w:spacing w:after="0" w:line="259" w:lineRule="auto"/>
        <w:contextualSpacing/>
        <w:rPr>
          <w:rFonts w:eastAsia="Arial" w:cs="Times New Roman"/>
          <w:b/>
          <w:bCs/>
          <w:sz w:val="22"/>
          <w:szCs w:val="22"/>
        </w:rPr>
      </w:pPr>
      <w:r w:rsidRPr="005415E5">
        <w:rPr>
          <w:b/>
          <w:bCs/>
          <w:color w:val="004147"/>
          <w:sz w:val="22"/>
          <w:szCs w:val="22"/>
          <w:u w:color="004147"/>
          <w:lang w:val="en-US"/>
        </w:rPr>
        <w:t>(AC 4.1)</w:t>
      </w:r>
    </w:p>
    <w:p w14:paraId="32C366E8" w14:textId="77777777" w:rsidR="00650B76" w:rsidRPr="007569EF" w:rsidRDefault="00650B76" w:rsidP="00650B76">
      <w:pPr>
        <w:pStyle w:val="Body"/>
        <w:spacing w:line="240" w:lineRule="auto"/>
        <w:rPr>
          <w:rFonts w:asciiTheme="minorHAnsi" w:eastAsia="Trebuchet MS" w:hAnsiTheme="minorHAnsi" w:cs="Trebuchet MS"/>
          <w:b/>
          <w:bCs/>
        </w:rPr>
      </w:pPr>
    </w:p>
    <w:p w14:paraId="0D4F9D96" w14:textId="77777777" w:rsidR="00650B76" w:rsidRPr="00765FF6" w:rsidRDefault="00650B76" w:rsidP="00650B76">
      <w:pPr>
        <w:pStyle w:val="Body"/>
        <w:spacing w:line="240" w:lineRule="auto"/>
        <w:rPr>
          <w:rFonts w:asciiTheme="minorHAnsi" w:eastAsia="Trebuchet MS" w:hAnsiTheme="minorHAnsi" w:cs="Trebuchet MS"/>
          <w:b/>
          <w:bCs/>
        </w:rPr>
      </w:pPr>
      <w:r w:rsidRPr="00765FF6">
        <w:rPr>
          <w:rFonts w:asciiTheme="minorHAnsi" w:eastAsia="Trebuchet MS" w:hAnsiTheme="minorHAnsi" w:cs="Trebuchet MS"/>
          <w:b/>
          <w:bCs/>
        </w:rPr>
        <w:t>Subject: Regulatory Requirements for Calculating Holiday Pay for Casual Nurse Bank Staff</w:t>
      </w:r>
    </w:p>
    <w:p w14:paraId="103A556E" w14:textId="3DF136DF" w:rsidR="00650B76" w:rsidRPr="00765FF6" w:rsidRDefault="00650B76" w:rsidP="00650B76">
      <w:pPr>
        <w:spacing w:after="0" w:line="259" w:lineRule="auto"/>
        <w:contextualSpacing/>
        <w:rPr>
          <w:rFonts w:eastAsia="Arial" w:cs="Times New Roman"/>
          <w:sz w:val="22"/>
          <w:szCs w:val="22"/>
        </w:rPr>
      </w:pPr>
    </w:p>
    <w:p w14:paraId="081905C0" w14:textId="77777777" w:rsidR="001E2BFE" w:rsidRPr="00765FF6" w:rsidRDefault="001E2BFE" w:rsidP="001E2BFE">
      <w:pPr>
        <w:spacing w:after="0" w:line="259" w:lineRule="auto"/>
        <w:contextualSpacing/>
        <w:rPr>
          <w:rFonts w:eastAsia="Arial" w:cs="Times New Roman"/>
          <w:sz w:val="22"/>
          <w:szCs w:val="22"/>
        </w:rPr>
      </w:pPr>
      <w:r w:rsidRPr="001E2BFE">
        <w:rPr>
          <w:rFonts w:eastAsia="Arial" w:cs="Times New Roman"/>
          <w:sz w:val="22"/>
          <w:szCs w:val="22"/>
        </w:rPr>
        <w:t>Dear Colleague,</w:t>
      </w:r>
    </w:p>
    <w:p w14:paraId="01EF5252" w14:textId="77777777" w:rsidR="00B33B5B" w:rsidRPr="001E2BFE" w:rsidRDefault="00B33B5B" w:rsidP="001E2BFE">
      <w:pPr>
        <w:spacing w:after="0" w:line="259" w:lineRule="auto"/>
        <w:contextualSpacing/>
        <w:rPr>
          <w:rFonts w:eastAsia="Arial" w:cs="Times New Roman"/>
          <w:sz w:val="22"/>
          <w:szCs w:val="22"/>
        </w:rPr>
      </w:pPr>
    </w:p>
    <w:p w14:paraId="3DFADDA2" w14:textId="77777777" w:rsidR="004933CA" w:rsidRDefault="004933CA" w:rsidP="004933CA">
      <w:pPr>
        <w:spacing w:after="0" w:line="259" w:lineRule="auto"/>
        <w:contextualSpacing/>
        <w:rPr>
          <w:rFonts w:eastAsia="Arial" w:cs="Times New Roman"/>
          <w:sz w:val="22"/>
          <w:szCs w:val="22"/>
        </w:rPr>
      </w:pPr>
      <w:r w:rsidRPr="004933CA">
        <w:rPr>
          <w:rFonts w:eastAsia="Arial" w:cs="Times New Roman"/>
          <w:sz w:val="22"/>
          <w:szCs w:val="22"/>
        </w:rPr>
        <w:t>Thank you for your question regarding the calculation of holiday pay for nurse bank staff working on a casual basis. It’s essential to ensure that their entitlement is calculated fairly and in line with current regulations.</w:t>
      </w:r>
    </w:p>
    <w:p w14:paraId="4FAF7B98" w14:textId="77777777" w:rsidR="00D51DD7" w:rsidRPr="004933CA" w:rsidRDefault="00D51DD7" w:rsidP="004933CA">
      <w:pPr>
        <w:spacing w:after="0" w:line="259" w:lineRule="auto"/>
        <w:contextualSpacing/>
        <w:rPr>
          <w:rFonts w:eastAsia="Arial" w:cs="Times New Roman"/>
          <w:sz w:val="22"/>
          <w:szCs w:val="22"/>
        </w:rPr>
      </w:pPr>
    </w:p>
    <w:p w14:paraId="5C1574B4" w14:textId="65823C4A" w:rsidR="004933CA" w:rsidRPr="005C0527" w:rsidRDefault="004933CA" w:rsidP="004933CA">
      <w:pPr>
        <w:spacing w:after="0" w:line="259" w:lineRule="auto"/>
        <w:contextualSpacing/>
        <w:rPr>
          <w:rFonts w:eastAsia="Arial" w:cs="Times New Roman"/>
          <w:sz w:val="22"/>
          <w:szCs w:val="22"/>
        </w:rPr>
      </w:pPr>
      <w:r w:rsidRPr="004933CA">
        <w:rPr>
          <w:rFonts w:eastAsia="Arial" w:cs="Times New Roman"/>
          <w:sz w:val="22"/>
          <w:szCs w:val="22"/>
        </w:rPr>
        <w:t>Under the Working Time Regulations 1998, all workers—including those on zero-hours, irregular hours, or casual contracts—are entitled to 5.6 weeks of paid annual leave. This includes bank staff who are engaged regularly but do not have fixed schedules. Holiday entitlement accrues pro-rata based on the hours they work</w:t>
      </w:r>
      <w:r w:rsidR="004F7D4F" w:rsidRPr="005C0527">
        <w:rPr>
          <w:rFonts w:eastAsia="Arial" w:cs="Times New Roman"/>
          <w:sz w:val="22"/>
          <w:szCs w:val="22"/>
        </w:rPr>
        <w:t xml:space="preserve"> </w:t>
      </w:r>
      <w:r w:rsidR="004F7D4F" w:rsidRPr="004933CA">
        <w:rPr>
          <w:rFonts w:eastAsia="Arial" w:cs="Times New Roman"/>
          <w:sz w:val="22"/>
          <w:szCs w:val="22"/>
        </w:rPr>
        <w:t>(Acas, n.d.).</w:t>
      </w:r>
    </w:p>
    <w:p w14:paraId="0D9F8CCA" w14:textId="77777777" w:rsidR="00172BF9" w:rsidRPr="004933CA" w:rsidRDefault="00172BF9" w:rsidP="004933CA">
      <w:pPr>
        <w:spacing w:after="0" w:line="259" w:lineRule="auto"/>
        <w:contextualSpacing/>
        <w:rPr>
          <w:rFonts w:eastAsia="Arial" w:cs="Times New Roman"/>
          <w:sz w:val="22"/>
          <w:szCs w:val="22"/>
        </w:rPr>
      </w:pPr>
    </w:p>
    <w:p w14:paraId="3E2B09F6" w14:textId="77777777" w:rsidR="004933CA" w:rsidRPr="00765FF6" w:rsidRDefault="004933CA" w:rsidP="004933CA">
      <w:pPr>
        <w:spacing w:after="0" w:line="259" w:lineRule="auto"/>
        <w:contextualSpacing/>
        <w:rPr>
          <w:rFonts w:eastAsia="Arial" w:cs="Times New Roman"/>
          <w:sz w:val="22"/>
          <w:szCs w:val="22"/>
        </w:rPr>
      </w:pPr>
      <w:r w:rsidRPr="004933CA">
        <w:rPr>
          <w:rFonts w:eastAsia="Arial" w:cs="Times New Roman"/>
          <w:sz w:val="22"/>
          <w:szCs w:val="22"/>
        </w:rPr>
        <w:t>For those with variable hours, statutory holiday pay is calculated based on average weekly earnings over the previous 52 weeks in which the individual was paid. If a worker has been employed for fewer than 52 weeks, the average should be based on the number of full weeks worked to date (Acas, n.d.).</w:t>
      </w:r>
    </w:p>
    <w:p w14:paraId="49D93D80" w14:textId="77777777" w:rsidR="00172BF9" w:rsidRPr="004933CA" w:rsidRDefault="00172BF9" w:rsidP="004933CA">
      <w:pPr>
        <w:spacing w:after="0" w:line="259" w:lineRule="auto"/>
        <w:contextualSpacing/>
        <w:rPr>
          <w:rFonts w:eastAsia="Arial" w:cs="Times New Roman"/>
          <w:sz w:val="22"/>
          <w:szCs w:val="22"/>
        </w:rPr>
      </w:pPr>
    </w:p>
    <w:p w14:paraId="142A03C7" w14:textId="77777777" w:rsidR="004933CA" w:rsidRPr="004933CA" w:rsidRDefault="004933CA" w:rsidP="004933CA">
      <w:pPr>
        <w:spacing w:after="0" w:line="259" w:lineRule="auto"/>
        <w:contextualSpacing/>
        <w:rPr>
          <w:rFonts w:eastAsia="Arial" w:cs="Times New Roman"/>
          <w:sz w:val="22"/>
          <w:szCs w:val="22"/>
        </w:rPr>
      </w:pPr>
      <w:r w:rsidRPr="004933CA">
        <w:rPr>
          <w:rFonts w:eastAsia="Arial" w:cs="Times New Roman"/>
          <w:sz w:val="22"/>
          <w:szCs w:val="22"/>
        </w:rPr>
        <w:t>Holiday pay must reflect all elements of pay the worker would normally receive. This includes:</w:t>
      </w:r>
    </w:p>
    <w:p w14:paraId="2ADFA1DE" w14:textId="77777777" w:rsidR="004933CA" w:rsidRPr="004933CA" w:rsidRDefault="004933CA" w:rsidP="004933CA">
      <w:pPr>
        <w:numPr>
          <w:ilvl w:val="0"/>
          <w:numId w:val="15"/>
        </w:numPr>
        <w:spacing w:after="0" w:line="259" w:lineRule="auto"/>
        <w:contextualSpacing/>
        <w:rPr>
          <w:rFonts w:eastAsia="Arial" w:cs="Times New Roman"/>
          <w:sz w:val="22"/>
          <w:szCs w:val="22"/>
        </w:rPr>
      </w:pPr>
      <w:r w:rsidRPr="004933CA">
        <w:rPr>
          <w:rFonts w:eastAsia="Arial" w:cs="Times New Roman"/>
          <w:sz w:val="22"/>
          <w:szCs w:val="22"/>
        </w:rPr>
        <w:t>Commission or incentive payments linked to contractual duties,</w:t>
      </w:r>
    </w:p>
    <w:p w14:paraId="60517A71" w14:textId="77777777" w:rsidR="004933CA" w:rsidRPr="004933CA" w:rsidRDefault="004933CA" w:rsidP="004933CA">
      <w:pPr>
        <w:numPr>
          <w:ilvl w:val="0"/>
          <w:numId w:val="15"/>
        </w:numPr>
        <w:spacing w:after="0" w:line="259" w:lineRule="auto"/>
        <w:contextualSpacing/>
        <w:rPr>
          <w:rFonts w:eastAsia="Arial" w:cs="Times New Roman"/>
          <w:sz w:val="22"/>
          <w:szCs w:val="22"/>
        </w:rPr>
      </w:pPr>
      <w:r w:rsidRPr="004933CA">
        <w:rPr>
          <w:rFonts w:eastAsia="Arial" w:cs="Times New Roman"/>
          <w:sz w:val="22"/>
          <w:szCs w:val="22"/>
        </w:rPr>
        <w:t>Overtime or additional hours worked regularly, and</w:t>
      </w:r>
    </w:p>
    <w:p w14:paraId="30D3351E" w14:textId="77777777" w:rsidR="004933CA" w:rsidRPr="00765FF6" w:rsidRDefault="004933CA" w:rsidP="004933CA">
      <w:pPr>
        <w:numPr>
          <w:ilvl w:val="0"/>
          <w:numId w:val="15"/>
        </w:numPr>
        <w:spacing w:after="0" w:line="259" w:lineRule="auto"/>
        <w:contextualSpacing/>
        <w:rPr>
          <w:rFonts w:eastAsia="Arial" w:cs="Times New Roman"/>
          <w:sz w:val="22"/>
          <w:szCs w:val="22"/>
        </w:rPr>
      </w:pPr>
      <w:r w:rsidRPr="004933CA">
        <w:rPr>
          <w:rFonts w:eastAsia="Arial" w:cs="Times New Roman"/>
          <w:sz w:val="22"/>
          <w:szCs w:val="22"/>
        </w:rPr>
        <w:t>Pay supplements for qualifications, seniority, or length of service (Acas, n.d.).</w:t>
      </w:r>
    </w:p>
    <w:p w14:paraId="18AEBAF6" w14:textId="77777777" w:rsidR="00172BF9" w:rsidRPr="004933CA" w:rsidRDefault="00172BF9" w:rsidP="005C0527">
      <w:pPr>
        <w:spacing w:after="0" w:line="259" w:lineRule="auto"/>
        <w:ind w:left="720"/>
        <w:contextualSpacing/>
        <w:rPr>
          <w:rFonts w:eastAsia="Arial" w:cs="Times New Roman"/>
          <w:sz w:val="22"/>
          <w:szCs w:val="22"/>
        </w:rPr>
      </w:pPr>
    </w:p>
    <w:p w14:paraId="31A9813D" w14:textId="77777777" w:rsidR="004933CA" w:rsidRPr="004933CA" w:rsidRDefault="004933CA" w:rsidP="004933CA">
      <w:pPr>
        <w:spacing w:after="0" w:line="259" w:lineRule="auto"/>
        <w:contextualSpacing/>
        <w:rPr>
          <w:rFonts w:eastAsia="Arial" w:cs="Times New Roman"/>
          <w:sz w:val="22"/>
          <w:szCs w:val="22"/>
        </w:rPr>
      </w:pPr>
      <w:r w:rsidRPr="004933CA">
        <w:rPr>
          <w:rFonts w:eastAsia="Arial" w:cs="Times New Roman"/>
          <w:sz w:val="22"/>
          <w:szCs w:val="22"/>
        </w:rPr>
        <w:t>For leave years beginning on or after 1 April 2024, employers may choose to use rolled-up holiday pay for irregular or part-year workers. If this method is adopted, the following rules apply:</w:t>
      </w:r>
    </w:p>
    <w:p w14:paraId="4ECFC39F" w14:textId="77777777" w:rsidR="004933CA" w:rsidRPr="004933CA" w:rsidRDefault="004933CA" w:rsidP="004933CA">
      <w:pPr>
        <w:numPr>
          <w:ilvl w:val="0"/>
          <w:numId w:val="16"/>
        </w:numPr>
        <w:spacing w:after="0" w:line="259" w:lineRule="auto"/>
        <w:contextualSpacing/>
        <w:rPr>
          <w:rFonts w:eastAsia="Arial" w:cs="Times New Roman"/>
          <w:sz w:val="22"/>
          <w:szCs w:val="22"/>
        </w:rPr>
      </w:pPr>
      <w:r w:rsidRPr="004933CA">
        <w:rPr>
          <w:rFonts w:eastAsia="Arial" w:cs="Times New Roman"/>
          <w:sz w:val="22"/>
          <w:szCs w:val="22"/>
        </w:rPr>
        <w:t>Holiday pay must be calculated at 12.07% of total earnings for each pay period,</w:t>
      </w:r>
    </w:p>
    <w:p w14:paraId="13908906" w14:textId="77777777" w:rsidR="004933CA" w:rsidRPr="004933CA" w:rsidRDefault="004933CA" w:rsidP="004933CA">
      <w:pPr>
        <w:numPr>
          <w:ilvl w:val="0"/>
          <w:numId w:val="16"/>
        </w:numPr>
        <w:spacing w:after="0" w:line="259" w:lineRule="auto"/>
        <w:contextualSpacing/>
        <w:rPr>
          <w:rFonts w:eastAsia="Arial" w:cs="Times New Roman"/>
          <w:sz w:val="22"/>
          <w:szCs w:val="22"/>
        </w:rPr>
      </w:pPr>
      <w:r w:rsidRPr="004933CA">
        <w:rPr>
          <w:rFonts w:eastAsia="Arial" w:cs="Times New Roman"/>
          <w:sz w:val="22"/>
          <w:szCs w:val="22"/>
        </w:rPr>
        <w:t>It must be paid at the same time as wages for hours worked, and</w:t>
      </w:r>
    </w:p>
    <w:p w14:paraId="2AE571FD" w14:textId="77777777" w:rsidR="004933CA" w:rsidRPr="005C0527" w:rsidRDefault="004933CA" w:rsidP="004933CA">
      <w:pPr>
        <w:numPr>
          <w:ilvl w:val="0"/>
          <w:numId w:val="16"/>
        </w:numPr>
        <w:spacing w:after="0" w:line="259" w:lineRule="auto"/>
        <w:contextualSpacing/>
        <w:rPr>
          <w:rFonts w:eastAsia="Arial" w:cs="Times New Roman"/>
          <w:sz w:val="22"/>
          <w:szCs w:val="22"/>
        </w:rPr>
      </w:pPr>
      <w:r w:rsidRPr="004933CA">
        <w:rPr>
          <w:rFonts w:eastAsia="Arial" w:cs="Times New Roman"/>
          <w:sz w:val="22"/>
          <w:szCs w:val="22"/>
        </w:rPr>
        <w:t>It must be itemised separately on payslips (Acas, n.d.).</w:t>
      </w:r>
    </w:p>
    <w:p w14:paraId="7DA06F2E" w14:textId="77777777" w:rsidR="00172BF9" w:rsidRPr="004933CA" w:rsidRDefault="00172BF9" w:rsidP="005C0527">
      <w:pPr>
        <w:spacing w:after="0" w:line="259" w:lineRule="auto"/>
        <w:ind w:left="720"/>
        <w:contextualSpacing/>
        <w:rPr>
          <w:rFonts w:eastAsia="Arial" w:cs="Times New Roman"/>
          <w:sz w:val="22"/>
          <w:szCs w:val="22"/>
        </w:rPr>
      </w:pPr>
    </w:p>
    <w:p w14:paraId="5FF19B70" w14:textId="55C88170" w:rsidR="001E2BFE" w:rsidRPr="00765FF6" w:rsidRDefault="00765FF6" w:rsidP="00650B76">
      <w:pPr>
        <w:spacing w:after="0" w:line="259" w:lineRule="auto"/>
        <w:contextualSpacing/>
        <w:rPr>
          <w:rFonts w:eastAsia="Arial" w:cs="Times New Roman"/>
          <w:sz w:val="22"/>
          <w:szCs w:val="22"/>
        </w:rPr>
      </w:pPr>
      <w:r w:rsidRPr="00765FF6">
        <w:rPr>
          <w:rFonts w:eastAsia="Arial" w:cs="Times New Roman"/>
          <w:sz w:val="22"/>
          <w:szCs w:val="22"/>
        </w:rPr>
        <w:t>While rolled-up holiday pay is now permitted for irregular hours and part-year workers, it must be used transparently and consistently to ensure legal compliance. Employers should clearly document the arrangement and display holiday pay as a separate item on payslips to avoid misunderstandings. These measures help ensure that holiday pay for casual nurse bank staff is calculated fairly and in accordance with employment regulations. Whether using the 52-week average method or the rolled-up holiday pay approach, it is important to apply the chosen method appropriately and in line with current guidance. Please let me know if you would like support reviewing payslip formats or setting up a compliant system for tracking and recording holiday pay (Acas, 2024).</w:t>
      </w:r>
    </w:p>
    <w:p w14:paraId="48DA5D39" w14:textId="77777777" w:rsidR="00765FF6" w:rsidRPr="00765FF6" w:rsidRDefault="00765FF6" w:rsidP="00650B76">
      <w:pPr>
        <w:spacing w:after="0" w:line="259" w:lineRule="auto"/>
        <w:contextualSpacing/>
        <w:rPr>
          <w:rFonts w:eastAsia="Arial" w:cs="Times New Roman"/>
          <w:sz w:val="22"/>
          <w:szCs w:val="22"/>
        </w:rPr>
      </w:pPr>
    </w:p>
    <w:p w14:paraId="755D2585" w14:textId="77777777" w:rsidR="00650B76" w:rsidRPr="00765FF6" w:rsidRDefault="00650B76" w:rsidP="00650B76">
      <w:pPr>
        <w:spacing w:after="0" w:line="259" w:lineRule="auto"/>
        <w:contextualSpacing/>
        <w:rPr>
          <w:rFonts w:eastAsia="Arial" w:cs="Times New Roman"/>
          <w:sz w:val="22"/>
          <w:szCs w:val="22"/>
        </w:rPr>
      </w:pPr>
      <w:r w:rsidRPr="00765FF6">
        <w:rPr>
          <w:rFonts w:eastAsia="Arial" w:cs="Times New Roman"/>
          <w:sz w:val="22"/>
          <w:szCs w:val="22"/>
        </w:rPr>
        <w:t>Kind regards,</w:t>
      </w:r>
    </w:p>
    <w:p w14:paraId="11754C7D" w14:textId="77777777" w:rsidR="00650B76" w:rsidRPr="00765FF6" w:rsidRDefault="00650B76" w:rsidP="00650B76">
      <w:pPr>
        <w:spacing w:after="0" w:line="259" w:lineRule="auto"/>
        <w:contextualSpacing/>
        <w:rPr>
          <w:rFonts w:eastAsia="Arial" w:cs="Times New Roman"/>
          <w:sz w:val="22"/>
          <w:szCs w:val="22"/>
        </w:rPr>
      </w:pPr>
      <w:r w:rsidRPr="00765FF6">
        <w:rPr>
          <w:rFonts w:eastAsia="Arial" w:cs="Times New Roman"/>
          <w:sz w:val="22"/>
          <w:szCs w:val="22"/>
        </w:rPr>
        <w:t>Sharon Cuthbert</w:t>
      </w:r>
    </w:p>
    <w:p w14:paraId="5C0423E9" w14:textId="77777777" w:rsidR="00650B76" w:rsidRPr="007569EF" w:rsidRDefault="00650B76" w:rsidP="00650B76">
      <w:pPr>
        <w:spacing w:after="0" w:line="259" w:lineRule="auto"/>
        <w:contextualSpacing/>
        <w:rPr>
          <w:rFonts w:eastAsia="Arial" w:cs="Times New Roman"/>
          <w:b/>
          <w:bCs/>
          <w:sz w:val="22"/>
          <w:szCs w:val="22"/>
        </w:rPr>
      </w:pPr>
    </w:p>
    <w:p w14:paraId="25E28CF2" w14:textId="77777777" w:rsidR="00650B76" w:rsidRPr="007569EF" w:rsidRDefault="00650B76" w:rsidP="00650B76">
      <w:pPr>
        <w:spacing w:after="0" w:line="259" w:lineRule="auto"/>
        <w:contextualSpacing/>
        <w:rPr>
          <w:rFonts w:eastAsia="Arial" w:cs="Times New Roman"/>
          <w:b/>
          <w:bCs/>
          <w:sz w:val="22"/>
          <w:szCs w:val="22"/>
        </w:rPr>
      </w:pPr>
      <w:r w:rsidRPr="005415E5">
        <w:rPr>
          <w:b/>
          <w:bCs/>
          <w:color w:val="004147"/>
          <w:sz w:val="22"/>
          <w:szCs w:val="22"/>
          <w:u w:color="004147"/>
          <w:lang w:val="en-US"/>
        </w:rPr>
        <w:t>(AC 4.2)</w:t>
      </w:r>
    </w:p>
    <w:p w14:paraId="7F45D795" w14:textId="77777777" w:rsidR="00650B76" w:rsidRDefault="00650B76" w:rsidP="00650B76">
      <w:pPr>
        <w:spacing w:after="0" w:line="259" w:lineRule="auto"/>
        <w:contextualSpacing/>
        <w:rPr>
          <w:rFonts w:eastAsia="Arial" w:cs="Times New Roman"/>
          <w:b/>
          <w:bCs/>
          <w:sz w:val="22"/>
          <w:szCs w:val="22"/>
        </w:rPr>
      </w:pPr>
    </w:p>
    <w:p w14:paraId="7023E998" w14:textId="77777777" w:rsidR="001D1921" w:rsidRDefault="001D1921" w:rsidP="001D1921">
      <w:pPr>
        <w:spacing w:after="0" w:line="259" w:lineRule="auto"/>
        <w:contextualSpacing/>
        <w:rPr>
          <w:rFonts w:eastAsia="Arial" w:cs="Times New Roman"/>
          <w:b/>
          <w:bCs/>
          <w:sz w:val="22"/>
          <w:szCs w:val="22"/>
        </w:rPr>
      </w:pPr>
      <w:r w:rsidRPr="001D1921">
        <w:rPr>
          <w:rFonts w:eastAsia="Arial" w:cs="Times New Roman"/>
          <w:b/>
          <w:bCs/>
          <w:sz w:val="22"/>
          <w:szCs w:val="22"/>
        </w:rPr>
        <w:t>Subject: Differences Between Maternity Leave and Shared Parental Leave</w:t>
      </w:r>
    </w:p>
    <w:p w14:paraId="489A9826" w14:textId="77777777" w:rsidR="001D1921" w:rsidRPr="001D1921" w:rsidRDefault="001D1921" w:rsidP="001D1921">
      <w:pPr>
        <w:spacing w:after="0" w:line="259" w:lineRule="auto"/>
        <w:contextualSpacing/>
        <w:rPr>
          <w:rFonts w:eastAsia="Arial" w:cs="Times New Roman"/>
          <w:b/>
          <w:bCs/>
          <w:sz w:val="22"/>
          <w:szCs w:val="22"/>
        </w:rPr>
      </w:pPr>
    </w:p>
    <w:p w14:paraId="2CC552DF" w14:textId="77777777" w:rsidR="001D1921" w:rsidRPr="006A04E6" w:rsidRDefault="001D1921" w:rsidP="001D1921">
      <w:pPr>
        <w:spacing w:after="0" w:line="259" w:lineRule="auto"/>
        <w:contextualSpacing/>
        <w:rPr>
          <w:rFonts w:eastAsia="Arial" w:cs="Times New Roman"/>
          <w:sz w:val="22"/>
          <w:szCs w:val="22"/>
        </w:rPr>
      </w:pPr>
      <w:r w:rsidRPr="001D1921">
        <w:rPr>
          <w:rFonts w:eastAsia="Arial" w:cs="Times New Roman"/>
          <w:sz w:val="22"/>
          <w:szCs w:val="22"/>
        </w:rPr>
        <w:t>Dear Colleague,</w:t>
      </w:r>
    </w:p>
    <w:p w14:paraId="3DD55A56" w14:textId="77777777" w:rsidR="001D1921" w:rsidRPr="001D1921" w:rsidRDefault="001D1921" w:rsidP="001D1921">
      <w:pPr>
        <w:spacing w:after="0" w:line="259" w:lineRule="auto"/>
        <w:contextualSpacing/>
        <w:rPr>
          <w:rFonts w:eastAsia="Arial" w:cs="Times New Roman"/>
          <w:sz w:val="22"/>
          <w:szCs w:val="22"/>
        </w:rPr>
      </w:pPr>
    </w:p>
    <w:p w14:paraId="29090928" w14:textId="77777777" w:rsidR="001D1921" w:rsidRDefault="001D1921" w:rsidP="001D1921">
      <w:pPr>
        <w:spacing w:after="0" w:line="259" w:lineRule="auto"/>
        <w:contextualSpacing/>
        <w:rPr>
          <w:rFonts w:eastAsia="Arial" w:cs="Times New Roman"/>
          <w:sz w:val="22"/>
          <w:szCs w:val="22"/>
        </w:rPr>
      </w:pPr>
      <w:r w:rsidRPr="001D1921">
        <w:rPr>
          <w:rFonts w:eastAsia="Arial" w:cs="Times New Roman"/>
          <w:sz w:val="22"/>
          <w:szCs w:val="22"/>
        </w:rPr>
        <w:t>Thank you for your enquiry about the differences between maternity leave and shared parental leave (SPL). It’s important to understand how each type of leave works to help you and your partner decide what suits your family best. I’ve outlined the key points below.</w:t>
      </w:r>
    </w:p>
    <w:p w14:paraId="1E4B20F9" w14:textId="77777777" w:rsidR="000C5DE4" w:rsidRPr="001D1921" w:rsidRDefault="000C5DE4" w:rsidP="001D1921">
      <w:pPr>
        <w:spacing w:after="0" w:line="259" w:lineRule="auto"/>
        <w:contextualSpacing/>
        <w:rPr>
          <w:rFonts w:eastAsia="Arial" w:cs="Times New Roman"/>
          <w:sz w:val="22"/>
          <w:szCs w:val="22"/>
        </w:rPr>
      </w:pPr>
    </w:p>
    <w:p w14:paraId="7C19C28A" w14:textId="77777777" w:rsidR="001D1921" w:rsidRPr="000C5DE4" w:rsidRDefault="001D1921" w:rsidP="001D1921">
      <w:pPr>
        <w:spacing w:after="0" w:line="259" w:lineRule="auto"/>
        <w:contextualSpacing/>
        <w:rPr>
          <w:rFonts w:eastAsia="Arial" w:cs="Times New Roman"/>
          <w:b/>
          <w:bCs/>
          <w:sz w:val="22"/>
          <w:szCs w:val="22"/>
        </w:rPr>
      </w:pPr>
      <w:r w:rsidRPr="001D1921">
        <w:rPr>
          <w:rFonts w:eastAsia="Arial" w:cs="Times New Roman"/>
          <w:b/>
          <w:bCs/>
          <w:sz w:val="22"/>
          <w:szCs w:val="22"/>
        </w:rPr>
        <w:t>Statutory Maternity Leave (SML)</w:t>
      </w:r>
    </w:p>
    <w:p w14:paraId="5AB11CB2" w14:textId="433CAFFF" w:rsidR="001D1921" w:rsidRPr="006A04E6" w:rsidRDefault="001D1921" w:rsidP="001D1921">
      <w:pPr>
        <w:spacing w:after="0" w:line="259" w:lineRule="auto"/>
        <w:contextualSpacing/>
        <w:rPr>
          <w:rFonts w:eastAsia="Arial" w:cs="Times New Roman"/>
          <w:sz w:val="22"/>
          <w:szCs w:val="22"/>
        </w:rPr>
      </w:pPr>
      <w:r w:rsidRPr="001D1921">
        <w:rPr>
          <w:rFonts w:eastAsia="Arial" w:cs="Times New Roman"/>
          <w:sz w:val="22"/>
          <w:szCs w:val="22"/>
        </w:rPr>
        <w:t>Statutory maternity leave provides up to 52 weeks of leave, divided into 26 weeks of Ordinary Maternity Leave (OML) and 26 weeks of Additional Maternity Leave (AML). Employees must take at least two weeks off after childbirth (or four weeks if they work in a factory). Employment rights are protected throughout the leave, including the right to return to the same job. Eligibility begins from the first day of employment, as long as the required notice is given. Shared parental leave (SPL) is only available if maternity or adoption leave is officially curtailed early (Daniels, 2025, pp. 103–105).</w:t>
      </w:r>
    </w:p>
    <w:p w14:paraId="645DD583" w14:textId="77777777" w:rsidR="006A04E6" w:rsidRPr="001D1921" w:rsidRDefault="006A04E6" w:rsidP="001D1921">
      <w:pPr>
        <w:spacing w:after="0" w:line="259" w:lineRule="auto"/>
        <w:contextualSpacing/>
        <w:rPr>
          <w:rFonts w:eastAsia="Arial" w:cs="Times New Roman"/>
          <w:sz w:val="22"/>
          <w:szCs w:val="22"/>
        </w:rPr>
      </w:pPr>
    </w:p>
    <w:p w14:paraId="477AF53C" w14:textId="77777777" w:rsidR="006A04E6" w:rsidRPr="000C5DE4" w:rsidRDefault="001D1921" w:rsidP="001D1921">
      <w:pPr>
        <w:spacing w:after="0" w:line="259" w:lineRule="auto"/>
        <w:contextualSpacing/>
        <w:rPr>
          <w:rFonts w:eastAsia="Arial" w:cs="Times New Roman"/>
          <w:b/>
          <w:bCs/>
          <w:sz w:val="22"/>
          <w:szCs w:val="22"/>
        </w:rPr>
      </w:pPr>
      <w:r w:rsidRPr="001D1921">
        <w:rPr>
          <w:rFonts w:eastAsia="Arial" w:cs="Times New Roman"/>
          <w:b/>
          <w:bCs/>
          <w:sz w:val="22"/>
          <w:szCs w:val="22"/>
        </w:rPr>
        <w:t>Shared Parental Leave (SPL)</w:t>
      </w:r>
    </w:p>
    <w:p w14:paraId="57A6B859" w14:textId="46E9210C" w:rsidR="001D1921" w:rsidRPr="006A04E6" w:rsidRDefault="001D1921" w:rsidP="001D1921">
      <w:pPr>
        <w:spacing w:after="0" w:line="259" w:lineRule="auto"/>
        <w:contextualSpacing/>
        <w:rPr>
          <w:rFonts w:eastAsia="Arial" w:cs="Times New Roman"/>
          <w:sz w:val="22"/>
          <w:szCs w:val="22"/>
        </w:rPr>
      </w:pPr>
      <w:r w:rsidRPr="001D1921">
        <w:rPr>
          <w:rFonts w:eastAsia="Arial" w:cs="Times New Roman"/>
          <w:sz w:val="22"/>
          <w:szCs w:val="22"/>
        </w:rPr>
        <w:t>Shared parental leave allows parents to share up to 50 weeks of leave and up to 37 weeks of pay. Leave can be taken in blocks or all at once and allows both parents to be off work at the same time or separately. It offers greater flexibility compared to maternity leave. However, both parents must meet certain eligibility criteria, including continuity of employment and minimum earnings thresholds (GOV.UK, 2024).</w:t>
      </w:r>
    </w:p>
    <w:p w14:paraId="635820A4" w14:textId="77777777" w:rsidR="006A04E6" w:rsidRPr="001D1921" w:rsidRDefault="006A04E6" w:rsidP="001D1921">
      <w:pPr>
        <w:spacing w:after="0" w:line="259" w:lineRule="auto"/>
        <w:contextualSpacing/>
        <w:rPr>
          <w:rFonts w:eastAsia="Arial" w:cs="Times New Roman"/>
          <w:sz w:val="22"/>
          <w:szCs w:val="22"/>
        </w:rPr>
      </w:pPr>
    </w:p>
    <w:p w14:paraId="31FB0673" w14:textId="77777777" w:rsidR="001D1921" w:rsidRPr="006A04E6" w:rsidRDefault="001D1921" w:rsidP="001D1921">
      <w:pPr>
        <w:spacing w:after="0" w:line="259" w:lineRule="auto"/>
        <w:contextualSpacing/>
        <w:rPr>
          <w:rFonts w:eastAsia="Arial" w:cs="Times New Roman"/>
          <w:sz w:val="22"/>
          <w:szCs w:val="22"/>
        </w:rPr>
      </w:pPr>
      <w:r w:rsidRPr="001D1921">
        <w:rPr>
          <w:rFonts w:eastAsia="Arial" w:cs="Times New Roman"/>
          <w:b/>
          <w:bCs/>
          <w:sz w:val="22"/>
          <w:szCs w:val="22"/>
        </w:rPr>
        <w:t>Eligibility and Notice</w:t>
      </w:r>
      <w:r w:rsidRPr="001D1921">
        <w:rPr>
          <w:rFonts w:eastAsia="Arial" w:cs="Times New Roman"/>
          <w:sz w:val="22"/>
          <w:szCs w:val="22"/>
        </w:rPr>
        <w:br/>
        <w:t>To access SPL, the birth parent or primary adopter must end their maternity or adoption leave early. Notice of entitlement and intent to take SPL must be given at least eight weeks in advance. Employers may request supporting evidence such as the birth certificate or confirmation of the adoption placement (Acas, 2024).</w:t>
      </w:r>
    </w:p>
    <w:p w14:paraId="079D743E" w14:textId="77777777" w:rsidR="006A04E6" w:rsidRPr="001D1921" w:rsidRDefault="006A04E6" w:rsidP="001D1921">
      <w:pPr>
        <w:spacing w:after="0" w:line="259" w:lineRule="auto"/>
        <w:contextualSpacing/>
        <w:rPr>
          <w:rFonts w:eastAsia="Arial" w:cs="Times New Roman"/>
          <w:sz w:val="22"/>
          <w:szCs w:val="22"/>
        </w:rPr>
      </w:pPr>
    </w:p>
    <w:p w14:paraId="063334A2" w14:textId="77777777" w:rsidR="001D1921" w:rsidRPr="006A04E6" w:rsidRDefault="001D1921" w:rsidP="001D1921">
      <w:pPr>
        <w:spacing w:after="0" w:line="259" w:lineRule="auto"/>
        <w:contextualSpacing/>
        <w:rPr>
          <w:rFonts w:eastAsia="Arial" w:cs="Times New Roman"/>
          <w:sz w:val="22"/>
          <w:szCs w:val="22"/>
        </w:rPr>
      </w:pPr>
      <w:r w:rsidRPr="001D1921">
        <w:rPr>
          <w:rFonts w:eastAsia="Arial" w:cs="Times New Roman"/>
          <w:b/>
          <w:bCs/>
          <w:sz w:val="22"/>
          <w:szCs w:val="22"/>
        </w:rPr>
        <w:t>Adoption Leave</w:t>
      </w:r>
      <w:r w:rsidRPr="001D1921">
        <w:rPr>
          <w:rFonts w:eastAsia="Arial" w:cs="Times New Roman"/>
          <w:sz w:val="22"/>
          <w:szCs w:val="22"/>
        </w:rPr>
        <w:br/>
        <w:t>In addition to the above, adoption leave provides up to 26 weeks’ leave for employees adopting a child. It can begin from 14 days before the expected placement date, and no qualifying period of employment is required. Either adopting parent may take this leave, but not both simultaneously (Daniels, 2025, p. 4).</w:t>
      </w:r>
    </w:p>
    <w:p w14:paraId="7C7D9A99" w14:textId="77777777" w:rsidR="006A04E6" w:rsidRPr="001D1921" w:rsidRDefault="006A04E6" w:rsidP="001D1921">
      <w:pPr>
        <w:spacing w:after="0" w:line="259" w:lineRule="auto"/>
        <w:contextualSpacing/>
        <w:rPr>
          <w:rFonts w:eastAsia="Arial" w:cs="Times New Roman"/>
          <w:sz w:val="22"/>
          <w:szCs w:val="22"/>
        </w:rPr>
      </w:pPr>
    </w:p>
    <w:p w14:paraId="7576EFEF" w14:textId="7F588B97" w:rsidR="001D1921" w:rsidRDefault="001D1921" w:rsidP="001D1921">
      <w:pPr>
        <w:spacing w:after="0" w:line="259" w:lineRule="auto"/>
        <w:contextualSpacing/>
        <w:rPr>
          <w:rFonts w:eastAsia="Arial" w:cs="Times New Roman"/>
          <w:sz w:val="22"/>
          <w:szCs w:val="22"/>
        </w:rPr>
      </w:pPr>
      <w:r w:rsidRPr="001D1921">
        <w:rPr>
          <w:rFonts w:eastAsia="Arial" w:cs="Times New Roman"/>
          <w:sz w:val="22"/>
          <w:szCs w:val="22"/>
        </w:rPr>
        <w:t>Please let me know if you</w:t>
      </w:r>
      <w:r w:rsidR="00AC5680">
        <w:rPr>
          <w:rFonts w:eastAsia="Arial" w:cs="Times New Roman"/>
          <w:sz w:val="22"/>
          <w:szCs w:val="22"/>
        </w:rPr>
        <w:t xml:space="preserve"> would </w:t>
      </w:r>
      <w:r w:rsidRPr="001D1921">
        <w:rPr>
          <w:rFonts w:eastAsia="Arial" w:cs="Times New Roman"/>
          <w:sz w:val="22"/>
          <w:szCs w:val="22"/>
        </w:rPr>
        <w:t>like support with eligibility criteria, timelines, or discussing options with your partner.</w:t>
      </w:r>
    </w:p>
    <w:p w14:paraId="0ECDDCD4" w14:textId="77777777" w:rsidR="002F7446" w:rsidRPr="001D1921" w:rsidRDefault="002F7446" w:rsidP="001D1921">
      <w:pPr>
        <w:spacing w:after="0" w:line="259" w:lineRule="auto"/>
        <w:contextualSpacing/>
        <w:rPr>
          <w:rFonts w:eastAsia="Arial" w:cs="Times New Roman"/>
          <w:sz w:val="22"/>
          <w:szCs w:val="22"/>
        </w:rPr>
      </w:pPr>
    </w:p>
    <w:p w14:paraId="4DC77B67" w14:textId="7628CE7E" w:rsidR="00AA3EC1" w:rsidRPr="002F7446" w:rsidRDefault="001D1921" w:rsidP="00650B76">
      <w:pPr>
        <w:spacing w:after="0" w:line="259" w:lineRule="auto"/>
        <w:contextualSpacing/>
        <w:rPr>
          <w:rFonts w:eastAsia="Arial" w:cs="Times New Roman"/>
          <w:sz w:val="22"/>
          <w:szCs w:val="22"/>
        </w:rPr>
      </w:pPr>
      <w:r w:rsidRPr="001D1921">
        <w:rPr>
          <w:rFonts w:eastAsia="Arial" w:cs="Times New Roman"/>
          <w:sz w:val="22"/>
          <w:szCs w:val="22"/>
        </w:rPr>
        <w:t>Kind regards,</w:t>
      </w:r>
    </w:p>
    <w:p w14:paraId="568D284E" w14:textId="77777777" w:rsidR="00650B76" w:rsidRPr="00700FB4" w:rsidRDefault="00650B76" w:rsidP="00650B76">
      <w:pPr>
        <w:spacing w:after="0" w:line="259" w:lineRule="auto"/>
        <w:contextualSpacing/>
        <w:rPr>
          <w:rFonts w:eastAsia="Arial" w:cs="Times New Roman"/>
          <w:sz w:val="22"/>
          <w:szCs w:val="22"/>
        </w:rPr>
      </w:pPr>
      <w:r w:rsidRPr="00700FB4">
        <w:rPr>
          <w:rFonts w:eastAsia="Arial" w:cs="Times New Roman"/>
          <w:sz w:val="22"/>
          <w:szCs w:val="22"/>
        </w:rPr>
        <w:t>Sharon Cuthbert</w:t>
      </w:r>
    </w:p>
    <w:p w14:paraId="0050182C" w14:textId="77777777" w:rsidR="00650B76" w:rsidRPr="007569EF" w:rsidRDefault="00650B76" w:rsidP="00650B76">
      <w:pPr>
        <w:spacing w:after="0" w:line="259" w:lineRule="auto"/>
        <w:contextualSpacing/>
        <w:rPr>
          <w:rFonts w:eastAsia="Arial" w:cs="Times New Roman"/>
          <w:b/>
          <w:bCs/>
          <w:sz w:val="22"/>
          <w:szCs w:val="22"/>
        </w:rPr>
      </w:pPr>
    </w:p>
    <w:p w14:paraId="1BBC0FAD" w14:textId="77777777" w:rsidR="00650B76" w:rsidRPr="007569EF" w:rsidRDefault="00650B76" w:rsidP="00650B76">
      <w:pPr>
        <w:spacing w:after="0" w:line="259" w:lineRule="auto"/>
        <w:contextualSpacing/>
        <w:rPr>
          <w:rFonts w:eastAsia="Arial" w:cs="Times New Roman"/>
          <w:b/>
          <w:bCs/>
          <w:sz w:val="22"/>
          <w:szCs w:val="22"/>
        </w:rPr>
      </w:pPr>
      <w:r w:rsidRPr="005415E5">
        <w:rPr>
          <w:b/>
          <w:bCs/>
          <w:color w:val="004147"/>
          <w:sz w:val="22"/>
          <w:szCs w:val="22"/>
          <w:u w:color="004147"/>
          <w:lang w:val="en-US"/>
        </w:rPr>
        <w:t>(AC 4.3)</w:t>
      </w:r>
    </w:p>
    <w:p w14:paraId="18B22277" w14:textId="77777777" w:rsidR="00650B76" w:rsidRPr="007569EF" w:rsidRDefault="00650B76" w:rsidP="00650B76">
      <w:pPr>
        <w:spacing w:after="0" w:line="259" w:lineRule="auto"/>
        <w:contextualSpacing/>
        <w:rPr>
          <w:rFonts w:eastAsia="Arial" w:cs="Times New Roman"/>
          <w:b/>
          <w:bCs/>
          <w:sz w:val="22"/>
          <w:szCs w:val="22"/>
        </w:rPr>
      </w:pPr>
    </w:p>
    <w:p w14:paraId="0A53488E" w14:textId="77777777" w:rsidR="0040390B" w:rsidRDefault="0040390B" w:rsidP="0040390B">
      <w:pPr>
        <w:pStyle w:val="Body"/>
        <w:rPr>
          <w:rFonts w:eastAsia="Trebuchet MS" w:cs="Trebuchet MS"/>
          <w:b/>
          <w:bCs/>
        </w:rPr>
      </w:pPr>
      <w:r w:rsidRPr="0040390B">
        <w:rPr>
          <w:rFonts w:eastAsia="Trebuchet MS" w:cs="Trebuchet MS"/>
          <w:b/>
          <w:bCs/>
        </w:rPr>
        <w:t>Subject: Guidance on Employee Request for Flexible Working</w:t>
      </w:r>
    </w:p>
    <w:p w14:paraId="3ED70EB8" w14:textId="77777777" w:rsidR="0040390B" w:rsidRPr="0040390B" w:rsidRDefault="0040390B" w:rsidP="0040390B">
      <w:pPr>
        <w:pStyle w:val="Body"/>
        <w:rPr>
          <w:rFonts w:eastAsia="Trebuchet MS" w:cs="Trebuchet MS"/>
        </w:rPr>
      </w:pPr>
    </w:p>
    <w:p w14:paraId="381331D3"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Dear Colleague,</w:t>
      </w:r>
    </w:p>
    <w:p w14:paraId="0425C6BF" w14:textId="77777777" w:rsidR="0040390B" w:rsidRPr="0040390B" w:rsidRDefault="0040390B" w:rsidP="0040390B">
      <w:pPr>
        <w:pStyle w:val="Body"/>
        <w:rPr>
          <w:rFonts w:asciiTheme="minorHAnsi" w:eastAsia="Trebuchet MS" w:hAnsiTheme="minorHAnsi" w:cs="Trebuchet MS"/>
        </w:rPr>
      </w:pPr>
    </w:p>
    <w:p w14:paraId="536B3502"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Thank you for requesting guidance regarding the request from the newly appointed administrative officer to work from home three days a week. It’s important to understand the key legal principles surrounding flexible working and how they apply to this situation.</w:t>
      </w:r>
    </w:p>
    <w:p w14:paraId="791C5C80" w14:textId="77777777" w:rsidR="0040390B" w:rsidRPr="0040390B" w:rsidRDefault="0040390B" w:rsidP="0040390B">
      <w:pPr>
        <w:pStyle w:val="Body"/>
        <w:rPr>
          <w:rFonts w:asciiTheme="minorHAnsi" w:eastAsia="Trebuchet MS" w:hAnsiTheme="minorHAnsi" w:cs="Trebuchet MS"/>
        </w:rPr>
      </w:pPr>
    </w:p>
    <w:p w14:paraId="52DD60E5" w14:textId="77777777" w:rsidR="0040390B" w:rsidRPr="0040390B"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b/>
          <w:bCs/>
        </w:rPr>
        <w:t>Employment Rights Relating to Flexible Working</w:t>
      </w:r>
    </w:p>
    <w:p w14:paraId="11DB22DC"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As of April 2024, the Employment Relations (Flexible Working) Act 2023 and the Flexible Working (Amendment) Regulations 2023 have significantly amended the rules regarding flexible working requests. The key change is that the right to request flexible working is now available from day one of employment for all employees. This means the administrative officer is legally entitled to make a request, regardless of how long they have been employed (Daniels, 2025, p. 71).</w:t>
      </w:r>
    </w:p>
    <w:p w14:paraId="6475C43F" w14:textId="77777777" w:rsidR="0040390B" w:rsidRPr="0040390B" w:rsidRDefault="0040390B" w:rsidP="0040390B">
      <w:pPr>
        <w:pStyle w:val="Body"/>
        <w:rPr>
          <w:rFonts w:asciiTheme="minorHAnsi" w:eastAsia="Trebuchet MS" w:hAnsiTheme="minorHAnsi" w:cs="Trebuchet MS"/>
        </w:rPr>
      </w:pPr>
    </w:p>
    <w:p w14:paraId="1ED51A74" w14:textId="77777777" w:rsidR="0040390B" w:rsidRPr="0040390B"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b/>
          <w:bCs/>
        </w:rPr>
        <w:t>Types of Flexible Working Requests</w:t>
      </w:r>
    </w:p>
    <w:p w14:paraId="7064A762"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Employees have the right to request changes to their working patterns, including the hours they work, the times they work, and the place where they work. In this instance, the administrative officer’s request to work from home three days a week constitutes a change to the place of work (Daniels, 2025, p. 71).</w:t>
      </w:r>
    </w:p>
    <w:p w14:paraId="527EF3AD" w14:textId="77777777" w:rsidR="0040390B" w:rsidRPr="0040390B" w:rsidRDefault="0040390B" w:rsidP="0040390B">
      <w:pPr>
        <w:pStyle w:val="Body"/>
        <w:rPr>
          <w:rFonts w:asciiTheme="minorHAnsi" w:eastAsia="Trebuchet MS" w:hAnsiTheme="minorHAnsi" w:cs="Trebuchet MS"/>
        </w:rPr>
      </w:pPr>
    </w:p>
    <w:p w14:paraId="6076533C"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According to Acas (2024), flexible working requests can cover a range of changes such as varying working hours, times, or locations. This legal right aims to help employees balance work and personal life effectively.</w:t>
      </w:r>
    </w:p>
    <w:p w14:paraId="08472CFF" w14:textId="77777777" w:rsidR="0040390B" w:rsidRPr="0040390B" w:rsidRDefault="0040390B" w:rsidP="0040390B">
      <w:pPr>
        <w:pStyle w:val="Body"/>
        <w:rPr>
          <w:rFonts w:asciiTheme="minorHAnsi" w:eastAsia="Trebuchet MS" w:hAnsiTheme="minorHAnsi" w:cs="Trebuchet MS"/>
        </w:rPr>
      </w:pPr>
    </w:p>
    <w:p w14:paraId="36640FB8" w14:textId="77777777" w:rsidR="0040390B" w:rsidRPr="0040390B"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b/>
          <w:bCs/>
        </w:rPr>
        <w:t>The Process for Making a Request</w:t>
      </w:r>
    </w:p>
    <w:p w14:paraId="37BBE767"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An employee must submit a formal, written application that includes the date of the request, details of the change being sought (for example, working from home three days a week), the proposed start date, and information on any previous similar requests made within the past 12 months (Acas, 2024).</w:t>
      </w:r>
    </w:p>
    <w:p w14:paraId="6CE89E57" w14:textId="77777777" w:rsidR="0040390B" w:rsidRPr="0040390B" w:rsidRDefault="0040390B" w:rsidP="0040390B">
      <w:pPr>
        <w:pStyle w:val="Body"/>
        <w:rPr>
          <w:rFonts w:asciiTheme="minorHAnsi" w:eastAsia="Trebuchet MS" w:hAnsiTheme="minorHAnsi" w:cs="Trebuchet MS"/>
        </w:rPr>
      </w:pPr>
    </w:p>
    <w:p w14:paraId="3EA920ED"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GOV.UK (2024) confirms that employers are required to consider such requests seriously and respond within a statutory timeframe. Employers must keep records of requests and their decisions, ensuring transparency and compliance with flexible working regulations.</w:t>
      </w:r>
    </w:p>
    <w:p w14:paraId="0514AA04" w14:textId="77777777" w:rsidR="004850E2" w:rsidRPr="0040390B" w:rsidRDefault="004850E2" w:rsidP="0040390B">
      <w:pPr>
        <w:pStyle w:val="Body"/>
        <w:rPr>
          <w:rFonts w:asciiTheme="minorHAnsi" w:eastAsia="Trebuchet MS" w:hAnsiTheme="minorHAnsi" w:cs="Trebuchet MS"/>
        </w:rPr>
      </w:pPr>
    </w:p>
    <w:p w14:paraId="7960FB03" w14:textId="77777777" w:rsidR="0040390B" w:rsidRPr="0040390B"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b/>
          <w:bCs/>
        </w:rPr>
        <w:t>Consideration and Response</w:t>
      </w:r>
    </w:p>
    <w:p w14:paraId="188A96E8"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Once a valid request has been submitted, the employer must consider it and respond within two months. Employees are permitted to make up to two formal requests for flexible working in any 12-month period, though only one can be active at any given time. While the employer may refuse a request, the reasons must be based on specific business grounds such as additional cost burdens, inability to meet customer demand, or detrimental impact on performance or quality (Daniels, 2025, p. 72).</w:t>
      </w:r>
    </w:p>
    <w:p w14:paraId="7A50F16D" w14:textId="77777777" w:rsidR="004850E2" w:rsidRPr="0040390B" w:rsidRDefault="004850E2" w:rsidP="0040390B">
      <w:pPr>
        <w:pStyle w:val="Body"/>
        <w:rPr>
          <w:rFonts w:asciiTheme="minorHAnsi" w:eastAsia="Trebuchet MS" w:hAnsiTheme="minorHAnsi" w:cs="Trebuchet MS"/>
        </w:rPr>
      </w:pPr>
    </w:p>
    <w:p w14:paraId="17CBFCA7" w14:textId="77777777" w:rsidR="0040390B" w:rsidRPr="00695247"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Reasons for refusal may include:</w:t>
      </w:r>
    </w:p>
    <w:p w14:paraId="69D4A540" w14:textId="77777777" w:rsidR="004850E2" w:rsidRPr="0040390B" w:rsidRDefault="004850E2" w:rsidP="0040390B">
      <w:pPr>
        <w:pStyle w:val="Body"/>
        <w:rPr>
          <w:rFonts w:asciiTheme="minorHAnsi" w:eastAsia="Trebuchet MS" w:hAnsiTheme="minorHAnsi" w:cs="Trebuchet MS"/>
        </w:rPr>
      </w:pPr>
    </w:p>
    <w:p w14:paraId="07A85941" w14:textId="77777777" w:rsidR="0040390B" w:rsidRPr="0040390B" w:rsidRDefault="0040390B" w:rsidP="0040390B">
      <w:pPr>
        <w:pStyle w:val="Body"/>
        <w:numPr>
          <w:ilvl w:val="0"/>
          <w:numId w:val="14"/>
        </w:numPr>
        <w:rPr>
          <w:rFonts w:asciiTheme="minorHAnsi" w:eastAsia="Trebuchet MS" w:hAnsiTheme="minorHAnsi" w:cs="Trebuchet MS"/>
        </w:rPr>
      </w:pPr>
      <w:r w:rsidRPr="0040390B">
        <w:rPr>
          <w:rFonts w:asciiTheme="minorHAnsi" w:eastAsia="Trebuchet MS" w:hAnsiTheme="minorHAnsi" w:cs="Trebuchet MS"/>
        </w:rPr>
        <w:t>The burden of additional costs,</w:t>
      </w:r>
    </w:p>
    <w:p w14:paraId="6074CA22" w14:textId="77777777" w:rsidR="0040390B" w:rsidRPr="0040390B" w:rsidRDefault="0040390B" w:rsidP="0040390B">
      <w:pPr>
        <w:pStyle w:val="Body"/>
        <w:numPr>
          <w:ilvl w:val="0"/>
          <w:numId w:val="14"/>
        </w:numPr>
        <w:rPr>
          <w:rFonts w:asciiTheme="minorHAnsi" w:eastAsia="Trebuchet MS" w:hAnsiTheme="minorHAnsi" w:cs="Trebuchet MS"/>
        </w:rPr>
      </w:pPr>
      <w:r w:rsidRPr="0040390B">
        <w:rPr>
          <w:rFonts w:asciiTheme="minorHAnsi" w:eastAsia="Trebuchet MS" w:hAnsiTheme="minorHAnsi" w:cs="Trebuchet MS"/>
        </w:rPr>
        <w:t>A detrimental effect on the ability to meet customer demand,</w:t>
      </w:r>
    </w:p>
    <w:p w14:paraId="7B7B6B0A" w14:textId="77777777" w:rsidR="0040390B" w:rsidRPr="0040390B" w:rsidRDefault="0040390B" w:rsidP="0040390B">
      <w:pPr>
        <w:pStyle w:val="Body"/>
        <w:numPr>
          <w:ilvl w:val="0"/>
          <w:numId w:val="14"/>
        </w:numPr>
        <w:rPr>
          <w:rFonts w:asciiTheme="minorHAnsi" w:eastAsia="Trebuchet MS" w:hAnsiTheme="minorHAnsi" w:cs="Trebuchet MS"/>
        </w:rPr>
      </w:pPr>
      <w:r w:rsidRPr="0040390B">
        <w:rPr>
          <w:rFonts w:asciiTheme="minorHAnsi" w:eastAsia="Trebuchet MS" w:hAnsiTheme="minorHAnsi" w:cs="Trebuchet MS"/>
        </w:rPr>
        <w:t>Inability to reorganise work among existing staff,</w:t>
      </w:r>
    </w:p>
    <w:p w14:paraId="48C66607" w14:textId="77777777" w:rsidR="0040390B" w:rsidRPr="0040390B" w:rsidRDefault="0040390B" w:rsidP="0040390B">
      <w:pPr>
        <w:pStyle w:val="Body"/>
        <w:numPr>
          <w:ilvl w:val="0"/>
          <w:numId w:val="14"/>
        </w:numPr>
        <w:rPr>
          <w:rFonts w:asciiTheme="minorHAnsi" w:eastAsia="Trebuchet MS" w:hAnsiTheme="minorHAnsi" w:cs="Trebuchet MS"/>
        </w:rPr>
      </w:pPr>
      <w:r w:rsidRPr="0040390B">
        <w:rPr>
          <w:rFonts w:asciiTheme="minorHAnsi" w:eastAsia="Trebuchet MS" w:hAnsiTheme="minorHAnsi" w:cs="Trebuchet MS"/>
        </w:rPr>
        <w:t>Inability to recruit additional staff, and</w:t>
      </w:r>
    </w:p>
    <w:p w14:paraId="7E44FD12" w14:textId="77777777" w:rsidR="0040390B" w:rsidRPr="00695247" w:rsidRDefault="0040390B" w:rsidP="0040390B">
      <w:pPr>
        <w:pStyle w:val="Body"/>
        <w:numPr>
          <w:ilvl w:val="0"/>
          <w:numId w:val="14"/>
        </w:numPr>
        <w:rPr>
          <w:rFonts w:asciiTheme="minorHAnsi" w:eastAsia="Trebuchet MS" w:hAnsiTheme="minorHAnsi" w:cs="Trebuchet MS"/>
        </w:rPr>
      </w:pPr>
      <w:r w:rsidRPr="0040390B">
        <w:rPr>
          <w:rFonts w:asciiTheme="minorHAnsi" w:eastAsia="Trebuchet MS" w:hAnsiTheme="minorHAnsi" w:cs="Trebuchet MS"/>
        </w:rPr>
        <w:t>A negative impact on quality or performance (Daniels, 2025, p. 72).</w:t>
      </w:r>
    </w:p>
    <w:p w14:paraId="7DAEB9DE" w14:textId="77777777" w:rsidR="004850E2" w:rsidRPr="0040390B" w:rsidRDefault="004850E2" w:rsidP="004850E2">
      <w:pPr>
        <w:pStyle w:val="Body"/>
        <w:ind w:left="720"/>
        <w:rPr>
          <w:rFonts w:asciiTheme="minorHAnsi" w:eastAsia="Trebuchet MS" w:hAnsiTheme="minorHAnsi" w:cs="Trebuchet MS"/>
        </w:rPr>
      </w:pPr>
    </w:p>
    <w:p w14:paraId="37AD9646" w14:textId="77777777" w:rsidR="0040390B" w:rsidRPr="0040390B" w:rsidRDefault="0040390B" w:rsidP="0040390B">
      <w:pPr>
        <w:pStyle w:val="Body"/>
        <w:rPr>
          <w:rFonts w:asciiTheme="minorHAnsi" w:eastAsia="Trebuchet MS" w:hAnsiTheme="minorHAnsi" w:cs="Trebuchet MS"/>
        </w:rPr>
      </w:pPr>
      <w:r w:rsidRPr="0040390B">
        <w:rPr>
          <w:rFonts w:asciiTheme="minorHAnsi" w:eastAsia="Trebuchet MS" w:hAnsiTheme="minorHAnsi" w:cs="Trebuchet MS"/>
        </w:rPr>
        <w:t>I hope this helps with your question.</w:t>
      </w:r>
    </w:p>
    <w:p w14:paraId="310679CE" w14:textId="77777777" w:rsidR="00781AB7" w:rsidRPr="004F2BD9" w:rsidRDefault="00781AB7" w:rsidP="004F2BD9">
      <w:pPr>
        <w:pStyle w:val="Body"/>
        <w:rPr>
          <w:rFonts w:asciiTheme="minorHAnsi" w:eastAsia="Trebuchet MS" w:hAnsiTheme="minorHAnsi" w:cs="Trebuchet MS"/>
        </w:rPr>
      </w:pPr>
    </w:p>
    <w:p w14:paraId="5598E7E8" w14:textId="77777777" w:rsidR="003941B3" w:rsidRPr="00695247" w:rsidRDefault="003941B3" w:rsidP="003941B3">
      <w:pPr>
        <w:spacing w:after="0" w:line="259" w:lineRule="auto"/>
        <w:contextualSpacing/>
        <w:rPr>
          <w:rFonts w:eastAsia="Arial" w:cs="Times New Roman"/>
          <w:sz w:val="22"/>
          <w:szCs w:val="22"/>
        </w:rPr>
      </w:pPr>
      <w:r w:rsidRPr="001D1921">
        <w:rPr>
          <w:rFonts w:eastAsia="Arial" w:cs="Times New Roman"/>
          <w:sz w:val="22"/>
          <w:szCs w:val="22"/>
        </w:rPr>
        <w:t>Kind regards,</w:t>
      </w:r>
    </w:p>
    <w:p w14:paraId="1033988A" w14:textId="77777777" w:rsidR="00650B76" w:rsidRPr="00695247" w:rsidRDefault="00650B76" w:rsidP="00650B76">
      <w:pPr>
        <w:pStyle w:val="Body"/>
        <w:rPr>
          <w:rFonts w:asciiTheme="minorHAnsi" w:eastAsia="Trebuchet MS" w:hAnsiTheme="minorHAnsi" w:cs="Trebuchet MS"/>
        </w:rPr>
      </w:pPr>
      <w:r w:rsidRPr="00695247">
        <w:rPr>
          <w:rFonts w:asciiTheme="minorHAnsi" w:eastAsia="Trebuchet MS" w:hAnsiTheme="minorHAnsi" w:cs="Trebuchet MS"/>
        </w:rPr>
        <w:t>Sharon Cuthbert</w:t>
      </w:r>
    </w:p>
    <w:p w14:paraId="266F8F6C" w14:textId="77777777" w:rsidR="00650B76" w:rsidRPr="007569EF" w:rsidRDefault="00650B76" w:rsidP="00650B76">
      <w:pPr>
        <w:pStyle w:val="Body"/>
        <w:spacing w:line="240" w:lineRule="auto"/>
        <w:rPr>
          <w:rFonts w:asciiTheme="minorHAnsi" w:hAnsiTheme="minorHAnsi"/>
          <w:color w:val="004146"/>
          <w:u w:color="004146"/>
          <w:lang w:val="en-US"/>
        </w:rPr>
      </w:pPr>
    </w:p>
    <w:p w14:paraId="20DDD8EF" w14:textId="77777777" w:rsidR="00650B76" w:rsidRPr="007569EF" w:rsidRDefault="00650B76" w:rsidP="00650B76">
      <w:pPr>
        <w:pStyle w:val="Body"/>
        <w:spacing w:line="240" w:lineRule="auto"/>
        <w:rPr>
          <w:rFonts w:asciiTheme="minorHAnsi" w:hAnsiTheme="minorHAnsi"/>
          <w:color w:val="004146"/>
          <w:u w:color="004146"/>
          <w:lang w:val="en-US"/>
        </w:rPr>
      </w:pPr>
    </w:p>
    <w:p w14:paraId="79D8133A" w14:textId="77777777" w:rsidR="00650B76" w:rsidRPr="00604FE3" w:rsidRDefault="00650B76" w:rsidP="00650B76">
      <w:pPr>
        <w:rPr>
          <w:b/>
          <w:bCs/>
          <w:sz w:val="22"/>
          <w:szCs w:val="22"/>
        </w:rPr>
      </w:pPr>
      <w:r w:rsidRPr="00604FE3">
        <w:rPr>
          <w:b/>
          <w:bCs/>
          <w:sz w:val="22"/>
          <w:szCs w:val="22"/>
        </w:rPr>
        <w:t>REFERENCES:</w:t>
      </w:r>
    </w:p>
    <w:p w14:paraId="47268040" w14:textId="77777777" w:rsidR="000D4632" w:rsidRPr="005415E5" w:rsidRDefault="00B95AEB" w:rsidP="000D4632">
      <w:pPr>
        <w:spacing w:after="0" w:line="259" w:lineRule="auto"/>
        <w:contextualSpacing/>
        <w:rPr>
          <w:rFonts w:eastAsia="Arial" w:cs="Times New Roman"/>
          <w:sz w:val="22"/>
          <w:szCs w:val="22"/>
        </w:rPr>
      </w:pPr>
      <w:r w:rsidRPr="005415E5">
        <w:rPr>
          <w:sz w:val="22"/>
          <w:szCs w:val="22"/>
        </w:rPr>
        <w:t xml:space="preserve">ACAS (2024) </w:t>
      </w:r>
      <w:r w:rsidRPr="005415E5">
        <w:rPr>
          <w:i/>
          <w:iCs/>
          <w:sz w:val="22"/>
          <w:szCs w:val="22"/>
        </w:rPr>
        <w:t>Flexible working: Making a request</w:t>
      </w:r>
      <w:r w:rsidRPr="005415E5">
        <w:rPr>
          <w:sz w:val="22"/>
          <w:szCs w:val="22"/>
        </w:rPr>
        <w:t xml:space="preserve">. Available at: </w:t>
      </w:r>
      <w:hyperlink r:id="rId6" w:tgtFrame="_new" w:history="1">
        <w:r w:rsidRPr="005415E5">
          <w:rPr>
            <w:rStyle w:val="Hyperlink"/>
            <w:sz w:val="22"/>
            <w:szCs w:val="22"/>
            <w:u w:val="none"/>
          </w:rPr>
          <w:t>https://www.acas.org.uk/flexible-working</w:t>
        </w:r>
      </w:hyperlink>
      <w:r w:rsidRPr="005415E5">
        <w:rPr>
          <w:sz w:val="22"/>
          <w:szCs w:val="22"/>
        </w:rPr>
        <w:t xml:space="preserve"> (Accessed: 30 May 2025).</w:t>
      </w:r>
      <w:r w:rsidRPr="005415E5">
        <w:rPr>
          <w:sz w:val="22"/>
          <w:szCs w:val="22"/>
        </w:rPr>
        <w:br/>
        <w:t xml:space="preserve">ACAS (2024) </w:t>
      </w:r>
      <w:r w:rsidRPr="005415E5">
        <w:rPr>
          <w:i/>
          <w:iCs/>
          <w:sz w:val="22"/>
          <w:szCs w:val="22"/>
        </w:rPr>
        <w:t xml:space="preserve">Transfer of </w:t>
      </w:r>
      <w:r w:rsidRPr="005415E5">
        <w:rPr>
          <w:sz w:val="22"/>
          <w:szCs w:val="22"/>
        </w:rPr>
        <w:t xml:space="preserve">Undertakings (TUPE): </w:t>
      </w:r>
      <w:r w:rsidRPr="005415E5">
        <w:rPr>
          <w:i/>
          <w:iCs/>
          <w:sz w:val="22"/>
          <w:szCs w:val="22"/>
        </w:rPr>
        <w:t>Employer’s Guide</w:t>
      </w:r>
      <w:r w:rsidRPr="005415E5">
        <w:rPr>
          <w:sz w:val="22"/>
          <w:szCs w:val="22"/>
        </w:rPr>
        <w:t xml:space="preserve">. Available at: </w:t>
      </w:r>
      <w:hyperlink r:id="rId7" w:tgtFrame="_new" w:history="1">
        <w:r w:rsidRPr="005415E5">
          <w:rPr>
            <w:rStyle w:val="Hyperlink"/>
            <w:sz w:val="22"/>
            <w:szCs w:val="22"/>
            <w:u w:val="none"/>
          </w:rPr>
          <w:t>https://www.acas.org.uk/tupe</w:t>
        </w:r>
      </w:hyperlink>
      <w:r w:rsidRPr="005415E5">
        <w:rPr>
          <w:sz w:val="22"/>
          <w:szCs w:val="22"/>
        </w:rPr>
        <w:t xml:space="preserve"> (Accessed: 30 May 2025).</w:t>
      </w:r>
      <w:r w:rsidRPr="005415E5">
        <w:rPr>
          <w:sz w:val="22"/>
          <w:szCs w:val="22"/>
        </w:rPr>
        <w:br/>
        <w:t xml:space="preserve">ACAS (2024) </w:t>
      </w:r>
      <w:r w:rsidRPr="005415E5">
        <w:rPr>
          <w:i/>
          <w:iCs/>
          <w:sz w:val="22"/>
          <w:szCs w:val="22"/>
        </w:rPr>
        <w:t>Constructive dismissal</w:t>
      </w:r>
      <w:r w:rsidRPr="005415E5">
        <w:rPr>
          <w:sz w:val="22"/>
          <w:szCs w:val="22"/>
        </w:rPr>
        <w:t xml:space="preserve">. Available at: </w:t>
      </w:r>
      <w:hyperlink r:id="rId8" w:tgtFrame="_new" w:history="1">
        <w:r w:rsidRPr="005415E5">
          <w:rPr>
            <w:rStyle w:val="Hyperlink"/>
            <w:sz w:val="22"/>
            <w:szCs w:val="22"/>
            <w:u w:val="none"/>
          </w:rPr>
          <w:t>https://www.acas.org.uk/constructive-dismissal</w:t>
        </w:r>
      </w:hyperlink>
      <w:r w:rsidRPr="005415E5">
        <w:rPr>
          <w:sz w:val="22"/>
          <w:szCs w:val="22"/>
        </w:rPr>
        <w:t xml:space="preserve"> (Accessed: 30 May 2025).</w:t>
      </w:r>
      <w:r w:rsidRPr="005415E5">
        <w:rPr>
          <w:sz w:val="22"/>
          <w:szCs w:val="22"/>
        </w:rPr>
        <w:br/>
        <w:t xml:space="preserve">ACAS (2024) </w:t>
      </w:r>
      <w:r w:rsidRPr="005415E5">
        <w:rPr>
          <w:i/>
          <w:iCs/>
          <w:sz w:val="22"/>
          <w:szCs w:val="22"/>
        </w:rPr>
        <w:t>Equality and diversity in recruitment</w:t>
      </w:r>
      <w:r w:rsidRPr="005415E5">
        <w:rPr>
          <w:sz w:val="22"/>
          <w:szCs w:val="22"/>
        </w:rPr>
        <w:t xml:space="preserve">. Available at: </w:t>
      </w:r>
      <w:hyperlink r:id="rId9" w:tgtFrame="_new" w:history="1">
        <w:r w:rsidRPr="005415E5">
          <w:rPr>
            <w:rStyle w:val="Hyperlink"/>
            <w:sz w:val="22"/>
            <w:szCs w:val="22"/>
            <w:u w:val="none"/>
          </w:rPr>
          <w:t>https://www.acas.org.uk/equality-and-diversity-in-recruitment</w:t>
        </w:r>
      </w:hyperlink>
      <w:r w:rsidRPr="005415E5">
        <w:rPr>
          <w:sz w:val="22"/>
          <w:szCs w:val="22"/>
        </w:rPr>
        <w:t xml:space="preserve"> (Accessed: 30 May 2025).</w:t>
      </w:r>
      <w:r w:rsidRPr="005415E5">
        <w:rPr>
          <w:sz w:val="22"/>
          <w:szCs w:val="22"/>
        </w:rPr>
        <w:br/>
        <w:t xml:space="preserve">ACAS (2024) </w:t>
      </w:r>
      <w:r w:rsidRPr="005415E5">
        <w:rPr>
          <w:i/>
          <w:iCs/>
          <w:sz w:val="22"/>
          <w:szCs w:val="22"/>
        </w:rPr>
        <w:t>Equal pay: practical guide for employers</w:t>
      </w:r>
      <w:r w:rsidRPr="005415E5">
        <w:rPr>
          <w:sz w:val="22"/>
          <w:szCs w:val="22"/>
        </w:rPr>
        <w:t xml:space="preserve">. Available at: </w:t>
      </w:r>
      <w:hyperlink r:id="rId10" w:tgtFrame="_new" w:history="1">
        <w:r w:rsidRPr="005415E5">
          <w:rPr>
            <w:rStyle w:val="Hyperlink"/>
            <w:sz w:val="22"/>
            <w:szCs w:val="22"/>
            <w:u w:val="none"/>
          </w:rPr>
          <w:t>https://www.acas.org.uk/equal-pay</w:t>
        </w:r>
      </w:hyperlink>
      <w:r w:rsidRPr="005415E5">
        <w:rPr>
          <w:sz w:val="22"/>
          <w:szCs w:val="22"/>
        </w:rPr>
        <w:t xml:space="preserve"> (Accessed: 30 May 2025).</w:t>
      </w:r>
      <w:r w:rsidRPr="005415E5">
        <w:rPr>
          <w:sz w:val="22"/>
          <w:szCs w:val="22"/>
        </w:rPr>
        <w:br/>
        <w:t xml:space="preserve">ACAS (n.d.) </w:t>
      </w:r>
      <w:r w:rsidRPr="005415E5">
        <w:rPr>
          <w:i/>
          <w:iCs/>
          <w:sz w:val="22"/>
          <w:szCs w:val="22"/>
        </w:rPr>
        <w:t>Advice and guidance on employment rights</w:t>
      </w:r>
      <w:r w:rsidRPr="005415E5">
        <w:rPr>
          <w:sz w:val="22"/>
          <w:szCs w:val="22"/>
        </w:rPr>
        <w:t xml:space="preserve">. Available at: </w:t>
      </w:r>
      <w:hyperlink r:id="rId11" w:tgtFrame="_new" w:history="1">
        <w:r w:rsidRPr="005415E5">
          <w:rPr>
            <w:rStyle w:val="Hyperlink"/>
            <w:sz w:val="22"/>
            <w:szCs w:val="22"/>
            <w:u w:val="none"/>
          </w:rPr>
          <w:t>https://www.acas.org.uk/advice</w:t>
        </w:r>
      </w:hyperlink>
      <w:r w:rsidRPr="005415E5">
        <w:rPr>
          <w:sz w:val="22"/>
          <w:szCs w:val="22"/>
        </w:rPr>
        <w:t xml:space="preserve"> (Accessed: 10 May 2025).</w:t>
      </w:r>
      <w:r w:rsidRPr="005415E5">
        <w:rPr>
          <w:sz w:val="22"/>
          <w:szCs w:val="22"/>
        </w:rPr>
        <w:br/>
        <w:t xml:space="preserve">ACAS (n.d.) </w:t>
      </w:r>
      <w:r w:rsidRPr="005415E5">
        <w:rPr>
          <w:i/>
          <w:iCs/>
          <w:sz w:val="22"/>
          <w:szCs w:val="22"/>
        </w:rPr>
        <w:t>Holiday pay - Irregular hours and part-year workers</w:t>
      </w:r>
      <w:r w:rsidRPr="005415E5">
        <w:rPr>
          <w:sz w:val="22"/>
          <w:szCs w:val="22"/>
        </w:rPr>
        <w:t xml:space="preserve">. Available at: </w:t>
      </w:r>
      <w:hyperlink r:id="rId12" w:tgtFrame="_new" w:history="1">
        <w:r w:rsidRPr="005415E5">
          <w:rPr>
            <w:rStyle w:val="Hyperlink"/>
            <w:sz w:val="22"/>
            <w:szCs w:val="22"/>
            <w:u w:val="none"/>
          </w:rPr>
          <w:t>https://www.acas.org.uk</w:t>
        </w:r>
      </w:hyperlink>
      <w:r w:rsidRPr="005415E5">
        <w:rPr>
          <w:sz w:val="22"/>
          <w:szCs w:val="22"/>
        </w:rPr>
        <w:t xml:space="preserve"> (Accessed: 10 May 2025).</w:t>
      </w:r>
      <w:r w:rsidRPr="005415E5">
        <w:rPr>
          <w:sz w:val="22"/>
          <w:szCs w:val="22"/>
        </w:rPr>
        <w:br/>
        <w:t xml:space="preserve">ACAS (n.d.) </w:t>
      </w:r>
      <w:r w:rsidRPr="005415E5">
        <w:rPr>
          <w:i/>
          <w:iCs/>
          <w:sz w:val="22"/>
          <w:szCs w:val="22"/>
        </w:rPr>
        <w:t>Rolled-up holiday pay - Irregular hours and part-year workers</w:t>
      </w:r>
      <w:r w:rsidRPr="005415E5">
        <w:rPr>
          <w:sz w:val="22"/>
          <w:szCs w:val="22"/>
        </w:rPr>
        <w:t xml:space="preserve">. Available at: </w:t>
      </w:r>
      <w:hyperlink r:id="rId13" w:tgtFrame="_new" w:history="1">
        <w:r w:rsidRPr="005415E5">
          <w:rPr>
            <w:rStyle w:val="Hyperlink"/>
            <w:sz w:val="22"/>
            <w:szCs w:val="22"/>
            <w:u w:val="none"/>
          </w:rPr>
          <w:t>https://www.acas.org.uk</w:t>
        </w:r>
      </w:hyperlink>
      <w:r w:rsidRPr="005415E5">
        <w:rPr>
          <w:sz w:val="22"/>
          <w:szCs w:val="22"/>
        </w:rPr>
        <w:t xml:space="preserve"> (Accessed: 10 May 2025).</w:t>
      </w:r>
      <w:r w:rsidRPr="005415E5">
        <w:rPr>
          <w:sz w:val="22"/>
          <w:szCs w:val="22"/>
        </w:rPr>
        <w:br/>
        <w:t xml:space="preserve">ACAS (n.d.) </w:t>
      </w:r>
      <w:r w:rsidRPr="005415E5">
        <w:rPr>
          <w:i/>
          <w:iCs/>
          <w:sz w:val="22"/>
          <w:szCs w:val="22"/>
        </w:rPr>
        <w:t>Understanding the Working Time Regulations - Working time rules</w:t>
      </w:r>
      <w:r w:rsidRPr="005415E5">
        <w:rPr>
          <w:sz w:val="22"/>
          <w:szCs w:val="22"/>
        </w:rPr>
        <w:t xml:space="preserve">. Available at: </w:t>
      </w:r>
      <w:hyperlink r:id="rId14" w:tgtFrame="_new" w:history="1">
        <w:r w:rsidRPr="005415E5">
          <w:rPr>
            <w:rStyle w:val="Hyperlink"/>
            <w:sz w:val="22"/>
            <w:szCs w:val="22"/>
            <w:u w:val="none"/>
          </w:rPr>
          <w:t>https://www.acas.org.uk</w:t>
        </w:r>
      </w:hyperlink>
      <w:r w:rsidRPr="005415E5">
        <w:rPr>
          <w:sz w:val="22"/>
          <w:szCs w:val="22"/>
        </w:rPr>
        <w:t xml:space="preserve"> (Accessed: 10 May 2025).</w:t>
      </w:r>
      <w:r w:rsidRPr="005415E5">
        <w:rPr>
          <w:sz w:val="22"/>
          <w:szCs w:val="22"/>
        </w:rPr>
        <w:br/>
        <w:t xml:space="preserve">CIPD (2023) </w:t>
      </w:r>
      <w:r w:rsidRPr="005415E5">
        <w:rPr>
          <w:i/>
          <w:iCs/>
          <w:sz w:val="22"/>
          <w:szCs w:val="22"/>
        </w:rPr>
        <w:t>Employment regulation and the future of work</w:t>
      </w:r>
      <w:r w:rsidRPr="005415E5">
        <w:rPr>
          <w:sz w:val="22"/>
          <w:szCs w:val="22"/>
        </w:rPr>
        <w:t xml:space="preserve">. Available at: </w:t>
      </w:r>
      <w:hyperlink r:id="rId15" w:tgtFrame="_new" w:history="1">
        <w:r w:rsidRPr="005415E5">
          <w:rPr>
            <w:rStyle w:val="Hyperlink"/>
            <w:sz w:val="22"/>
            <w:szCs w:val="22"/>
            <w:u w:val="none"/>
          </w:rPr>
          <w:t>https://www.cipd.org/uk/knowledge/reports/employment-regulation-future-work/</w:t>
        </w:r>
      </w:hyperlink>
      <w:r w:rsidRPr="005415E5">
        <w:rPr>
          <w:sz w:val="22"/>
          <w:szCs w:val="22"/>
        </w:rPr>
        <w:t xml:space="preserve"> (Accessed: 5 May 2025).</w:t>
      </w:r>
      <w:r w:rsidRPr="005415E5">
        <w:rPr>
          <w:sz w:val="22"/>
          <w:szCs w:val="22"/>
        </w:rPr>
        <w:br/>
        <w:t xml:space="preserve">CIPD (2023) </w:t>
      </w:r>
      <w:r w:rsidRPr="005415E5">
        <w:rPr>
          <w:i/>
          <w:iCs/>
          <w:sz w:val="22"/>
          <w:szCs w:val="22"/>
        </w:rPr>
        <w:t>Employment status, rights and regulation</w:t>
      </w:r>
      <w:r w:rsidRPr="005415E5">
        <w:rPr>
          <w:sz w:val="22"/>
          <w:szCs w:val="22"/>
        </w:rPr>
        <w:t xml:space="preserve">. Available at: </w:t>
      </w:r>
      <w:hyperlink r:id="rId16" w:tgtFrame="_new" w:history="1">
        <w:r w:rsidRPr="005415E5">
          <w:rPr>
            <w:rStyle w:val="Hyperlink"/>
            <w:sz w:val="22"/>
            <w:szCs w:val="22"/>
            <w:u w:val="none"/>
          </w:rPr>
          <w:t>https://www.cipd.org/uk/views-and-insights/cipd-viewpoint/employment-status-rights/</w:t>
        </w:r>
      </w:hyperlink>
      <w:r w:rsidRPr="005415E5">
        <w:rPr>
          <w:sz w:val="22"/>
          <w:szCs w:val="22"/>
        </w:rPr>
        <w:t xml:space="preserve"> (Accessed: 15 April 2025).</w:t>
      </w:r>
      <w:r w:rsidRPr="005415E5">
        <w:rPr>
          <w:sz w:val="22"/>
          <w:szCs w:val="22"/>
        </w:rPr>
        <w:br/>
        <w:t xml:space="preserve">CIPD (2024) </w:t>
      </w:r>
      <w:r w:rsidRPr="005415E5">
        <w:rPr>
          <w:i/>
          <w:iCs/>
          <w:sz w:val="22"/>
          <w:szCs w:val="22"/>
        </w:rPr>
        <w:t>Employment law after Brexit</w:t>
      </w:r>
      <w:r w:rsidRPr="005415E5">
        <w:rPr>
          <w:sz w:val="22"/>
          <w:szCs w:val="22"/>
        </w:rPr>
        <w:t xml:space="preserve">. Available at: </w:t>
      </w:r>
      <w:hyperlink r:id="rId17" w:tgtFrame="_new" w:history="1">
        <w:r w:rsidRPr="005415E5">
          <w:rPr>
            <w:rStyle w:val="Hyperlink"/>
            <w:sz w:val="22"/>
            <w:szCs w:val="22"/>
            <w:u w:val="none"/>
          </w:rPr>
          <w:t>https://www.cipd.org/uk/knowledge/employment-law/brexit/</w:t>
        </w:r>
      </w:hyperlink>
      <w:r w:rsidRPr="005415E5">
        <w:rPr>
          <w:sz w:val="22"/>
          <w:szCs w:val="22"/>
        </w:rPr>
        <w:t xml:space="preserve"> (Accessed: 10 May 2025).</w:t>
      </w:r>
      <w:r w:rsidRPr="005415E5">
        <w:rPr>
          <w:sz w:val="22"/>
          <w:szCs w:val="22"/>
        </w:rPr>
        <w:br/>
        <w:t xml:space="preserve">CIPD (2024) </w:t>
      </w:r>
      <w:r w:rsidRPr="005415E5">
        <w:rPr>
          <w:i/>
          <w:iCs/>
          <w:sz w:val="22"/>
          <w:szCs w:val="22"/>
        </w:rPr>
        <w:t>Employment tribunal claims</w:t>
      </w:r>
      <w:r w:rsidRPr="005415E5">
        <w:rPr>
          <w:sz w:val="22"/>
          <w:szCs w:val="22"/>
        </w:rPr>
        <w:t xml:space="preserve">. Available at: </w:t>
      </w:r>
      <w:hyperlink r:id="rId18" w:tgtFrame="_new" w:history="1">
        <w:r w:rsidRPr="005415E5">
          <w:rPr>
            <w:rStyle w:val="Hyperlink"/>
            <w:sz w:val="22"/>
            <w:szCs w:val="22"/>
            <w:u w:val="none"/>
          </w:rPr>
          <w:t>https://www.cipd.co.uk/knowledge/fundamentals/emp-law/tribunals-factsheet</w:t>
        </w:r>
      </w:hyperlink>
      <w:r w:rsidRPr="005415E5">
        <w:rPr>
          <w:sz w:val="22"/>
          <w:szCs w:val="22"/>
        </w:rPr>
        <w:t xml:space="preserve"> (Accessed: 30 May 2025).</w:t>
      </w:r>
      <w:r w:rsidRPr="005415E5">
        <w:rPr>
          <w:sz w:val="22"/>
          <w:szCs w:val="22"/>
        </w:rPr>
        <w:br/>
        <w:t xml:space="preserve">CIPD (2024) </w:t>
      </w:r>
      <w:r w:rsidRPr="005415E5">
        <w:rPr>
          <w:i/>
          <w:iCs/>
          <w:sz w:val="22"/>
          <w:szCs w:val="22"/>
        </w:rPr>
        <w:t>The role of employment regulation in the UK labour market</w:t>
      </w:r>
      <w:r w:rsidRPr="005415E5">
        <w:rPr>
          <w:sz w:val="22"/>
          <w:szCs w:val="22"/>
        </w:rPr>
        <w:t xml:space="preserve">. Available at: </w:t>
      </w:r>
      <w:hyperlink r:id="rId19" w:tgtFrame="_new" w:history="1">
        <w:r w:rsidRPr="005415E5">
          <w:rPr>
            <w:rStyle w:val="Hyperlink"/>
            <w:sz w:val="22"/>
            <w:szCs w:val="22"/>
            <w:u w:val="none"/>
          </w:rPr>
          <w:t>https://www.cipd.org/uk/knowledge/employment-law/</w:t>
        </w:r>
      </w:hyperlink>
      <w:r w:rsidRPr="005415E5">
        <w:rPr>
          <w:sz w:val="22"/>
          <w:szCs w:val="22"/>
        </w:rPr>
        <w:t xml:space="preserve"> (Accessed: 10 May 2025).</w:t>
      </w:r>
      <w:r w:rsidRPr="005415E5">
        <w:rPr>
          <w:sz w:val="22"/>
          <w:szCs w:val="22"/>
        </w:rPr>
        <w:br/>
        <w:t xml:space="preserve">CIPD (2024) </w:t>
      </w:r>
      <w:r w:rsidRPr="005415E5">
        <w:rPr>
          <w:i/>
          <w:iCs/>
          <w:sz w:val="22"/>
          <w:szCs w:val="22"/>
        </w:rPr>
        <w:t>TUPE (Transfer of Undertakings: Protection of Employment).</w:t>
      </w:r>
      <w:r w:rsidRPr="005415E5">
        <w:rPr>
          <w:sz w:val="22"/>
          <w:szCs w:val="22"/>
        </w:rPr>
        <w:t xml:space="preserve"> Available at: </w:t>
      </w:r>
      <w:hyperlink r:id="rId20" w:anchor="types-of-consultation" w:tgtFrame="_new" w:history="1">
        <w:r w:rsidRPr="005415E5">
          <w:rPr>
            <w:rStyle w:val="Hyperlink"/>
            <w:sz w:val="22"/>
            <w:szCs w:val="22"/>
            <w:u w:val="none"/>
          </w:rPr>
          <w:t>https://www.cipd.org/uk/knowledge/employment-law/tupe/#types-of-consultation</w:t>
        </w:r>
      </w:hyperlink>
      <w:r w:rsidRPr="005415E5">
        <w:rPr>
          <w:sz w:val="22"/>
          <w:szCs w:val="22"/>
        </w:rPr>
        <w:t xml:space="preserve"> (Accessed: 5 May 2025).</w:t>
      </w:r>
      <w:r w:rsidRPr="005415E5">
        <w:rPr>
          <w:sz w:val="22"/>
          <w:szCs w:val="22"/>
        </w:rPr>
        <w:br/>
        <w:t xml:space="preserve">CIPD (2024) </w:t>
      </w:r>
      <w:r w:rsidRPr="005415E5">
        <w:rPr>
          <w:i/>
          <w:iCs/>
          <w:sz w:val="22"/>
          <w:szCs w:val="22"/>
        </w:rPr>
        <w:t>Transfer of Undertakings (TUPE) and employee rights</w:t>
      </w:r>
      <w:r w:rsidRPr="005415E5">
        <w:rPr>
          <w:sz w:val="22"/>
          <w:szCs w:val="22"/>
        </w:rPr>
        <w:t xml:space="preserve">. Available at: </w:t>
      </w:r>
      <w:hyperlink r:id="rId21" w:tgtFrame="_new" w:history="1">
        <w:r w:rsidRPr="005415E5">
          <w:rPr>
            <w:rStyle w:val="Hyperlink"/>
            <w:sz w:val="22"/>
            <w:szCs w:val="22"/>
            <w:u w:val="none"/>
          </w:rPr>
          <w:t>https://www.cipd.co.uk/knowledge/fundamentals/emp-law/tupe/factsheet</w:t>
        </w:r>
      </w:hyperlink>
      <w:r w:rsidRPr="005415E5">
        <w:rPr>
          <w:sz w:val="22"/>
          <w:szCs w:val="22"/>
        </w:rPr>
        <w:t xml:space="preserve"> (Accessed: 30 May 2025).</w:t>
      </w:r>
      <w:r w:rsidRPr="005415E5">
        <w:rPr>
          <w:sz w:val="22"/>
          <w:szCs w:val="22"/>
        </w:rPr>
        <w:br/>
        <w:t xml:space="preserve">CIPD (n.d.) </w:t>
      </w:r>
      <w:r w:rsidRPr="005415E5">
        <w:rPr>
          <w:i/>
          <w:iCs/>
          <w:sz w:val="22"/>
          <w:szCs w:val="22"/>
        </w:rPr>
        <w:t>Equality Act 2010</w:t>
      </w:r>
      <w:r w:rsidRPr="005415E5">
        <w:rPr>
          <w:sz w:val="22"/>
          <w:szCs w:val="22"/>
        </w:rPr>
        <w:t xml:space="preserve">. Available at: </w:t>
      </w:r>
      <w:hyperlink r:id="rId22" w:tgtFrame="_new" w:history="1">
        <w:r w:rsidRPr="005415E5">
          <w:rPr>
            <w:rStyle w:val="Hyperlink"/>
            <w:sz w:val="22"/>
            <w:szCs w:val="22"/>
            <w:u w:val="none"/>
          </w:rPr>
          <w:t>https://www.cipd.co.uk</w:t>
        </w:r>
      </w:hyperlink>
      <w:r w:rsidRPr="005415E5">
        <w:rPr>
          <w:sz w:val="22"/>
          <w:szCs w:val="22"/>
        </w:rPr>
        <w:t xml:space="preserve"> (Accessed: 10 May 2025).</w:t>
      </w:r>
      <w:r w:rsidRPr="005415E5">
        <w:rPr>
          <w:sz w:val="22"/>
          <w:szCs w:val="22"/>
        </w:rPr>
        <w:br/>
        <w:t xml:space="preserve">CIPD (n.d.) </w:t>
      </w:r>
      <w:r w:rsidRPr="005415E5">
        <w:rPr>
          <w:i/>
          <w:iCs/>
          <w:sz w:val="22"/>
          <w:szCs w:val="22"/>
        </w:rPr>
        <w:t>The Role of Employment Regulation in the UK Labour Market</w:t>
      </w:r>
      <w:r w:rsidRPr="005415E5">
        <w:rPr>
          <w:sz w:val="22"/>
          <w:szCs w:val="22"/>
        </w:rPr>
        <w:t xml:space="preserve">. Available at: </w:t>
      </w:r>
      <w:hyperlink r:id="rId23" w:tgtFrame="_new" w:history="1">
        <w:r w:rsidRPr="005415E5">
          <w:rPr>
            <w:rStyle w:val="Hyperlink"/>
            <w:sz w:val="22"/>
            <w:szCs w:val="22"/>
            <w:u w:val="none"/>
          </w:rPr>
          <w:t>https://www.cipd.co.uk</w:t>
        </w:r>
      </w:hyperlink>
      <w:r w:rsidRPr="005415E5">
        <w:rPr>
          <w:sz w:val="22"/>
          <w:szCs w:val="22"/>
        </w:rPr>
        <w:t xml:space="preserve"> (Accessed: 10 May 2025).</w:t>
      </w:r>
      <w:r w:rsidRPr="005415E5">
        <w:rPr>
          <w:sz w:val="22"/>
          <w:szCs w:val="22"/>
        </w:rPr>
        <w:br/>
        <w:t xml:space="preserve">CIPDPros (n.d.) </w:t>
      </w:r>
      <w:r w:rsidRPr="005415E5">
        <w:rPr>
          <w:i/>
          <w:iCs/>
          <w:sz w:val="22"/>
          <w:szCs w:val="22"/>
        </w:rPr>
        <w:t>Evaluation of aims and objectives of employment regulation</w:t>
      </w:r>
      <w:r w:rsidRPr="005415E5">
        <w:rPr>
          <w:sz w:val="22"/>
          <w:szCs w:val="22"/>
        </w:rPr>
        <w:t xml:space="preserve">. Available at: </w:t>
      </w:r>
      <w:hyperlink r:id="rId24" w:tgtFrame="_new" w:history="1">
        <w:r w:rsidRPr="005415E5">
          <w:rPr>
            <w:rStyle w:val="Hyperlink"/>
            <w:sz w:val="22"/>
            <w:szCs w:val="22"/>
            <w:u w:val="none"/>
          </w:rPr>
          <w:t>https://cipdpros.com/evaluation-of-aims-and-objectives-of-employment-regulation</w:t>
        </w:r>
      </w:hyperlink>
      <w:r w:rsidRPr="005415E5">
        <w:rPr>
          <w:sz w:val="22"/>
          <w:szCs w:val="22"/>
        </w:rPr>
        <w:t xml:space="preserve"> (Accessed: 5 May 2025).</w:t>
      </w:r>
      <w:r w:rsidRPr="005415E5">
        <w:rPr>
          <w:sz w:val="22"/>
          <w:szCs w:val="22"/>
        </w:rPr>
        <w:br/>
      </w:r>
      <w:r w:rsidR="000D4632" w:rsidRPr="005415E5">
        <w:rPr>
          <w:rFonts w:eastAsia="Arial" w:cs="Times New Roman"/>
          <w:sz w:val="22"/>
          <w:szCs w:val="22"/>
        </w:rPr>
        <w:t xml:space="preserve">Daniels, K. (2025) </w:t>
      </w:r>
      <w:r w:rsidR="000D4632" w:rsidRPr="005415E5">
        <w:rPr>
          <w:rFonts w:eastAsia="Arial" w:cs="Times New Roman"/>
          <w:i/>
          <w:iCs/>
          <w:sz w:val="22"/>
          <w:szCs w:val="22"/>
        </w:rPr>
        <w:t>Introduction to Employment Law: Fundamentals for HR and Business Students,</w:t>
      </w:r>
      <w:r w:rsidR="000D4632" w:rsidRPr="005415E5">
        <w:rPr>
          <w:rFonts w:eastAsia="Arial" w:cs="Times New Roman"/>
          <w:sz w:val="22"/>
          <w:szCs w:val="22"/>
        </w:rPr>
        <w:t xml:space="preserve"> 7th edn. Kogan Page.</w:t>
      </w:r>
    </w:p>
    <w:p w14:paraId="2B12E3C1" w14:textId="77777777" w:rsidR="000D4632" w:rsidRPr="005415E5" w:rsidRDefault="000D4632" w:rsidP="000D4632">
      <w:pPr>
        <w:spacing w:after="0" w:line="259" w:lineRule="auto"/>
        <w:contextualSpacing/>
        <w:rPr>
          <w:rFonts w:eastAsia="Arial" w:cs="Times New Roman"/>
          <w:sz w:val="22"/>
          <w:szCs w:val="22"/>
        </w:rPr>
      </w:pPr>
      <w:r w:rsidRPr="005415E5">
        <w:rPr>
          <w:rFonts w:eastAsia="Arial" w:cs="Times New Roman"/>
          <w:sz w:val="22"/>
          <w:szCs w:val="22"/>
        </w:rPr>
        <w:t xml:space="preserve">Daniels, K. (2025) </w:t>
      </w:r>
      <w:r w:rsidRPr="005415E5">
        <w:rPr>
          <w:rFonts w:eastAsia="Arial" w:cs="Times New Roman"/>
          <w:i/>
          <w:iCs/>
          <w:sz w:val="22"/>
          <w:szCs w:val="22"/>
        </w:rPr>
        <w:t>Introduction to Employment Law,</w:t>
      </w:r>
      <w:r w:rsidRPr="005415E5">
        <w:rPr>
          <w:rFonts w:eastAsia="Arial" w:cs="Times New Roman"/>
          <w:sz w:val="22"/>
          <w:szCs w:val="22"/>
        </w:rPr>
        <w:t xml:space="preserve"> Kogan Page, pp. 132-138.</w:t>
      </w:r>
    </w:p>
    <w:p w14:paraId="172EBA2E" w14:textId="0943A461" w:rsidR="00B95AEB" w:rsidRPr="00274256" w:rsidRDefault="000D4632" w:rsidP="00274256">
      <w:pPr>
        <w:spacing w:after="0" w:line="259" w:lineRule="auto"/>
        <w:contextualSpacing/>
        <w:rPr>
          <w:rFonts w:eastAsia="Arial" w:cs="Times New Roman"/>
          <w:sz w:val="22"/>
          <w:szCs w:val="22"/>
        </w:rPr>
      </w:pPr>
      <w:r w:rsidRPr="005415E5">
        <w:rPr>
          <w:rFonts w:eastAsia="Arial" w:cs="Times New Roman"/>
          <w:sz w:val="22"/>
          <w:szCs w:val="22"/>
        </w:rPr>
        <w:t xml:space="preserve">Daniels, K. (2025) </w:t>
      </w:r>
      <w:r w:rsidRPr="005415E5">
        <w:rPr>
          <w:rFonts w:eastAsia="Arial" w:cs="Times New Roman"/>
          <w:i/>
          <w:iCs/>
          <w:sz w:val="22"/>
          <w:szCs w:val="22"/>
        </w:rPr>
        <w:t>Introduction to Employment Law,</w:t>
      </w:r>
      <w:r w:rsidRPr="005415E5">
        <w:rPr>
          <w:rFonts w:eastAsia="Arial" w:cs="Times New Roman"/>
          <w:sz w:val="22"/>
          <w:szCs w:val="22"/>
        </w:rPr>
        <w:t xml:space="preserve"> Kogan Page, p</w:t>
      </w:r>
      <w:r w:rsidR="00D37388" w:rsidRPr="005415E5">
        <w:rPr>
          <w:rFonts w:eastAsia="Arial" w:cs="Times New Roman"/>
          <w:sz w:val="22"/>
          <w:szCs w:val="22"/>
        </w:rPr>
        <w:t>p</w:t>
      </w:r>
      <w:r w:rsidR="00122332" w:rsidRPr="005415E5">
        <w:rPr>
          <w:rFonts w:eastAsia="Arial" w:cs="Times New Roman"/>
          <w:sz w:val="22"/>
          <w:szCs w:val="22"/>
        </w:rPr>
        <w:t xml:space="preserve">. </w:t>
      </w:r>
      <w:r w:rsidR="00D37388" w:rsidRPr="005415E5">
        <w:rPr>
          <w:rFonts w:eastAsia="Arial" w:cs="Times New Roman"/>
          <w:sz w:val="22"/>
          <w:szCs w:val="22"/>
        </w:rPr>
        <w:t>71-</w:t>
      </w:r>
      <w:r w:rsidRPr="005415E5">
        <w:rPr>
          <w:rFonts w:eastAsia="Arial" w:cs="Times New Roman"/>
          <w:sz w:val="22"/>
          <w:szCs w:val="22"/>
        </w:rPr>
        <w:t>72.</w:t>
      </w:r>
      <w:r w:rsidR="00B95AEB" w:rsidRPr="005415E5">
        <w:rPr>
          <w:sz w:val="22"/>
          <w:szCs w:val="22"/>
        </w:rPr>
        <w:br/>
        <w:t xml:space="preserve">Equality Act 2010, c. 15. Available at: </w:t>
      </w:r>
      <w:hyperlink r:id="rId25" w:tgtFrame="_new" w:history="1">
        <w:r w:rsidR="00B95AEB" w:rsidRPr="005415E5">
          <w:rPr>
            <w:rStyle w:val="Hyperlink"/>
            <w:sz w:val="22"/>
            <w:szCs w:val="22"/>
            <w:u w:val="none"/>
          </w:rPr>
          <w:t>https://www.legislation.gov.uk/ukpga/2010/15/contents</w:t>
        </w:r>
      </w:hyperlink>
      <w:r w:rsidR="00B95AEB" w:rsidRPr="005415E5">
        <w:rPr>
          <w:sz w:val="22"/>
          <w:szCs w:val="22"/>
        </w:rPr>
        <w:t xml:space="preserve"> (Accessed: 30 May 2025).</w:t>
      </w:r>
      <w:r w:rsidR="00B95AEB" w:rsidRPr="005415E5">
        <w:rPr>
          <w:sz w:val="22"/>
          <w:szCs w:val="22"/>
        </w:rPr>
        <w:br/>
        <w:t xml:space="preserve">GOV.UK (2024) </w:t>
      </w:r>
      <w:r w:rsidR="00B95AEB" w:rsidRPr="005415E5">
        <w:rPr>
          <w:i/>
          <w:iCs/>
          <w:sz w:val="22"/>
          <w:szCs w:val="22"/>
        </w:rPr>
        <w:t>Flexible working: Employee’s right to request</w:t>
      </w:r>
      <w:r w:rsidR="00B95AEB" w:rsidRPr="005415E5">
        <w:rPr>
          <w:sz w:val="22"/>
          <w:szCs w:val="22"/>
        </w:rPr>
        <w:t>. Available at: https://www.gov.uk/flexible-working (Accessed: 30 May 2025).</w:t>
      </w:r>
      <w:r w:rsidR="00B95AEB" w:rsidRPr="005415E5">
        <w:rPr>
          <w:sz w:val="22"/>
          <w:szCs w:val="22"/>
        </w:rPr>
        <w:br/>
        <w:t xml:space="preserve">GOV.UK (2024) </w:t>
      </w:r>
      <w:r w:rsidR="00B95AEB" w:rsidRPr="005415E5">
        <w:rPr>
          <w:i/>
          <w:iCs/>
          <w:sz w:val="22"/>
          <w:szCs w:val="22"/>
        </w:rPr>
        <w:t>Transfer of Undertakings (Protection of Employment) Regulations (TUPE</w:t>
      </w:r>
      <w:r w:rsidR="00B95AEB" w:rsidRPr="005415E5">
        <w:rPr>
          <w:sz w:val="22"/>
          <w:szCs w:val="22"/>
        </w:rPr>
        <w:t xml:space="preserve">). Available at: </w:t>
      </w:r>
      <w:hyperlink r:id="rId26" w:tgtFrame="_new" w:history="1">
        <w:r w:rsidR="00B95AEB" w:rsidRPr="005415E5">
          <w:rPr>
            <w:rStyle w:val="Hyperlink"/>
            <w:sz w:val="22"/>
            <w:szCs w:val="22"/>
            <w:u w:val="none"/>
          </w:rPr>
          <w:t>https://www.gov.uk/transfers-takeovers/tupe-your-rights</w:t>
        </w:r>
      </w:hyperlink>
      <w:r w:rsidR="00B95AEB" w:rsidRPr="005415E5">
        <w:rPr>
          <w:sz w:val="22"/>
          <w:szCs w:val="22"/>
        </w:rPr>
        <w:t xml:space="preserve"> (Accessed: 30 May 2025).</w:t>
      </w:r>
      <w:r w:rsidR="00B95AEB" w:rsidRPr="005415E5">
        <w:rPr>
          <w:sz w:val="22"/>
          <w:szCs w:val="22"/>
        </w:rPr>
        <w:br/>
        <w:t xml:space="preserve">HM Government (2023) </w:t>
      </w:r>
      <w:r w:rsidR="00B95AEB" w:rsidRPr="005415E5">
        <w:rPr>
          <w:i/>
          <w:iCs/>
          <w:sz w:val="22"/>
          <w:szCs w:val="22"/>
        </w:rPr>
        <w:t>Retained EU Law</w:t>
      </w:r>
      <w:r w:rsidR="00B95AEB" w:rsidRPr="005415E5">
        <w:rPr>
          <w:sz w:val="22"/>
          <w:szCs w:val="22"/>
        </w:rPr>
        <w:t xml:space="preserve">. Available at: </w:t>
      </w:r>
      <w:hyperlink r:id="rId27" w:tgtFrame="_new" w:history="1">
        <w:r w:rsidR="00B95AEB" w:rsidRPr="005415E5">
          <w:rPr>
            <w:rStyle w:val="Hyperlink"/>
            <w:sz w:val="22"/>
            <w:szCs w:val="22"/>
            <w:u w:val="none"/>
          </w:rPr>
          <w:t>https://www.gov.uk/government/publications/schedule-of-retained-eu-law</w:t>
        </w:r>
      </w:hyperlink>
      <w:r w:rsidR="00B95AEB" w:rsidRPr="005415E5">
        <w:rPr>
          <w:sz w:val="22"/>
          <w:szCs w:val="22"/>
        </w:rPr>
        <w:t xml:space="preserve"> (Accessed: 30 May 2025).</w:t>
      </w:r>
      <w:r w:rsidR="00B95AEB" w:rsidRPr="005415E5">
        <w:rPr>
          <w:sz w:val="22"/>
          <w:szCs w:val="22"/>
        </w:rPr>
        <w:br/>
        <w:t xml:space="preserve">HMRC (2023) </w:t>
      </w:r>
      <w:r w:rsidR="00B95AEB" w:rsidRPr="005415E5">
        <w:rPr>
          <w:i/>
          <w:iCs/>
          <w:sz w:val="22"/>
          <w:szCs w:val="22"/>
        </w:rPr>
        <w:t>Employment status for tax: guidance for employers and workers</w:t>
      </w:r>
      <w:r w:rsidR="00B95AEB" w:rsidRPr="005415E5">
        <w:rPr>
          <w:sz w:val="22"/>
          <w:szCs w:val="22"/>
        </w:rPr>
        <w:t xml:space="preserve">. Available at: </w:t>
      </w:r>
      <w:hyperlink r:id="rId28" w:tgtFrame="_new" w:history="1">
        <w:r w:rsidR="00B95AEB" w:rsidRPr="005415E5">
          <w:rPr>
            <w:rStyle w:val="Hyperlink"/>
            <w:sz w:val="22"/>
            <w:szCs w:val="22"/>
            <w:u w:val="none"/>
          </w:rPr>
          <w:t>https://www.gov.uk/guidance/employment-status-indicator</w:t>
        </w:r>
      </w:hyperlink>
      <w:r w:rsidR="00B95AEB" w:rsidRPr="005415E5">
        <w:rPr>
          <w:sz w:val="22"/>
          <w:szCs w:val="22"/>
        </w:rPr>
        <w:t xml:space="preserve"> (Accessed: 30 May 2025).</w:t>
      </w:r>
      <w:r w:rsidR="00B95AEB" w:rsidRPr="005415E5">
        <w:rPr>
          <w:sz w:val="22"/>
          <w:szCs w:val="22"/>
        </w:rPr>
        <w:br/>
        <w:t xml:space="preserve">Home Office (2023) </w:t>
      </w:r>
      <w:r w:rsidR="00B95AEB" w:rsidRPr="005415E5">
        <w:rPr>
          <w:i/>
          <w:iCs/>
          <w:sz w:val="22"/>
          <w:szCs w:val="22"/>
        </w:rPr>
        <w:t>Public Sector Equality Duty: Statutory Guidance</w:t>
      </w:r>
      <w:r w:rsidR="00B95AEB" w:rsidRPr="005415E5">
        <w:rPr>
          <w:sz w:val="22"/>
          <w:szCs w:val="22"/>
        </w:rPr>
        <w:t xml:space="preserve">. Available at: </w:t>
      </w:r>
      <w:hyperlink r:id="rId29" w:tgtFrame="_new" w:history="1">
        <w:r w:rsidR="00B95AEB" w:rsidRPr="005415E5">
          <w:rPr>
            <w:rStyle w:val="Hyperlink"/>
            <w:sz w:val="22"/>
            <w:szCs w:val="22"/>
            <w:u w:val="none"/>
          </w:rPr>
          <w:t>https://www.gov.uk/government/publications/public-sector-equality-duty-statutory-guidance</w:t>
        </w:r>
      </w:hyperlink>
      <w:r w:rsidR="00B95AEB" w:rsidRPr="005415E5">
        <w:rPr>
          <w:sz w:val="22"/>
          <w:szCs w:val="22"/>
        </w:rPr>
        <w:t xml:space="preserve"> (Accessed: 30 May 2025).</w:t>
      </w:r>
      <w:r w:rsidR="00B95AEB" w:rsidRPr="005415E5">
        <w:rPr>
          <w:sz w:val="22"/>
          <w:szCs w:val="22"/>
        </w:rPr>
        <w:br/>
        <w:t xml:space="preserve">Home Office (2023) </w:t>
      </w:r>
      <w:r w:rsidR="00B95AEB" w:rsidRPr="005415E5">
        <w:rPr>
          <w:i/>
          <w:iCs/>
          <w:sz w:val="22"/>
          <w:szCs w:val="22"/>
        </w:rPr>
        <w:t>Equality and Diversity: Occupational Requirements</w:t>
      </w:r>
      <w:r w:rsidR="00B95AEB" w:rsidRPr="005415E5">
        <w:rPr>
          <w:sz w:val="22"/>
          <w:szCs w:val="22"/>
        </w:rPr>
        <w:t>. Available at: https://www.gov.uk/guidance/equality-act-2010-guidance (Accessed: 30 May 2025).</w:t>
      </w:r>
      <w:r w:rsidR="00B95AEB" w:rsidRPr="005415E5">
        <w:rPr>
          <w:sz w:val="22"/>
          <w:szCs w:val="22"/>
        </w:rPr>
        <w:br/>
        <w:t xml:space="preserve">MMA Recruitment (2024) </w:t>
      </w:r>
      <w:r w:rsidR="00B95AEB" w:rsidRPr="005415E5">
        <w:rPr>
          <w:i/>
          <w:iCs/>
          <w:sz w:val="22"/>
          <w:szCs w:val="22"/>
        </w:rPr>
        <w:t>The role of trade unions in the NHS</w:t>
      </w:r>
      <w:r w:rsidR="00B95AEB" w:rsidRPr="005415E5">
        <w:rPr>
          <w:sz w:val="22"/>
          <w:szCs w:val="22"/>
        </w:rPr>
        <w:t xml:space="preserve">. Available at: </w:t>
      </w:r>
      <w:hyperlink r:id="rId30" w:tgtFrame="_new" w:history="1">
        <w:r w:rsidR="00B95AEB" w:rsidRPr="005415E5">
          <w:rPr>
            <w:rStyle w:val="Hyperlink"/>
            <w:sz w:val="22"/>
            <w:szCs w:val="22"/>
            <w:u w:val="none"/>
          </w:rPr>
          <w:t>https://mmarecruitment.com/the-role-of-national-health-service-unions</w:t>
        </w:r>
      </w:hyperlink>
      <w:r w:rsidR="00B95AEB" w:rsidRPr="005415E5">
        <w:rPr>
          <w:sz w:val="22"/>
          <w:szCs w:val="22"/>
        </w:rPr>
        <w:t xml:space="preserve"> (Accessed: 5 May 2025).</w:t>
      </w:r>
      <w:r w:rsidR="00B95AEB" w:rsidRPr="005415E5">
        <w:rPr>
          <w:sz w:val="22"/>
          <w:szCs w:val="22"/>
        </w:rPr>
        <w:br/>
        <w:t xml:space="preserve">MMA Recruitment (2024) </w:t>
      </w:r>
      <w:r w:rsidR="00B95AEB" w:rsidRPr="005415E5">
        <w:rPr>
          <w:i/>
          <w:iCs/>
          <w:sz w:val="22"/>
          <w:szCs w:val="22"/>
        </w:rPr>
        <w:t>The Role of Trade Unions in the NHS</w:t>
      </w:r>
      <w:r w:rsidR="00B95AEB" w:rsidRPr="005415E5">
        <w:rPr>
          <w:sz w:val="22"/>
          <w:szCs w:val="22"/>
        </w:rPr>
        <w:t xml:space="preserve">. Available at: </w:t>
      </w:r>
      <w:hyperlink r:id="rId31" w:tgtFrame="_new" w:history="1">
        <w:r w:rsidR="00B95AEB" w:rsidRPr="005415E5">
          <w:rPr>
            <w:rStyle w:val="Hyperlink"/>
            <w:sz w:val="22"/>
            <w:szCs w:val="22"/>
            <w:u w:val="none"/>
          </w:rPr>
          <w:t>https://mma-recruitment.co.uk/blog/trade-unions-in-the-nhs/</w:t>
        </w:r>
      </w:hyperlink>
      <w:r w:rsidR="00B95AEB" w:rsidRPr="005415E5">
        <w:rPr>
          <w:sz w:val="22"/>
          <w:szCs w:val="22"/>
        </w:rPr>
        <w:t xml:space="preserve"> (Accessed: 30 May 2025).</w:t>
      </w:r>
      <w:r w:rsidR="00B95AEB" w:rsidRPr="005415E5">
        <w:rPr>
          <w:sz w:val="22"/>
          <w:szCs w:val="22"/>
        </w:rPr>
        <w:br/>
        <w:t xml:space="preserve">NHS Employers (2023) </w:t>
      </w:r>
      <w:r w:rsidR="00B95AEB" w:rsidRPr="005415E5">
        <w:rPr>
          <w:i/>
          <w:iCs/>
          <w:sz w:val="22"/>
          <w:szCs w:val="22"/>
        </w:rPr>
        <w:t>Managing working hours and contracts</w:t>
      </w:r>
      <w:r w:rsidR="00B95AEB" w:rsidRPr="005415E5">
        <w:rPr>
          <w:sz w:val="22"/>
          <w:szCs w:val="22"/>
        </w:rPr>
        <w:t xml:space="preserve">. Available at: </w:t>
      </w:r>
      <w:hyperlink r:id="rId32" w:tgtFrame="_new" w:history="1">
        <w:r w:rsidR="00B95AEB" w:rsidRPr="005415E5">
          <w:rPr>
            <w:rStyle w:val="Hyperlink"/>
            <w:sz w:val="22"/>
            <w:szCs w:val="22"/>
            <w:u w:val="none"/>
          </w:rPr>
          <w:t>https://www.nhsemployers.org/articles/managing-working-hours</w:t>
        </w:r>
      </w:hyperlink>
      <w:r w:rsidR="00B95AEB" w:rsidRPr="005415E5">
        <w:rPr>
          <w:sz w:val="22"/>
          <w:szCs w:val="22"/>
        </w:rPr>
        <w:t xml:space="preserve"> (Accessed: 30 May 2025).</w:t>
      </w:r>
      <w:r w:rsidR="00B95AEB" w:rsidRPr="005415E5">
        <w:rPr>
          <w:sz w:val="22"/>
          <w:szCs w:val="22"/>
        </w:rPr>
        <w:br/>
        <w:t xml:space="preserve">Taylor, S. and Woodham, C. (2022) </w:t>
      </w:r>
      <w:r w:rsidR="00B95AEB" w:rsidRPr="005415E5">
        <w:rPr>
          <w:i/>
          <w:iCs/>
          <w:sz w:val="22"/>
          <w:szCs w:val="22"/>
        </w:rPr>
        <w:t>Exploring Employee Relations</w:t>
      </w:r>
      <w:r w:rsidR="00B95AEB" w:rsidRPr="005415E5">
        <w:rPr>
          <w:sz w:val="22"/>
          <w:szCs w:val="22"/>
        </w:rPr>
        <w:t>. 5th edn. London &amp; New York: Kogan Page.</w:t>
      </w:r>
      <w:r w:rsidR="00B95AEB" w:rsidRPr="005415E5">
        <w:rPr>
          <w:sz w:val="22"/>
          <w:szCs w:val="22"/>
        </w:rPr>
        <w:br/>
        <w:t xml:space="preserve">Taylor, S. and Woodham, C. (2022) </w:t>
      </w:r>
      <w:r w:rsidR="00B95AEB" w:rsidRPr="005415E5">
        <w:rPr>
          <w:i/>
          <w:iCs/>
          <w:sz w:val="22"/>
          <w:szCs w:val="22"/>
        </w:rPr>
        <w:t>Studying Human Resources Management: A guide to the study of context and practice of HR</w:t>
      </w:r>
      <w:r w:rsidR="00B95AEB" w:rsidRPr="005415E5">
        <w:rPr>
          <w:sz w:val="22"/>
          <w:szCs w:val="22"/>
        </w:rPr>
        <w:t>. 3rd edn. London &amp; New York: Kogan Page.</w:t>
      </w:r>
    </w:p>
    <w:p w14:paraId="391BCA2D" w14:textId="77777777" w:rsidR="00CE5FF1" w:rsidRDefault="00CE5FF1"/>
    <w:sectPr w:rsidR="00CE5FF1" w:rsidSect="00650B7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A50F2E"/>
    <w:multiLevelType w:val="multilevel"/>
    <w:tmpl w:val="33443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4C67D1"/>
    <w:multiLevelType w:val="multilevel"/>
    <w:tmpl w:val="083C6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3F7997"/>
    <w:multiLevelType w:val="multilevel"/>
    <w:tmpl w:val="B8D8E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9D06B1"/>
    <w:multiLevelType w:val="multilevel"/>
    <w:tmpl w:val="AD70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1029A1"/>
    <w:multiLevelType w:val="multilevel"/>
    <w:tmpl w:val="8772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195B6A"/>
    <w:multiLevelType w:val="multilevel"/>
    <w:tmpl w:val="930E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A95823"/>
    <w:multiLevelType w:val="multilevel"/>
    <w:tmpl w:val="134C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F22340"/>
    <w:multiLevelType w:val="multilevel"/>
    <w:tmpl w:val="2C3C8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E50026"/>
    <w:multiLevelType w:val="multilevel"/>
    <w:tmpl w:val="DC6A8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F9754B"/>
    <w:multiLevelType w:val="multilevel"/>
    <w:tmpl w:val="2FB21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A22CEF"/>
    <w:multiLevelType w:val="multilevel"/>
    <w:tmpl w:val="F4C82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BA4353"/>
    <w:multiLevelType w:val="multilevel"/>
    <w:tmpl w:val="09FEC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4E00BA"/>
    <w:multiLevelType w:val="multilevel"/>
    <w:tmpl w:val="29808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B80F58"/>
    <w:multiLevelType w:val="multilevel"/>
    <w:tmpl w:val="BF221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D2B21FA"/>
    <w:multiLevelType w:val="multilevel"/>
    <w:tmpl w:val="3EF6D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2469AC"/>
    <w:multiLevelType w:val="multilevel"/>
    <w:tmpl w:val="8E548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512226">
    <w:abstractNumId w:val="4"/>
  </w:num>
  <w:num w:numId="2" w16cid:durableId="719477286">
    <w:abstractNumId w:val="6"/>
  </w:num>
  <w:num w:numId="3" w16cid:durableId="504201141">
    <w:abstractNumId w:val="3"/>
  </w:num>
  <w:num w:numId="4" w16cid:durableId="1157185094">
    <w:abstractNumId w:val="0"/>
  </w:num>
  <w:num w:numId="5" w16cid:durableId="1057972292">
    <w:abstractNumId w:val="2"/>
  </w:num>
  <w:num w:numId="6" w16cid:durableId="2050257252">
    <w:abstractNumId w:val="10"/>
  </w:num>
  <w:num w:numId="7" w16cid:durableId="1547329034">
    <w:abstractNumId w:val="5"/>
  </w:num>
  <w:num w:numId="8" w16cid:durableId="1891578304">
    <w:abstractNumId w:val="14"/>
  </w:num>
  <w:num w:numId="9" w16cid:durableId="1912883682">
    <w:abstractNumId w:val="9"/>
  </w:num>
  <w:num w:numId="10" w16cid:durableId="875699804">
    <w:abstractNumId w:val="15"/>
  </w:num>
  <w:num w:numId="11" w16cid:durableId="1128626274">
    <w:abstractNumId w:val="12"/>
  </w:num>
  <w:num w:numId="12" w16cid:durableId="1415467766">
    <w:abstractNumId w:val="8"/>
  </w:num>
  <w:num w:numId="13" w16cid:durableId="1578513768">
    <w:abstractNumId w:val="13"/>
  </w:num>
  <w:num w:numId="14" w16cid:durableId="426387347">
    <w:abstractNumId w:val="11"/>
  </w:num>
  <w:num w:numId="15" w16cid:durableId="1674524740">
    <w:abstractNumId w:val="1"/>
  </w:num>
  <w:num w:numId="16" w16cid:durableId="11666305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B76"/>
    <w:rsid w:val="0004361C"/>
    <w:rsid w:val="00050091"/>
    <w:rsid w:val="000A7BD2"/>
    <w:rsid w:val="000C5DE4"/>
    <w:rsid w:val="000D2D33"/>
    <w:rsid w:val="000D4632"/>
    <w:rsid w:val="000F38F6"/>
    <w:rsid w:val="00104FDD"/>
    <w:rsid w:val="001213AC"/>
    <w:rsid w:val="00122332"/>
    <w:rsid w:val="00153BF2"/>
    <w:rsid w:val="001553EE"/>
    <w:rsid w:val="00157B62"/>
    <w:rsid w:val="00172BF9"/>
    <w:rsid w:val="001B6A3C"/>
    <w:rsid w:val="001C7C8D"/>
    <w:rsid w:val="001D1921"/>
    <w:rsid w:val="001D4B39"/>
    <w:rsid w:val="001E199B"/>
    <w:rsid w:val="001E2BFE"/>
    <w:rsid w:val="001E542F"/>
    <w:rsid w:val="001E6ECF"/>
    <w:rsid w:val="001F1F0A"/>
    <w:rsid w:val="00213A24"/>
    <w:rsid w:val="00250DAB"/>
    <w:rsid w:val="00271A81"/>
    <w:rsid w:val="00274256"/>
    <w:rsid w:val="002A022D"/>
    <w:rsid w:val="002A2382"/>
    <w:rsid w:val="002B45A0"/>
    <w:rsid w:val="002E5610"/>
    <w:rsid w:val="002F11B3"/>
    <w:rsid w:val="002F7446"/>
    <w:rsid w:val="00331F98"/>
    <w:rsid w:val="003432DD"/>
    <w:rsid w:val="00357BDE"/>
    <w:rsid w:val="00373148"/>
    <w:rsid w:val="003772CA"/>
    <w:rsid w:val="003941B3"/>
    <w:rsid w:val="003A566A"/>
    <w:rsid w:val="003B7028"/>
    <w:rsid w:val="003C6BB7"/>
    <w:rsid w:val="003D6748"/>
    <w:rsid w:val="003F0935"/>
    <w:rsid w:val="003F7455"/>
    <w:rsid w:val="003F78DB"/>
    <w:rsid w:val="0040390B"/>
    <w:rsid w:val="00424548"/>
    <w:rsid w:val="00433EBD"/>
    <w:rsid w:val="004611B7"/>
    <w:rsid w:val="00482404"/>
    <w:rsid w:val="004850E2"/>
    <w:rsid w:val="004933CA"/>
    <w:rsid w:val="004F2BD9"/>
    <w:rsid w:val="004F643E"/>
    <w:rsid w:val="004F7D4F"/>
    <w:rsid w:val="00521117"/>
    <w:rsid w:val="005415E5"/>
    <w:rsid w:val="00564FAE"/>
    <w:rsid w:val="00584731"/>
    <w:rsid w:val="005A601D"/>
    <w:rsid w:val="005B195B"/>
    <w:rsid w:val="005C0527"/>
    <w:rsid w:val="005E0BBF"/>
    <w:rsid w:val="00604F15"/>
    <w:rsid w:val="006310A4"/>
    <w:rsid w:val="00650B76"/>
    <w:rsid w:val="00663DC5"/>
    <w:rsid w:val="00695247"/>
    <w:rsid w:val="00696A73"/>
    <w:rsid w:val="006A04E6"/>
    <w:rsid w:val="006C2ACB"/>
    <w:rsid w:val="006D0418"/>
    <w:rsid w:val="006E05CD"/>
    <w:rsid w:val="006E7E3F"/>
    <w:rsid w:val="006F46F9"/>
    <w:rsid w:val="00700113"/>
    <w:rsid w:val="00700FB4"/>
    <w:rsid w:val="00765FF6"/>
    <w:rsid w:val="00781AB7"/>
    <w:rsid w:val="00785C77"/>
    <w:rsid w:val="00786E13"/>
    <w:rsid w:val="007A629B"/>
    <w:rsid w:val="007C5178"/>
    <w:rsid w:val="007E3AA4"/>
    <w:rsid w:val="007F1963"/>
    <w:rsid w:val="00801534"/>
    <w:rsid w:val="00832BC2"/>
    <w:rsid w:val="0083402D"/>
    <w:rsid w:val="008D29A5"/>
    <w:rsid w:val="00933239"/>
    <w:rsid w:val="009340B9"/>
    <w:rsid w:val="00945419"/>
    <w:rsid w:val="00983250"/>
    <w:rsid w:val="00983AE0"/>
    <w:rsid w:val="009B3F14"/>
    <w:rsid w:val="009C0328"/>
    <w:rsid w:val="009C138E"/>
    <w:rsid w:val="009C7DAE"/>
    <w:rsid w:val="009D31DC"/>
    <w:rsid w:val="00A210D5"/>
    <w:rsid w:val="00A73744"/>
    <w:rsid w:val="00A76A73"/>
    <w:rsid w:val="00AA2105"/>
    <w:rsid w:val="00AA3EC1"/>
    <w:rsid w:val="00AB526D"/>
    <w:rsid w:val="00AC5680"/>
    <w:rsid w:val="00AE3C5C"/>
    <w:rsid w:val="00AE3EC2"/>
    <w:rsid w:val="00AE7EBB"/>
    <w:rsid w:val="00B145ED"/>
    <w:rsid w:val="00B22B6C"/>
    <w:rsid w:val="00B33B5B"/>
    <w:rsid w:val="00B47D40"/>
    <w:rsid w:val="00B6268A"/>
    <w:rsid w:val="00B95AEB"/>
    <w:rsid w:val="00BC0B0F"/>
    <w:rsid w:val="00BE5267"/>
    <w:rsid w:val="00C00D5F"/>
    <w:rsid w:val="00C21F2F"/>
    <w:rsid w:val="00C31015"/>
    <w:rsid w:val="00C51DD2"/>
    <w:rsid w:val="00C64A9E"/>
    <w:rsid w:val="00C76297"/>
    <w:rsid w:val="00CB3A0F"/>
    <w:rsid w:val="00CD7AC2"/>
    <w:rsid w:val="00CE5FF1"/>
    <w:rsid w:val="00D133EC"/>
    <w:rsid w:val="00D33BF3"/>
    <w:rsid w:val="00D37388"/>
    <w:rsid w:val="00D5064D"/>
    <w:rsid w:val="00D51DD7"/>
    <w:rsid w:val="00D65167"/>
    <w:rsid w:val="00D83310"/>
    <w:rsid w:val="00DE2DDA"/>
    <w:rsid w:val="00DE5FF1"/>
    <w:rsid w:val="00DF4BEE"/>
    <w:rsid w:val="00DF602D"/>
    <w:rsid w:val="00E03862"/>
    <w:rsid w:val="00E202A2"/>
    <w:rsid w:val="00E317A7"/>
    <w:rsid w:val="00E51FA8"/>
    <w:rsid w:val="00E56AB5"/>
    <w:rsid w:val="00E60884"/>
    <w:rsid w:val="00E63917"/>
    <w:rsid w:val="00E72E48"/>
    <w:rsid w:val="00E81997"/>
    <w:rsid w:val="00EE6D4E"/>
    <w:rsid w:val="00F17560"/>
    <w:rsid w:val="00F26700"/>
    <w:rsid w:val="00F541D4"/>
    <w:rsid w:val="00F70BCE"/>
    <w:rsid w:val="00F922F7"/>
    <w:rsid w:val="00FB21D9"/>
    <w:rsid w:val="00FB351C"/>
    <w:rsid w:val="00FD7452"/>
    <w:rsid w:val="00FF3444"/>
    <w:rsid w:val="06E3A121"/>
    <w:rsid w:val="06F77FC1"/>
    <w:rsid w:val="2313D093"/>
    <w:rsid w:val="233D3F79"/>
    <w:rsid w:val="27424784"/>
    <w:rsid w:val="2924C268"/>
    <w:rsid w:val="3238422A"/>
    <w:rsid w:val="37C3FE2A"/>
    <w:rsid w:val="3B3D35EB"/>
    <w:rsid w:val="40033DE8"/>
    <w:rsid w:val="49B2148D"/>
    <w:rsid w:val="4B06A4F9"/>
    <w:rsid w:val="67331FC1"/>
    <w:rsid w:val="698520FB"/>
    <w:rsid w:val="6E43EAC4"/>
    <w:rsid w:val="753C25B5"/>
    <w:rsid w:val="7A16DABC"/>
    <w:rsid w:val="7A310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519E7"/>
  <w15:chartTrackingRefBased/>
  <w15:docId w15:val="{DA9741FB-483E-4888-99CC-8C511E316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B76"/>
  </w:style>
  <w:style w:type="paragraph" w:styleId="Heading1">
    <w:name w:val="heading 1"/>
    <w:basedOn w:val="Normal"/>
    <w:next w:val="Normal"/>
    <w:link w:val="Heading1Char"/>
    <w:uiPriority w:val="9"/>
    <w:qFormat/>
    <w:rsid w:val="00650B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0B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B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B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B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B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B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B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B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B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0B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B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B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B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B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B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B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B76"/>
    <w:rPr>
      <w:rFonts w:eastAsiaTheme="majorEastAsia" w:cstheme="majorBidi"/>
      <w:color w:val="272727" w:themeColor="text1" w:themeTint="D8"/>
    </w:rPr>
  </w:style>
  <w:style w:type="paragraph" w:styleId="Title">
    <w:name w:val="Title"/>
    <w:basedOn w:val="Normal"/>
    <w:next w:val="Normal"/>
    <w:link w:val="TitleChar"/>
    <w:uiPriority w:val="10"/>
    <w:qFormat/>
    <w:rsid w:val="00650B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B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B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B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B76"/>
    <w:pPr>
      <w:spacing w:before="160"/>
      <w:jc w:val="center"/>
    </w:pPr>
    <w:rPr>
      <w:i/>
      <w:iCs/>
      <w:color w:val="404040" w:themeColor="text1" w:themeTint="BF"/>
    </w:rPr>
  </w:style>
  <w:style w:type="character" w:customStyle="1" w:styleId="QuoteChar">
    <w:name w:val="Quote Char"/>
    <w:basedOn w:val="DefaultParagraphFont"/>
    <w:link w:val="Quote"/>
    <w:uiPriority w:val="29"/>
    <w:rsid w:val="00650B76"/>
    <w:rPr>
      <w:i/>
      <w:iCs/>
      <w:color w:val="404040" w:themeColor="text1" w:themeTint="BF"/>
    </w:rPr>
  </w:style>
  <w:style w:type="paragraph" w:styleId="ListParagraph">
    <w:name w:val="List Paragraph"/>
    <w:basedOn w:val="Normal"/>
    <w:uiPriority w:val="34"/>
    <w:qFormat/>
    <w:rsid w:val="00650B76"/>
    <w:pPr>
      <w:ind w:left="720"/>
      <w:contextualSpacing/>
    </w:pPr>
  </w:style>
  <w:style w:type="character" w:styleId="IntenseEmphasis">
    <w:name w:val="Intense Emphasis"/>
    <w:basedOn w:val="DefaultParagraphFont"/>
    <w:uiPriority w:val="21"/>
    <w:qFormat/>
    <w:rsid w:val="00650B76"/>
    <w:rPr>
      <w:i/>
      <w:iCs/>
      <w:color w:val="0F4761" w:themeColor="accent1" w:themeShade="BF"/>
    </w:rPr>
  </w:style>
  <w:style w:type="paragraph" w:styleId="IntenseQuote">
    <w:name w:val="Intense Quote"/>
    <w:basedOn w:val="Normal"/>
    <w:next w:val="Normal"/>
    <w:link w:val="IntenseQuoteChar"/>
    <w:uiPriority w:val="30"/>
    <w:qFormat/>
    <w:rsid w:val="00650B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B76"/>
    <w:rPr>
      <w:i/>
      <w:iCs/>
      <w:color w:val="0F4761" w:themeColor="accent1" w:themeShade="BF"/>
    </w:rPr>
  </w:style>
  <w:style w:type="character" w:styleId="IntenseReference">
    <w:name w:val="Intense Reference"/>
    <w:basedOn w:val="DefaultParagraphFont"/>
    <w:uiPriority w:val="32"/>
    <w:qFormat/>
    <w:rsid w:val="00650B76"/>
    <w:rPr>
      <w:b/>
      <w:bCs/>
      <w:smallCaps/>
      <w:color w:val="0F4761" w:themeColor="accent1" w:themeShade="BF"/>
      <w:spacing w:val="5"/>
    </w:rPr>
  </w:style>
  <w:style w:type="character" w:styleId="Hyperlink">
    <w:name w:val="Hyperlink"/>
    <w:basedOn w:val="DefaultParagraphFont"/>
    <w:uiPriority w:val="99"/>
    <w:unhideWhenUsed/>
    <w:rsid w:val="00650B76"/>
    <w:rPr>
      <w:color w:val="467886" w:themeColor="hyperlink"/>
      <w:u w:val="single"/>
    </w:rPr>
  </w:style>
  <w:style w:type="paragraph" w:customStyle="1" w:styleId="Body">
    <w:name w:val="Body"/>
    <w:rsid w:val="00650B76"/>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1E19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2841">
      <w:bodyDiv w:val="1"/>
      <w:marLeft w:val="0"/>
      <w:marRight w:val="0"/>
      <w:marTop w:val="0"/>
      <w:marBottom w:val="0"/>
      <w:divBdr>
        <w:top w:val="none" w:sz="0" w:space="0" w:color="auto"/>
        <w:left w:val="none" w:sz="0" w:space="0" w:color="auto"/>
        <w:bottom w:val="none" w:sz="0" w:space="0" w:color="auto"/>
        <w:right w:val="none" w:sz="0" w:space="0" w:color="auto"/>
      </w:divBdr>
    </w:div>
    <w:div w:id="11222107">
      <w:bodyDiv w:val="1"/>
      <w:marLeft w:val="0"/>
      <w:marRight w:val="0"/>
      <w:marTop w:val="0"/>
      <w:marBottom w:val="0"/>
      <w:divBdr>
        <w:top w:val="none" w:sz="0" w:space="0" w:color="auto"/>
        <w:left w:val="none" w:sz="0" w:space="0" w:color="auto"/>
        <w:bottom w:val="none" w:sz="0" w:space="0" w:color="auto"/>
        <w:right w:val="none" w:sz="0" w:space="0" w:color="auto"/>
      </w:divBdr>
    </w:div>
    <w:div w:id="17002771">
      <w:bodyDiv w:val="1"/>
      <w:marLeft w:val="0"/>
      <w:marRight w:val="0"/>
      <w:marTop w:val="0"/>
      <w:marBottom w:val="0"/>
      <w:divBdr>
        <w:top w:val="none" w:sz="0" w:space="0" w:color="auto"/>
        <w:left w:val="none" w:sz="0" w:space="0" w:color="auto"/>
        <w:bottom w:val="none" w:sz="0" w:space="0" w:color="auto"/>
        <w:right w:val="none" w:sz="0" w:space="0" w:color="auto"/>
      </w:divBdr>
    </w:div>
    <w:div w:id="25644436">
      <w:bodyDiv w:val="1"/>
      <w:marLeft w:val="0"/>
      <w:marRight w:val="0"/>
      <w:marTop w:val="0"/>
      <w:marBottom w:val="0"/>
      <w:divBdr>
        <w:top w:val="none" w:sz="0" w:space="0" w:color="auto"/>
        <w:left w:val="none" w:sz="0" w:space="0" w:color="auto"/>
        <w:bottom w:val="none" w:sz="0" w:space="0" w:color="auto"/>
        <w:right w:val="none" w:sz="0" w:space="0" w:color="auto"/>
      </w:divBdr>
    </w:div>
    <w:div w:id="86586725">
      <w:bodyDiv w:val="1"/>
      <w:marLeft w:val="0"/>
      <w:marRight w:val="0"/>
      <w:marTop w:val="0"/>
      <w:marBottom w:val="0"/>
      <w:divBdr>
        <w:top w:val="none" w:sz="0" w:space="0" w:color="auto"/>
        <w:left w:val="none" w:sz="0" w:space="0" w:color="auto"/>
        <w:bottom w:val="none" w:sz="0" w:space="0" w:color="auto"/>
        <w:right w:val="none" w:sz="0" w:space="0" w:color="auto"/>
      </w:divBdr>
    </w:div>
    <w:div w:id="116457841">
      <w:bodyDiv w:val="1"/>
      <w:marLeft w:val="0"/>
      <w:marRight w:val="0"/>
      <w:marTop w:val="0"/>
      <w:marBottom w:val="0"/>
      <w:divBdr>
        <w:top w:val="none" w:sz="0" w:space="0" w:color="auto"/>
        <w:left w:val="none" w:sz="0" w:space="0" w:color="auto"/>
        <w:bottom w:val="none" w:sz="0" w:space="0" w:color="auto"/>
        <w:right w:val="none" w:sz="0" w:space="0" w:color="auto"/>
      </w:divBdr>
    </w:div>
    <w:div w:id="159004105">
      <w:bodyDiv w:val="1"/>
      <w:marLeft w:val="0"/>
      <w:marRight w:val="0"/>
      <w:marTop w:val="0"/>
      <w:marBottom w:val="0"/>
      <w:divBdr>
        <w:top w:val="none" w:sz="0" w:space="0" w:color="auto"/>
        <w:left w:val="none" w:sz="0" w:space="0" w:color="auto"/>
        <w:bottom w:val="none" w:sz="0" w:space="0" w:color="auto"/>
        <w:right w:val="none" w:sz="0" w:space="0" w:color="auto"/>
      </w:divBdr>
    </w:div>
    <w:div w:id="163207832">
      <w:bodyDiv w:val="1"/>
      <w:marLeft w:val="0"/>
      <w:marRight w:val="0"/>
      <w:marTop w:val="0"/>
      <w:marBottom w:val="0"/>
      <w:divBdr>
        <w:top w:val="none" w:sz="0" w:space="0" w:color="auto"/>
        <w:left w:val="none" w:sz="0" w:space="0" w:color="auto"/>
        <w:bottom w:val="none" w:sz="0" w:space="0" w:color="auto"/>
        <w:right w:val="none" w:sz="0" w:space="0" w:color="auto"/>
      </w:divBdr>
    </w:div>
    <w:div w:id="164246886">
      <w:bodyDiv w:val="1"/>
      <w:marLeft w:val="0"/>
      <w:marRight w:val="0"/>
      <w:marTop w:val="0"/>
      <w:marBottom w:val="0"/>
      <w:divBdr>
        <w:top w:val="none" w:sz="0" w:space="0" w:color="auto"/>
        <w:left w:val="none" w:sz="0" w:space="0" w:color="auto"/>
        <w:bottom w:val="none" w:sz="0" w:space="0" w:color="auto"/>
        <w:right w:val="none" w:sz="0" w:space="0" w:color="auto"/>
      </w:divBdr>
    </w:div>
    <w:div w:id="170801280">
      <w:bodyDiv w:val="1"/>
      <w:marLeft w:val="0"/>
      <w:marRight w:val="0"/>
      <w:marTop w:val="0"/>
      <w:marBottom w:val="0"/>
      <w:divBdr>
        <w:top w:val="none" w:sz="0" w:space="0" w:color="auto"/>
        <w:left w:val="none" w:sz="0" w:space="0" w:color="auto"/>
        <w:bottom w:val="none" w:sz="0" w:space="0" w:color="auto"/>
        <w:right w:val="none" w:sz="0" w:space="0" w:color="auto"/>
      </w:divBdr>
    </w:div>
    <w:div w:id="184291130">
      <w:bodyDiv w:val="1"/>
      <w:marLeft w:val="0"/>
      <w:marRight w:val="0"/>
      <w:marTop w:val="0"/>
      <w:marBottom w:val="0"/>
      <w:divBdr>
        <w:top w:val="none" w:sz="0" w:space="0" w:color="auto"/>
        <w:left w:val="none" w:sz="0" w:space="0" w:color="auto"/>
        <w:bottom w:val="none" w:sz="0" w:space="0" w:color="auto"/>
        <w:right w:val="none" w:sz="0" w:space="0" w:color="auto"/>
      </w:divBdr>
    </w:div>
    <w:div w:id="196935730">
      <w:bodyDiv w:val="1"/>
      <w:marLeft w:val="0"/>
      <w:marRight w:val="0"/>
      <w:marTop w:val="0"/>
      <w:marBottom w:val="0"/>
      <w:divBdr>
        <w:top w:val="none" w:sz="0" w:space="0" w:color="auto"/>
        <w:left w:val="none" w:sz="0" w:space="0" w:color="auto"/>
        <w:bottom w:val="none" w:sz="0" w:space="0" w:color="auto"/>
        <w:right w:val="none" w:sz="0" w:space="0" w:color="auto"/>
      </w:divBdr>
    </w:div>
    <w:div w:id="219631654">
      <w:bodyDiv w:val="1"/>
      <w:marLeft w:val="0"/>
      <w:marRight w:val="0"/>
      <w:marTop w:val="0"/>
      <w:marBottom w:val="0"/>
      <w:divBdr>
        <w:top w:val="none" w:sz="0" w:space="0" w:color="auto"/>
        <w:left w:val="none" w:sz="0" w:space="0" w:color="auto"/>
        <w:bottom w:val="none" w:sz="0" w:space="0" w:color="auto"/>
        <w:right w:val="none" w:sz="0" w:space="0" w:color="auto"/>
      </w:divBdr>
    </w:div>
    <w:div w:id="232013917">
      <w:bodyDiv w:val="1"/>
      <w:marLeft w:val="0"/>
      <w:marRight w:val="0"/>
      <w:marTop w:val="0"/>
      <w:marBottom w:val="0"/>
      <w:divBdr>
        <w:top w:val="none" w:sz="0" w:space="0" w:color="auto"/>
        <w:left w:val="none" w:sz="0" w:space="0" w:color="auto"/>
        <w:bottom w:val="none" w:sz="0" w:space="0" w:color="auto"/>
        <w:right w:val="none" w:sz="0" w:space="0" w:color="auto"/>
      </w:divBdr>
    </w:div>
    <w:div w:id="263996492">
      <w:bodyDiv w:val="1"/>
      <w:marLeft w:val="0"/>
      <w:marRight w:val="0"/>
      <w:marTop w:val="0"/>
      <w:marBottom w:val="0"/>
      <w:divBdr>
        <w:top w:val="none" w:sz="0" w:space="0" w:color="auto"/>
        <w:left w:val="none" w:sz="0" w:space="0" w:color="auto"/>
        <w:bottom w:val="none" w:sz="0" w:space="0" w:color="auto"/>
        <w:right w:val="none" w:sz="0" w:space="0" w:color="auto"/>
      </w:divBdr>
    </w:div>
    <w:div w:id="265384645">
      <w:bodyDiv w:val="1"/>
      <w:marLeft w:val="0"/>
      <w:marRight w:val="0"/>
      <w:marTop w:val="0"/>
      <w:marBottom w:val="0"/>
      <w:divBdr>
        <w:top w:val="none" w:sz="0" w:space="0" w:color="auto"/>
        <w:left w:val="none" w:sz="0" w:space="0" w:color="auto"/>
        <w:bottom w:val="none" w:sz="0" w:space="0" w:color="auto"/>
        <w:right w:val="none" w:sz="0" w:space="0" w:color="auto"/>
      </w:divBdr>
    </w:div>
    <w:div w:id="296842033">
      <w:bodyDiv w:val="1"/>
      <w:marLeft w:val="0"/>
      <w:marRight w:val="0"/>
      <w:marTop w:val="0"/>
      <w:marBottom w:val="0"/>
      <w:divBdr>
        <w:top w:val="none" w:sz="0" w:space="0" w:color="auto"/>
        <w:left w:val="none" w:sz="0" w:space="0" w:color="auto"/>
        <w:bottom w:val="none" w:sz="0" w:space="0" w:color="auto"/>
        <w:right w:val="none" w:sz="0" w:space="0" w:color="auto"/>
      </w:divBdr>
    </w:div>
    <w:div w:id="310791245">
      <w:bodyDiv w:val="1"/>
      <w:marLeft w:val="0"/>
      <w:marRight w:val="0"/>
      <w:marTop w:val="0"/>
      <w:marBottom w:val="0"/>
      <w:divBdr>
        <w:top w:val="none" w:sz="0" w:space="0" w:color="auto"/>
        <w:left w:val="none" w:sz="0" w:space="0" w:color="auto"/>
        <w:bottom w:val="none" w:sz="0" w:space="0" w:color="auto"/>
        <w:right w:val="none" w:sz="0" w:space="0" w:color="auto"/>
      </w:divBdr>
    </w:div>
    <w:div w:id="360206000">
      <w:bodyDiv w:val="1"/>
      <w:marLeft w:val="0"/>
      <w:marRight w:val="0"/>
      <w:marTop w:val="0"/>
      <w:marBottom w:val="0"/>
      <w:divBdr>
        <w:top w:val="none" w:sz="0" w:space="0" w:color="auto"/>
        <w:left w:val="none" w:sz="0" w:space="0" w:color="auto"/>
        <w:bottom w:val="none" w:sz="0" w:space="0" w:color="auto"/>
        <w:right w:val="none" w:sz="0" w:space="0" w:color="auto"/>
      </w:divBdr>
    </w:div>
    <w:div w:id="361632690">
      <w:bodyDiv w:val="1"/>
      <w:marLeft w:val="0"/>
      <w:marRight w:val="0"/>
      <w:marTop w:val="0"/>
      <w:marBottom w:val="0"/>
      <w:divBdr>
        <w:top w:val="none" w:sz="0" w:space="0" w:color="auto"/>
        <w:left w:val="none" w:sz="0" w:space="0" w:color="auto"/>
        <w:bottom w:val="none" w:sz="0" w:space="0" w:color="auto"/>
        <w:right w:val="none" w:sz="0" w:space="0" w:color="auto"/>
      </w:divBdr>
    </w:div>
    <w:div w:id="472020113">
      <w:bodyDiv w:val="1"/>
      <w:marLeft w:val="0"/>
      <w:marRight w:val="0"/>
      <w:marTop w:val="0"/>
      <w:marBottom w:val="0"/>
      <w:divBdr>
        <w:top w:val="none" w:sz="0" w:space="0" w:color="auto"/>
        <w:left w:val="none" w:sz="0" w:space="0" w:color="auto"/>
        <w:bottom w:val="none" w:sz="0" w:space="0" w:color="auto"/>
        <w:right w:val="none" w:sz="0" w:space="0" w:color="auto"/>
      </w:divBdr>
    </w:div>
    <w:div w:id="485974191">
      <w:bodyDiv w:val="1"/>
      <w:marLeft w:val="0"/>
      <w:marRight w:val="0"/>
      <w:marTop w:val="0"/>
      <w:marBottom w:val="0"/>
      <w:divBdr>
        <w:top w:val="none" w:sz="0" w:space="0" w:color="auto"/>
        <w:left w:val="none" w:sz="0" w:space="0" w:color="auto"/>
        <w:bottom w:val="none" w:sz="0" w:space="0" w:color="auto"/>
        <w:right w:val="none" w:sz="0" w:space="0" w:color="auto"/>
      </w:divBdr>
    </w:div>
    <w:div w:id="510295554">
      <w:bodyDiv w:val="1"/>
      <w:marLeft w:val="0"/>
      <w:marRight w:val="0"/>
      <w:marTop w:val="0"/>
      <w:marBottom w:val="0"/>
      <w:divBdr>
        <w:top w:val="none" w:sz="0" w:space="0" w:color="auto"/>
        <w:left w:val="none" w:sz="0" w:space="0" w:color="auto"/>
        <w:bottom w:val="none" w:sz="0" w:space="0" w:color="auto"/>
        <w:right w:val="none" w:sz="0" w:space="0" w:color="auto"/>
      </w:divBdr>
    </w:div>
    <w:div w:id="538052288">
      <w:bodyDiv w:val="1"/>
      <w:marLeft w:val="0"/>
      <w:marRight w:val="0"/>
      <w:marTop w:val="0"/>
      <w:marBottom w:val="0"/>
      <w:divBdr>
        <w:top w:val="none" w:sz="0" w:space="0" w:color="auto"/>
        <w:left w:val="none" w:sz="0" w:space="0" w:color="auto"/>
        <w:bottom w:val="none" w:sz="0" w:space="0" w:color="auto"/>
        <w:right w:val="none" w:sz="0" w:space="0" w:color="auto"/>
      </w:divBdr>
    </w:div>
    <w:div w:id="541745630">
      <w:bodyDiv w:val="1"/>
      <w:marLeft w:val="0"/>
      <w:marRight w:val="0"/>
      <w:marTop w:val="0"/>
      <w:marBottom w:val="0"/>
      <w:divBdr>
        <w:top w:val="none" w:sz="0" w:space="0" w:color="auto"/>
        <w:left w:val="none" w:sz="0" w:space="0" w:color="auto"/>
        <w:bottom w:val="none" w:sz="0" w:space="0" w:color="auto"/>
        <w:right w:val="none" w:sz="0" w:space="0" w:color="auto"/>
      </w:divBdr>
    </w:div>
    <w:div w:id="588005910">
      <w:bodyDiv w:val="1"/>
      <w:marLeft w:val="0"/>
      <w:marRight w:val="0"/>
      <w:marTop w:val="0"/>
      <w:marBottom w:val="0"/>
      <w:divBdr>
        <w:top w:val="none" w:sz="0" w:space="0" w:color="auto"/>
        <w:left w:val="none" w:sz="0" w:space="0" w:color="auto"/>
        <w:bottom w:val="none" w:sz="0" w:space="0" w:color="auto"/>
        <w:right w:val="none" w:sz="0" w:space="0" w:color="auto"/>
      </w:divBdr>
    </w:div>
    <w:div w:id="597908687">
      <w:bodyDiv w:val="1"/>
      <w:marLeft w:val="0"/>
      <w:marRight w:val="0"/>
      <w:marTop w:val="0"/>
      <w:marBottom w:val="0"/>
      <w:divBdr>
        <w:top w:val="none" w:sz="0" w:space="0" w:color="auto"/>
        <w:left w:val="none" w:sz="0" w:space="0" w:color="auto"/>
        <w:bottom w:val="none" w:sz="0" w:space="0" w:color="auto"/>
        <w:right w:val="none" w:sz="0" w:space="0" w:color="auto"/>
      </w:divBdr>
    </w:div>
    <w:div w:id="645402981">
      <w:bodyDiv w:val="1"/>
      <w:marLeft w:val="0"/>
      <w:marRight w:val="0"/>
      <w:marTop w:val="0"/>
      <w:marBottom w:val="0"/>
      <w:divBdr>
        <w:top w:val="none" w:sz="0" w:space="0" w:color="auto"/>
        <w:left w:val="none" w:sz="0" w:space="0" w:color="auto"/>
        <w:bottom w:val="none" w:sz="0" w:space="0" w:color="auto"/>
        <w:right w:val="none" w:sz="0" w:space="0" w:color="auto"/>
      </w:divBdr>
    </w:div>
    <w:div w:id="646858336">
      <w:bodyDiv w:val="1"/>
      <w:marLeft w:val="0"/>
      <w:marRight w:val="0"/>
      <w:marTop w:val="0"/>
      <w:marBottom w:val="0"/>
      <w:divBdr>
        <w:top w:val="none" w:sz="0" w:space="0" w:color="auto"/>
        <w:left w:val="none" w:sz="0" w:space="0" w:color="auto"/>
        <w:bottom w:val="none" w:sz="0" w:space="0" w:color="auto"/>
        <w:right w:val="none" w:sz="0" w:space="0" w:color="auto"/>
      </w:divBdr>
    </w:div>
    <w:div w:id="653418009">
      <w:bodyDiv w:val="1"/>
      <w:marLeft w:val="0"/>
      <w:marRight w:val="0"/>
      <w:marTop w:val="0"/>
      <w:marBottom w:val="0"/>
      <w:divBdr>
        <w:top w:val="none" w:sz="0" w:space="0" w:color="auto"/>
        <w:left w:val="none" w:sz="0" w:space="0" w:color="auto"/>
        <w:bottom w:val="none" w:sz="0" w:space="0" w:color="auto"/>
        <w:right w:val="none" w:sz="0" w:space="0" w:color="auto"/>
      </w:divBdr>
    </w:div>
    <w:div w:id="774638323">
      <w:bodyDiv w:val="1"/>
      <w:marLeft w:val="0"/>
      <w:marRight w:val="0"/>
      <w:marTop w:val="0"/>
      <w:marBottom w:val="0"/>
      <w:divBdr>
        <w:top w:val="none" w:sz="0" w:space="0" w:color="auto"/>
        <w:left w:val="none" w:sz="0" w:space="0" w:color="auto"/>
        <w:bottom w:val="none" w:sz="0" w:space="0" w:color="auto"/>
        <w:right w:val="none" w:sz="0" w:space="0" w:color="auto"/>
      </w:divBdr>
    </w:div>
    <w:div w:id="775908716">
      <w:bodyDiv w:val="1"/>
      <w:marLeft w:val="0"/>
      <w:marRight w:val="0"/>
      <w:marTop w:val="0"/>
      <w:marBottom w:val="0"/>
      <w:divBdr>
        <w:top w:val="none" w:sz="0" w:space="0" w:color="auto"/>
        <w:left w:val="none" w:sz="0" w:space="0" w:color="auto"/>
        <w:bottom w:val="none" w:sz="0" w:space="0" w:color="auto"/>
        <w:right w:val="none" w:sz="0" w:space="0" w:color="auto"/>
      </w:divBdr>
    </w:div>
    <w:div w:id="842083434">
      <w:bodyDiv w:val="1"/>
      <w:marLeft w:val="0"/>
      <w:marRight w:val="0"/>
      <w:marTop w:val="0"/>
      <w:marBottom w:val="0"/>
      <w:divBdr>
        <w:top w:val="none" w:sz="0" w:space="0" w:color="auto"/>
        <w:left w:val="none" w:sz="0" w:space="0" w:color="auto"/>
        <w:bottom w:val="none" w:sz="0" w:space="0" w:color="auto"/>
        <w:right w:val="none" w:sz="0" w:space="0" w:color="auto"/>
      </w:divBdr>
    </w:div>
    <w:div w:id="846554435">
      <w:bodyDiv w:val="1"/>
      <w:marLeft w:val="0"/>
      <w:marRight w:val="0"/>
      <w:marTop w:val="0"/>
      <w:marBottom w:val="0"/>
      <w:divBdr>
        <w:top w:val="none" w:sz="0" w:space="0" w:color="auto"/>
        <w:left w:val="none" w:sz="0" w:space="0" w:color="auto"/>
        <w:bottom w:val="none" w:sz="0" w:space="0" w:color="auto"/>
        <w:right w:val="none" w:sz="0" w:space="0" w:color="auto"/>
      </w:divBdr>
    </w:div>
    <w:div w:id="868495796">
      <w:bodyDiv w:val="1"/>
      <w:marLeft w:val="0"/>
      <w:marRight w:val="0"/>
      <w:marTop w:val="0"/>
      <w:marBottom w:val="0"/>
      <w:divBdr>
        <w:top w:val="none" w:sz="0" w:space="0" w:color="auto"/>
        <w:left w:val="none" w:sz="0" w:space="0" w:color="auto"/>
        <w:bottom w:val="none" w:sz="0" w:space="0" w:color="auto"/>
        <w:right w:val="none" w:sz="0" w:space="0" w:color="auto"/>
      </w:divBdr>
    </w:div>
    <w:div w:id="1017465553">
      <w:bodyDiv w:val="1"/>
      <w:marLeft w:val="0"/>
      <w:marRight w:val="0"/>
      <w:marTop w:val="0"/>
      <w:marBottom w:val="0"/>
      <w:divBdr>
        <w:top w:val="none" w:sz="0" w:space="0" w:color="auto"/>
        <w:left w:val="none" w:sz="0" w:space="0" w:color="auto"/>
        <w:bottom w:val="none" w:sz="0" w:space="0" w:color="auto"/>
        <w:right w:val="none" w:sz="0" w:space="0" w:color="auto"/>
      </w:divBdr>
    </w:div>
    <w:div w:id="1079911942">
      <w:bodyDiv w:val="1"/>
      <w:marLeft w:val="0"/>
      <w:marRight w:val="0"/>
      <w:marTop w:val="0"/>
      <w:marBottom w:val="0"/>
      <w:divBdr>
        <w:top w:val="none" w:sz="0" w:space="0" w:color="auto"/>
        <w:left w:val="none" w:sz="0" w:space="0" w:color="auto"/>
        <w:bottom w:val="none" w:sz="0" w:space="0" w:color="auto"/>
        <w:right w:val="none" w:sz="0" w:space="0" w:color="auto"/>
      </w:divBdr>
    </w:div>
    <w:div w:id="1097016431">
      <w:bodyDiv w:val="1"/>
      <w:marLeft w:val="0"/>
      <w:marRight w:val="0"/>
      <w:marTop w:val="0"/>
      <w:marBottom w:val="0"/>
      <w:divBdr>
        <w:top w:val="none" w:sz="0" w:space="0" w:color="auto"/>
        <w:left w:val="none" w:sz="0" w:space="0" w:color="auto"/>
        <w:bottom w:val="none" w:sz="0" w:space="0" w:color="auto"/>
        <w:right w:val="none" w:sz="0" w:space="0" w:color="auto"/>
      </w:divBdr>
    </w:div>
    <w:div w:id="1143817313">
      <w:bodyDiv w:val="1"/>
      <w:marLeft w:val="0"/>
      <w:marRight w:val="0"/>
      <w:marTop w:val="0"/>
      <w:marBottom w:val="0"/>
      <w:divBdr>
        <w:top w:val="none" w:sz="0" w:space="0" w:color="auto"/>
        <w:left w:val="none" w:sz="0" w:space="0" w:color="auto"/>
        <w:bottom w:val="none" w:sz="0" w:space="0" w:color="auto"/>
        <w:right w:val="none" w:sz="0" w:space="0" w:color="auto"/>
      </w:divBdr>
    </w:div>
    <w:div w:id="1153370050">
      <w:bodyDiv w:val="1"/>
      <w:marLeft w:val="0"/>
      <w:marRight w:val="0"/>
      <w:marTop w:val="0"/>
      <w:marBottom w:val="0"/>
      <w:divBdr>
        <w:top w:val="none" w:sz="0" w:space="0" w:color="auto"/>
        <w:left w:val="none" w:sz="0" w:space="0" w:color="auto"/>
        <w:bottom w:val="none" w:sz="0" w:space="0" w:color="auto"/>
        <w:right w:val="none" w:sz="0" w:space="0" w:color="auto"/>
      </w:divBdr>
    </w:div>
    <w:div w:id="1181431874">
      <w:bodyDiv w:val="1"/>
      <w:marLeft w:val="0"/>
      <w:marRight w:val="0"/>
      <w:marTop w:val="0"/>
      <w:marBottom w:val="0"/>
      <w:divBdr>
        <w:top w:val="none" w:sz="0" w:space="0" w:color="auto"/>
        <w:left w:val="none" w:sz="0" w:space="0" w:color="auto"/>
        <w:bottom w:val="none" w:sz="0" w:space="0" w:color="auto"/>
        <w:right w:val="none" w:sz="0" w:space="0" w:color="auto"/>
      </w:divBdr>
    </w:div>
    <w:div w:id="1207448708">
      <w:bodyDiv w:val="1"/>
      <w:marLeft w:val="0"/>
      <w:marRight w:val="0"/>
      <w:marTop w:val="0"/>
      <w:marBottom w:val="0"/>
      <w:divBdr>
        <w:top w:val="none" w:sz="0" w:space="0" w:color="auto"/>
        <w:left w:val="none" w:sz="0" w:space="0" w:color="auto"/>
        <w:bottom w:val="none" w:sz="0" w:space="0" w:color="auto"/>
        <w:right w:val="none" w:sz="0" w:space="0" w:color="auto"/>
      </w:divBdr>
    </w:div>
    <w:div w:id="1296640527">
      <w:bodyDiv w:val="1"/>
      <w:marLeft w:val="0"/>
      <w:marRight w:val="0"/>
      <w:marTop w:val="0"/>
      <w:marBottom w:val="0"/>
      <w:divBdr>
        <w:top w:val="none" w:sz="0" w:space="0" w:color="auto"/>
        <w:left w:val="none" w:sz="0" w:space="0" w:color="auto"/>
        <w:bottom w:val="none" w:sz="0" w:space="0" w:color="auto"/>
        <w:right w:val="none" w:sz="0" w:space="0" w:color="auto"/>
      </w:divBdr>
    </w:div>
    <w:div w:id="1317808105">
      <w:bodyDiv w:val="1"/>
      <w:marLeft w:val="0"/>
      <w:marRight w:val="0"/>
      <w:marTop w:val="0"/>
      <w:marBottom w:val="0"/>
      <w:divBdr>
        <w:top w:val="none" w:sz="0" w:space="0" w:color="auto"/>
        <w:left w:val="none" w:sz="0" w:space="0" w:color="auto"/>
        <w:bottom w:val="none" w:sz="0" w:space="0" w:color="auto"/>
        <w:right w:val="none" w:sz="0" w:space="0" w:color="auto"/>
      </w:divBdr>
    </w:div>
    <w:div w:id="1403019925">
      <w:bodyDiv w:val="1"/>
      <w:marLeft w:val="0"/>
      <w:marRight w:val="0"/>
      <w:marTop w:val="0"/>
      <w:marBottom w:val="0"/>
      <w:divBdr>
        <w:top w:val="none" w:sz="0" w:space="0" w:color="auto"/>
        <w:left w:val="none" w:sz="0" w:space="0" w:color="auto"/>
        <w:bottom w:val="none" w:sz="0" w:space="0" w:color="auto"/>
        <w:right w:val="none" w:sz="0" w:space="0" w:color="auto"/>
      </w:divBdr>
    </w:div>
    <w:div w:id="1410614497">
      <w:bodyDiv w:val="1"/>
      <w:marLeft w:val="0"/>
      <w:marRight w:val="0"/>
      <w:marTop w:val="0"/>
      <w:marBottom w:val="0"/>
      <w:divBdr>
        <w:top w:val="none" w:sz="0" w:space="0" w:color="auto"/>
        <w:left w:val="none" w:sz="0" w:space="0" w:color="auto"/>
        <w:bottom w:val="none" w:sz="0" w:space="0" w:color="auto"/>
        <w:right w:val="none" w:sz="0" w:space="0" w:color="auto"/>
      </w:divBdr>
    </w:div>
    <w:div w:id="1477182379">
      <w:bodyDiv w:val="1"/>
      <w:marLeft w:val="0"/>
      <w:marRight w:val="0"/>
      <w:marTop w:val="0"/>
      <w:marBottom w:val="0"/>
      <w:divBdr>
        <w:top w:val="none" w:sz="0" w:space="0" w:color="auto"/>
        <w:left w:val="none" w:sz="0" w:space="0" w:color="auto"/>
        <w:bottom w:val="none" w:sz="0" w:space="0" w:color="auto"/>
        <w:right w:val="none" w:sz="0" w:space="0" w:color="auto"/>
      </w:divBdr>
    </w:div>
    <w:div w:id="1492258075">
      <w:bodyDiv w:val="1"/>
      <w:marLeft w:val="0"/>
      <w:marRight w:val="0"/>
      <w:marTop w:val="0"/>
      <w:marBottom w:val="0"/>
      <w:divBdr>
        <w:top w:val="none" w:sz="0" w:space="0" w:color="auto"/>
        <w:left w:val="none" w:sz="0" w:space="0" w:color="auto"/>
        <w:bottom w:val="none" w:sz="0" w:space="0" w:color="auto"/>
        <w:right w:val="none" w:sz="0" w:space="0" w:color="auto"/>
      </w:divBdr>
    </w:div>
    <w:div w:id="1535464841">
      <w:bodyDiv w:val="1"/>
      <w:marLeft w:val="0"/>
      <w:marRight w:val="0"/>
      <w:marTop w:val="0"/>
      <w:marBottom w:val="0"/>
      <w:divBdr>
        <w:top w:val="none" w:sz="0" w:space="0" w:color="auto"/>
        <w:left w:val="none" w:sz="0" w:space="0" w:color="auto"/>
        <w:bottom w:val="none" w:sz="0" w:space="0" w:color="auto"/>
        <w:right w:val="none" w:sz="0" w:space="0" w:color="auto"/>
      </w:divBdr>
    </w:div>
    <w:div w:id="1550066169">
      <w:bodyDiv w:val="1"/>
      <w:marLeft w:val="0"/>
      <w:marRight w:val="0"/>
      <w:marTop w:val="0"/>
      <w:marBottom w:val="0"/>
      <w:divBdr>
        <w:top w:val="none" w:sz="0" w:space="0" w:color="auto"/>
        <w:left w:val="none" w:sz="0" w:space="0" w:color="auto"/>
        <w:bottom w:val="none" w:sz="0" w:space="0" w:color="auto"/>
        <w:right w:val="none" w:sz="0" w:space="0" w:color="auto"/>
      </w:divBdr>
    </w:div>
    <w:div w:id="1581061928">
      <w:bodyDiv w:val="1"/>
      <w:marLeft w:val="0"/>
      <w:marRight w:val="0"/>
      <w:marTop w:val="0"/>
      <w:marBottom w:val="0"/>
      <w:divBdr>
        <w:top w:val="none" w:sz="0" w:space="0" w:color="auto"/>
        <w:left w:val="none" w:sz="0" w:space="0" w:color="auto"/>
        <w:bottom w:val="none" w:sz="0" w:space="0" w:color="auto"/>
        <w:right w:val="none" w:sz="0" w:space="0" w:color="auto"/>
      </w:divBdr>
    </w:div>
    <w:div w:id="1581258159">
      <w:bodyDiv w:val="1"/>
      <w:marLeft w:val="0"/>
      <w:marRight w:val="0"/>
      <w:marTop w:val="0"/>
      <w:marBottom w:val="0"/>
      <w:divBdr>
        <w:top w:val="none" w:sz="0" w:space="0" w:color="auto"/>
        <w:left w:val="none" w:sz="0" w:space="0" w:color="auto"/>
        <w:bottom w:val="none" w:sz="0" w:space="0" w:color="auto"/>
        <w:right w:val="none" w:sz="0" w:space="0" w:color="auto"/>
      </w:divBdr>
    </w:div>
    <w:div w:id="1625304722">
      <w:bodyDiv w:val="1"/>
      <w:marLeft w:val="0"/>
      <w:marRight w:val="0"/>
      <w:marTop w:val="0"/>
      <w:marBottom w:val="0"/>
      <w:divBdr>
        <w:top w:val="none" w:sz="0" w:space="0" w:color="auto"/>
        <w:left w:val="none" w:sz="0" w:space="0" w:color="auto"/>
        <w:bottom w:val="none" w:sz="0" w:space="0" w:color="auto"/>
        <w:right w:val="none" w:sz="0" w:space="0" w:color="auto"/>
      </w:divBdr>
    </w:div>
    <w:div w:id="1720592768">
      <w:bodyDiv w:val="1"/>
      <w:marLeft w:val="0"/>
      <w:marRight w:val="0"/>
      <w:marTop w:val="0"/>
      <w:marBottom w:val="0"/>
      <w:divBdr>
        <w:top w:val="none" w:sz="0" w:space="0" w:color="auto"/>
        <w:left w:val="none" w:sz="0" w:space="0" w:color="auto"/>
        <w:bottom w:val="none" w:sz="0" w:space="0" w:color="auto"/>
        <w:right w:val="none" w:sz="0" w:space="0" w:color="auto"/>
      </w:divBdr>
    </w:div>
    <w:div w:id="1729449082">
      <w:bodyDiv w:val="1"/>
      <w:marLeft w:val="0"/>
      <w:marRight w:val="0"/>
      <w:marTop w:val="0"/>
      <w:marBottom w:val="0"/>
      <w:divBdr>
        <w:top w:val="none" w:sz="0" w:space="0" w:color="auto"/>
        <w:left w:val="none" w:sz="0" w:space="0" w:color="auto"/>
        <w:bottom w:val="none" w:sz="0" w:space="0" w:color="auto"/>
        <w:right w:val="none" w:sz="0" w:space="0" w:color="auto"/>
      </w:divBdr>
    </w:div>
    <w:div w:id="1743287365">
      <w:bodyDiv w:val="1"/>
      <w:marLeft w:val="0"/>
      <w:marRight w:val="0"/>
      <w:marTop w:val="0"/>
      <w:marBottom w:val="0"/>
      <w:divBdr>
        <w:top w:val="none" w:sz="0" w:space="0" w:color="auto"/>
        <w:left w:val="none" w:sz="0" w:space="0" w:color="auto"/>
        <w:bottom w:val="none" w:sz="0" w:space="0" w:color="auto"/>
        <w:right w:val="none" w:sz="0" w:space="0" w:color="auto"/>
      </w:divBdr>
    </w:div>
    <w:div w:id="1859272988">
      <w:bodyDiv w:val="1"/>
      <w:marLeft w:val="0"/>
      <w:marRight w:val="0"/>
      <w:marTop w:val="0"/>
      <w:marBottom w:val="0"/>
      <w:divBdr>
        <w:top w:val="none" w:sz="0" w:space="0" w:color="auto"/>
        <w:left w:val="none" w:sz="0" w:space="0" w:color="auto"/>
        <w:bottom w:val="none" w:sz="0" w:space="0" w:color="auto"/>
        <w:right w:val="none" w:sz="0" w:space="0" w:color="auto"/>
      </w:divBdr>
    </w:div>
    <w:div w:id="1859544176">
      <w:bodyDiv w:val="1"/>
      <w:marLeft w:val="0"/>
      <w:marRight w:val="0"/>
      <w:marTop w:val="0"/>
      <w:marBottom w:val="0"/>
      <w:divBdr>
        <w:top w:val="none" w:sz="0" w:space="0" w:color="auto"/>
        <w:left w:val="none" w:sz="0" w:space="0" w:color="auto"/>
        <w:bottom w:val="none" w:sz="0" w:space="0" w:color="auto"/>
        <w:right w:val="none" w:sz="0" w:space="0" w:color="auto"/>
      </w:divBdr>
    </w:div>
    <w:div w:id="1881746975">
      <w:bodyDiv w:val="1"/>
      <w:marLeft w:val="0"/>
      <w:marRight w:val="0"/>
      <w:marTop w:val="0"/>
      <w:marBottom w:val="0"/>
      <w:divBdr>
        <w:top w:val="none" w:sz="0" w:space="0" w:color="auto"/>
        <w:left w:val="none" w:sz="0" w:space="0" w:color="auto"/>
        <w:bottom w:val="none" w:sz="0" w:space="0" w:color="auto"/>
        <w:right w:val="none" w:sz="0" w:space="0" w:color="auto"/>
      </w:divBdr>
    </w:div>
    <w:div w:id="1893737303">
      <w:bodyDiv w:val="1"/>
      <w:marLeft w:val="0"/>
      <w:marRight w:val="0"/>
      <w:marTop w:val="0"/>
      <w:marBottom w:val="0"/>
      <w:divBdr>
        <w:top w:val="none" w:sz="0" w:space="0" w:color="auto"/>
        <w:left w:val="none" w:sz="0" w:space="0" w:color="auto"/>
        <w:bottom w:val="none" w:sz="0" w:space="0" w:color="auto"/>
        <w:right w:val="none" w:sz="0" w:space="0" w:color="auto"/>
      </w:divBdr>
    </w:div>
    <w:div w:id="1893886110">
      <w:bodyDiv w:val="1"/>
      <w:marLeft w:val="0"/>
      <w:marRight w:val="0"/>
      <w:marTop w:val="0"/>
      <w:marBottom w:val="0"/>
      <w:divBdr>
        <w:top w:val="none" w:sz="0" w:space="0" w:color="auto"/>
        <w:left w:val="none" w:sz="0" w:space="0" w:color="auto"/>
        <w:bottom w:val="none" w:sz="0" w:space="0" w:color="auto"/>
        <w:right w:val="none" w:sz="0" w:space="0" w:color="auto"/>
      </w:divBdr>
    </w:div>
    <w:div w:id="1905288555">
      <w:bodyDiv w:val="1"/>
      <w:marLeft w:val="0"/>
      <w:marRight w:val="0"/>
      <w:marTop w:val="0"/>
      <w:marBottom w:val="0"/>
      <w:divBdr>
        <w:top w:val="none" w:sz="0" w:space="0" w:color="auto"/>
        <w:left w:val="none" w:sz="0" w:space="0" w:color="auto"/>
        <w:bottom w:val="none" w:sz="0" w:space="0" w:color="auto"/>
        <w:right w:val="none" w:sz="0" w:space="0" w:color="auto"/>
      </w:divBdr>
    </w:div>
    <w:div w:id="1956017684">
      <w:bodyDiv w:val="1"/>
      <w:marLeft w:val="0"/>
      <w:marRight w:val="0"/>
      <w:marTop w:val="0"/>
      <w:marBottom w:val="0"/>
      <w:divBdr>
        <w:top w:val="none" w:sz="0" w:space="0" w:color="auto"/>
        <w:left w:val="none" w:sz="0" w:space="0" w:color="auto"/>
        <w:bottom w:val="none" w:sz="0" w:space="0" w:color="auto"/>
        <w:right w:val="none" w:sz="0" w:space="0" w:color="auto"/>
      </w:divBdr>
    </w:div>
    <w:div w:id="1969192108">
      <w:bodyDiv w:val="1"/>
      <w:marLeft w:val="0"/>
      <w:marRight w:val="0"/>
      <w:marTop w:val="0"/>
      <w:marBottom w:val="0"/>
      <w:divBdr>
        <w:top w:val="none" w:sz="0" w:space="0" w:color="auto"/>
        <w:left w:val="none" w:sz="0" w:space="0" w:color="auto"/>
        <w:bottom w:val="none" w:sz="0" w:space="0" w:color="auto"/>
        <w:right w:val="none" w:sz="0" w:space="0" w:color="auto"/>
      </w:divBdr>
    </w:div>
    <w:div w:id="2007786963">
      <w:bodyDiv w:val="1"/>
      <w:marLeft w:val="0"/>
      <w:marRight w:val="0"/>
      <w:marTop w:val="0"/>
      <w:marBottom w:val="0"/>
      <w:divBdr>
        <w:top w:val="none" w:sz="0" w:space="0" w:color="auto"/>
        <w:left w:val="none" w:sz="0" w:space="0" w:color="auto"/>
        <w:bottom w:val="none" w:sz="0" w:space="0" w:color="auto"/>
        <w:right w:val="none" w:sz="0" w:space="0" w:color="auto"/>
      </w:divBdr>
    </w:div>
    <w:div w:id="2111702815">
      <w:bodyDiv w:val="1"/>
      <w:marLeft w:val="0"/>
      <w:marRight w:val="0"/>
      <w:marTop w:val="0"/>
      <w:marBottom w:val="0"/>
      <w:divBdr>
        <w:top w:val="none" w:sz="0" w:space="0" w:color="auto"/>
        <w:left w:val="none" w:sz="0" w:space="0" w:color="auto"/>
        <w:bottom w:val="none" w:sz="0" w:space="0" w:color="auto"/>
        <w:right w:val="none" w:sz="0" w:space="0" w:color="auto"/>
      </w:divBdr>
    </w:div>
    <w:div w:id="2119248536">
      <w:bodyDiv w:val="1"/>
      <w:marLeft w:val="0"/>
      <w:marRight w:val="0"/>
      <w:marTop w:val="0"/>
      <w:marBottom w:val="0"/>
      <w:divBdr>
        <w:top w:val="none" w:sz="0" w:space="0" w:color="auto"/>
        <w:left w:val="none" w:sz="0" w:space="0" w:color="auto"/>
        <w:bottom w:val="none" w:sz="0" w:space="0" w:color="auto"/>
        <w:right w:val="none" w:sz="0" w:space="0" w:color="auto"/>
      </w:divBdr>
    </w:div>
    <w:div w:id="2143425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 TargetMode="External"/><Relationship Id="rId18" Type="http://schemas.openxmlformats.org/officeDocument/2006/relationships/hyperlink" Target="https://www.cipd.co.uk/knowledge/fundamentals/emp-law/tribunals-factsheet" TargetMode="External"/><Relationship Id="rId26" Type="http://schemas.openxmlformats.org/officeDocument/2006/relationships/hyperlink" Target="https://www.gov.uk/transfers-takeovers/tupe-your-rights" TargetMode="External"/><Relationship Id="rId3" Type="http://schemas.openxmlformats.org/officeDocument/2006/relationships/styles" Target="styles.xml"/><Relationship Id="rId21" Type="http://schemas.openxmlformats.org/officeDocument/2006/relationships/hyperlink" Target="https://www.cipd.co.uk/knowledge/fundamentals/emp-law/tupe/factsheet" TargetMode="External"/><Relationship Id="rId34" Type="http://schemas.openxmlformats.org/officeDocument/2006/relationships/theme" Target="theme/theme1.xml"/><Relationship Id="rId7" Type="http://schemas.openxmlformats.org/officeDocument/2006/relationships/hyperlink" Target="https://www.acas.org.uk/tupe" TargetMode="External"/><Relationship Id="rId12" Type="http://schemas.openxmlformats.org/officeDocument/2006/relationships/hyperlink" Target="https://www.acas.org.uk" TargetMode="External"/><Relationship Id="rId17" Type="http://schemas.openxmlformats.org/officeDocument/2006/relationships/hyperlink" Target="https://www.cipd.org/uk/knowledge/employment-law/brexit/" TargetMode="External"/><Relationship Id="rId25" Type="http://schemas.openxmlformats.org/officeDocument/2006/relationships/hyperlink" Target="https://www.legislation.gov.uk/ukpga/2010/15/content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uk/views-and-insights/cipd-viewpoint/employment-status-rights/" TargetMode="External"/><Relationship Id="rId20" Type="http://schemas.openxmlformats.org/officeDocument/2006/relationships/hyperlink" Target="https://www.cipd.org/uk/knowledge/employment-law/tupe/" TargetMode="External"/><Relationship Id="rId29" Type="http://schemas.openxmlformats.org/officeDocument/2006/relationships/hyperlink" Target="https://www.gov.uk/government/publications/public-sector-equality-duty-statutory-guidance" TargetMode="External"/><Relationship Id="rId1" Type="http://schemas.openxmlformats.org/officeDocument/2006/relationships/customXml" Target="../customXml/item1.xml"/><Relationship Id="rId6" Type="http://schemas.openxmlformats.org/officeDocument/2006/relationships/hyperlink" Target="https://www.acas.org.uk/flexible-working" TargetMode="External"/><Relationship Id="rId11" Type="http://schemas.openxmlformats.org/officeDocument/2006/relationships/hyperlink" Target="https://www.acas.org.uk/advice" TargetMode="External"/><Relationship Id="rId24" Type="http://schemas.openxmlformats.org/officeDocument/2006/relationships/hyperlink" Target="https://cipdpros.com/evaluation-of-aims-and-objectives-of-employment-regulation" TargetMode="External"/><Relationship Id="rId32" Type="http://schemas.openxmlformats.org/officeDocument/2006/relationships/hyperlink" Target="https://www.nhsemployers.org/articles/managing-working-hours" TargetMode="External"/><Relationship Id="rId5" Type="http://schemas.openxmlformats.org/officeDocument/2006/relationships/webSettings" Target="webSettings.xml"/><Relationship Id="rId15" Type="http://schemas.openxmlformats.org/officeDocument/2006/relationships/hyperlink" Target="https://www.cipd.org/uk/knowledge/reports/employment-regulation-future-work/" TargetMode="External"/><Relationship Id="rId23" Type="http://schemas.openxmlformats.org/officeDocument/2006/relationships/hyperlink" Target="https://www.cipd.co.uk" TargetMode="External"/><Relationship Id="rId28" Type="http://schemas.openxmlformats.org/officeDocument/2006/relationships/hyperlink" Target="https://www.gov.uk/guidance/employment-status-indicator" TargetMode="External"/><Relationship Id="rId10" Type="http://schemas.openxmlformats.org/officeDocument/2006/relationships/hyperlink" Target="https://www.acas.org.uk/equal-pay" TargetMode="External"/><Relationship Id="rId19" Type="http://schemas.openxmlformats.org/officeDocument/2006/relationships/hyperlink" Target="https://www.cipd.org/uk/knowledge/employment-law/" TargetMode="External"/><Relationship Id="rId31" Type="http://schemas.openxmlformats.org/officeDocument/2006/relationships/hyperlink" Target="https://mma-recruitment.co.uk/blog/trade-unions-in-the-nhs/" TargetMode="External"/><Relationship Id="rId4" Type="http://schemas.openxmlformats.org/officeDocument/2006/relationships/settings" Target="settings.xml"/><Relationship Id="rId9" Type="http://schemas.openxmlformats.org/officeDocument/2006/relationships/hyperlink" Target="https://www.acas.org.uk/equality-and-diversity-in-recruitment" TargetMode="External"/><Relationship Id="rId14" Type="http://schemas.openxmlformats.org/officeDocument/2006/relationships/hyperlink" Target="https://www.acas.org.uk" TargetMode="External"/><Relationship Id="rId22" Type="http://schemas.openxmlformats.org/officeDocument/2006/relationships/hyperlink" Target="https://www.cipd.co.uk" TargetMode="External"/><Relationship Id="rId27" Type="http://schemas.openxmlformats.org/officeDocument/2006/relationships/hyperlink" Target="https://www.gov.uk/government/publications/schedule-of-retained-eu-law" TargetMode="External"/><Relationship Id="rId30" Type="http://schemas.openxmlformats.org/officeDocument/2006/relationships/hyperlink" Target="https://mmarecruitment.com/the-role-of-national-health-service-unions" TargetMode="External"/><Relationship Id="rId8" Type="http://schemas.openxmlformats.org/officeDocument/2006/relationships/hyperlink" Target="https://www.acas.org.uk/constructive-dismiss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45078-86F3-4630-B299-C4B6E0877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Pages>
  <Words>5220</Words>
  <Characters>29754</Characters>
  <Application>Microsoft Office Word</Application>
  <DocSecurity>0</DocSecurity>
  <Lines>247</Lines>
  <Paragraphs>69</Paragraphs>
  <ScaleCrop>false</ScaleCrop>
  <Company/>
  <LinksUpToDate>false</LinksUpToDate>
  <CharactersWithSpaces>34905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Cuthbert</dc:creator>
  <cp:keywords/>
  <dc:description/>
  <cp:lastModifiedBy>shaz Morris</cp:lastModifiedBy>
  <cp:revision>203</cp:revision>
  <dcterms:created xsi:type="dcterms:W3CDTF">2025-05-11T20:47:00Z</dcterms:created>
  <dcterms:modified xsi:type="dcterms:W3CDTF">2025-05-30T20:07:00Z</dcterms:modified>
</cp:coreProperties>
</file>