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DC717" w14:textId="75449D33" w:rsidR="00B151A8" w:rsidRPr="00DF62E0" w:rsidRDefault="00DF62E0" w:rsidP="00DF62E0">
      <w:pPr>
        <w:spacing w:line="360" w:lineRule="auto"/>
        <w:rPr>
          <w:rFonts w:ascii="Arial" w:hAnsi="Arial" w:cs="Arial"/>
          <w:b/>
          <w:bCs/>
          <w:sz w:val="28"/>
          <w:szCs w:val="28"/>
        </w:rPr>
      </w:pPr>
      <w:r w:rsidRPr="00DF62E0">
        <w:rPr>
          <w:rFonts w:ascii="Arial" w:hAnsi="Arial" w:cs="Arial"/>
          <w:b/>
          <w:bCs/>
          <w:sz w:val="28"/>
          <w:szCs w:val="28"/>
        </w:rPr>
        <w:t>Managing People</w:t>
      </w:r>
    </w:p>
    <w:p w14:paraId="3CEB0523" w14:textId="107F9660" w:rsidR="00DF62E0" w:rsidRPr="00DF62E0" w:rsidRDefault="00DF62E0" w:rsidP="00DF62E0">
      <w:pPr>
        <w:spacing w:line="360" w:lineRule="auto"/>
        <w:rPr>
          <w:rFonts w:ascii="Arial" w:hAnsi="Arial" w:cs="Arial"/>
          <w:b/>
          <w:bCs/>
          <w:sz w:val="28"/>
          <w:szCs w:val="28"/>
        </w:rPr>
      </w:pPr>
      <w:r w:rsidRPr="00DF62E0">
        <w:rPr>
          <w:rFonts w:ascii="Arial" w:hAnsi="Arial" w:cs="Arial"/>
          <w:b/>
          <w:bCs/>
          <w:sz w:val="28"/>
          <w:szCs w:val="28"/>
        </w:rPr>
        <w:t>LCBB5004</w:t>
      </w:r>
    </w:p>
    <w:p w14:paraId="2CD32AD2" w14:textId="77777777" w:rsidR="00DF62E0" w:rsidRPr="00DF62E0" w:rsidRDefault="00DF62E0" w:rsidP="00DF62E0">
      <w:pPr>
        <w:spacing w:line="360" w:lineRule="auto"/>
        <w:rPr>
          <w:rFonts w:ascii="Arial" w:hAnsi="Arial" w:cs="Arial"/>
          <w:sz w:val="24"/>
          <w:szCs w:val="24"/>
        </w:rPr>
      </w:pPr>
    </w:p>
    <w:p w14:paraId="7790BC6C" w14:textId="78BD38B6" w:rsidR="00DF62E0" w:rsidRPr="00DF62E0" w:rsidRDefault="00DF62E0" w:rsidP="00DF62E0">
      <w:pPr>
        <w:spacing w:line="360" w:lineRule="auto"/>
        <w:rPr>
          <w:rFonts w:ascii="Arial" w:hAnsi="Arial" w:cs="Arial"/>
          <w:sz w:val="24"/>
          <w:szCs w:val="24"/>
        </w:rPr>
      </w:pPr>
      <w:r w:rsidRPr="00DF62E0">
        <w:rPr>
          <w:rFonts w:ascii="Arial" w:hAnsi="Arial" w:cs="Arial"/>
          <w:sz w:val="24"/>
          <w:szCs w:val="24"/>
        </w:rPr>
        <w:t>Essay</w:t>
      </w:r>
    </w:p>
    <w:p w14:paraId="48131597" w14:textId="77777777" w:rsidR="00DF62E0" w:rsidRPr="00DF62E0" w:rsidRDefault="00DF62E0" w:rsidP="00DF62E0">
      <w:pPr>
        <w:spacing w:line="360" w:lineRule="auto"/>
        <w:rPr>
          <w:rFonts w:ascii="Arial" w:hAnsi="Arial" w:cs="Arial"/>
          <w:sz w:val="24"/>
          <w:szCs w:val="24"/>
        </w:rPr>
      </w:pPr>
    </w:p>
    <w:p w14:paraId="152D1B9F" w14:textId="77777777" w:rsidR="00DF62E0" w:rsidRPr="00DF62E0" w:rsidRDefault="00DF62E0" w:rsidP="00DF62E0">
      <w:pPr>
        <w:spacing w:line="360" w:lineRule="auto"/>
        <w:rPr>
          <w:rFonts w:ascii="Arial" w:hAnsi="Arial" w:cs="Arial"/>
          <w:sz w:val="24"/>
          <w:szCs w:val="24"/>
        </w:rPr>
      </w:pPr>
    </w:p>
    <w:p w14:paraId="0C984A69" w14:textId="355DD69C" w:rsidR="00DF62E0" w:rsidRPr="00DF62E0" w:rsidRDefault="00DF62E0" w:rsidP="00DF62E0">
      <w:pPr>
        <w:spacing w:line="360" w:lineRule="auto"/>
        <w:rPr>
          <w:rFonts w:ascii="Arial" w:hAnsi="Arial" w:cs="Arial"/>
          <w:sz w:val="24"/>
          <w:szCs w:val="24"/>
        </w:rPr>
      </w:pPr>
      <w:r w:rsidRPr="00DF62E0">
        <w:rPr>
          <w:rFonts w:ascii="Arial" w:hAnsi="Arial" w:cs="Arial"/>
          <w:sz w:val="24"/>
          <w:szCs w:val="24"/>
        </w:rPr>
        <w:t>Lecturer: Tanja Nathan</w:t>
      </w:r>
    </w:p>
    <w:p w14:paraId="774DC1DA" w14:textId="1939831A" w:rsidR="00DF62E0" w:rsidRPr="00DF62E0" w:rsidRDefault="00DF62E0" w:rsidP="00DF62E0">
      <w:pPr>
        <w:spacing w:line="360" w:lineRule="auto"/>
        <w:rPr>
          <w:rFonts w:ascii="Arial" w:hAnsi="Arial" w:cs="Arial"/>
          <w:sz w:val="24"/>
          <w:szCs w:val="24"/>
        </w:rPr>
      </w:pPr>
      <w:r w:rsidRPr="00DF62E0">
        <w:rPr>
          <w:rFonts w:ascii="Arial" w:hAnsi="Arial" w:cs="Arial"/>
          <w:sz w:val="24"/>
          <w:szCs w:val="24"/>
        </w:rPr>
        <w:t>Student name:</w:t>
      </w:r>
      <w:r w:rsidR="00DB09CF">
        <w:rPr>
          <w:rFonts w:ascii="Arial" w:hAnsi="Arial" w:cs="Arial"/>
          <w:sz w:val="24"/>
          <w:szCs w:val="24"/>
        </w:rPr>
        <w:t xml:space="preserve"> Ioana Girigan</w:t>
      </w:r>
    </w:p>
    <w:p w14:paraId="16A284C3" w14:textId="760931FF" w:rsidR="00DF62E0" w:rsidRDefault="00DF62E0" w:rsidP="00DF62E0">
      <w:pPr>
        <w:spacing w:line="360" w:lineRule="auto"/>
        <w:rPr>
          <w:rFonts w:ascii="Arial" w:hAnsi="Arial" w:cs="Arial"/>
          <w:sz w:val="24"/>
          <w:szCs w:val="24"/>
        </w:rPr>
      </w:pPr>
      <w:r w:rsidRPr="00DF62E0">
        <w:rPr>
          <w:rFonts w:ascii="Arial" w:hAnsi="Arial" w:cs="Arial"/>
          <w:sz w:val="24"/>
          <w:szCs w:val="24"/>
        </w:rPr>
        <w:t xml:space="preserve">Student id: </w:t>
      </w:r>
      <w:r w:rsidR="009F47CD">
        <w:rPr>
          <w:rFonts w:ascii="Arial" w:hAnsi="Arial" w:cs="Arial"/>
          <w:sz w:val="24"/>
          <w:szCs w:val="24"/>
        </w:rPr>
        <w:t>2246853</w:t>
      </w:r>
    </w:p>
    <w:p w14:paraId="39580FF2" w14:textId="2D584B67" w:rsidR="00DF62E0" w:rsidRDefault="00DF62E0" w:rsidP="00DF62E0">
      <w:pPr>
        <w:spacing w:line="360" w:lineRule="auto"/>
        <w:rPr>
          <w:rFonts w:ascii="Arial" w:hAnsi="Arial" w:cs="Arial"/>
          <w:sz w:val="24"/>
          <w:szCs w:val="24"/>
        </w:rPr>
      </w:pPr>
      <w:r>
        <w:rPr>
          <w:rFonts w:ascii="Arial" w:hAnsi="Arial" w:cs="Arial"/>
          <w:sz w:val="24"/>
          <w:szCs w:val="24"/>
        </w:rPr>
        <w:t>Word count:</w:t>
      </w:r>
      <w:r w:rsidR="0056488F">
        <w:rPr>
          <w:rFonts w:ascii="Arial" w:hAnsi="Arial" w:cs="Arial"/>
          <w:sz w:val="24"/>
          <w:szCs w:val="24"/>
        </w:rPr>
        <w:t xml:space="preserve"> </w:t>
      </w:r>
      <w:r w:rsidR="00B62367">
        <w:rPr>
          <w:rFonts w:ascii="Arial" w:hAnsi="Arial" w:cs="Arial"/>
          <w:sz w:val="24"/>
          <w:szCs w:val="24"/>
        </w:rPr>
        <w:t>2481</w:t>
      </w:r>
    </w:p>
    <w:p w14:paraId="7FDF5548" w14:textId="77777777" w:rsidR="00DF62E0" w:rsidRDefault="00DF62E0" w:rsidP="00DF62E0">
      <w:pPr>
        <w:spacing w:line="360" w:lineRule="auto"/>
        <w:rPr>
          <w:rFonts w:ascii="Arial" w:hAnsi="Arial" w:cs="Arial"/>
          <w:sz w:val="24"/>
          <w:szCs w:val="24"/>
        </w:rPr>
      </w:pPr>
    </w:p>
    <w:p w14:paraId="2F17C29D" w14:textId="77777777" w:rsidR="00DF62E0" w:rsidRDefault="00DF62E0" w:rsidP="00DF62E0">
      <w:pPr>
        <w:spacing w:line="360" w:lineRule="auto"/>
        <w:rPr>
          <w:rFonts w:ascii="Arial" w:hAnsi="Arial" w:cs="Arial"/>
          <w:sz w:val="24"/>
          <w:szCs w:val="24"/>
        </w:rPr>
      </w:pPr>
    </w:p>
    <w:p w14:paraId="1DEB878B" w14:textId="77777777" w:rsidR="00DF62E0" w:rsidRDefault="00DF62E0" w:rsidP="00DF62E0">
      <w:pPr>
        <w:spacing w:line="360" w:lineRule="auto"/>
        <w:rPr>
          <w:rFonts w:ascii="Arial" w:hAnsi="Arial" w:cs="Arial"/>
          <w:sz w:val="24"/>
          <w:szCs w:val="24"/>
        </w:rPr>
      </w:pPr>
    </w:p>
    <w:p w14:paraId="0C04B4FC" w14:textId="77777777" w:rsidR="00DF62E0" w:rsidRDefault="00DF62E0" w:rsidP="00DF62E0">
      <w:pPr>
        <w:spacing w:line="360" w:lineRule="auto"/>
        <w:rPr>
          <w:rFonts w:ascii="Arial" w:hAnsi="Arial" w:cs="Arial"/>
          <w:sz w:val="24"/>
          <w:szCs w:val="24"/>
        </w:rPr>
      </w:pPr>
    </w:p>
    <w:p w14:paraId="2D4396A1" w14:textId="77777777" w:rsidR="00DF62E0" w:rsidRDefault="00DF62E0" w:rsidP="00DF62E0">
      <w:pPr>
        <w:spacing w:line="360" w:lineRule="auto"/>
        <w:rPr>
          <w:rFonts w:ascii="Arial" w:hAnsi="Arial" w:cs="Arial"/>
          <w:sz w:val="24"/>
          <w:szCs w:val="24"/>
        </w:rPr>
      </w:pPr>
    </w:p>
    <w:p w14:paraId="4EFCF9FB" w14:textId="77777777" w:rsidR="00DF62E0" w:rsidRDefault="00DF62E0" w:rsidP="00DF62E0">
      <w:pPr>
        <w:spacing w:line="360" w:lineRule="auto"/>
        <w:rPr>
          <w:rFonts w:ascii="Arial" w:hAnsi="Arial" w:cs="Arial"/>
          <w:sz w:val="24"/>
          <w:szCs w:val="24"/>
        </w:rPr>
      </w:pPr>
    </w:p>
    <w:p w14:paraId="088A3EFA" w14:textId="77777777" w:rsidR="00DF62E0" w:rsidRDefault="00DF62E0" w:rsidP="00DF62E0">
      <w:pPr>
        <w:spacing w:line="360" w:lineRule="auto"/>
        <w:rPr>
          <w:rFonts w:ascii="Arial" w:hAnsi="Arial" w:cs="Arial"/>
          <w:sz w:val="24"/>
          <w:szCs w:val="24"/>
        </w:rPr>
      </w:pPr>
    </w:p>
    <w:p w14:paraId="762B9647" w14:textId="77777777" w:rsidR="00DF62E0" w:rsidRDefault="00DF62E0" w:rsidP="00DF62E0">
      <w:pPr>
        <w:spacing w:line="360" w:lineRule="auto"/>
        <w:rPr>
          <w:rFonts w:ascii="Arial" w:hAnsi="Arial" w:cs="Arial"/>
          <w:sz w:val="24"/>
          <w:szCs w:val="24"/>
        </w:rPr>
      </w:pPr>
    </w:p>
    <w:p w14:paraId="523A64AE" w14:textId="77777777" w:rsidR="00DF62E0" w:rsidRDefault="00DF62E0" w:rsidP="00DF62E0">
      <w:pPr>
        <w:spacing w:line="360" w:lineRule="auto"/>
        <w:rPr>
          <w:rFonts w:ascii="Arial" w:hAnsi="Arial" w:cs="Arial"/>
          <w:sz w:val="24"/>
          <w:szCs w:val="24"/>
        </w:rPr>
      </w:pPr>
    </w:p>
    <w:p w14:paraId="0801C1DF" w14:textId="77777777" w:rsidR="00DF62E0" w:rsidRDefault="00DF62E0" w:rsidP="00DF62E0">
      <w:pPr>
        <w:spacing w:line="360" w:lineRule="auto"/>
        <w:rPr>
          <w:rFonts w:ascii="Arial" w:hAnsi="Arial" w:cs="Arial"/>
          <w:sz w:val="24"/>
          <w:szCs w:val="24"/>
        </w:rPr>
      </w:pPr>
    </w:p>
    <w:p w14:paraId="652C935C" w14:textId="77777777" w:rsidR="00DF62E0" w:rsidRDefault="00DF62E0" w:rsidP="00DF62E0">
      <w:pPr>
        <w:spacing w:line="360" w:lineRule="auto"/>
        <w:rPr>
          <w:rFonts w:ascii="Arial" w:hAnsi="Arial" w:cs="Arial"/>
          <w:sz w:val="24"/>
          <w:szCs w:val="24"/>
        </w:rPr>
      </w:pPr>
    </w:p>
    <w:p w14:paraId="6F59A88B" w14:textId="77777777" w:rsidR="00DF62E0" w:rsidRDefault="00DF62E0" w:rsidP="00DF62E0">
      <w:pPr>
        <w:spacing w:line="360" w:lineRule="auto"/>
        <w:rPr>
          <w:rFonts w:ascii="Arial" w:hAnsi="Arial" w:cs="Arial"/>
          <w:sz w:val="24"/>
          <w:szCs w:val="24"/>
        </w:rPr>
      </w:pPr>
    </w:p>
    <w:p w14:paraId="6D7CC8A4" w14:textId="77777777" w:rsidR="00DF62E0" w:rsidRPr="005C735E" w:rsidRDefault="00DF62E0" w:rsidP="005C735E">
      <w:pPr>
        <w:spacing w:line="360" w:lineRule="auto"/>
        <w:jc w:val="both"/>
        <w:rPr>
          <w:rFonts w:ascii="Arial" w:hAnsi="Arial" w:cs="Arial"/>
          <w:sz w:val="24"/>
          <w:szCs w:val="24"/>
        </w:rPr>
      </w:pPr>
    </w:p>
    <w:p w14:paraId="57D4758A" w14:textId="4141DEED" w:rsidR="00DF62E0" w:rsidRPr="005C735E" w:rsidRDefault="00DF62E0" w:rsidP="005C735E">
      <w:pPr>
        <w:spacing w:line="360" w:lineRule="auto"/>
        <w:jc w:val="both"/>
        <w:rPr>
          <w:rFonts w:ascii="Arial" w:hAnsi="Arial" w:cs="Arial"/>
          <w:sz w:val="24"/>
          <w:szCs w:val="24"/>
        </w:rPr>
      </w:pPr>
      <w:r w:rsidRPr="005C735E">
        <w:rPr>
          <w:rFonts w:ascii="Arial" w:hAnsi="Arial" w:cs="Arial"/>
          <w:sz w:val="24"/>
          <w:szCs w:val="24"/>
        </w:rPr>
        <w:lastRenderedPageBreak/>
        <w:t xml:space="preserve">“Human resource management (HRM) is the basis of all management activity, but it is not the basis of all business </w:t>
      </w:r>
      <w:proofErr w:type="gramStart"/>
      <w:r w:rsidRPr="005C735E">
        <w:rPr>
          <w:rFonts w:ascii="Arial" w:hAnsi="Arial" w:cs="Arial"/>
          <w:sz w:val="24"/>
          <w:szCs w:val="24"/>
        </w:rPr>
        <w:t>activity.[</w:t>
      </w:r>
      <w:proofErr w:type="gramEnd"/>
      <w:r w:rsidRPr="005C735E">
        <w:rPr>
          <w:rFonts w:ascii="Arial" w:hAnsi="Arial" w:cs="Arial"/>
          <w:sz w:val="24"/>
          <w:szCs w:val="24"/>
        </w:rPr>
        <w:t xml:space="preserve">…] The basis of management is always the same: getting the people of the business to make things happen </w:t>
      </w:r>
      <w:r w:rsidR="00F34A3B">
        <w:rPr>
          <w:rFonts w:ascii="Arial" w:hAnsi="Arial" w:cs="Arial"/>
          <w:sz w:val="24"/>
          <w:szCs w:val="24"/>
        </w:rPr>
        <w:t>productively</w:t>
      </w:r>
      <w:r w:rsidRPr="005C735E">
        <w:rPr>
          <w:rFonts w:ascii="Arial" w:hAnsi="Arial" w:cs="Arial"/>
          <w:sz w:val="24"/>
          <w:szCs w:val="24"/>
        </w:rPr>
        <w:t xml:space="preserve">, so that the business prospers and the people thrive "(Torrington et al., 2017). The rise of remote work has altered the area of human resource management, requiring the development of fresh performance management strategies. Nearly half of working adults in the United Kingdom reported working from home during the COVID-19 pandemic (ONS, 2023). Approximately 40% of employees continued to operate remotely as of early 2023. It is imperative for businesses to effectively manage remote workers, particularly in the context of performance appraisals, </w:t>
      </w:r>
      <w:r w:rsidR="00F34A3B">
        <w:rPr>
          <w:rFonts w:ascii="Arial" w:hAnsi="Arial" w:cs="Arial"/>
          <w:sz w:val="24"/>
          <w:szCs w:val="24"/>
        </w:rPr>
        <w:t>to</w:t>
      </w:r>
      <w:r w:rsidRPr="005C735E">
        <w:rPr>
          <w:rFonts w:ascii="Arial" w:hAnsi="Arial" w:cs="Arial"/>
          <w:sz w:val="24"/>
          <w:szCs w:val="24"/>
        </w:rPr>
        <w:t xml:space="preserve"> preserve productivity and guarantee employee well-being. This essay investigates the role of technology in the evaluation of remote worker performance, assesses a variety of performance measurement techniques, and evaluates effective appraisal instruments.</w:t>
      </w:r>
    </w:p>
    <w:p w14:paraId="642AAEAB" w14:textId="3E54B588" w:rsidR="00A80536" w:rsidRPr="005C735E" w:rsidRDefault="00A80536" w:rsidP="005C735E">
      <w:pPr>
        <w:spacing w:line="360" w:lineRule="auto"/>
        <w:jc w:val="both"/>
        <w:rPr>
          <w:rFonts w:ascii="Arial" w:hAnsi="Arial" w:cs="Arial"/>
          <w:sz w:val="24"/>
          <w:szCs w:val="24"/>
        </w:rPr>
      </w:pPr>
      <w:r w:rsidRPr="005C735E">
        <w:rPr>
          <w:rFonts w:ascii="Arial" w:hAnsi="Arial" w:cs="Arial"/>
          <w:sz w:val="24"/>
          <w:szCs w:val="24"/>
        </w:rPr>
        <w:t>Remote employment has increased due to the COVID-19 pandemic, requiring virtual performance appraisal tools and methods. Digital tools in performance management provide involvement and monitoring that would be difficult in a distributed workforce. Performance management tools like Oracle HCM Cloud and SAP SuccessFactors are used for performance appraisal</w:t>
      </w:r>
      <w:r w:rsidR="00D64F11" w:rsidRPr="005C735E">
        <w:rPr>
          <w:rFonts w:ascii="Arial" w:hAnsi="Arial" w:cs="Arial"/>
          <w:sz w:val="24"/>
          <w:szCs w:val="24"/>
        </w:rPr>
        <w:t xml:space="preserve"> (Haan, 2023)</w:t>
      </w:r>
      <w:r w:rsidRPr="005C735E">
        <w:rPr>
          <w:rFonts w:ascii="Arial" w:hAnsi="Arial" w:cs="Arial"/>
          <w:sz w:val="24"/>
          <w:szCs w:val="24"/>
        </w:rPr>
        <w:t>. Managers can set precise, quantifiable goals that align with the organization's goals and track their progress in real time using these tools. Armstrong</w:t>
      </w:r>
      <w:r w:rsidR="00D64F11" w:rsidRPr="005C735E">
        <w:rPr>
          <w:rFonts w:ascii="Arial" w:hAnsi="Arial" w:cs="Arial"/>
          <w:sz w:val="24"/>
          <w:szCs w:val="24"/>
        </w:rPr>
        <w:t xml:space="preserve"> and Taylor</w:t>
      </w:r>
      <w:r w:rsidRPr="005C735E">
        <w:rPr>
          <w:rFonts w:ascii="Arial" w:hAnsi="Arial" w:cs="Arial"/>
          <w:sz w:val="24"/>
          <w:szCs w:val="24"/>
        </w:rPr>
        <w:t xml:space="preserve"> (2020) states that these technologies are necessary to match an organization's strategic goals with remote workers' contributions. These solutions help managers keep remote workers productive and motivated with automated reminders, progress monitoring, and goal alignment. Integrating these systems with Trello and Asana lets managers give real-time feedback, assign tasks, establish deadlines, and track completion rates. This combination of tools keeps remote workers on schedule. Communication tools also affect evaluation. Managers and employees need Microsoft Teams, Zoom, and Slack to communicate</w:t>
      </w:r>
      <w:r w:rsidR="00D64F11" w:rsidRPr="005C735E">
        <w:rPr>
          <w:rFonts w:ascii="Arial" w:hAnsi="Arial" w:cs="Arial"/>
          <w:sz w:val="24"/>
          <w:szCs w:val="24"/>
        </w:rPr>
        <w:t xml:space="preserve"> (CIPD, 2020). </w:t>
      </w:r>
      <w:r w:rsidRPr="005C735E">
        <w:rPr>
          <w:rFonts w:ascii="Arial" w:hAnsi="Arial" w:cs="Arial"/>
          <w:sz w:val="24"/>
          <w:szCs w:val="24"/>
        </w:rPr>
        <w:t xml:space="preserve"> </w:t>
      </w:r>
      <w:r w:rsidR="00D64F11" w:rsidRPr="005C735E">
        <w:rPr>
          <w:rFonts w:ascii="Arial" w:hAnsi="Arial" w:cs="Arial"/>
          <w:sz w:val="24"/>
          <w:szCs w:val="24"/>
        </w:rPr>
        <w:t xml:space="preserve">Karl, Peluchette and Aghakhani, (2022) </w:t>
      </w:r>
      <w:r w:rsidRPr="005C735E">
        <w:rPr>
          <w:rFonts w:ascii="Arial" w:hAnsi="Arial" w:cs="Arial"/>
          <w:sz w:val="24"/>
          <w:szCs w:val="24"/>
        </w:rPr>
        <w:t xml:space="preserve">stresses that remote workers need regular check-ins with these tools to stay motivated. Video conferences give a more individualised approach to performance discussions by communicating visual cues and body language, minimising the likelihood of misconceptions in text-based communication. This continuous, in-person interaction, whether virtual or not, ensures positive feedback and staff support. However, implementing these technologies is </w:t>
      </w:r>
      <w:r w:rsidRPr="005C735E">
        <w:rPr>
          <w:rFonts w:ascii="Arial" w:hAnsi="Arial" w:cs="Arial"/>
          <w:sz w:val="24"/>
          <w:szCs w:val="24"/>
        </w:rPr>
        <w:lastRenderedPageBreak/>
        <w:t>difficult. Data privacy and over-surveillance are major concerns. Donati et al. (202</w:t>
      </w:r>
      <w:r w:rsidR="00D64F11" w:rsidRPr="005C735E">
        <w:rPr>
          <w:rFonts w:ascii="Arial" w:hAnsi="Arial" w:cs="Arial"/>
          <w:sz w:val="24"/>
          <w:szCs w:val="24"/>
        </w:rPr>
        <w:t>1</w:t>
      </w:r>
      <w:r w:rsidRPr="005C735E">
        <w:rPr>
          <w:rFonts w:ascii="Arial" w:hAnsi="Arial" w:cs="Arial"/>
          <w:sz w:val="24"/>
          <w:szCs w:val="24"/>
        </w:rPr>
        <w:t xml:space="preserve">) found that intensive monitoring can make employees feel mistrustful if they feel watched. This can lower morale and disengage. Organisations must be transparent about using these instruments and ensure fair and respectful monitoring. The acquisition of vital performance data and employee privacy must be balanced. Overreliance on technology could erode management's human element. Armstrong </w:t>
      </w:r>
      <w:r w:rsidR="00D64F11" w:rsidRPr="005C735E">
        <w:rPr>
          <w:rFonts w:ascii="Arial" w:hAnsi="Arial" w:cs="Arial"/>
          <w:sz w:val="24"/>
          <w:szCs w:val="24"/>
        </w:rPr>
        <w:t xml:space="preserve">and Taylor </w:t>
      </w:r>
      <w:r w:rsidRPr="005C735E">
        <w:rPr>
          <w:rFonts w:ascii="Arial" w:hAnsi="Arial" w:cs="Arial"/>
          <w:sz w:val="24"/>
          <w:szCs w:val="24"/>
        </w:rPr>
        <w:t>(202</w:t>
      </w:r>
      <w:r w:rsidR="00D64F11" w:rsidRPr="005C735E">
        <w:rPr>
          <w:rFonts w:ascii="Arial" w:hAnsi="Arial" w:cs="Arial"/>
          <w:sz w:val="24"/>
          <w:szCs w:val="24"/>
        </w:rPr>
        <w:t>0</w:t>
      </w:r>
      <w:r w:rsidRPr="005C735E">
        <w:rPr>
          <w:rFonts w:ascii="Arial" w:hAnsi="Arial" w:cs="Arial"/>
          <w:sz w:val="24"/>
          <w:szCs w:val="24"/>
        </w:rPr>
        <w:t xml:space="preserve">) </w:t>
      </w:r>
      <w:r w:rsidR="00D64F11" w:rsidRPr="005C735E">
        <w:rPr>
          <w:rFonts w:ascii="Arial" w:hAnsi="Arial" w:cs="Arial"/>
          <w:sz w:val="24"/>
          <w:szCs w:val="24"/>
        </w:rPr>
        <w:t>warn</w:t>
      </w:r>
      <w:r w:rsidRPr="005C735E">
        <w:rPr>
          <w:rFonts w:ascii="Arial" w:hAnsi="Arial" w:cs="Arial"/>
          <w:sz w:val="24"/>
          <w:szCs w:val="24"/>
        </w:rPr>
        <w:t xml:space="preserve"> managers not to overlook empathy and understanding when measuring performance, even though Oracle HCM Cloud and Trello provide valuable data. Metrics and figures are important, but remote workers' human circumstances and challenges are too. In early 2023, approximately 40% of UK workers worked from home, according to the Office for National Statistics (2023). This large segment of the workforce may struggle to balance work and caring or manage home office setups, which could lower productivity.  In addition to performance management and communication tools, AI and machine learning are influencing performance reviews. This technology can analyse massive data sets to find patterns and anticipate performance. This can help discover high-potential individuals or areas for improvement, but it raises questions about algorithm bias and the need for human supervision to ensure accuracy and fairness (Donati et al., 202</w:t>
      </w:r>
      <w:r w:rsidR="00D64F11" w:rsidRPr="005C735E">
        <w:rPr>
          <w:rFonts w:ascii="Arial" w:hAnsi="Arial" w:cs="Arial"/>
          <w:sz w:val="24"/>
          <w:szCs w:val="24"/>
        </w:rPr>
        <w:t>1</w:t>
      </w:r>
      <w:r w:rsidRPr="005C735E">
        <w:rPr>
          <w:rFonts w:ascii="Arial" w:hAnsi="Arial" w:cs="Arial"/>
          <w:sz w:val="24"/>
          <w:szCs w:val="24"/>
        </w:rPr>
        <w:t xml:space="preserve">). </w:t>
      </w:r>
      <w:proofErr w:type="gramStart"/>
      <w:r w:rsidRPr="005C735E">
        <w:rPr>
          <w:rFonts w:ascii="Arial" w:hAnsi="Arial" w:cs="Arial"/>
          <w:sz w:val="24"/>
          <w:szCs w:val="24"/>
        </w:rPr>
        <w:t xml:space="preserve">Latherbarrow </w:t>
      </w:r>
      <w:r w:rsidR="00D64F11" w:rsidRPr="005C735E">
        <w:rPr>
          <w:rFonts w:ascii="Arial" w:hAnsi="Arial" w:cs="Arial"/>
          <w:sz w:val="24"/>
          <w:szCs w:val="24"/>
        </w:rPr>
        <w:t xml:space="preserve"> and</w:t>
      </w:r>
      <w:proofErr w:type="gramEnd"/>
      <w:r w:rsidR="00D64F11" w:rsidRPr="005C735E">
        <w:rPr>
          <w:rFonts w:ascii="Arial" w:hAnsi="Arial" w:cs="Arial"/>
          <w:sz w:val="24"/>
          <w:szCs w:val="24"/>
        </w:rPr>
        <w:t xml:space="preserve"> Fletcher </w:t>
      </w:r>
      <w:r w:rsidRPr="005C735E">
        <w:rPr>
          <w:rFonts w:ascii="Arial" w:hAnsi="Arial" w:cs="Arial"/>
          <w:sz w:val="24"/>
          <w:szCs w:val="24"/>
        </w:rPr>
        <w:t>(20</w:t>
      </w:r>
      <w:r w:rsidR="00D64F11" w:rsidRPr="005C735E">
        <w:rPr>
          <w:rFonts w:ascii="Arial" w:hAnsi="Arial" w:cs="Arial"/>
          <w:sz w:val="24"/>
          <w:szCs w:val="24"/>
        </w:rPr>
        <w:t>14)</w:t>
      </w:r>
      <w:r w:rsidRPr="005C735E">
        <w:rPr>
          <w:rFonts w:ascii="Arial" w:hAnsi="Arial" w:cs="Arial"/>
          <w:sz w:val="24"/>
          <w:szCs w:val="24"/>
        </w:rPr>
        <w:t xml:space="preserve"> warns that overreliance on technology might depersonalise. These instruments should support human management, not replace it. This requires spending time understanding each employee's individual circumstances, providing support when needed, and ensuring that the feedback process is as much about growth and development as goals.</w:t>
      </w:r>
    </w:p>
    <w:p w14:paraId="6BFCC92D" w14:textId="3C6D4734" w:rsidR="00EF1ECB" w:rsidRPr="005C735E" w:rsidRDefault="00EF1ECB" w:rsidP="005C735E">
      <w:pPr>
        <w:spacing w:line="360" w:lineRule="auto"/>
        <w:jc w:val="both"/>
        <w:rPr>
          <w:rFonts w:ascii="Arial" w:hAnsi="Arial" w:cs="Arial"/>
          <w:sz w:val="24"/>
          <w:szCs w:val="24"/>
        </w:rPr>
      </w:pPr>
      <w:r w:rsidRPr="005C735E">
        <w:rPr>
          <w:rFonts w:ascii="Arial" w:hAnsi="Arial" w:cs="Arial"/>
          <w:sz w:val="24"/>
          <w:szCs w:val="24"/>
        </w:rPr>
        <w:t>Key performance indicators (KPIs), 360-degree feedback, self-assessment, and continuous performance management are the four primary performance measurement techniques that have been identified and assessed. The application of each of these techniques in remote work environments, where traditional oversight is restricted, presents distinct advantages and challenges</w:t>
      </w:r>
      <w:r w:rsidR="00D64F11" w:rsidRPr="005C735E">
        <w:rPr>
          <w:rFonts w:ascii="Arial" w:hAnsi="Arial" w:cs="Arial"/>
          <w:sz w:val="24"/>
          <w:szCs w:val="24"/>
        </w:rPr>
        <w:t xml:space="preserve"> (Ishak, Fong, and Shin, 2019).</w:t>
      </w:r>
      <w:r w:rsidRPr="005C735E">
        <w:rPr>
          <w:rFonts w:ascii="Arial" w:hAnsi="Arial" w:cs="Arial"/>
          <w:sz w:val="24"/>
          <w:szCs w:val="24"/>
        </w:rPr>
        <w:t xml:space="preserve"> Initially, Key Performance Indicators are a quantitative method that is frequently employed in various industries to evaluate the performance of employees. Key performance indicators are objectives that are quantifiable and specific, and they are in direct alignment with the strategic objectives of an organisation. They offer a straightforward and impartial approach to determining whether an employee is reaching the </w:t>
      </w:r>
      <w:r w:rsidRPr="005C735E">
        <w:rPr>
          <w:rFonts w:ascii="Arial" w:hAnsi="Arial" w:cs="Arial"/>
          <w:sz w:val="24"/>
          <w:szCs w:val="24"/>
        </w:rPr>
        <w:lastRenderedPageBreak/>
        <w:t>anticipated objectives. KPIs are particularly effective in remote work environments because they enable the monitoring of performance without regard for physical presence, with an emphasis on outputs rather than processes (Armstrong</w:t>
      </w:r>
      <w:r w:rsidR="00D64F11" w:rsidRPr="005C735E">
        <w:rPr>
          <w:rFonts w:ascii="Arial" w:hAnsi="Arial" w:cs="Arial"/>
          <w:sz w:val="24"/>
          <w:szCs w:val="24"/>
        </w:rPr>
        <w:t xml:space="preserve"> and Taylor,</w:t>
      </w:r>
      <w:r w:rsidRPr="005C735E">
        <w:rPr>
          <w:rFonts w:ascii="Arial" w:hAnsi="Arial" w:cs="Arial"/>
          <w:sz w:val="24"/>
          <w:szCs w:val="24"/>
        </w:rPr>
        <w:t xml:space="preserve"> 2020). Nevertheless, KPIs can be excessively rigid, failing to account for the nuances of remote work, </w:t>
      </w:r>
      <w:proofErr w:type="gramStart"/>
      <w:r w:rsidRPr="005C735E">
        <w:rPr>
          <w:rFonts w:ascii="Arial" w:hAnsi="Arial" w:cs="Arial"/>
          <w:sz w:val="24"/>
          <w:szCs w:val="24"/>
        </w:rPr>
        <w:t>despite the fact that</w:t>
      </w:r>
      <w:proofErr w:type="gramEnd"/>
      <w:r w:rsidRPr="005C735E">
        <w:rPr>
          <w:rFonts w:ascii="Arial" w:hAnsi="Arial" w:cs="Arial"/>
          <w:sz w:val="24"/>
          <w:szCs w:val="24"/>
        </w:rPr>
        <w:t xml:space="preserve"> they provide clarity and a focus on results. For example, remote employees may encounter distinctive obstacles, including inconsistent home environments and limited access to resources, which can affect their capacity to achieve specific KPIs</w:t>
      </w:r>
      <w:r w:rsidR="00D72896" w:rsidRPr="005C735E">
        <w:rPr>
          <w:rFonts w:ascii="Arial" w:hAnsi="Arial" w:cs="Arial"/>
          <w:sz w:val="24"/>
          <w:szCs w:val="24"/>
        </w:rPr>
        <w:t xml:space="preserve"> (Kowalski and Ślebarska, 2022). </w:t>
      </w:r>
      <w:r w:rsidRPr="005C735E">
        <w:rPr>
          <w:rFonts w:ascii="Arial" w:hAnsi="Arial" w:cs="Arial"/>
          <w:sz w:val="24"/>
          <w:szCs w:val="24"/>
        </w:rPr>
        <w:t xml:space="preserve"> </w:t>
      </w:r>
      <w:r w:rsidR="00D72896" w:rsidRPr="005C735E">
        <w:rPr>
          <w:rFonts w:ascii="Arial" w:hAnsi="Arial" w:cs="Arial"/>
          <w:sz w:val="24"/>
          <w:szCs w:val="24"/>
        </w:rPr>
        <w:t xml:space="preserve">As </w:t>
      </w:r>
      <w:proofErr w:type="gramStart"/>
      <w:r w:rsidR="00D72896" w:rsidRPr="005C735E">
        <w:rPr>
          <w:rFonts w:ascii="Arial" w:hAnsi="Arial" w:cs="Arial"/>
          <w:sz w:val="24"/>
          <w:szCs w:val="24"/>
        </w:rPr>
        <w:t xml:space="preserve">suggested </w:t>
      </w:r>
      <w:r w:rsidRPr="005C735E">
        <w:rPr>
          <w:rFonts w:ascii="Arial" w:hAnsi="Arial" w:cs="Arial"/>
          <w:sz w:val="24"/>
          <w:szCs w:val="24"/>
        </w:rPr>
        <w:t xml:space="preserve"> </w:t>
      </w:r>
      <w:r w:rsidR="00D72896" w:rsidRPr="005C735E">
        <w:rPr>
          <w:rFonts w:ascii="Arial" w:hAnsi="Arial" w:cs="Arial"/>
          <w:sz w:val="24"/>
          <w:szCs w:val="24"/>
        </w:rPr>
        <w:t>by</w:t>
      </w:r>
      <w:proofErr w:type="gramEnd"/>
      <w:r w:rsidRPr="005C735E">
        <w:rPr>
          <w:rFonts w:ascii="Arial" w:hAnsi="Arial" w:cs="Arial"/>
          <w:sz w:val="24"/>
          <w:szCs w:val="24"/>
        </w:rPr>
        <w:t xml:space="preserve"> Donati et al. (202</w:t>
      </w:r>
      <w:r w:rsidR="00D72896" w:rsidRPr="005C735E">
        <w:rPr>
          <w:rFonts w:ascii="Arial" w:hAnsi="Arial" w:cs="Arial"/>
          <w:sz w:val="24"/>
          <w:szCs w:val="24"/>
        </w:rPr>
        <w:t>1</w:t>
      </w:r>
      <w:r w:rsidRPr="005C735E">
        <w:rPr>
          <w:rFonts w:ascii="Arial" w:hAnsi="Arial" w:cs="Arial"/>
          <w:sz w:val="24"/>
          <w:szCs w:val="24"/>
        </w:rPr>
        <w:t xml:space="preserve">), an excessive emphasis on key performance indicators (KPIs) may result in a narrow focus on quantifiable outcomes, potentially neglecting critical qualitative aspects of performance, including adaptability, creativity, and collaboration. Secondly, 360-Degree Feedback is an additional potent performance measurement method that is particularly advantageous in remote work environments where direct observation is restricted. This approach entails the acquisition of feedback from a variety of sources, such as managers, subordinates, and peers, </w:t>
      </w:r>
      <w:proofErr w:type="gramStart"/>
      <w:r w:rsidRPr="005C735E">
        <w:rPr>
          <w:rFonts w:ascii="Arial" w:hAnsi="Arial" w:cs="Arial"/>
          <w:sz w:val="24"/>
          <w:szCs w:val="24"/>
        </w:rPr>
        <w:t>in order to</w:t>
      </w:r>
      <w:proofErr w:type="gramEnd"/>
      <w:r w:rsidRPr="005C735E">
        <w:rPr>
          <w:rFonts w:ascii="Arial" w:hAnsi="Arial" w:cs="Arial"/>
          <w:sz w:val="24"/>
          <w:szCs w:val="24"/>
        </w:rPr>
        <w:t xml:space="preserve"> offer a comprehensive assessment of an employee's performance</w:t>
      </w:r>
      <w:r w:rsidR="00D72896" w:rsidRPr="005C735E">
        <w:rPr>
          <w:rFonts w:ascii="Arial" w:hAnsi="Arial" w:cs="Arial"/>
          <w:sz w:val="24"/>
          <w:szCs w:val="24"/>
        </w:rPr>
        <w:t xml:space="preserve"> (Gifford, 2024). </w:t>
      </w:r>
      <w:r w:rsidRPr="005C735E">
        <w:rPr>
          <w:rFonts w:ascii="Arial" w:hAnsi="Arial" w:cs="Arial"/>
          <w:sz w:val="24"/>
          <w:szCs w:val="24"/>
        </w:rPr>
        <w:t xml:space="preserve"> The benefit of 360-Degree Feedback in remote work is that it can provide a more nuanced and balanced evaluation of an employee's performance by capturing diverse perspectives</w:t>
      </w:r>
      <w:r w:rsidR="00D72896" w:rsidRPr="005C735E">
        <w:rPr>
          <w:rFonts w:ascii="Arial" w:hAnsi="Arial" w:cs="Arial"/>
          <w:sz w:val="24"/>
          <w:szCs w:val="24"/>
        </w:rPr>
        <w:t xml:space="preserve">. </w:t>
      </w:r>
      <w:r w:rsidRPr="005C735E">
        <w:rPr>
          <w:rFonts w:ascii="Arial" w:hAnsi="Arial" w:cs="Arial"/>
          <w:sz w:val="24"/>
          <w:szCs w:val="24"/>
        </w:rPr>
        <w:t>For instance, remote employees frequently engage with a diverse array of stakeholders and team members via distinct communication channels, which complicates the evaluation of their contributions by a single manager. 360-Degree Feedback can assist in the mitigation of this issue by incorporating feedback from a variety of sources</w:t>
      </w:r>
      <w:r w:rsidR="00D72896" w:rsidRPr="005C735E">
        <w:rPr>
          <w:rFonts w:ascii="Arial" w:hAnsi="Arial" w:cs="Arial"/>
          <w:sz w:val="24"/>
          <w:szCs w:val="24"/>
        </w:rPr>
        <w:t xml:space="preserve"> (Smithwick, 2023).</w:t>
      </w:r>
      <w:r w:rsidRPr="005C735E">
        <w:rPr>
          <w:rFonts w:ascii="Arial" w:hAnsi="Arial" w:cs="Arial"/>
          <w:sz w:val="24"/>
          <w:szCs w:val="24"/>
        </w:rPr>
        <w:t xml:space="preserve"> Nevertheless, the potential for bias and inconsistency is the primary obstacle to this method. Inaccurate assessments may result from the influence of personal relationships or subjective opinions on feedback from peers and subordinates. Additionally, the quality of feedback may be compromised in a remote environment, where interactions may be less frequent or less visible, resulting in an incomplete picture of performance (Armstrong</w:t>
      </w:r>
      <w:r w:rsidR="00D72896" w:rsidRPr="005C735E">
        <w:rPr>
          <w:rFonts w:ascii="Arial" w:hAnsi="Arial" w:cs="Arial"/>
          <w:sz w:val="24"/>
          <w:szCs w:val="24"/>
        </w:rPr>
        <w:t xml:space="preserve"> and Taylor,</w:t>
      </w:r>
      <w:r w:rsidRPr="005C735E">
        <w:rPr>
          <w:rFonts w:ascii="Arial" w:hAnsi="Arial" w:cs="Arial"/>
          <w:sz w:val="24"/>
          <w:szCs w:val="24"/>
        </w:rPr>
        <w:t xml:space="preserve"> 2020). Thirdly, Self-Assessment is a method that fosters personal accountability and self-reflection by enabling employees to assess their own performance. Self-assessment can be a valuable instrument for promoting self-regulation and continuous improvement in the context of remote work, where employees often work independently</w:t>
      </w:r>
      <w:r w:rsidR="00D72896" w:rsidRPr="005C735E">
        <w:rPr>
          <w:rFonts w:ascii="Arial" w:hAnsi="Arial" w:cs="Arial"/>
          <w:sz w:val="24"/>
          <w:szCs w:val="24"/>
        </w:rPr>
        <w:t xml:space="preserve"> (CIPD, n.d.). Torrington et al.,</w:t>
      </w:r>
      <w:r w:rsidRPr="005C735E">
        <w:rPr>
          <w:rFonts w:ascii="Arial" w:hAnsi="Arial" w:cs="Arial"/>
          <w:sz w:val="24"/>
          <w:szCs w:val="24"/>
        </w:rPr>
        <w:t xml:space="preserve"> (20</w:t>
      </w:r>
      <w:r w:rsidR="00D72896" w:rsidRPr="005C735E">
        <w:rPr>
          <w:rFonts w:ascii="Arial" w:hAnsi="Arial" w:cs="Arial"/>
          <w:sz w:val="24"/>
          <w:szCs w:val="24"/>
        </w:rPr>
        <w:t>17</w:t>
      </w:r>
      <w:r w:rsidRPr="005C735E">
        <w:rPr>
          <w:rFonts w:ascii="Arial" w:hAnsi="Arial" w:cs="Arial"/>
          <w:sz w:val="24"/>
          <w:szCs w:val="24"/>
        </w:rPr>
        <w:t xml:space="preserve">) believes that self-assessment is particularly beneficial in remote environments, as it enables employees to establish </w:t>
      </w:r>
      <w:r w:rsidRPr="005C735E">
        <w:rPr>
          <w:rFonts w:ascii="Arial" w:hAnsi="Arial" w:cs="Arial"/>
          <w:sz w:val="24"/>
          <w:szCs w:val="24"/>
        </w:rPr>
        <w:lastRenderedPageBreak/>
        <w:t xml:space="preserve">their own objectives and pinpoint areas for improvement, thereby enabling them to take responsibility for their performance. This method is also in harmony with the autonomy that remote work frequently necessitates, as it promotes intrinsic motivation and a sense of responsibility. Nevertheless, the efficacy of self-assessment is contingent upon the individual's capacity to accurately assess their own performance. A misalignment between self-perception and actual performance is a potential consequence of either underestimating or overestimating one's abilities. In addition, the absence of appropriate guidance and feedback may result in the inability of self-assessment to generate substantial improvements, as employees may not possess the external perspective required to identify blind spots or areas in which they need to improve </w:t>
      </w:r>
      <w:r w:rsidR="00D72896" w:rsidRPr="005C735E">
        <w:rPr>
          <w:rFonts w:ascii="Arial" w:hAnsi="Arial" w:cs="Arial"/>
          <w:sz w:val="24"/>
          <w:szCs w:val="24"/>
        </w:rPr>
        <w:t xml:space="preserve">(van Zoonen et al., 2021). </w:t>
      </w:r>
      <w:r w:rsidRPr="005C735E">
        <w:rPr>
          <w:rFonts w:ascii="Arial" w:hAnsi="Arial" w:cs="Arial"/>
          <w:sz w:val="24"/>
          <w:szCs w:val="24"/>
        </w:rPr>
        <w:t>Lastly, Continuous Performance Management is a new approach that prioritises continuous feedback and development over conventional annual evaluations. This method is particularly well-suited to the dynamic and fluid nature of remote work, where regular check-ins and adjustments are essential for maintaining alignment and engagement (</w:t>
      </w:r>
      <w:r w:rsidR="00D72896" w:rsidRPr="005C735E">
        <w:rPr>
          <w:rFonts w:ascii="Arial" w:hAnsi="Arial" w:cs="Arial"/>
          <w:sz w:val="24"/>
          <w:szCs w:val="24"/>
        </w:rPr>
        <w:t xml:space="preserve">Williams and Beck, 2018). </w:t>
      </w:r>
      <w:r w:rsidRPr="005C735E">
        <w:rPr>
          <w:rFonts w:ascii="Arial" w:hAnsi="Arial" w:cs="Arial"/>
          <w:sz w:val="24"/>
          <w:szCs w:val="24"/>
        </w:rPr>
        <w:t>Continuous Performance Management entails the establishment of short-term objectives, real-time feedback, and regular one-on-one meetings, which enables managers to promptly address issues and offer support to remote workers. This method has the capacity to maintain employees' engagement and concentration by providing them with consistent guidance and reinforcement</w:t>
      </w:r>
      <w:r w:rsidR="00D72896" w:rsidRPr="005C735E">
        <w:rPr>
          <w:rFonts w:ascii="Arial" w:hAnsi="Arial" w:cs="Arial"/>
          <w:sz w:val="24"/>
          <w:szCs w:val="24"/>
        </w:rPr>
        <w:t xml:space="preserve"> (Cunha, Carvalho, and Sousa, 203). </w:t>
      </w:r>
      <w:r w:rsidRPr="005C735E">
        <w:rPr>
          <w:rFonts w:ascii="Arial" w:hAnsi="Arial" w:cs="Arial"/>
          <w:sz w:val="24"/>
          <w:szCs w:val="24"/>
        </w:rPr>
        <w:t xml:space="preserve">Nevertheless, the implementation of Continuous Performance Management can be resource-intensive, necessitating a substantial time commitment from managers to ensure ongoing feedback and maintain frequent communication. Additionally, there is the possibility of feedback fatigue, which can result in disengagement or resistance to continuous evaluation </w:t>
      </w:r>
      <w:proofErr w:type="gramStart"/>
      <w:r w:rsidRPr="005C735E">
        <w:rPr>
          <w:rFonts w:ascii="Arial" w:hAnsi="Arial" w:cs="Arial"/>
          <w:sz w:val="24"/>
          <w:szCs w:val="24"/>
        </w:rPr>
        <w:t>as a result of</w:t>
      </w:r>
      <w:proofErr w:type="gramEnd"/>
      <w:r w:rsidRPr="005C735E">
        <w:rPr>
          <w:rFonts w:ascii="Arial" w:hAnsi="Arial" w:cs="Arial"/>
          <w:sz w:val="24"/>
          <w:szCs w:val="24"/>
        </w:rPr>
        <w:t xml:space="preserve"> employees becoming inundated by the constant stream of feedback (Armstrong</w:t>
      </w:r>
      <w:r w:rsidR="00D72896" w:rsidRPr="005C735E">
        <w:rPr>
          <w:rFonts w:ascii="Arial" w:hAnsi="Arial" w:cs="Arial"/>
          <w:sz w:val="24"/>
          <w:szCs w:val="24"/>
        </w:rPr>
        <w:t xml:space="preserve"> and Taylor,</w:t>
      </w:r>
      <w:r w:rsidRPr="005C735E">
        <w:rPr>
          <w:rFonts w:ascii="Arial" w:hAnsi="Arial" w:cs="Arial"/>
          <w:sz w:val="24"/>
          <w:szCs w:val="24"/>
        </w:rPr>
        <w:t xml:space="preserve"> 2020).</w:t>
      </w:r>
    </w:p>
    <w:p w14:paraId="62D5889F" w14:textId="24E64244" w:rsidR="00A80536" w:rsidRPr="005C735E" w:rsidRDefault="00A80536" w:rsidP="005C735E">
      <w:pPr>
        <w:spacing w:line="360" w:lineRule="auto"/>
        <w:jc w:val="both"/>
        <w:rPr>
          <w:rFonts w:ascii="Arial" w:hAnsi="Arial" w:cs="Arial"/>
          <w:sz w:val="24"/>
          <w:szCs w:val="24"/>
        </w:rPr>
      </w:pPr>
      <w:r w:rsidRPr="005C735E">
        <w:rPr>
          <w:rFonts w:ascii="Arial" w:hAnsi="Arial" w:cs="Arial"/>
          <w:sz w:val="24"/>
          <w:szCs w:val="24"/>
        </w:rPr>
        <w:t>Given that remote work situations provide unique challenges, performance rating tools are essential for managing remote workers. Due to the lack of direct supervision and face-to-face interaction, comprehensive and fair performance evaluation tools are needed. Performance assessment tools include digital performance dashboards, employee monitoring software, virtual performance review platforms, and AI-powered analytics</w:t>
      </w:r>
      <w:r w:rsidR="005C735E" w:rsidRPr="005C735E">
        <w:rPr>
          <w:rFonts w:ascii="Arial" w:hAnsi="Arial" w:cs="Arial"/>
          <w:sz w:val="24"/>
          <w:szCs w:val="24"/>
        </w:rPr>
        <w:t xml:space="preserve"> (van Zoonen et al., 2021).</w:t>
      </w:r>
      <w:r w:rsidRPr="005C735E">
        <w:rPr>
          <w:rFonts w:ascii="Arial" w:hAnsi="Arial" w:cs="Arial"/>
          <w:sz w:val="24"/>
          <w:szCs w:val="24"/>
        </w:rPr>
        <w:t xml:space="preserve"> Remote workers must maintain productivity, engagement, and alignment with organisational goals, and each tool has pros and </w:t>
      </w:r>
      <w:r w:rsidRPr="005C735E">
        <w:rPr>
          <w:rFonts w:ascii="Arial" w:hAnsi="Arial" w:cs="Arial"/>
          <w:sz w:val="24"/>
          <w:szCs w:val="24"/>
        </w:rPr>
        <w:lastRenderedPageBreak/>
        <w:t>cons. Administrators can view crucial performance indicators in real time with digital performance dashboards. These dashboards combine CRM and project management data to analyse employee performance. Digital dashboards allow continuous performance monitoring without direct supervision and give transparency, according to Armstrong</w:t>
      </w:r>
      <w:r w:rsidR="005C735E" w:rsidRPr="005C735E">
        <w:rPr>
          <w:rFonts w:ascii="Arial" w:hAnsi="Arial" w:cs="Arial"/>
          <w:sz w:val="24"/>
          <w:szCs w:val="24"/>
        </w:rPr>
        <w:t xml:space="preserve"> and Taylor</w:t>
      </w:r>
      <w:r w:rsidRPr="005C735E">
        <w:rPr>
          <w:rFonts w:ascii="Arial" w:hAnsi="Arial" w:cs="Arial"/>
          <w:sz w:val="24"/>
          <w:szCs w:val="24"/>
        </w:rPr>
        <w:t xml:space="preserve"> (2020). By visualising performance metrics, managers may quickly spot trends and issues. Dashboards can promote visibility, but if built improperly, they can encourage micromanagement. Perceptions that every action is scrutinised may increase tension and decrease autonomy. Utilising these displays for help rather than surveillance is key. Remote work environments often use employee monitoring software. This software tracks time spent on tasks, application usage, and keystrokes. It helps managers understand how employees spend their time, but it has serious ethical issues</w:t>
      </w:r>
      <w:r w:rsidR="005C735E" w:rsidRPr="005C735E">
        <w:rPr>
          <w:rFonts w:ascii="Arial" w:hAnsi="Arial" w:cs="Arial"/>
          <w:sz w:val="24"/>
          <w:szCs w:val="24"/>
        </w:rPr>
        <w:t xml:space="preserve"> (Rietze and Zacher, 2022).</w:t>
      </w:r>
      <w:r w:rsidRPr="005C735E">
        <w:rPr>
          <w:rFonts w:ascii="Arial" w:hAnsi="Arial" w:cs="Arial"/>
          <w:sz w:val="24"/>
          <w:szCs w:val="24"/>
        </w:rPr>
        <w:t xml:space="preserve"> </w:t>
      </w:r>
      <w:r w:rsidR="005C735E" w:rsidRPr="005C735E">
        <w:rPr>
          <w:rFonts w:ascii="Arial" w:hAnsi="Arial" w:cs="Arial"/>
          <w:sz w:val="24"/>
          <w:szCs w:val="24"/>
        </w:rPr>
        <w:t>Deloitte Insights (n.d.).</w:t>
      </w:r>
      <w:r w:rsidRPr="005C735E">
        <w:rPr>
          <w:rFonts w:ascii="Arial" w:hAnsi="Arial" w:cs="Arial"/>
          <w:sz w:val="24"/>
          <w:szCs w:val="24"/>
        </w:rPr>
        <w:t xml:space="preserve"> states that extensive employee monitoring can boost responsibility and productivity but damage trust. Overmonitoring can lower morale since employees may feel watched. In creative positions, autonomy and independence are essential for success. Though monitoring software can guarantee productivity, it is important to balance it with trust-building tactics to reduce negative effects on staff morale. Formal remote employee performance reviews require virtual performance review platforms. These platforms provide structured discussions about an employee's goals, accomplishments, and development areas. Virtual review systems standardise the assessment process, ensuring uniformity and equity for all employees, regardless of location, according to Armstrong </w:t>
      </w:r>
      <w:r w:rsidR="005C735E" w:rsidRPr="005C735E">
        <w:rPr>
          <w:rFonts w:ascii="Arial" w:hAnsi="Arial" w:cs="Arial"/>
          <w:sz w:val="24"/>
          <w:szCs w:val="24"/>
        </w:rPr>
        <w:t xml:space="preserve">and Taylor </w:t>
      </w:r>
      <w:r w:rsidRPr="005C735E">
        <w:rPr>
          <w:rFonts w:ascii="Arial" w:hAnsi="Arial" w:cs="Arial"/>
          <w:sz w:val="24"/>
          <w:szCs w:val="24"/>
        </w:rPr>
        <w:t>(2020). To track employee development, these platforms often include goal setting, feedback, and performance discussion documents. Disadvantages include a lack of personal connection during evaluations. Without face-to-face interaction, talking about empathy or sensitive topics can be harder. The most advanced performance appraisal tools, AI-Powered Analytics, can analyse massive amounts of data to identify patterns and trends in employee performance</w:t>
      </w:r>
      <w:r w:rsidR="005C735E" w:rsidRPr="005C735E">
        <w:rPr>
          <w:rFonts w:ascii="Arial" w:hAnsi="Arial" w:cs="Arial"/>
          <w:sz w:val="24"/>
          <w:szCs w:val="24"/>
        </w:rPr>
        <w:t xml:space="preserve"> (Gnepp et al., 2020). </w:t>
      </w:r>
      <w:r w:rsidRPr="005C735E">
        <w:rPr>
          <w:rFonts w:ascii="Arial" w:hAnsi="Arial" w:cs="Arial"/>
          <w:sz w:val="24"/>
          <w:szCs w:val="24"/>
        </w:rPr>
        <w:t xml:space="preserve">Managers should </w:t>
      </w:r>
      <w:proofErr w:type="gramStart"/>
      <w:r w:rsidRPr="005C735E">
        <w:rPr>
          <w:rFonts w:ascii="Arial" w:hAnsi="Arial" w:cs="Arial"/>
          <w:sz w:val="24"/>
          <w:szCs w:val="24"/>
        </w:rPr>
        <w:t>make an effort</w:t>
      </w:r>
      <w:proofErr w:type="gramEnd"/>
      <w:r w:rsidRPr="005C735E">
        <w:rPr>
          <w:rFonts w:ascii="Arial" w:hAnsi="Arial" w:cs="Arial"/>
          <w:sz w:val="24"/>
          <w:szCs w:val="24"/>
        </w:rPr>
        <w:t xml:space="preserve"> to engage with employees on a more personal level, perhaps through video conferencing, to maintain the human element of performance appraisals. These methods may identify high-potential personnel or potential concerns before they become major issues. The research by Donati et al. (202</w:t>
      </w:r>
      <w:r w:rsidR="005C735E" w:rsidRPr="005C735E">
        <w:rPr>
          <w:rFonts w:ascii="Arial" w:hAnsi="Arial" w:cs="Arial"/>
          <w:sz w:val="24"/>
          <w:szCs w:val="24"/>
        </w:rPr>
        <w:t>1</w:t>
      </w:r>
      <w:r w:rsidRPr="005C735E">
        <w:rPr>
          <w:rFonts w:ascii="Arial" w:hAnsi="Arial" w:cs="Arial"/>
          <w:sz w:val="24"/>
          <w:szCs w:val="24"/>
        </w:rPr>
        <w:t xml:space="preserve">) shows that AI-powered analytics can evaluate data from different sources to create a complete picture of an employee's performance in distant settings. However, algorithmic bias and depersonalisation in AI performance evaluations raise concerns. </w:t>
      </w:r>
      <w:r w:rsidRPr="005C735E">
        <w:rPr>
          <w:rFonts w:ascii="Arial" w:hAnsi="Arial" w:cs="Arial"/>
          <w:sz w:val="24"/>
          <w:szCs w:val="24"/>
        </w:rPr>
        <w:lastRenderedPageBreak/>
        <w:t xml:space="preserve">Some behaviours may be prioritised by algorithms, which may not appropriately reflect an employee's contributions. Using AI alone may also lead to a lack of respect for individual conditions, which is crucial in remote work where individuals may face unique challenges. </w:t>
      </w:r>
      <w:proofErr w:type="gramStart"/>
      <w:r w:rsidRPr="005C735E">
        <w:rPr>
          <w:rFonts w:ascii="Arial" w:hAnsi="Arial" w:cs="Arial"/>
          <w:sz w:val="24"/>
          <w:szCs w:val="24"/>
        </w:rPr>
        <w:t>Armstrong</w:t>
      </w:r>
      <w:r w:rsidR="005C735E" w:rsidRPr="005C735E">
        <w:rPr>
          <w:rFonts w:ascii="Arial" w:hAnsi="Arial" w:cs="Arial"/>
          <w:sz w:val="24"/>
          <w:szCs w:val="24"/>
        </w:rPr>
        <w:t xml:space="preserve">  and</w:t>
      </w:r>
      <w:proofErr w:type="gramEnd"/>
      <w:r w:rsidR="005C735E" w:rsidRPr="005C735E">
        <w:rPr>
          <w:rFonts w:ascii="Arial" w:hAnsi="Arial" w:cs="Arial"/>
          <w:sz w:val="24"/>
          <w:szCs w:val="24"/>
        </w:rPr>
        <w:t xml:space="preserve"> Taylor</w:t>
      </w:r>
      <w:r w:rsidRPr="005C735E">
        <w:rPr>
          <w:rFonts w:ascii="Arial" w:hAnsi="Arial" w:cs="Arial"/>
          <w:sz w:val="24"/>
          <w:szCs w:val="24"/>
        </w:rPr>
        <w:t xml:space="preserve"> (2020) stresses that AI should complement human judgement rather than replace it, despite its strength.</w:t>
      </w:r>
    </w:p>
    <w:p w14:paraId="1332C89C" w14:textId="77777777" w:rsidR="00A80536" w:rsidRPr="005C735E" w:rsidRDefault="00A80536" w:rsidP="005C735E">
      <w:pPr>
        <w:spacing w:line="360" w:lineRule="auto"/>
        <w:jc w:val="both"/>
        <w:rPr>
          <w:rFonts w:ascii="Arial" w:hAnsi="Arial" w:cs="Arial"/>
          <w:sz w:val="24"/>
          <w:szCs w:val="24"/>
        </w:rPr>
      </w:pPr>
      <w:r w:rsidRPr="005C735E">
        <w:rPr>
          <w:rFonts w:ascii="Arial" w:hAnsi="Arial" w:cs="Arial"/>
          <w:sz w:val="24"/>
          <w:szCs w:val="24"/>
        </w:rPr>
        <w:t>In conclusion, the rise of remote work has forced the use of enhanced performance appraisal tools and methodologies designed for distant labour management. Digital Performance Dashboards, Employee Monitoring Software, Virtual Performance Review Platforms, and AI-Powered Analytics boost productivity and support organisational goals. Their effectiveness depends on proper implementation that balances transparency with employee privacy and autonomy. As organisations negotiate remote work, these tools must be integrated to enhance, rather than diminish, the human parts of performance management to keep employees engaged, supported, and motivated.</w:t>
      </w:r>
    </w:p>
    <w:p w14:paraId="061A0612" w14:textId="77777777" w:rsidR="00A80536" w:rsidRPr="005C735E" w:rsidRDefault="00A80536" w:rsidP="005C735E">
      <w:pPr>
        <w:spacing w:line="360" w:lineRule="auto"/>
        <w:jc w:val="both"/>
        <w:rPr>
          <w:rFonts w:ascii="Arial" w:hAnsi="Arial" w:cs="Arial"/>
          <w:sz w:val="24"/>
          <w:szCs w:val="24"/>
        </w:rPr>
      </w:pPr>
    </w:p>
    <w:p w14:paraId="4EC32FA5" w14:textId="77777777" w:rsidR="00A80536" w:rsidRPr="005C735E" w:rsidRDefault="00A80536" w:rsidP="005C735E">
      <w:pPr>
        <w:spacing w:line="360" w:lineRule="auto"/>
        <w:jc w:val="both"/>
        <w:rPr>
          <w:rFonts w:ascii="Arial" w:hAnsi="Arial" w:cs="Arial"/>
          <w:sz w:val="24"/>
          <w:szCs w:val="24"/>
        </w:rPr>
      </w:pPr>
    </w:p>
    <w:p w14:paraId="105EF842" w14:textId="77777777" w:rsidR="00A80536" w:rsidRPr="005C735E" w:rsidRDefault="00A80536" w:rsidP="005C735E">
      <w:pPr>
        <w:spacing w:line="360" w:lineRule="auto"/>
        <w:jc w:val="both"/>
        <w:rPr>
          <w:rFonts w:ascii="Arial" w:hAnsi="Arial" w:cs="Arial"/>
          <w:sz w:val="24"/>
          <w:szCs w:val="24"/>
        </w:rPr>
      </w:pPr>
    </w:p>
    <w:p w14:paraId="34E730F3" w14:textId="77777777" w:rsidR="00A80536" w:rsidRPr="005C735E" w:rsidRDefault="00A80536" w:rsidP="005C735E">
      <w:pPr>
        <w:spacing w:line="360" w:lineRule="auto"/>
        <w:jc w:val="both"/>
        <w:rPr>
          <w:rFonts w:ascii="Arial" w:hAnsi="Arial" w:cs="Arial"/>
          <w:sz w:val="24"/>
          <w:szCs w:val="24"/>
        </w:rPr>
      </w:pPr>
    </w:p>
    <w:p w14:paraId="244DB76A" w14:textId="77777777" w:rsidR="00A80536" w:rsidRPr="00A80536" w:rsidRDefault="00A80536" w:rsidP="00A80536">
      <w:pPr>
        <w:spacing w:line="360" w:lineRule="auto"/>
        <w:jc w:val="both"/>
        <w:rPr>
          <w:rFonts w:ascii="Arial" w:hAnsi="Arial" w:cs="Arial"/>
          <w:sz w:val="24"/>
          <w:szCs w:val="24"/>
        </w:rPr>
      </w:pPr>
    </w:p>
    <w:p w14:paraId="54822EE1" w14:textId="77777777" w:rsidR="00A80536" w:rsidRPr="00A80536" w:rsidRDefault="00A80536" w:rsidP="00A80536">
      <w:pPr>
        <w:spacing w:line="360" w:lineRule="auto"/>
        <w:rPr>
          <w:rFonts w:ascii="Arial" w:hAnsi="Arial" w:cs="Arial"/>
          <w:sz w:val="24"/>
          <w:szCs w:val="24"/>
        </w:rPr>
      </w:pPr>
    </w:p>
    <w:p w14:paraId="214D519F" w14:textId="77777777" w:rsidR="00A80536" w:rsidRPr="00A80536" w:rsidRDefault="00A80536" w:rsidP="00A80536">
      <w:pPr>
        <w:spacing w:line="360" w:lineRule="auto"/>
        <w:rPr>
          <w:rFonts w:ascii="Arial" w:hAnsi="Arial" w:cs="Arial"/>
          <w:sz w:val="24"/>
          <w:szCs w:val="24"/>
        </w:rPr>
      </w:pPr>
    </w:p>
    <w:p w14:paraId="0EDD6D51" w14:textId="2E40F91C" w:rsidR="00DF62E0" w:rsidRDefault="00A80536" w:rsidP="00A80536">
      <w:pPr>
        <w:spacing w:line="360" w:lineRule="auto"/>
        <w:rPr>
          <w:rFonts w:ascii="Arial" w:hAnsi="Arial" w:cs="Arial"/>
          <w:sz w:val="24"/>
          <w:szCs w:val="24"/>
        </w:rPr>
      </w:pPr>
      <w:r w:rsidRPr="00A80536">
        <w:rPr>
          <w:rFonts w:ascii="Arial" w:hAnsi="Arial" w:cs="Arial"/>
          <w:sz w:val="24"/>
          <w:szCs w:val="24"/>
        </w:rPr>
        <w:cr/>
      </w:r>
    </w:p>
    <w:p w14:paraId="1E99DC92" w14:textId="77777777" w:rsidR="00DF62E0" w:rsidRDefault="00DF62E0" w:rsidP="00DF62E0">
      <w:pPr>
        <w:spacing w:line="360" w:lineRule="auto"/>
        <w:rPr>
          <w:rFonts w:ascii="Arial" w:hAnsi="Arial" w:cs="Arial"/>
          <w:sz w:val="24"/>
          <w:szCs w:val="24"/>
        </w:rPr>
      </w:pPr>
    </w:p>
    <w:p w14:paraId="5D37FEB9" w14:textId="77777777" w:rsidR="00DF62E0" w:rsidRDefault="00DF62E0" w:rsidP="00DF62E0">
      <w:pPr>
        <w:spacing w:line="360" w:lineRule="auto"/>
        <w:rPr>
          <w:rFonts w:ascii="Arial" w:hAnsi="Arial" w:cs="Arial"/>
          <w:sz w:val="24"/>
          <w:szCs w:val="24"/>
        </w:rPr>
      </w:pPr>
    </w:p>
    <w:p w14:paraId="0BCF085B" w14:textId="77777777" w:rsidR="00DF62E0" w:rsidRDefault="00DF62E0" w:rsidP="00DF62E0">
      <w:pPr>
        <w:spacing w:line="360" w:lineRule="auto"/>
        <w:rPr>
          <w:rFonts w:ascii="Arial" w:hAnsi="Arial" w:cs="Arial"/>
          <w:sz w:val="24"/>
          <w:szCs w:val="24"/>
        </w:rPr>
      </w:pPr>
    </w:p>
    <w:p w14:paraId="0F503D32" w14:textId="77777777" w:rsidR="00F61948" w:rsidRDefault="00F61948" w:rsidP="00DF62E0">
      <w:pPr>
        <w:spacing w:line="360" w:lineRule="auto"/>
        <w:rPr>
          <w:rFonts w:ascii="Arial" w:hAnsi="Arial" w:cs="Arial"/>
          <w:sz w:val="24"/>
          <w:szCs w:val="24"/>
        </w:rPr>
      </w:pPr>
    </w:p>
    <w:p w14:paraId="0EFC1429" w14:textId="77777777" w:rsidR="00086B6C" w:rsidRDefault="00086B6C" w:rsidP="005C735E">
      <w:pPr>
        <w:spacing w:line="360" w:lineRule="auto"/>
        <w:jc w:val="both"/>
        <w:rPr>
          <w:rFonts w:ascii="Arial" w:hAnsi="Arial" w:cs="Arial"/>
          <w:b/>
          <w:bCs/>
          <w:sz w:val="24"/>
          <w:szCs w:val="24"/>
        </w:rPr>
      </w:pPr>
    </w:p>
    <w:p w14:paraId="23468720" w14:textId="69697D62" w:rsidR="00DF62E0" w:rsidRPr="005C735E" w:rsidRDefault="00DF62E0" w:rsidP="005C735E">
      <w:pPr>
        <w:spacing w:line="360" w:lineRule="auto"/>
        <w:jc w:val="both"/>
        <w:rPr>
          <w:rFonts w:ascii="Arial" w:hAnsi="Arial" w:cs="Arial"/>
          <w:b/>
          <w:bCs/>
          <w:sz w:val="24"/>
          <w:szCs w:val="24"/>
        </w:rPr>
      </w:pPr>
      <w:r w:rsidRPr="005C735E">
        <w:rPr>
          <w:rFonts w:ascii="Arial" w:hAnsi="Arial" w:cs="Arial"/>
          <w:b/>
          <w:bCs/>
          <w:sz w:val="24"/>
          <w:szCs w:val="24"/>
        </w:rPr>
        <w:lastRenderedPageBreak/>
        <w:t>References</w:t>
      </w:r>
    </w:p>
    <w:p w14:paraId="4F12FBA2" w14:textId="4DA65F79" w:rsidR="00D64F11" w:rsidRPr="005C735E" w:rsidRDefault="00D64F11" w:rsidP="005C735E">
      <w:pPr>
        <w:spacing w:line="360" w:lineRule="auto"/>
        <w:jc w:val="both"/>
        <w:rPr>
          <w:rFonts w:ascii="Arial" w:hAnsi="Arial" w:cs="Arial"/>
          <w:sz w:val="24"/>
          <w:szCs w:val="24"/>
        </w:rPr>
      </w:pPr>
      <w:r w:rsidRPr="005C735E">
        <w:rPr>
          <w:rFonts w:ascii="Arial" w:hAnsi="Arial" w:cs="Arial"/>
          <w:sz w:val="24"/>
          <w:szCs w:val="24"/>
        </w:rPr>
        <w:t xml:space="preserve">Armstrong, M. and Taylor, S. (2020) </w:t>
      </w:r>
      <w:r w:rsidRPr="00393EEC">
        <w:rPr>
          <w:rFonts w:ascii="Arial" w:hAnsi="Arial" w:cs="Arial"/>
          <w:i/>
          <w:iCs/>
          <w:sz w:val="24"/>
          <w:szCs w:val="24"/>
        </w:rPr>
        <w:t>Armstrong’s handbook of human resource management practice</w:t>
      </w:r>
      <w:r w:rsidRPr="005C735E">
        <w:rPr>
          <w:rFonts w:ascii="Arial" w:hAnsi="Arial" w:cs="Arial"/>
          <w:sz w:val="24"/>
          <w:szCs w:val="24"/>
        </w:rPr>
        <w:t xml:space="preserve">. Fifteenth edition. London, </w:t>
      </w:r>
      <w:proofErr w:type="gramStart"/>
      <w:r w:rsidRPr="005C735E">
        <w:rPr>
          <w:rFonts w:ascii="Arial" w:hAnsi="Arial" w:cs="Arial"/>
          <w:sz w:val="24"/>
          <w:szCs w:val="24"/>
        </w:rPr>
        <w:t>England ;</w:t>
      </w:r>
      <w:proofErr w:type="gramEnd"/>
      <w:r w:rsidRPr="005C735E">
        <w:rPr>
          <w:rFonts w:ascii="Arial" w:hAnsi="Arial" w:cs="Arial"/>
          <w:sz w:val="24"/>
          <w:szCs w:val="24"/>
        </w:rPr>
        <w:t xml:space="preserve"> Kogan Page.</w:t>
      </w:r>
    </w:p>
    <w:p w14:paraId="5B43CCCA" w14:textId="4CA84A49" w:rsidR="00D72896" w:rsidRPr="005C735E" w:rsidRDefault="00D72896" w:rsidP="005C735E">
      <w:pPr>
        <w:spacing w:line="360" w:lineRule="auto"/>
        <w:jc w:val="both"/>
        <w:rPr>
          <w:rFonts w:ascii="Arial" w:hAnsi="Arial" w:cs="Arial"/>
          <w:sz w:val="24"/>
          <w:szCs w:val="24"/>
        </w:rPr>
      </w:pPr>
      <w:r w:rsidRPr="005C735E">
        <w:rPr>
          <w:rFonts w:ascii="Arial" w:hAnsi="Arial" w:cs="Arial"/>
          <w:sz w:val="24"/>
          <w:szCs w:val="24"/>
        </w:rPr>
        <w:t xml:space="preserve">CIPD. (n.d.). CIPD | </w:t>
      </w:r>
      <w:r w:rsidRPr="00CA7BDD">
        <w:rPr>
          <w:rFonts w:ascii="Arial" w:hAnsi="Arial" w:cs="Arial"/>
          <w:i/>
          <w:iCs/>
          <w:sz w:val="24"/>
          <w:szCs w:val="24"/>
        </w:rPr>
        <w:t>Flexible and hybrid working: Pearson</w:t>
      </w:r>
      <w:r w:rsidRPr="005C735E">
        <w:rPr>
          <w:rFonts w:ascii="Arial" w:hAnsi="Arial" w:cs="Arial"/>
          <w:sz w:val="24"/>
          <w:szCs w:val="24"/>
        </w:rPr>
        <w:t>. [online] Available at: https://www.cipd.org/uk/knowledge/case-studies/flexible-hybrid-working-pearson/.</w:t>
      </w:r>
    </w:p>
    <w:p w14:paraId="2C73FC14" w14:textId="6ACDF765" w:rsidR="00D64F11" w:rsidRPr="005C735E" w:rsidRDefault="00D64F11" w:rsidP="005C735E">
      <w:pPr>
        <w:spacing w:line="360" w:lineRule="auto"/>
        <w:jc w:val="both"/>
        <w:rPr>
          <w:rFonts w:ascii="Arial" w:hAnsi="Arial" w:cs="Arial"/>
          <w:sz w:val="24"/>
          <w:szCs w:val="24"/>
        </w:rPr>
      </w:pPr>
      <w:r w:rsidRPr="005C735E">
        <w:rPr>
          <w:rFonts w:ascii="Arial" w:hAnsi="Arial" w:cs="Arial"/>
          <w:sz w:val="24"/>
          <w:szCs w:val="24"/>
        </w:rPr>
        <w:t xml:space="preserve">CIPD (2020). </w:t>
      </w:r>
      <w:r w:rsidRPr="00CA7BDD">
        <w:rPr>
          <w:rFonts w:ascii="Arial" w:hAnsi="Arial" w:cs="Arial"/>
          <w:i/>
          <w:iCs/>
          <w:sz w:val="24"/>
          <w:szCs w:val="24"/>
        </w:rPr>
        <w:t>DEVELOPING EFFECTIVE VIRTUAL TEAMS</w:t>
      </w:r>
      <w:r w:rsidRPr="005C735E">
        <w:rPr>
          <w:rFonts w:ascii="Arial" w:hAnsi="Arial" w:cs="Arial"/>
          <w:sz w:val="24"/>
          <w:szCs w:val="24"/>
        </w:rPr>
        <w:t xml:space="preserve"> Lessons from research. [online] Available at: </w:t>
      </w:r>
      <w:hyperlink r:id="rId7" w:history="1">
        <w:r w:rsidRPr="005C735E">
          <w:rPr>
            <w:rStyle w:val="Hyperlink"/>
            <w:rFonts w:ascii="Arial" w:hAnsi="Arial" w:cs="Arial"/>
            <w:sz w:val="24"/>
            <w:szCs w:val="24"/>
          </w:rPr>
          <w:t>https://www.cipd.org/globalassets/media/knowledge/knowledge-hub/evidence-reviews/developing-virtual-teams-1_tcm18-76431.pdf</w:t>
        </w:r>
      </w:hyperlink>
      <w:r w:rsidRPr="005C735E">
        <w:rPr>
          <w:rFonts w:ascii="Arial" w:hAnsi="Arial" w:cs="Arial"/>
          <w:sz w:val="24"/>
          <w:szCs w:val="24"/>
        </w:rPr>
        <w:t>.</w:t>
      </w:r>
    </w:p>
    <w:p w14:paraId="6F572AA6" w14:textId="6130E621" w:rsidR="00D72896" w:rsidRPr="005C735E" w:rsidRDefault="00D72896" w:rsidP="005C735E">
      <w:pPr>
        <w:spacing w:line="360" w:lineRule="auto"/>
        <w:jc w:val="both"/>
        <w:rPr>
          <w:rFonts w:ascii="Arial" w:hAnsi="Arial" w:cs="Arial"/>
          <w:sz w:val="24"/>
          <w:szCs w:val="24"/>
        </w:rPr>
      </w:pPr>
      <w:r w:rsidRPr="005C735E">
        <w:rPr>
          <w:rFonts w:ascii="Arial" w:hAnsi="Arial" w:cs="Arial"/>
          <w:sz w:val="24"/>
          <w:szCs w:val="24"/>
        </w:rPr>
        <w:t xml:space="preserve">Cunha, F., Dinis-Carvalho, J. and Sousa, R.M., 2023. </w:t>
      </w:r>
      <w:r w:rsidRPr="00CA7BDD">
        <w:rPr>
          <w:rFonts w:ascii="Arial" w:hAnsi="Arial" w:cs="Arial"/>
          <w:i/>
          <w:iCs/>
          <w:sz w:val="24"/>
          <w:szCs w:val="24"/>
        </w:rPr>
        <w:t>Performance measurement systems in continuous improvement environments</w:t>
      </w:r>
      <w:r w:rsidRPr="005C735E">
        <w:rPr>
          <w:rFonts w:ascii="Arial" w:hAnsi="Arial" w:cs="Arial"/>
          <w:sz w:val="24"/>
          <w:szCs w:val="24"/>
        </w:rPr>
        <w:t>: obstacles to their effectiveness. Sustainability, 15(1), p.867.</w:t>
      </w:r>
    </w:p>
    <w:p w14:paraId="6CFDF363" w14:textId="5762FE68" w:rsidR="005C735E" w:rsidRPr="005C735E" w:rsidRDefault="005C735E" w:rsidP="005C735E">
      <w:pPr>
        <w:spacing w:line="360" w:lineRule="auto"/>
        <w:jc w:val="both"/>
        <w:rPr>
          <w:rFonts w:ascii="Arial" w:hAnsi="Arial" w:cs="Arial"/>
          <w:sz w:val="24"/>
          <w:szCs w:val="24"/>
        </w:rPr>
      </w:pPr>
      <w:r w:rsidRPr="005C735E">
        <w:rPr>
          <w:rFonts w:ascii="Arial" w:hAnsi="Arial" w:cs="Arial"/>
          <w:sz w:val="24"/>
          <w:szCs w:val="24"/>
        </w:rPr>
        <w:t xml:space="preserve">Deloitte Insights. (n.d.). </w:t>
      </w:r>
      <w:r w:rsidRPr="00CA7BDD">
        <w:rPr>
          <w:rFonts w:ascii="Arial" w:hAnsi="Arial" w:cs="Arial"/>
          <w:i/>
          <w:iCs/>
          <w:sz w:val="24"/>
          <w:szCs w:val="24"/>
        </w:rPr>
        <w:t>Getting to the source of the workplace trust deficit</w:t>
      </w:r>
      <w:r w:rsidRPr="005C735E">
        <w:rPr>
          <w:rFonts w:ascii="Arial" w:hAnsi="Arial" w:cs="Arial"/>
          <w:sz w:val="24"/>
          <w:szCs w:val="24"/>
        </w:rPr>
        <w:t>. [online] Available at: https://www2.deloitte.com/xe/en/insights/topics/leadership/workplace-monitoring-and-the-lack-of-trust-in-the-workplace.html.</w:t>
      </w:r>
    </w:p>
    <w:p w14:paraId="1EA58694" w14:textId="104C8A92" w:rsidR="00D64F11" w:rsidRPr="005C735E" w:rsidRDefault="00D64F11" w:rsidP="005C735E">
      <w:pPr>
        <w:spacing w:line="360" w:lineRule="auto"/>
        <w:jc w:val="both"/>
        <w:rPr>
          <w:rFonts w:ascii="Arial" w:hAnsi="Arial" w:cs="Arial"/>
          <w:sz w:val="24"/>
          <w:szCs w:val="24"/>
        </w:rPr>
      </w:pPr>
      <w:r w:rsidRPr="005C735E">
        <w:rPr>
          <w:rFonts w:ascii="Arial" w:hAnsi="Arial" w:cs="Arial"/>
          <w:sz w:val="24"/>
          <w:szCs w:val="24"/>
        </w:rPr>
        <w:t xml:space="preserve">Donati, S., Viola, G., Toscano, F. and Zappalà, S. (2021). </w:t>
      </w:r>
      <w:r w:rsidRPr="00CA7BDD">
        <w:rPr>
          <w:rFonts w:ascii="Arial" w:hAnsi="Arial" w:cs="Arial"/>
          <w:i/>
          <w:iCs/>
          <w:sz w:val="24"/>
          <w:szCs w:val="24"/>
        </w:rPr>
        <w:t>Not All Remote Workers Are Similar: Technology Acceptance, Remote Work Beliefs, and Wellbeing of Remote Workers during the Second Wave of the COVID-19 Pandemic</w:t>
      </w:r>
      <w:r w:rsidRPr="005C735E">
        <w:rPr>
          <w:rFonts w:ascii="Arial" w:hAnsi="Arial" w:cs="Arial"/>
          <w:sz w:val="24"/>
          <w:szCs w:val="24"/>
        </w:rPr>
        <w:t xml:space="preserve">. International Journal of Environmental Research and Public Health, 18(22), p.12095. </w:t>
      </w:r>
      <w:proofErr w:type="gramStart"/>
      <w:r w:rsidRPr="005C735E">
        <w:rPr>
          <w:rFonts w:ascii="Arial" w:hAnsi="Arial" w:cs="Arial"/>
          <w:sz w:val="24"/>
          <w:szCs w:val="24"/>
        </w:rPr>
        <w:t>doi:https://doi.org/10.3390/ijerph182212095</w:t>
      </w:r>
      <w:proofErr w:type="gramEnd"/>
      <w:r w:rsidRPr="005C735E">
        <w:rPr>
          <w:rFonts w:ascii="Arial" w:hAnsi="Arial" w:cs="Arial"/>
          <w:sz w:val="24"/>
          <w:szCs w:val="24"/>
        </w:rPr>
        <w:t>.</w:t>
      </w:r>
    </w:p>
    <w:p w14:paraId="10048663" w14:textId="0BBED045" w:rsidR="00D72896" w:rsidRPr="005C735E" w:rsidRDefault="00D72896" w:rsidP="005C735E">
      <w:pPr>
        <w:spacing w:line="360" w:lineRule="auto"/>
        <w:jc w:val="both"/>
        <w:rPr>
          <w:rFonts w:ascii="Arial" w:hAnsi="Arial" w:cs="Arial"/>
          <w:sz w:val="24"/>
          <w:szCs w:val="24"/>
        </w:rPr>
      </w:pPr>
      <w:r w:rsidRPr="005C735E">
        <w:rPr>
          <w:rFonts w:ascii="Arial" w:hAnsi="Arial" w:cs="Arial"/>
          <w:sz w:val="24"/>
          <w:szCs w:val="24"/>
        </w:rPr>
        <w:t xml:space="preserve">Gifford, J. (2024). CIPD | </w:t>
      </w:r>
      <w:r w:rsidRPr="007375CF">
        <w:rPr>
          <w:rFonts w:ascii="Arial" w:hAnsi="Arial" w:cs="Arial"/>
          <w:i/>
          <w:iCs/>
          <w:sz w:val="24"/>
          <w:szCs w:val="24"/>
        </w:rPr>
        <w:t>Performance Reviews</w:t>
      </w:r>
      <w:r w:rsidRPr="005C735E">
        <w:rPr>
          <w:rFonts w:ascii="Arial" w:hAnsi="Arial" w:cs="Arial"/>
          <w:sz w:val="24"/>
          <w:szCs w:val="24"/>
        </w:rPr>
        <w:t xml:space="preserve"> | Factsheets. [online] CIPD. Available at: </w:t>
      </w:r>
      <w:hyperlink r:id="rId8" w:history="1">
        <w:r w:rsidR="005C735E" w:rsidRPr="005C735E">
          <w:rPr>
            <w:rStyle w:val="Hyperlink"/>
            <w:rFonts w:ascii="Arial" w:hAnsi="Arial" w:cs="Arial"/>
            <w:sz w:val="24"/>
            <w:szCs w:val="24"/>
          </w:rPr>
          <w:t>https://www.cipd.org/uk/knowledge/factsheets/appraisals-factsheet/</w:t>
        </w:r>
      </w:hyperlink>
      <w:r w:rsidRPr="005C735E">
        <w:rPr>
          <w:rFonts w:ascii="Arial" w:hAnsi="Arial" w:cs="Arial"/>
          <w:sz w:val="24"/>
          <w:szCs w:val="24"/>
        </w:rPr>
        <w:t>.</w:t>
      </w:r>
    </w:p>
    <w:p w14:paraId="77B355CC" w14:textId="721E2AF2" w:rsidR="005C735E" w:rsidRPr="005C735E" w:rsidRDefault="005C735E" w:rsidP="005C735E">
      <w:pPr>
        <w:spacing w:line="360" w:lineRule="auto"/>
        <w:jc w:val="both"/>
        <w:rPr>
          <w:rFonts w:ascii="Arial" w:hAnsi="Arial" w:cs="Arial"/>
          <w:sz w:val="24"/>
          <w:szCs w:val="24"/>
        </w:rPr>
      </w:pPr>
      <w:r w:rsidRPr="005C735E">
        <w:rPr>
          <w:rFonts w:ascii="Arial" w:hAnsi="Arial" w:cs="Arial"/>
          <w:sz w:val="24"/>
          <w:szCs w:val="24"/>
        </w:rPr>
        <w:t xml:space="preserve">Gnepp, J., Klayman, J., Williamson, I.O. and Barlas, S. (2020). </w:t>
      </w:r>
      <w:r w:rsidRPr="007375CF">
        <w:rPr>
          <w:rFonts w:ascii="Arial" w:hAnsi="Arial" w:cs="Arial"/>
          <w:i/>
          <w:iCs/>
          <w:sz w:val="24"/>
          <w:szCs w:val="24"/>
        </w:rPr>
        <w:t>The Future of feedback:</w:t>
      </w:r>
      <w:r w:rsidRPr="005C735E">
        <w:rPr>
          <w:rFonts w:ascii="Arial" w:hAnsi="Arial" w:cs="Arial"/>
          <w:sz w:val="24"/>
          <w:szCs w:val="24"/>
        </w:rPr>
        <w:t xml:space="preserve"> Motivating Performance Improvement through future-focused Feedback. Plos One, [online] 15(6). </w:t>
      </w:r>
      <w:proofErr w:type="gramStart"/>
      <w:r w:rsidRPr="005C735E">
        <w:rPr>
          <w:rFonts w:ascii="Arial" w:hAnsi="Arial" w:cs="Arial"/>
          <w:sz w:val="24"/>
          <w:szCs w:val="24"/>
        </w:rPr>
        <w:t>doi:https://doi.org/10.1371/journal.pone.0234444</w:t>
      </w:r>
      <w:proofErr w:type="gramEnd"/>
      <w:r w:rsidRPr="005C735E">
        <w:rPr>
          <w:rFonts w:ascii="Arial" w:hAnsi="Arial" w:cs="Arial"/>
          <w:sz w:val="24"/>
          <w:szCs w:val="24"/>
        </w:rPr>
        <w:t>.</w:t>
      </w:r>
    </w:p>
    <w:p w14:paraId="34A99909" w14:textId="34AC9162" w:rsidR="00D64F11" w:rsidRPr="005C735E" w:rsidRDefault="00D64F11" w:rsidP="005C735E">
      <w:pPr>
        <w:spacing w:line="360" w:lineRule="auto"/>
        <w:jc w:val="both"/>
        <w:rPr>
          <w:rFonts w:ascii="Arial" w:hAnsi="Arial" w:cs="Arial"/>
          <w:sz w:val="24"/>
          <w:szCs w:val="24"/>
        </w:rPr>
      </w:pPr>
      <w:r w:rsidRPr="005C735E">
        <w:rPr>
          <w:rFonts w:ascii="Arial" w:hAnsi="Arial" w:cs="Arial"/>
          <w:sz w:val="24"/>
          <w:szCs w:val="24"/>
        </w:rPr>
        <w:t xml:space="preserve">Haan, K. (2023). </w:t>
      </w:r>
      <w:r w:rsidRPr="007375CF">
        <w:rPr>
          <w:rFonts w:ascii="Arial" w:hAnsi="Arial" w:cs="Arial"/>
          <w:i/>
          <w:iCs/>
          <w:sz w:val="24"/>
          <w:szCs w:val="24"/>
        </w:rPr>
        <w:t xml:space="preserve">Remote Work Statistics </w:t>
      </w:r>
      <w:proofErr w:type="gramStart"/>
      <w:r w:rsidRPr="007375CF">
        <w:rPr>
          <w:rFonts w:ascii="Arial" w:hAnsi="Arial" w:cs="Arial"/>
          <w:i/>
          <w:iCs/>
          <w:sz w:val="24"/>
          <w:szCs w:val="24"/>
        </w:rPr>
        <w:t>And</w:t>
      </w:r>
      <w:proofErr w:type="gramEnd"/>
      <w:r w:rsidRPr="007375CF">
        <w:rPr>
          <w:rFonts w:ascii="Arial" w:hAnsi="Arial" w:cs="Arial"/>
          <w:i/>
          <w:iCs/>
          <w:sz w:val="24"/>
          <w:szCs w:val="24"/>
        </w:rPr>
        <w:t xml:space="preserve"> Trends In 2023</w:t>
      </w:r>
      <w:r w:rsidRPr="005C735E">
        <w:rPr>
          <w:rFonts w:ascii="Arial" w:hAnsi="Arial" w:cs="Arial"/>
          <w:sz w:val="24"/>
          <w:szCs w:val="24"/>
        </w:rPr>
        <w:t xml:space="preserve">. Forbes. [online] 12 Jun. Available at: </w:t>
      </w:r>
      <w:hyperlink r:id="rId9" w:history="1">
        <w:r w:rsidRPr="005C735E">
          <w:rPr>
            <w:rStyle w:val="Hyperlink"/>
            <w:rFonts w:ascii="Arial" w:hAnsi="Arial" w:cs="Arial"/>
            <w:sz w:val="24"/>
            <w:szCs w:val="24"/>
          </w:rPr>
          <w:t>https://www.forbes.com/advisor/business/remote-work-statistics/</w:t>
        </w:r>
      </w:hyperlink>
      <w:r w:rsidRPr="005C735E">
        <w:rPr>
          <w:rFonts w:ascii="Arial" w:hAnsi="Arial" w:cs="Arial"/>
          <w:sz w:val="24"/>
          <w:szCs w:val="24"/>
        </w:rPr>
        <w:t>.</w:t>
      </w:r>
    </w:p>
    <w:p w14:paraId="3C064EFE" w14:textId="0C31074B" w:rsidR="00D64F11" w:rsidRPr="005C735E" w:rsidRDefault="00D64F11" w:rsidP="005C735E">
      <w:pPr>
        <w:spacing w:line="360" w:lineRule="auto"/>
        <w:jc w:val="both"/>
        <w:rPr>
          <w:rFonts w:ascii="Arial" w:hAnsi="Arial" w:cs="Arial"/>
          <w:sz w:val="24"/>
          <w:szCs w:val="24"/>
        </w:rPr>
      </w:pPr>
      <w:r w:rsidRPr="005C735E">
        <w:rPr>
          <w:rFonts w:ascii="Arial" w:hAnsi="Arial" w:cs="Arial"/>
          <w:sz w:val="24"/>
          <w:szCs w:val="24"/>
        </w:rPr>
        <w:t xml:space="preserve">Ishak, Z., Fong, S.L. and Shin, S.C., 2019, October. </w:t>
      </w:r>
      <w:r w:rsidRPr="007375CF">
        <w:rPr>
          <w:rFonts w:ascii="Arial" w:hAnsi="Arial" w:cs="Arial"/>
          <w:i/>
          <w:iCs/>
          <w:sz w:val="24"/>
          <w:szCs w:val="24"/>
        </w:rPr>
        <w:t>SMART KPI management system framework</w:t>
      </w:r>
      <w:r w:rsidRPr="005C735E">
        <w:rPr>
          <w:rFonts w:ascii="Arial" w:hAnsi="Arial" w:cs="Arial"/>
          <w:sz w:val="24"/>
          <w:szCs w:val="24"/>
        </w:rPr>
        <w:t>. In 2019 IEEE 9th International Conference on System Engineering and Technology (ICSET) (pp. 172-177). IEEE.</w:t>
      </w:r>
    </w:p>
    <w:p w14:paraId="1A96D779" w14:textId="636CC007" w:rsidR="00D64F11" w:rsidRPr="005C735E" w:rsidRDefault="00D64F11" w:rsidP="005C735E">
      <w:pPr>
        <w:spacing w:line="360" w:lineRule="auto"/>
        <w:jc w:val="both"/>
        <w:rPr>
          <w:rFonts w:ascii="Arial" w:hAnsi="Arial" w:cs="Arial"/>
          <w:sz w:val="24"/>
          <w:szCs w:val="24"/>
        </w:rPr>
      </w:pPr>
      <w:r w:rsidRPr="005C735E">
        <w:rPr>
          <w:rFonts w:ascii="Arial" w:hAnsi="Arial" w:cs="Arial"/>
          <w:sz w:val="24"/>
          <w:szCs w:val="24"/>
        </w:rPr>
        <w:lastRenderedPageBreak/>
        <w:t xml:space="preserve">Karl, K.A., Peluchette, J.V. and Aghakhani, N. (2022). </w:t>
      </w:r>
      <w:r w:rsidRPr="007375CF">
        <w:rPr>
          <w:rFonts w:ascii="Arial" w:hAnsi="Arial" w:cs="Arial"/>
          <w:i/>
          <w:iCs/>
          <w:sz w:val="24"/>
          <w:szCs w:val="24"/>
        </w:rPr>
        <w:t>Virtual work meetings during the COVID-19 pandemic</w:t>
      </w:r>
      <w:r w:rsidRPr="005C735E">
        <w:rPr>
          <w:rFonts w:ascii="Arial" w:hAnsi="Arial" w:cs="Arial"/>
          <w:sz w:val="24"/>
          <w:szCs w:val="24"/>
        </w:rPr>
        <w:t xml:space="preserve">: The good, bad, and ugly. Small Group Research, [online] 53(3), pp.343–365. </w:t>
      </w:r>
      <w:proofErr w:type="gramStart"/>
      <w:r w:rsidRPr="005C735E">
        <w:rPr>
          <w:rFonts w:ascii="Arial" w:hAnsi="Arial" w:cs="Arial"/>
          <w:sz w:val="24"/>
          <w:szCs w:val="24"/>
        </w:rPr>
        <w:t>doi:https://doi.org/10.1177/10464964211015286</w:t>
      </w:r>
      <w:proofErr w:type="gramEnd"/>
      <w:r w:rsidRPr="005C735E">
        <w:rPr>
          <w:rFonts w:ascii="Arial" w:hAnsi="Arial" w:cs="Arial"/>
          <w:sz w:val="24"/>
          <w:szCs w:val="24"/>
        </w:rPr>
        <w:t>.</w:t>
      </w:r>
    </w:p>
    <w:p w14:paraId="3D961834" w14:textId="2EC4231F" w:rsidR="00D72896" w:rsidRPr="005C735E" w:rsidRDefault="00D72896" w:rsidP="005C735E">
      <w:pPr>
        <w:spacing w:line="360" w:lineRule="auto"/>
        <w:jc w:val="both"/>
        <w:rPr>
          <w:rFonts w:ascii="Arial" w:hAnsi="Arial" w:cs="Arial"/>
          <w:sz w:val="24"/>
          <w:szCs w:val="24"/>
        </w:rPr>
      </w:pPr>
      <w:r w:rsidRPr="005C735E">
        <w:rPr>
          <w:rFonts w:ascii="Arial" w:hAnsi="Arial" w:cs="Arial"/>
          <w:sz w:val="24"/>
          <w:szCs w:val="24"/>
        </w:rPr>
        <w:t xml:space="preserve">Kowalski, G. and Ślebarska, K. (2022). </w:t>
      </w:r>
      <w:r w:rsidRPr="007375CF">
        <w:rPr>
          <w:rFonts w:ascii="Arial" w:hAnsi="Arial" w:cs="Arial"/>
          <w:i/>
          <w:iCs/>
          <w:sz w:val="24"/>
          <w:szCs w:val="24"/>
        </w:rPr>
        <w:t>Remote working and work effectiveness: A leader perspective</w:t>
      </w:r>
      <w:r w:rsidRPr="005C735E">
        <w:rPr>
          <w:rFonts w:ascii="Arial" w:hAnsi="Arial" w:cs="Arial"/>
          <w:sz w:val="24"/>
          <w:szCs w:val="24"/>
        </w:rPr>
        <w:t xml:space="preserve">. International Journal of Environmental Research and Public Health, [online] 19(22). </w:t>
      </w:r>
      <w:proofErr w:type="gramStart"/>
      <w:r w:rsidRPr="005C735E">
        <w:rPr>
          <w:rFonts w:ascii="Arial" w:hAnsi="Arial" w:cs="Arial"/>
          <w:sz w:val="24"/>
          <w:szCs w:val="24"/>
        </w:rPr>
        <w:t>doi:https://doi.org/10.3390/ijerph192215326</w:t>
      </w:r>
      <w:proofErr w:type="gramEnd"/>
      <w:r w:rsidRPr="005C735E">
        <w:rPr>
          <w:rFonts w:ascii="Arial" w:hAnsi="Arial" w:cs="Arial"/>
          <w:sz w:val="24"/>
          <w:szCs w:val="24"/>
        </w:rPr>
        <w:t>.</w:t>
      </w:r>
    </w:p>
    <w:p w14:paraId="673C4F04" w14:textId="29EE4923" w:rsidR="00D64F11" w:rsidRPr="005C735E" w:rsidRDefault="00D64F11" w:rsidP="005C735E">
      <w:pPr>
        <w:spacing w:line="360" w:lineRule="auto"/>
        <w:jc w:val="both"/>
        <w:rPr>
          <w:rFonts w:ascii="Arial" w:hAnsi="Arial" w:cs="Arial"/>
          <w:sz w:val="24"/>
          <w:szCs w:val="24"/>
        </w:rPr>
      </w:pPr>
      <w:r w:rsidRPr="005C735E">
        <w:rPr>
          <w:rFonts w:ascii="Arial" w:hAnsi="Arial" w:cs="Arial"/>
          <w:sz w:val="24"/>
          <w:szCs w:val="24"/>
        </w:rPr>
        <w:t xml:space="preserve">Leatherbarrow, C. and Fletcher, J., 2014. </w:t>
      </w:r>
      <w:r w:rsidRPr="007375CF">
        <w:rPr>
          <w:rFonts w:ascii="Arial" w:hAnsi="Arial" w:cs="Arial"/>
          <w:i/>
          <w:iCs/>
          <w:sz w:val="24"/>
          <w:szCs w:val="24"/>
        </w:rPr>
        <w:t>Introduction to human resource management</w:t>
      </w:r>
      <w:r w:rsidRPr="005C735E">
        <w:rPr>
          <w:rFonts w:ascii="Arial" w:hAnsi="Arial" w:cs="Arial"/>
          <w:sz w:val="24"/>
          <w:szCs w:val="24"/>
        </w:rPr>
        <w:t>: a guide to HR in practice. Kogan Page Publishers.</w:t>
      </w:r>
    </w:p>
    <w:p w14:paraId="66F57DF3" w14:textId="1D942270" w:rsidR="00DF62E0" w:rsidRPr="005C735E" w:rsidRDefault="00DF62E0" w:rsidP="005C735E">
      <w:pPr>
        <w:spacing w:line="360" w:lineRule="auto"/>
        <w:jc w:val="both"/>
        <w:rPr>
          <w:rFonts w:ascii="Arial" w:hAnsi="Arial" w:cs="Arial"/>
          <w:sz w:val="24"/>
          <w:szCs w:val="24"/>
        </w:rPr>
      </w:pPr>
      <w:r w:rsidRPr="005C735E">
        <w:rPr>
          <w:rFonts w:ascii="Arial" w:hAnsi="Arial" w:cs="Arial"/>
          <w:sz w:val="24"/>
          <w:szCs w:val="24"/>
        </w:rPr>
        <w:t xml:space="preserve">Office for National Statistics (2023). </w:t>
      </w:r>
      <w:r w:rsidRPr="007375CF">
        <w:rPr>
          <w:rFonts w:ascii="Arial" w:hAnsi="Arial" w:cs="Arial"/>
          <w:i/>
          <w:iCs/>
          <w:sz w:val="24"/>
          <w:szCs w:val="24"/>
        </w:rPr>
        <w:t>Characteristics of homeworkers, Great Britain - Office for National Statistics</w:t>
      </w:r>
      <w:r w:rsidRPr="005C735E">
        <w:rPr>
          <w:rFonts w:ascii="Arial" w:hAnsi="Arial" w:cs="Arial"/>
          <w:sz w:val="24"/>
          <w:szCs w:val="24"/>
        </w:rPr>
        <w:t xml:space="preserve">. [online] www.ons.gov.uk. Available at: </w:t>
      </w:r>
      <w:hyperlink r:id="rId10" w:history="1">
        <w:r w:rsidR="00D72896" w:rsidRPr="005C735E">
          <w:rPr>
            <w:rStyle w:val="Hyperlink"/>
            <w:rFonts w:ascii="Arial" w:hAnsi="Arial" w:cs="Arial"/>
            <w:sz w:val="24"/>
            <w:szCs w:val="24"/>
          </w:rPr>
          <w:t>https://www.ons.gov.uk/employmentandlabourmarket/peopleinwork/employmentandemployeetypes/articles/characteristicsofhomeworkersgreatbritain/september2022tojanuary2023</w:t>
        </w:r>
      </w:hyperlink>
      <w:r w:rsidRPr="005C735E">
        <w:rPr>
          <w:rFonts w:ascii="Arial" w:hAnsi="Arial" w:cs="Arial"/>
          <w:sz w:val="24"/>
          <w:szCs w:val="24"/>
        </w:rPr>
        <w:t>.</w:t>
      </w:r>
    </w:p>
    <w:p w14:paraId="191D4A2D" w14:textId="13824788" w:rsidR="005C735E" w:rsidRPr="005C735E" w:rsidRDefault="005C735E" w:rsidP="005C735E">
      <w:pPr>
        <w:spacing w:line="360" w:lineRule="auto"/>
        <w:jc w:val="both"/>
        <w:rPr>
          <w:rFonts w:ascii="Arial" w:hAnsi="Arial" w:cs="Arial"/>
          <w:sz w:val="24"/>
          <w:szCs w:val="24"/>
        </w:rPr>
      </w:pPr>
      <w:r w:rsidRPr="005C735E">
        <w:rPr>
          <w:rFonts w:ascii="Arial" w:hAnsi="Arial" w:cs="Arial"/>
          <w:sz w:val="24"/>
          <w:szCs w:val="24"/>
        </w:rPr>
        <w:t xml:space="preserve">Rietze, S. and Zacher, H. (2022). </w:t>
      </w:r>
      <w:r w:rsidRPr="007375CF">
        <w:rPr>
          <w:rFonts w:ascii="Arial" w:hAnsi="Arial" w:cs="Arial"/>
          <w:i/>
          <w:iCs/>
          <w:sz w:val="24"/>
          <w:szCs w:val="24"/>
        </w:rPr>
        <w:t>Relationships between Agile Work Practices and Occupational Well-Being: The Role of Job Demands and Resources</w:t>
      </w:r>
      <w:r w:rsidRPr="005C735E">
        <w:rPr>
          <w:rFonts w:ascii="Arial" w:hAnsi="Arial" w:cs="Arial"/>
          <w:sz w:val="24"/>
          <w:szCs w:val="24"/>
        </w:rPr>
        <w:t xml:space="preserve">. International Journal of Environmental Research and Public Health, [online] 19(3), p.1258. </w:t>
      </w:r>
      <w:proofErr w:type="gramStart"/>
      <w:r w:rsidRPr="005C735E">
        <w:rPr>
          <w:rFonts w:ascii="Arial" w:hAnsi="Arial" w:cs="Arial"/>
          <w:sz w:val="24"/>
          <w:szCs w:val="24"/>
        </w:rPr>
        <w:t>doi:https://doi.org/10.3390/ijerph19031258</w:t>
      </w:r>
      <w:proofErr w:type="gramEnd"/>
      <w:r w:rsidRPr="005C735E">
        <w:rPr>
          <w:rFonts w:ascii="Arial" w:hAnsi="Arial" w:cs="Arial"/>
          <w:sz w:val="24"/>
          <w:szCs w:val="24"/>
        </w:rPr>
        <w:t>.</w:t>
      </w:r>
    </w:p>
    <w:p w14:paraId="392AF214" w14:textId="1813AE32" w:rsidR="00D72896" w:rsidRPr="005C735E" w:rsidRDefault="00D72896" w:rsidP="005C735E">
      <w:pPr>
        <w:spacing w:line="360" w:lineRule="auto"/>
        <w:jc w:val="both"/>
        <w:rPr>
          <w:rFonts w:ascii="Arial" w:hAnsi="Arial" w:cs="Arial"/>
          <w:sz w:val="24"/>
          <w:szCs w:val="24"/>
        </w:rPr>
      </w:pPr>
      <w:r w:rsidRPr="005C735E">
        <w:rPr>
          <w:rFonts w:ascii="Arial" w:hAnsi="Arial" w:cs="Arial"/>
          <w:sz w:val="24"/>
          <w:szCs w:val="24"/>
        </w:rPr>
        <w:t xml:space="preserve">Smithwick, J.E., 2023. </w:t>
      </w:r>
      <w:r w:rsidRPr="00C375FD">
        <w:rPr>
          <w:rFonts w:ascii="Arial" w:hAnsi="Arial" w:cs="Arial"/>
          <w:i/>
          <w:iCs/>
          <w:sz w:val="24"/>
          <w:szCs w:val="24"/>
        </w:rPr>
        <w:t>The Impact Human Relations Has on a Public Education Institution’s Staff</w:t>
      </w:r>
      <w:r w:rsidRPr="005C735E">
        <w:rPr>
          <w:rFonts w:ascii="Arial" w:hAnsi="Arial" w:cs="Arial"/>
          <w:sz w:val="24"/>
          <w:szCs w:val="24"/>
        </w:rPr>
        <w:t>: The Necessity of a 360-Degree Review Process (Doctoral dissertation, Aspen University).</w:t>
      </w:r>
    </w:p>
    <w:p w14:paraId="7A18EC4E" w14:textId="786572E4" w:rsidR="00DF62E0" w:rsidRPr="005C735E" w:rsidRDefault="00DF62E0" w:rsidP="005C735E">
      <w:pPr>
        <w:spacing w:line="360" w:lineRule="auto"/>
        <w:jc w:val="both"/>
        <w:rPr>
          <w:rFonts w:ascii="Arial" w:hAnsi="Arial" w:cs="Arial"/>
          <w:sz w:val="24"/>
          <w:szCs w:val="24"/>
        </w:rPr>
      </w:pPr>
      <w:r w:rsidRPr="005C735E">
        <w:rPr>
          <w:rFonts w:ascii="Arial" w:hAnsi="Arial" w:cs="Arial"/>
          <w:sz w:val="24"/>
          <w:szCs w:val="24"/>
        </w:rPr>
        <w:t xml:space="preserve">Torrington, D., Hall, L., Atkinson, C. and Taylor, S. (2017) </w:t>
      </w:r>
      <w:r w:rsidRPr="005C735E">
        <w:rPr>
          <w:rFonts w:ascii="Arial" w:hAnsi="Arial" w:cs="Arial"/>
          <w:i/>
          <w:iCs/>
          <w:sz w:val="24"/>
          <w:szCs w:val="24"/>
        </w:rPr>
        <w:t>Human resource management.</w:t>
      </w:r>
      <w:r w:rsidRPr="005C735E">
        <w:rPr>
          <w:rFonts w:ascii="Arial" w:hAnsi="Arial" w:cs="Arial"/>
          <w:sz w:val="24"/>
          <w:szCs w:val="24"/>
        </w:rPr>
        <w:t xml:space="preserve"> Tenth edition / Derek Torrington, Laura Hall, Carol Atkinson, Stephen Taylor. Harlow, England: Pearson.</w:t>
      </w:r>
    </w:p>
    <w:p w14:paraId="460A9D6F" w14:textId="38F7F9F6" w:rsidR="00D72896" w:rsidRPr="005C735E" w:rsidRDefault="00AB5D13" w:rsidP="005C735E">
      <w:pPr>
        <w:spacing w:line="360" w:lineRule="auto"/>
        <w:jc w:val="both"/>
        <w:rPr>
          <w:rFonts w:ascii="Arial" w:hAnsi="Arial" w:cs="Arial"/>
          <w:sz w:val="24"/>
          <w:szCs w:val="24"/>
        </w:rPr>
      </w:pPr>
      <w:r>
        <w:rPr>
          <w:rFonts w:ascii="Arial" w:hAnsi="Arial" w:cs="Arial"/>
          <w:sz w:val="24"/>
          <w:szCs w:val="24"/>
        </w:rPr>
        <w:t>V</w:t>
      </w:r>
      <w:r w:rsidR="00D72896" w:rsidRPr="005C735E">
        <w:rPr>
          <w:rFonts w:ascii="Arial" w:hAnsi="Arial" w:cs="Arial"/>
          <w:sz w:val="24"/>
          <w:szCs w:val="24"/>
        </w:rPr>
        <w:t>an Zoonen, W., Sivunen, A., Blomqvist, K., Olsson, T., Ropponen, A., Henttonen, K. and Vartiainen, M. (2021).</w:t>
      </w:r>
      <w:r w:rsidR="002C0727">
        <w:rPr>
          <w:rFonts w:ascii="Arial" w:hAnsi="Arial" w:cs="Arial"/>
          <w:sz w:val="24"/>
          <w:szCs w:val="24"/>
        </w:rPr>
        <w:t xml:space="preserve"> </w:t>
      </w:r>
      <w:r w:rsidR="00D72896" w:rsidRPr="002C0727">
        <w:rPr>
          <w:rFonts w:ascii="Arial" w:hAnsi="Arial" w:cs="Arial"/>
          <w:i/>
          <w:iCs/>
          <w:sz w:val="24"/>
          <w:szCs w:val="24"/>
        </w:rPr>
        <w:t>Factors Influencing Adjustment to Remote Work: Employees’ Initial Responses to the COVID-19 Pandemic</w:t>
      </w:r>
      <w:r w:rsidR="00D72896" w:rsidRPr="005C735E">
        <w:rPr>
          <w:rFonts w:ascii="Arial" w:hAnsi="Arial" w:cs="Arial"/>
          <w:sz w:val="24"/>
          <w:szCs w:val="24"/>
        </w:rPr>
        <w:t xml:space="preserve">. International Journal of Environmental Research and Public Health, [online] 18(13), p.6966. Available at: </w:t>
      </w:r>
      <w:hyperlink r:id="rId11" w:history="1">
        <w:r w:rsidR="00D72896" w:rsidRPr="005C735E">
          <w:rPr>
            <w:rStyle w:val="Hyperlink"/>
            <w:rFonts w:ascii="Arial" w:hAnsi="Arial" w:cs="Arial"/>
            <w:sz w:val="24"/>
            <w:szCs w:val="24"/>
          </w:rPr>
          <w:t>https://www.ncbi.nlm.nih.gov/pmc/articles/PMC8297254/</w:t>
        </w:r>
      </w:hyperlink>
      <w:r w:rsidR="00D72896" w:rsidRPr="005C735E">
        <w:rPr>
          <w:rFonts w:ascii="Arial" w:hAnsi="Arial" w:cs="Arial"/>
          <w:sz w:val="24"/>
          <w:szCs w:val="24"/>
        </w:rPr>
        <w:t>.</w:t>
      </w:r>
    </w:p>
    <w:p w14:paraId="7AFEA8FE" w14:textId="63D63B56" w:rsidR="00D72896" w:rsidRPr="005C735E" w:rsidRDefault="00D72896" w:rsidP="005C735E">
      <w:pPr>
        <w:spacing w:line="360" w:lineRule="auto"/>
        <w:jc w:val="both"/>
        <w:rPr>
          <w:rFonts w:ascii="Arial" w:hAnsi="Arial" w:cs="Arial"/>
          <w:sz w:val="24"/>
          <w:szCs w:val="24"/>
        </w:rPr>
      </w:pPr>
      <w:r w:rsidRPr="005C735E">
        <w:rPr>
          <w:rFonts w:ascii="Arial" w:hAnsi="Arial" w:cs="Arial"/>
          <w:sz w:val="24"/>
          <w:szCs w:val="24"/>
        </w:rPr>
        <w:lastRenderedPageBreak/>
        <w:t xml:space="preserve">Williams, G. and Beck, V., 2018. </w:t>
      </w:r>
      <w:r w:rsidRPr="0078205A">
        <w:rPr>
          <w:rFonts w:ascii="Arial" w:hAnsi="Arial" w:cs="Arial"/>
          <w:i/>
          <w:iCs/>
          <w:sz w:val="24"/>
          <w:szCs w:val="24"/>
        </w:rPr>
        <w:t>From annual ritual to daily routine: Continuous performance management and its consequences for employment security. New Technology</w:t>
      </w:r>
      <w:r w:rsidRPr="005C735E">
        <w:rPr>
          <w:rFonts w:ascii="Arial" w:hAnsi="Arial" w:cs="Arial"/>
          <w:sz w:val="24"/>
          <w:szCs w:val="24"/>
        </w:rPr>
        <w:t>, Work and Employment, 33(1), pp.30-43.</w:t>
      </w:r>
    </w:p>
    <w:p w14:paraId="20467B0D" w14:textId="77777777" w:rsidR="00D72896" w:rsidRPr="00D72896" w:rsidRDefault="00D72896" w:rsidP="00D72896">
      <w:pPr>
        <w:spacing w:line="360" w:lineRule="auto"/>
        <w:jc w:val="both"/>
        <w:rPr>
          <w:rFonts w:ascii="Arial" w:hAnsi="Arial" w:cs="Arial"/>
          <w:sz w:val="24"/>
          <w:szCs w:val="24"/>
        </w:rPr>
      </w:pPr>
    </w:p>
    <w:p w14:paraId="1F23EA5D" w14:textId="4AEB5F63" w:rsidR="00D72896" w:rsidRPr="00DF62E0" w:rsidRDefault="00D72896" w:rsidP="00D72896">
      <w:pPr>
        <w:spacing w:line="360" w:lineRule="auto"/>
        <w:jc w:val="both"/>
        <w:rPr>
          <w:rFonts w:ascii="Arial" w:hAnsi="Arial" w:cs="Arial"/>
          <w:sz w:val="24"/>
          <w:szCs w:val="24"/>
        </w:rPr>
      </w:pPr>
      <w:r w:rsidRPr="00D72896">
        <w:rPr>
          <w:rFonts w:ascii="Arial" w:hAnsi="Arial" w:cs="Arial" w:hint="cs"/>
          <w:sz w:val="24"/>
          <w:szCs w:val="24"/>
        </w:rPr>
        <w:t>‌</w:t>
      </w:r>
    </w:p>
    <w:p w14:paraId="1D050622" w14:textId="77777777" w:rsidR="00DF62E0" w:rsidRPr="00DF62E0" w:rsidRDefault="00DF62E0" w:rsidP="00DF62E0">
      <w:pPr>
        <w:spacing w:line="360" w:lineRule="auto"/>
        <w:rPr>
          <w:rFonts w:ascii="Arial" w:hAnsi="Arial" w:cs="Arial"/>
          <w:sz w:val="24"/>
          <w:szCs w:val="24"/>
        </w:rPr>
      </w:pPr>
    </w:p>
    <w:sectPr w:rsidR="00DF62E0" w:rsidRPr="00DF62E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4B4FC" w14:textId="77777777" w:rsidR="00AD2D2A" w:rsidRDefault="00AD2D2A" w:rsidP="00DF62E0">
      <w:pPr>
        <w:spacing w:after="0" w:line="240" w:lineRule="auto"/>
      </w:pPr>
      <w:r>
        <w:separator/>
      </w:r>
    </w:p>
  </w:endnote>
  <w:endnote w:type="continuationSeparator" w:id="0">
    <w:p w14:paraId="445CA651" w14:textId="77777777" w:rsidR="00AD2D2A" w:rsidRDefault="00AD2D2A" w:rsidP="00DF6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2426735"/>
      <w:docPartObj>
        <w:docPartGallery w:val="Page Numbers (Bottom of Page)"/>
        <w:docPartUnique/>
      </w:docPartObj>
    </w:sdtPr>
    <w:sdtEndPr>
      <w:rPr>
        <w:noProof/>
      </w:rPr>
    </w:sdtEndPr>
    <w:sdtContent>
      <w:p w14:paraId="0F2E1091" w14:textId="6E3CA2D9" w:rsidR="00DF62E0" w:rsidRDefault="00DF62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D2A2A5" w14:textId="77777777" w:rsidR="00DF62E0" w:rsidRDefault="00DF6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2CA3F" w14:textId="77777777" w:rsidR="00AD2D2A" w:rsidRDefault="00AD2D2A" w:rsidP="00DF62E0">
      <w:pPr>
        <w:spacing w:after="0" w:line="240" w:lineRule="auto"/>
      </w:pPr>
      <w:r>
        <w:separator/>
      </w:r>
    </w:p>
  </w:footnote>
  <w:footnote w:type="continuationSeparator" w:id="0">
    <w:p w14:paraId="15ED3CD2" w14:textId="77777777" w:rsidR="00AD2D2A" w:rsidRDefault="00AD2D2A" w:rsidP="00DF62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2E0"/>
    <w:rsid w:val="00086B6C"/>
    <w:rsid w:val="00091856"/>
    <w:rsid w:val="002C0727"/>
    <w:rsid w:val="0038681A"/>
    <w:rsid w:val="00393EEC"/>
    <w:rsid w:val="00486A75"/>
    <w:rsid w:val="00531D56"/>
    <w:rsid w:val="0056488F"/>
    <w:rsid w:val="005C735E"/>
    <w:rsid w:val="006A094C"/>
    <w:rsid w:val="006A4FD6"/>
    <w:rsid w:val="0073436C"/>
    <w:rsid w:val="007375CF"/>
    <w:rsid w:val="0078205A"/>
    <w:rsid w:val="007B0CC3"/>
    <w:rsid w:val="009C072A"/>
    <w:rsid w:val="009F47CD"/>
    <w:rsid w:val="00A80536"/>
    <w:rsid w:val="00AB5D13"/>
    <w:rsid w:val="00AC6F65"/>
    <w:rsid w:val="00AD2D2A"/>
    <w:rsid w:val="00B151A8"/>
    <w:rsid w:val="00B62367"/>
    <w:rsid w:val="00C375FD"/>
    <w:rsid w:val="00C82D1F"/>
    <w:rsid w:val="00CA7BDD"/>
    <w:rsid w:val="00D61690"/>
    <w:rsid w:val="00D64F11"/>
    <w:rsid w:val="00D72896"/>
    <w:rsid w:val="00DB09CF"/>
    <w:rsid w:val="00DC2D4B"/>
    <w:rsid w:val="00DF62E0"/>
    <w:rsid w:val="00EF1ECB"/>
    <w:rsid w:val="00F03CF9"/>
    <w:rsid w:val="00F34A3B"/>
    <w:rsid w:val="00F61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F721DD"/>
  <w15:chartTrackingRefBased/>
  <w15:docId w15:val="{65C5AD92-AB75-4180-A2C6-05DC2A235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DF62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62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62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62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62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2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2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2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DF62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62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62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62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62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62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62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62E0"/>
    <w:rPr>
      <w:rFonts w:eastAsiaTheme="majorEastAsia" w:cstheme="majorBidi"/>
      <w:color w:val="272727" w:themeColor="text1" w:themeTint="D8"/>
    </w:rPr>
  </w:style>
  <w:style w:type="paragraph" w:styleId="Title">
    <w:name w:val="Title"/>
    <w:basedOn w:val="Normal"/>
    <w:next w:val="Normal"/>
    <w:link w:val="TitleChar"/>
    <w:uiPriority w:val="10"/>
    <w:qFormat/>
    <w:rsid w:val="00DF6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2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62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2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62E0"/>
    <w:pPr>
      <w:spacing w:before="160"/>
      <w:jc w:val="center"/>
    </w:pPr>
    <w:rPr>
      <w:i/>
      <w:iCs/>
      <w:color w:val="404040" w:themeColor="text1" w:themeTint="BF"/>
    </w:rPr>
  </w:style>
  <w:style w:type="character" w:customStyle="1" w:styleId="QuoteChar">
    <w:name w:val="Quote Char"/>
    <w:basedOn w:val="DefaultParagraphFont"/>
    <w:link w:val="Quote"/>
    <w:uiPriority w:val="29"/>
    <w:rsid w:val="00DF62E0"/>
    <w:rPr>
      <w:i/>
      <w:iCs/>
      <w:color w:val="404040" w:themeColor="text1" w:themeTint="BF"/>
    </w:rPr>
  </w:style>
  <w:style w:type="paragraph" w:styleId="ListParagraph">
    <w:name w:val="List Paragraph"/>
    <w:basedOn w:val="Normal"/>
    <w:uiPriority w:val="34"/>
    <w:qFormat/>
    <w:rsid w:val="00DF62E0"/>
    <w:pPr>
      <w:ind w:left="720"/>
      <w:contextualSpacing/>
    </w:pPr>
  </w:style>
  <w:style w:type="character" w:styleId="IntenseEmphasis">
    <w:name w:val="Intense Emphasis"/>
    <w:basedOn w:val="DefaultParagraphFont"/>
    <w:uiPriority w:val="21"/>
    <w:qFormat/>
    <w:rsid w:val="00DF62E0"/>
    <w:rPr>
      <w:i/>
      <w:iCs/>
      <w:color w:val="0F4761" w:themeColor="accent1" w:themeShade="BF"/>
    </w:rPr>
  </w:style>
  <w:style w:type="paragraph" w:styleId="IntenseQuote">
    <w:name w:val="Intense Quote"/>
    <w:basedOn w:val="Normal"/>
    <w:next w:val="Normal"/>
    <w:link w:val="IntenseQuoteChar"/>
    <w:uiPriority w:val="30"/>
    <w:qFormat/>
    <w:rsid w:val="00DF62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62E0"/>
    <w:rPr>
      <w:i/>
      <w:iCs/>
      <w:color w:val="0F4761" w:themeColor="accent1" w:themeShade="BF"/>
    </w:rPr>
  </w:style>
  <w:style w:type="character" w:styleId="IntenseReference">
    <w:name w:val="Intense Reference"/>
    <w:basedOn w:val="DefaultParagraphFont"/>
    <w:uiPriority w:val="32"/>
    <w:qFormat/>
    <w:rsid w:val="00DF62E0"/>
    <w:rPr>
      <w:b/>
      <w:bCs/>
      <w:smallCaps/>
      <w:color w:val="0F4761" w:themeColor="accent1" w:themeShade="BF"/>
      <w:spacing w:val="5"/>
    </w:rPr>
  </w:style>
  <w:style w:type="paragraph" w:styleId="Header">
    <w:name w:val="header"/>
    <w:basedOn w:val="Normal"/>
    <w:link w:val="HeaderChar"/>
    <w:uiPriority w:val="99"/>
    <w:unhideWhenUsed/>
    <w:rsid w:val="00DF6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2E0"/>
  </w:style>
  <w:style w:type="paragraph" w:styleId="Footer">
    <w:name w:val="footer"/>
    <w:basedOn w:val="Normal"/>
    <w:link w:val="FooterChar"/>
    <w:uiPriority w:val="99"/>
    <w:unhideWhenUsed/>
    <w:rsid w:val="00DF6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2E0"/>
  </w:style>
  <w:style w:type="character" w:styleId="Hyperlink">
    <w:name w:val="Hyperlink"/>
    <w:basedOn w:val="DefaultParagraphFont"/>
    <w:uiPriority w:val="99"/>
    <w:unhideWhenUsed/>
    <w:rsid w:val="00D64F11"/>
    <w:rPr>
      <w:color w:val="467886" w:themeColor="hyperlink"/>
      <w:u w:val="single"/>
    </w:rPr>
  </w:style>
  <w:style w:type="character" w:styleId="UnresolvedMention">
    <w:name w:val="Unresolved Mention"/>
    <w:basedOn w:val="DefaultParagraphFont"/>
    <w:uiPriority w:val="99"/>
    <w:semiHidden/>
    <w:unhideWhenUsed/>
    <w:rsid w:val="00D64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3128">
      <w:bodyDiv w:val="1"/>
      <w:marLeft w:val="0"/>
      <w:marRight w:val="0"/>
      <w:marTop w:val="0"/>
      <w:marBottom w:val="0"/>
      <w:divBdr>
        <w:top w:val="none" w:sz="0" w:space="0" w:color="auto"/>
        <w:left w:val="none" w:sz="0" w:space="0" w:color="auto"/>
        <w:bottom w:val="none" w:sz="0" w:space="0" w:color="auto"/>
        <w:right w:val="none" w:sz="0" w:space="0" w:color="auto"/>
      </w:divBdr>
      <w:divsChild>
        <w:div w:id="1833834738">
          <w:marLeft w:val="0"/>
          <w:marRight w:val="0"/>
          <w:marTop w:val="0"/>
          <w:marBottom w:val="0"/>
          <w:divBdr>
            <w:top w:val="none" w:sz="0" w:space="0" w:color="auto"/>
            <w:left w:val="none" w:sz="0" w:space="0" w:color="auto"/>
            <w:bottom w:val="none" w:sz="0" w:space="0" w:color="auto"/>
            <w:right w:val="none" w:sz="0" w:space="0" w:color="auto"/>
          </w:divBdr>
          <w:divsChild>
            <w:div w:id="208872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60717">
      <w:bodyDiv w:val="1"/>
      <w:marLeft w:val="0"/>
      <w:marRight w:val="0"/>
      <w:marTop w:val="0"/>
      <w:marBottom w:val="0"/>
      <w:divBdr>
        <w:top w:val="none" w:sz="0" w:space="0" w:color="auto"/>
        <w:left w:val="none" w:sz="0" w:space="0" w:color="auto"/>
        <w:bottom w:val="none" w:sz="0" w:space="0" w:color="auto"/>
        <w:right w:val="none" w:sz="0" w:space="0" w:color="auto"/>
      </w:divBdr>
    </w:div>
    <w:div w:id="1245605856">
      <w:bodyDiv w:val="1"/>
      <w:marLeft w:val="0"/>
      <w:marRight w:val="0"/>
      <w:marTop w:val="0"/>
      <w:marBottom w:val="0"/>
      <w:divBdr>
        <w:top w:val="none" w:sz="0" w:space="0" w:color="auto"/>
        <w:left w:val="none" w:sz="0" w:space="0" w:color="auto"/>
        <w:bottom w:val="none" w:sz="0" w:space="0" w:color="auto"/>
        <w:right w:val="none" w:sz="0" w:space="0" w:color="auto"/>
      </w:divBdr>
    </w:div>
    <w:div w:id="1739402473">
      <w:bodyDiv w:val="1"/>
      <w:marLeft w:val="0"/>
      <w:marRight w:val="0"/>
      <w:marTop w:val="0"/>
      <w:marBottom w:val="0"/>
      <w:divBdr>
        <w:top w:val="none" w:sz="0" w:space="0" w:color="auto"/>
        <w:left w:val="none" w:sz="0" w:space="0" w:color="auto"/>
        <w:bottom w:val="none" w:sz="0" w:space="0" w:color="auto"/>
        <w:right w:val="none" w:sz="0" w:space="0" w:color="auto"/>
      </w:divBdr>
      <w:divsChild>
        <w:div w:id="1434395573">
          <w:marLeft w:val="0"/>
          <w:marRight w:val="0"/>
          <w:marTop w:val="0"/>
          <w:marBottom w:val="0"/>
          <w:divBdr>
            <w:top w:val="none" w:sz="0" w:space="0" w:color="auto"/>
            <w:left w:val="none" w:sz="0" w:space="0" w:color="auto"/>
            <w:bottom w:val="none" w:sz="0" w:space="0" w:color="auto"/>
            <w:right w:val="none" w:sz="0" w:space="0" w:color="auto"/>
          </w:divBdr>
          <w:divsChild>
            <w:div w:id="169321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appraisals-factshe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globalassets/media/knowledge/knowledge-hub/evidence-reviews/developing-virtual-teams-1_tcm18-76431.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cbi.nlm.nih.gov/pmc/articles/PMC8297254/" TargetMode="External"/><Relationship Id="rId5" Type="http://schemas.openxmlformats.org/officeDocument/2006/relationships/footnotes" Target="footnotes.xml"/><Relationship Id="rId10" Type="http://schemas.openxmlformats.org/officeDocument/2006/relationships/hyperlink" Target="https://www.ons.gov.uk/employmentandlabourmarket/peopleinwork/employmentandemployeetypes/articles/characteristicsofhomeworkersgreatbritain/september2022tojanuary2023" TargetMode="External"/><Relationship Id="rId4" Type="http://schemas.openxmlformats.org/officeDocument/2006/relationships/webSettings" Target="webSettings.xml"/><Relationship Id="rId9" Type="http://schemas.openxmlformats.org/officeDocument/2006/relationships/hyperlink" Target="https://www.forbes.com/advisor/business/remote-work-statist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834E3-6E8A-4BD6-B2F2-FA7AD5D10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Pages>
  <Words>2476</Words>
  <Characters>16435</Characters>
  <Application>Microsoft Office Word</Application>
  <DocSecurity>0</DocSecurity>
  <Lines>280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 K</cp:lastModifiedBy>
  <cp:revision>22</cp:revision>
  <dcterms:created xsi:type="dcterms:W3CDTF">2024-08-23T07:58:00Z</dcterms:created>
  <dcterms:modified xsi:type="dcterms:W3CDTF">2024-08-23T10:29:00Z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354d714b4b5a9f9d9ecbf4f50237c8ee63e4f6b68e8b60028af9c78cb9988d0c</vt:lpwstr>
  </property>
</Properties>
</file>