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958F5D" w14:textId="0BFC8585" w:rsidR="006B69A0" w:rsidRDefault="006B69A0" w:rsidP="006B69A0">
      <w:pPr>
        <w:pStyle w:val="Heading1"/>
      </w:pPr>
      <w:bookmarkStart w:id="0" w:name="_Toc134339552"/>
      <w:r>
        <w:t>Inventing ‘Brittany’</w:t>
      </w:r>
      <w:bookmarkEnd w:id="0"/>
    </w:p>
    <w:p w14:paraId="14A9CBEA" w14:textId="77777777" w:rsidR="006B69A0" w:rsidRPr="006B69A0" w:rsidRDefault="006B69A0" w:rsidP="006B69A0">
      <w:pPr>
        <w:rPr>
          <w:rFonts w:ascii="Times New Roman" w:hAnsi="Times New Roman" w:cs="Times New Roman"/>
        </w:rPr>
      </w:pPr>
      <w:r w:rsidRPr="006B69A0">
        <w:rPr>
          <w:rFonts w:ascii="Times New Roman" w:hAnsi="Times New Roman" w:cs="Times New Roman"/>
        </w:rPr>
        <w:t>Brittany was invented in the nineteenth century. Or rather the Brittany we know today is largely the product of the textual practices and representations of the nineteenth century, and it is to texts, and later to visual representations of Brittany from the nineteenth century that we owe our ideas of what constitutes Bretonness. By the end of the century the connotations and associations of Bretonness were un</w:t>
      </w:r>
      <w:r w:rsidRPr="006B69A0">
        <w:rPr>
          <w:rFonts w:ascii="Times New Roman" w:hAnsi="Times New Roman" w:cs="Times New Roman"/>
        </w:rPr>
        <w:softHyphen/>
        <w:t xml:space="preserve">mistakable, and ripe for exploitation by the mass tourist industry, but there is a world of difference between texts from the early decades of the century and those from the fin-de-siècle and beyond, as during the course of the nineteenth century the stereotype of Brittany flips from mainly negative to mainly positive. A typical early description of Brittany is the following complaint about Brittany’s physical difficulty of access by Jacques Cambry, author of the hugely influential, not to say plagiarized, </w:t>
      </w:r>
      <w:r w:rsidRPr="006B69A0">
        <w:rPr>
          <w:rFonts w:ascii="Times New Roman" w:hAnsi="Times New Roman" w:cs="Times New Roman"/>
          <w:i/>
          <w:iCs/>
        </w:rPr>
        <w:t>Voyage dans le Finistère</w:t>
      </w:r>
      <w:r w:rsidRPr="006B69A0">
        <w:rPr>
          <w:rFonts w:ascii="Times New Roman" w:hAnsi="Times New Roman" w:cs="Times New Roman"/>
        </w:rPr>
        <w:t>:</w:t>
      </w:r>
    </w:p>
    <w:p w14:paraId="51007D6A" w14:textId="77777777" w:rsidR="006B69A0" w:rsidRPr="0082625F" w:rsidRDefault="006B69A0" w:rsidP="006B69A0">
      <w:pPr>
        <w:pStyle w:val="DisplayQuote"/>
        <w:rPr>
          <w:lang w:val="fr-FR"/>
        </w:rPr>
      </w:pPr>
      <w:r w:rsidRPr="0082625F">
        <w:rPr>
          <w:lang w:val="fr-FR"/>
        </w:rPr>
        <w:t xml:space="preserve">Les chemins de traverse sont des abîmes impracticables dans </w:t>
      </w:r>
      <w:proofErr w:type="gramStart"/>
      <w:r w:rsidRPr="0082625F">
        <w:rPr>
          <w:lang w:val="fr-FR"/>
        </w:rPr>
        <w:t>l’hiver:</w:t>
      </w:r>
      <w:proofErr w:type="gramEnd"/>
      <w:r w:rsidRPr="0082625F">
        <w:rPr>
          <w:lang w:val="fr-FR"/>
        </w:rPr>
        <w:t xml:space="preserve"> les voitures s’y brisent; des chevaux, des bœufs, des hommes y sont tous les jours estropiés. (1798)</w:t>
      </w:r>
      <w:r>
        <w:rPr>
          <w:rStyle w:val="FootnoteReference"/>
        </w:rPr>
        <w:footnoteReference w:id="1"/>
      </w:r>
    </w:p>
    <w:p w14:paraId="1AD82832" w14:textId="77777777" w:rsidR="006B69A0" w:rsidRDefault="006B69A0" w:rsidP="006B69A0">
      <w:pPr>
        <w:pStyle w:val="NormalIndent"/>
      </w:pPr>
      <w:r w:rsidRPr="0082625F">
        <w:rPr>
          <w:lang w:val="fr-FR"/>
        </w:rPr>
        <w:t>A generation later nothing has changed, as we find similar com</w:t>
      </w:r>
      <w:r w:rsidRPr="0082625F">
        <w:rPr>
          <w:lang w:val="fr-FR"/>
        </w:rPr>
        <w:softHyphen/>
        <w:t>plaints in Balzac: ‘Là, le génie de la civilisation moderne s’effraie de pénétrer à travers d’immenses forêts primordiales’(1829).</w:t>
      </w:r>
      <w:r>
        <w:rPr>
          <w:rStyle w:val="FootnoteReference"/>
        </w:rPr>
        <w:footnoteReference w:id="2"/>
      </w:r>
      <w:r w:rsidRPr="0082625F">
        <w:rPr>
          <w:lang w:val="fr-FR"/>
        </w:rPr>
        <w:t xml:space="preserve"> </w:t>
      </w:r>
      <w:r>
        <w:t>But by the 1870s we find Brittany recommended as a holiday destination in fash</w:t>
      </w:r>
      <w:r>
        <w:softHyphen/>
        <w:t xml:space="preserve">ionable Parisian magazines, such as Stéphane Mallarmé’s </w:t>
      </w:r>
      <w:r>
        <w:rPr>
          <w:i/>
        </w:rPr>
        <w:t>La Dernière mode</w:t>
      </w:r>
      <w:r>
        <w:t>, where the poet who has briefly become a fashion writer refers to: ‘le littoral fashionable de la Normandie et celui de Bretagne’, but recommends Brittany as the option of the traveller in the know, al</w:t>
      </w:r>
      <w:r>
        <w:softHyphen/>
        <w:t>ready the choice of ‘les amateurs, artistes ou gens épris des grands sites et de solitude’, Normandy being too popular.</w:t>
      </w:r>
      <w:r>
        <w:rPr>
          <w:rStyle w:val="FootnoteReference"/>
        </w:rPr>
        <w:footnoteReference w:id="3"/>
      </w:r>
      <w:r>
        <w:t xml:space="preserve"> A little later again, and Proust’s seaside scenes were originally to be set in Brittany. In the final version of his </w:t>
      </w:r>
      <w:r>
        <w:rPr>
          <w:i/>
        </w:rPr>
        <w:t>A la recherche du temps perdu</w:t>
      </w:r>
      <w:r>
        <w:t xml:space="preserve"> the construction of Balbec, his quintessential seaside town on the Normandy coast, still owes something to Brittany. The narrator, Marcel, is enchanted by its proper names, and dwells on the literal meanings of the Breton ‘Penn-ar-bed’ (the end of the earth) and ‘Armor’ (the sea):</w:t>
      </w:r>
    </w:p>
    <w:p w14:paraId="718AD416" w14:textId="77777777" w:rsidR="006B69A0" w:rsidRPr="0082625F" w:rsidRDefault="006B69A0" w:rsidP="006B69A0">
      <w:pPr>
        <w:pStyle w:val="DisplayQuote"/>
        <w:spacing w:after="0"/>
        <w:rPr>
          <w:lang w:val="fr-FR"/>
        </w:rPr>
      </w:pPr>
      <w:proofErr w:type="gramStart"/>
      <w:r w:rsidRPr="0082625F">
        <w:rPr>
          <w:lang w:val="fr-FR"/>
        </w:rPr>
        <w:t>Balbec!</w:t>
      </w:r>
      <w:proofErr w:type="gramEnd"/>
      <w:r w:rsidRPr="0082625F">
        <w:rPr>
          <w:lang w:val="fr-FR"/>
        </w:rPr>
        <w:t xml:space="preserve"> La plus antique ossature géologique de notre sol, vraiment Ar-mor, la Mer, la fin de la terre.</w:t>
      </w:r>
    </w:p>
    <w:p w14:paraId="75F74C98" w14:textId="77777777" w:rsidR="006B69A0" w:rsidRPr="0082625F" w:rsidRDefault="006B69A0" w:rsidP="006B69A0">
      <w:pPr>
        <w:pStyle w:val="DisplayQuote"/>
        <w:spacing w:before="0" w:after="0"/>
        <w:rPr>
          <w:lang w:val="fr-FR"/>
        </w:rPr>
      </w:pPr>
      <w:r w:rsidRPr="0082625F">
        <w:rPr>
          <w:lang w:val="fr-FR"/>
        </w:rPr>
        <w:t>[…]</w:t>
      </w:r>
    </w:p>
    <w:p w14:paraId="2B42661F" w14:textId="77777777" w:rsidR="006B69A0" w:rsidRPr="0082625F" w:rsidRDefault="006B69A0" w:rsidP="006B69A0">
      <w:pPr>
        <w:pStyle w:val="DisplayQuote"/>
        <w:spacing w:before="0"/>
        <w:rPr>
          <w:lang w:val="fr-FR"/>
        </w:rPr>
      </w:pPr>
      <w:r w:rsidRPr="0082625F">
        <w:rPr>
          <w:lang w:val="fr-FR"/>
        </w:rPr>
        <w:t>Alors je cherchais à retrouver dans Balbec ‘le pays des Cimmériens’</w:t>
      </w:r>
      <w:r>
        <w:rPr>
          <w:rStyle w:val="FootnoteReference"/>
        </w:rPr>
        <w:footnoteReference w:id="4"/>
      </w:r>
      <w:r w:rsidRPr="0082625F">
        <w:rPr>
          <w:rStyle w:val="FootnoteReference"/>
          <w:lang w:val="fr-FR"/>
        </w:rPr>
        <w:t xml:space="preserve"> </w:t>
      </w:r>
    </w:p>
    <w:p w14:paraId="2D547354" w14:textId="77777777" w:rsidR="006B69A0" w:rsidRDefault="006B69A0" w:rsidP="006B69A0">
      <w:pPr>
        <w:pStyle w:val="NormalIndent"/>
      </w:pPr>
      <w:r>
        <w:t xml:space="preserve">What accounts for such a complete turnaround in attitudes? By what process does Brittany trade its connotations of backwardness and darkness for those of leisure and light? Or how was the ‘Brittany’ we know today invented? This chapter will investigate the astonishing shift from positive to negative by identifying some key moments and issues in the development of French-language representations of Brittany. First an overview of the early nineteenth-century context will suggest why and how Brittany became a popular choice for so many writers. </w:t>
      </w:r>
    </w:p>
    <w:p w14:paraId="1BD91C9C" w14:textId="77777777" w:rsidR="006B69A0" w:rsidRDefault="006B69A0" w:rsidP="006B69A0">
      <w:pPr>
        <w:pStyle w:val="Heading2"/>
      </w:pPr>
      <w:bookmarkStart w:id="1" w:name="_Toc134339553"/>
      <w:r>
        <w:lastRenderedPageBreak/>
        <w:t>Brittany victim of fashion</w:t>
      </w:r>
      <w:bookmarkEnd w:id="1"/>
    </w:p>
    <w:p w14:paraId="732B3DE6" w14:textId="77777777" w:rsidR="006B69A0" w:rsidRDefault="006B69A0" w:rsidP="006B69A0">
      <w:proofErr w:type="gramStart"/>
      <w:r>
        <w:t>In order to</w:t>
      </w:r>
      <w:proofErr w:type="gramEnd"/>
      <w:r>
        <w:t xml:space="preserve"> trace the making of the myth, we may first ask why there is an explosion in writing about Brittany in the early nineteenth century. Post-revolutionary France had its </w:t>
      </w:r>
      <w:proofErr w:type="gramStart"/>
      <w:r>
        <w:t>state, but</w:t>
      </w:r>
      <w:proofErr w:type="gramEnd"/>
      <w:r>
        <w:t xml:space="preserve"> had yet to forge the nation that would fit it. The people who were to benefit from ‘égalité’ of rights had different backgrounds and </w:t>
      </w:r>
      <w:proofErr w:type="gramStart"/>
      <w:r>
        <w:t>histories, and</w:t>
      </w:r>
      <w:proofErr w:type="gramEnd"/>
      <w:r>
        <w:t xml:space="preserve"> did not even speak the same language. In </w:t>
      </w:r>
      <w:proofErr w:type="gramStart"/>
      <w:r>
        <w:t>fact</w:t>
      </w:r>
      <w:proofErr w:type="gramEnd"/>
      <w:r>
        <w:t xml:space="preserve"> they had little in common beyond this political bond, and so a sense of collective, national identity had, in effect, to be forged or invented. </w:t>
      </w:r>
    </w:p>
    <w:p w14:paraId="5CF2875B" w14:textId="77777777" w:rsidR="006B69A0" w:rsidRDefault="006B69A0" w:rsidP="006B69A0">
      <w:pPr>
        <w:pStyle w:val="NormalIndent"/>
      </w:pPr>
      <w:r>
        <w:t xml:space="preserve">In so far as the Revolution of 1789 represented a rebirth and a new beginning, the new France </w:t>
      </w:r>
      <w:proofErr w:type="gramStart"/>
      <w:r>
        <w:t>as a whole had</w:t>
      </w:r>
      <w:proofErr w:type="gramEnd"/>
      <w:r>
        <w:t xml:space="preserve"> to re-think its own identity. The necessary self-analysis entailed </w:t>
      </w:r>
      <w:proofErr w:type="gramStart"/>
      <w:r>
        <w:t>in particular a</w:t>
      </w:r>
      <w:proofErr w:type="gramEnd"/>
      <w:r>
        <w:t xml:space="preserve"> re</w:t>
      </w:r>
      <w:r>
        <w:softHyphen/>
        <w:t>definition of France’s relationship to the past, as the pre-revolutionary period represented all that had been escaped and negated. National history that had chronicled the rise and fall of monarchs was replaced by a new historiography, which sought instead to identify the roots of the Republic, and the forefathers of the ‘peuple’; thus began a golden age of history writing.</w:t>
      </w:r>
      <w:r>
        <w:rPr>
          <w:rStyle w:val="FootnoteReference"/>
        </w:rPr>
        <w:footnoteReference w:id="5"/>
      </w:r>
      <w:r>
        <w:t xml:space="preserve"> One clear consequence of this was a more urgent working out of the relationship between the Gauls, who were seen as the ancestors of the people, and the Franks, who were considered to be the ancestors of the aristocracy. This was already discussed before the Revolution, as Dietler has shown: </w:t>
      </w:r>
      <w:proofErr w:type="gramStart"/>
      <w:r>
        <w:t>indeed</w:t>
      </w:r>
      <w:proofErr w:type="gramEnd"/>
      <w:r>
        <w:t xml:space="preserve"> the popularization of the idea can be traced to the historical writings of the Comte de Boulainvilliers (1727), who </w:t>
      </w:r>
    </w:p>
    <w:p w14:paraId="5F3F8FFD" w14:textId="77777777" w:rsidR="006B69A0" w:rsidRDefault="006B69A0" w:rsidP="006B69A0">
      <w:pPr>
        <w:pStyle w:val="DisplayQuote"/>
      </w:pPr>
      <w:r>
        <w:t>repeatedly asserted that France was composed of two races of people: the nobility, who were the descendants of the Franks, and the Third Estate, who were descended from the Gallo-Romans.</w:t>
      </w:r>
      <w:r>
        <w:rPr>
          <w:rStyle w:val="FootnoteReference"/>
        </w:rPr>
        <w:footnoteReference w:id="6"/>
      </w:r>
      <w:r>
        <w:t xml:space="preserve"> </w:t>
      </w:r>
    </w:p>
    <w:p w14:paraId="2483C643" w14:textId="77777777" w:rsidR="006B69A0" w:rsidRDefault="006B69A0" w:rsidP="006B69A0">
      <w:r>
        <w:t xml:space="preserve">The Revolution led to Gauls being proposed as potential ancestors for the whole new </w:t>
      </w:r>
      <w:proofErr w:type="gramStart"/>
      <w:r>
        <w:t>nation, and</w:t>
      </w:r>
      <w:proofErr w:type="gramEnd"/>
      <w:r>
        <w:t xml:space="preserve"> gave rise to the memorable slogan ‘nos ancêtres les Gaulois’. </w:t>
      </w:r>
      <w:proofErr w:type="gramStart"/>
      <w:r>
        <w:t>This leads</w:t>
      </w:r>
      <w:proofErr w:type="gramEnd"/>
      <w:r>
        <w:t xml:space="preserve">, quite neatly, to unprecedented levels of interest in the people who were perceived to be France’s remaining link with the Celtic people of Ancient Gaul: the Bretons. The terrible irony is that, as Dietler puts it: </w:t>
      </w:r>
    </w:p>
    <w:p w14:paraId="6E59BAA6" w14:textId="77777777" w:rsidR="006B69A0" w:rsidRDefault="006B69A0" w:rsidP="006B69A0">
      <w:pPr>
        <w:pStyle w:val="DisplayQuote"/>
      </w:pPr>
      <w:r>
        <w:t>republican enthusiasm for establishing a nation with claims to authenticity rooted in the ancient Celtic past should have nearly succeeded in wiping out the one surviving link to Celtic identity that had a reasonable claim to continuity: the language spoken by the people of Brittany.</w:t>
      </w:r>
      <w:r>
        <w:rPr>
          <w:rStyle w:val="FootnoteReference"/>
        </w:rPr>
        <w:footnoteReference w:id="7"/>
      </w:r>
      <w:r>
        <w:t xml:space="preserve"> </w:t>
      </w:r>
    </w:p>
    <w:p w14:paraId="035A68FF" w14:textId="77777777" w:rsidR="006B69A0" w:rsidRDefault="006B69A0" w:rsidP="006B69A0">
      <w:r>
        <w:t>So although there had been a slowly increasing scholarly interest in Celts and Celtic languages in particular before the Revolution (Pezron 1703, and Pelloutier 1740), this coveted connection with Ancient Gaul was the catalyst that transformed what was no more than a minority scholarly interest into ‘Bretonism’ in due course.</w:t>
      </w:r>
    </w:p>
    <w:p w14:paraId="3E7AA753" w14:textId="77777777" w:rsidR="006B69A0" w:rsidRDefault="006B69A0" w:rsidP="006B69A0">
      <w:pPr>
        <w:pStyle w:val="NormalIndent"/>
      </w:pPr>
      <w:r>
        <w:t xml:space="preserve">Evidence of how valorized the Celts were in France at this time is found in the very title of the Académie celtique, established under Napoleon in 1805, with the purpose of elevating the study of France’s own distant past to the position of a new Classics. Founded by Éloi Johanneau, Jacques Cambry, and Michel-Ange de Mangourit, and with the Empress Josephine for a patron, the Académie </w:t>
      </w:r>
      <w:r>
        <w:lastRenderedPageBreak/>
        <w:t>celtique further fuelled the debate on France’s Celtic ancestry, but in fact had more to do with French nationalism than with Celtic studies proper, or even with Brittany. Though this connection launched Bretonism, the latter is in no way a continuation of the Académie. Indeed the his</w:t>
      </w:r>
      <w:r>
        <w:softHyphen/>
        <w:t>torian of Bretonism, Jean-Yves Guiomar, shows how Bretonism really came into its own only when it left Gaul, or Gaulomania, behind; something which was made possible by borrowing some of the glory of the Welsh tradition.</w:t>
      </w:r>
      <w:r>
        <w:rPr>
          <w:rStyle w:val="FootnoteReference"/>
        </w:rPr>
        <w:footnoteReference w:id="8"/>
      </w:r>
      <w:r>
        <w:t xml:space="preserve"> Later in the century, the Gaulish connection could even be written out of history, as it was by Renan, who omits discussion of the Celtic ancestry of the French from a revised version of his essay on the poetry of the Celts.</w:t>
      </w:r>
      <w:r>
        <w:rPr>
          <w:rStyle w:val="FootnoteReference"/>
        </w:rPr>
        <w:footnoteReference w:id="9"/>
      </w:r>
      <w:r>
        <w:t xml:space="preserve"> So rather than lead smoothly into ‘Bretonism’, the Académie is entirely revamped in 1814 under the rather safer title: the ‘Sociéte royale des Antiquaires de France’, because of the over-enthusiasm of a number of its members for all things Celtic. </w:t>
      </w:r>
    </w:p>
    <w:p w14:paraId="0271E6D6" w14:textId="77777777" w:rsidR="006B69A0" w:rsidRPr="0082625F" w:rsidRDefault="006B69A0" w:rsidP="006B69A0">
      <w:pPr>
        <w:pStyle w:val="NormalIndent"/>
        <w:rPr>
          <w:lang w:val="fr-FR"/>
        </w:rPr>
      </w:pPr>
      <w:r>
        <w:t>What the Académie was supposed to be about was France’s nationalist need to document itself. Its ‘questionnaire’, a series of fifty-one questions, split into four categories, covering the seasons, birth and death, ‘monuments’, legends and folk beliefs,</w:t>
      </w:r>
      <w:r>
        <w:rPr>
          <w:rStyle w:val="FootnoteReference"/>
        </w:rPr>
        <w:footnoteReference w:id="10"/>
      </w:r>
      <w:r>
        <w:t xml:space="preserve"> was sent to all parts of France, and is widely regarded as marking the birth of French ethnography. In this there was an element of France wishing to keep up with its neighbours near and far, and envy of London and Calcutta, who already possessed such ethnographical institutions.</w:t>
      </w:r>
      <w:r>
        <w:rPr>
          <w:rStyle w:val="FootnoteReference"/>
        </w:rPr>
        <w:footnoteReference w:id="11"/>
      </w:r>
      <w:r>
        <w:t xml:space="preserve"> The relationship with French nationalism was uncomfortable to say the least, as this interest in provincial differences was in a sense part of a project to eliminate them. The men behind the questionnaire were not just pro uniformity, but, as administrators, sought to engineer this uniformity. Their over-use of the word ‘monument’, not just for archaeological remains, but also for beliefs, and even dialects, is telling. Differences were being collected and documented </w:t>
      </w:r>
      <w:proofErr w:type="gramStart"/>
      <w:r>
        <w:t>so as to</w:t>
      </w:r>
      <w:proofErr w:type="gramEnd"/>
      <w:r>
        <w:t xml:space="preserve"> be made into attractive postcards, and any talk of the preservation of regional languages meant in the museum. </w:t>
      </w:r>
      <w:r w:rsidRPr="0082625F">
        <w:rPr>
          <w:lang w:val="fr-FR"/>
        </w:rPr>
        <w:t xml:space="preserve">In her study of the Académie Nicole Belmont characterizes its stated aim </w:t>
      </w:r>
      <w:proofErr w:type="gramStart"/>
      <w:r w:rsidRPr="0082625F">
        <w:rPr>
          <w:lang w:val="fr-FR"/>
        </w:rPr>
        <w:t>thus:</w:t>
      </w:r>
      <w:proofErr w:type="gramEnd"/>
      <w:r w:rsidRPr="0082625F">
        <w:rPr>
          <w:lang w:val="fr-FR"/>
        </w:rPr>
        <w:t xml:space="preserve"> ‘recueillir les traditions, les coutumes, les usages, les langues locales en raison de leur intérêt propre et avant leur disparition supposée proche’.</w:t>
      </w:r>
      <w:r>
        <w:rPr>
          <w:rStyle w:val="FootnoteReference"/>
        </w:rPr>
        <w:footnoteReference w:id="12"/>
      </w:r>
      <w:r w:rsidRPr="0082625F">
        <w:rPr>
          <w:lang w:val="fr-FR"/>
        </w:rPr>
        <w:t xml:space="preserve"> </w:t>
      </w:r>
    </w:p>
    <w:p w14:paraId="66B13E63" w14:textId="77777777" w:rsidR="006B69A0" w:rsidRDefault="006B69A0" w:rsidP="006B69A0">
      <w:pPr>
        <w:pStyle w:val="NormalIndent"/>
      </w:pPr>
      <w:r>
        <w:t>Proof that the academy had never been there in the service of Brittany, or even Celtic culture more generally, comes in the story of the demise of a society which was feared to be based on a ‘système plus séduisant que solide’.</w:t>
      </w:r>
      <w:r>
        <w:rPr>
          <w:rStyle w:val="FootnoteReference"/>
        </w:rPr>
        <w:footnoteReference w:id="13"/>
      </w:r>
      <w:r>
        <w:t xml:space="preserve"> The preface to the ‘Mémoires’ of the new society explains that it wishes to be more scientific than its pre</w:t>
      </w:r>
      <w:r>
        <w:softHyphen/>
        <w:t xml:space="preserve">decessor, and claims that much of the recent glorification of the Celts, and the Bretons, had been misguided, if not blindly pro-Celtic wishful thinking. Keen to distance itself from claims such as that by La Tour d’Auvergne that Celtic was </w:t>
      </w:r>
      <w:r>
        <w:rPr>
          <w:i/>
          <w:iCs/>
        </w:rPr>
        <w:t>the</w:t>
      </w:r>
      <w:r>
        <w:t xml:space="preserve"> original human language, and that of Johanneau, the Académie’s most outspoken member, that nearly all the peoples were descendants of the Celts, the new society is extra cautious, going as far as to suggest that ‘bas-breton’ might not even be the language of the Celts. Later </w:t>
      </w:r>
      <w:proofErr w:type="gramStart"/>
      <w:r>
        <w:t>on</w:t>
      </w:r>
      <w:proofErr w:type="gramEnd"/>
      <w:r>
        <w:t xml:space="preserve"> Raynouard even declared Breton to be a dialect born in the fifteenth century. The coining of the term ‘Celtomanie’, a retrospective and pejorative label, defined in the </w:t>
      </w:r>
      <w:r>
        <w:rPr>
          <w:i/>
          <w:iCs/>
        </w:rPr>
        <w:t>Trésor de la langue française</w:t>
      </w:r>
      <w:r>
        <w:t xml:space="preserve"> (TLF) as an ‘esprit de système qui caractérise les (savants) celtomanes’, around 1838, shows to what extent this fashion and enthusiasm had also given rise to a certain Celtoscepticism. </w:t>
      </w:r>
    </w:p>
    <w:p w14:paraId="38B340F9" w14:textId="77777777" w:rsidR="006B69A0" w:rsidRPr="006B69A0" w:rsidRDefault="006B69A0" w:rsidP="006B69A0">
      <w:pPr>
        <w:pStyle w:val="NormalIndent"/>
        <w:rPr>
          <w:lang w:val="fr-FR"/>
        </w:rPr>
      </w:pPr>
      <w:r>
        <w:lastRenderedPageBreak/>
        <w:t xml:space="preserve">This interest in collecting and documenting derived also in part from the ideas of Herder, which spread with Romanticism. For Herder popular literature and songs were nothing short of the archives of the people, containing their whole history, their whole way of life. He published his own </w:t>
      </w:r>
      <w:r>
        <w:rPr>
          <w:i/>
          <w:iCs/>
        </w:rPr>
        <w:t>Volkslieder</w:t>
      </w:r>
      <w:r>
        <w:t xml:space="preserve"> in 1778–</w:t>
      </w:r>
      <w:proofErr w:type="gramStart"/>
      <w:r>
        <w:t>1779, and</w:t>
      </w:r>
      <w:proofErr w:type="gramEnd"/>
      <w:r>
        <w:t xml:space="preserve"> called on intel</w:t>
      </w:r>
      <w:r>
        <w:softHyphen/>
        <w:t>lectuals far and wide to collect the basis of their own cultures in order to produce a true popular history. Although there were calls, even in France, for such collections before the Revolution, it was the new France that had rejected the history of a succession of crowned heads that fully realized the need for a popular history, not least because, as was the case with the Académie celtique, it had an eye on its neigh</w:t>
      </w:r>
      <w:r>
        <w:softHyphen/>
        <w:t>bours, and knew that it lagged behind Germany in this respect.</w:t>
      </w:r>
      <w:r>
        <w:rPr>
          <w:rStyle w:val="FootnoteReference"/>
        </w:rPr>
        <w:footnoteReference w:id="14"/>
      </w:r>
      <w:r>
        <w:t xml:space="preserve"> Not only did Brittany provide something that could compete with Ger</w:t>
      </w:r>
      <w:r>
        <w:softHyphen/>
        <w:t>many, but also its medieval past could challenge France itself. The Académie celtique marked the first systematic attempt at collecting songs, then Michelet, for instance, had plans for an ‘Encyclopédie des chants populaires’, modelled on Herder, around 1828, and by 1848, popular poetry enjoyed ‘une sorte de faveur générale’.</w:t>
      </w:r>
      <w:r>
        <w:rPr>
          <w:rStyle w:val="FootnoteReference"/>
        </w:rPr>
        <w:footnoteReference w:id="15"/>
      </w:r>
      <w:r>
        <w:t xml:space="preserve"> </w:t>
      </w:r>
      <w:r w:rsidRPr="006B69A0">
        <w:rPr>
          <w:lang w:val="fr-FR"/>
        </w:rPr>
        <w:t>Herder’s influence was profound, indeed Raymond Schwab goes as far as to claim that: ‘Tous les chers préjugés sur lesquels, aujourd’hui encore, repose notre idolâtrie de l’enfantin et du primitif, on peut, à vue cavalière, en tenir Herder pour responsable’.</w:t>
      </w:r>
      <w:r>
        <w:rPr>
          <w:rStyle w:val="FootnoteReference"/>
        </w:rPr>
        <w:footnoteReference w:id="16"/>
      </w:r>
      <w:r w:rsidRPr="006B69A0">
        <w:rPr>
          <w:lang w:val="fr-FR"/>
        </w:rPr>
        <w:t xml:space="preserve"> </w:t>
      </w:r>
    </w:p>
    <w:p w14:paraId="4FD0553E" w14:textId="77777777" w:rsidR="006B69A0" w:rsidRPr="0082625F" w:rsidRDefault="006B69A0" w:rsidP="006B69A0">
      <w:pPr>
        <w:pStyle w:val="NormalIndent"/>
        <w:rPr>
          <w:lang w:val="fr-FR"/>
        </w:rPr>
      </w:pPr>
      <w:r>
        <w:t>Brittany benefited from this vogue for ‘primitivism’ and native material, which was then championed in the works of Senancour and Mme de Staël. As far as literature was concerned, subject matter which was specific to and native to France found favour, and Breton material seemed to be quintessentially French. For Michelet – prob</w:t>
      </w:r>
      <w:r>
        <w:softHyphen/>
        <w:t xml:space="preserve">ably the greatest nineteenth-century historian – the history of Brittany quite simply </w:t>
      </w:r>
      <w:r>
        <w:rPr>
          <w:i/>
        </w:rPr>
        <w:t>is</w:t>
      </w:r>
      <w:r>
        <w:t xml:space="preserve"> the history of </w:t>
      </w:r>
      <w:proofErr w:type="gramStart"/>
      <w:r>
        <w:t>France, because</w:t>
      </w:r>
      <w:proofErr w:type="gramEnd"/>
      <w:r>
        <w:t xml:space="preserve"> it is at its core. In his </w:t>
      </w:r>
      <w:r>
        <w:rPr>
          <w:i/>
        </w:rPr>
        <w:t>Tableau de la France</w:t>
      </w:r>
      <w:r>
        <w:t xml:space="preserve"> he aimed to show how the unity of France grew out of the rich mosaic of provinces: ‘Évoquer la Bretagne primitive, c’est, en fait, écrire le mythe de nos origines. </w:t>
      </w:r>
      <w:r w:rsidRPr="0082625F">
        <w:rPr>
          <w:lang w:val="fr-FR"/>
        </w:rPr>
        <w:t>Retracer les étapes de la transformation de la Bretagne, c’est retracer les étapes mêmes du développement de notre patrie’.</w:t>
      </w:r>
      <w:r>
        <w:rPr>
          <w:rStyle w:val="FootnoteReference"/>
        </w:rPr>
        <w:footnoteReference w:id="17"/>
      </w:r>
      <w:r w:rsidRPr="0082625F">
        <w:rPr>
          <w:lang w:val="fr-FR"/>
        </w:rPr>
        <w:t xml:space="preserve"> </w:t>
      </w:r>
      <w:r>
        <w:t xml:space="preserve">The same interest in the national heritage is evident in a grand undertaking like that of Taylor, Cailleux and Nodier, in the </w:t>
      </w:r>
      <w:r>
        <w:rPr>
          <w:i/>
        </w:rPr>
        <w:t>Voyages pittoresques dans l’ancienne France</w:t>
      </w:r>
      <w:r>
        <w:t xml:space="preserve"> (Brittany volumes published 1843–6), in which Brittany occupies a similarly formative place. In his introduction to this work Taylor claims that his first visit to Brittany thirty-five years previously had given him the idea for the whole series of ‘voyages’. </w:t>
      </w:r>
      <w:r w:rsidRPr="0082625F">
        <w:rPr>
          <w:lang w:val="fr-FR"/>
        </w:rPr>
        <w:t xml:space="preserve">In short, Brittany was understood as a paragon among the </w:t>
      </w:r>
      <w:proofErr w:type="gramStart"/>
      <w:r w:rsidRPr="0082625F">
        <w:rPr>
          <w:lang w:val="fr-FR"/>
        </w:rPr>
        <w:t>provinces;</w:t>
      </w:r>
      <w:proofErr w:type="gramEnd"/>
      <w:r w:rsidRPr="0082625F">
        <w:rPr>
          <w:lang w:val="fr-FR"/>
        </w:rPr>
        <w:t xml:space="preserve"> in the words of Anne-Marie Thiesse: ‘Mais la position particulière de la Bretagne, parangon des provinces et en même temps région ayant gardé une identité forte, donne une forme extrême à l’opposition Paris/ Province’.</w:t>
      </w:r>
      <w:r>
        <w:rPr>
          <w:rStyle w:val="FootnoteReference"/>
        </w:rPr>
        <w:footnoteReference w:id="18"/>
      </w:r>
      <w:r w:rsidRPr="0082625F">
        <w:rPr>
          <w:lang w:val="fr-FR"/>
        </w:rPr>
        <w:t xml:space="preserve"> </w:t>
      </w:r>
    </w:p>
    <w:p w14:paraId="0662FBA0" w14:textId="77777777" w:rsidR="006B69A0" w:rsidRDefault="006B69A0" w:rsidP="006B69A0">
      <w:pPr>
        <w:pStyle w:val="NormalIndent"/>
      </w:pPr>
      <w:r>
        <w:t xml:space="preserve">So ‘Bretonism’, launched by Gaulomania, continued to benefit from other Parisian fashions of the early nineteenth century that took over from it, albeit as an example of the primitive/ savage rather than directly for its prestigious cultural heritage. </w:t>
      </w:r>
      <w:proofErr w:type="gramStart"/>
      <w:r>
        <w:t>Often</w:t>
      </w:r>
      <w:proofErr w:type="gramEnd"/>
      <w:r>
        <w:t xml:space="preserve"> we have the sense in these projects that regional differences needed to be recorded </w:t>
      </w:r>
      <w:r>
        <w:rPr>
          <w:i/>
        </w:rPr>
        <w:t>precisely</w:t>
      </w:r>
      <w:r>
        <w:t xml:space="preserve"> because they were about to be extinguished in the name of progress and democracy. The authors of the </w:t>
      </w:r>
      <w:r>
        <w:rPr>
          <w:i/>
          <w:iCs/>
        </w:rPr>
        <w:t>Voyages pittoresques</w:t>
      </w:r>
      <w:r>
        <w:t xml:space="preserve"> des</w:t>
      </w:r>
      <w:r>
        <w:softHyphen/>
        <w:t xml:space="preserve">cribe their project thus: </w:t>
      </w:r>
    </w:p>
    <w:p w14:paraId="1E5BE346" w14:textId="77777777" w:rsidR="006B69A0" w:rsidRPr="0082625F" w:rsidRDefault="006B69A0" w:rsidP="006B69A0">
      <w:pPr>
        <w:pStyle w:val="DisplayQuote"/>
        <w:rPr>
          <w:lang w:val="fr-FR"/>
        </w:rPr>
      </w:pPr>
      <w:r w:rsidRPr="0082625F">
        <w:rPr>
          <w:lang w:val="fr-FR"/>
        </w:rPr>
        <w:t>Nous devons nous hâter de reproduire les ruines de la Bretagne, car la civilisation va y entrer par la Normandie, le Maine, l’Anjou et le Poitou qui la bornent sur les autres points. Chaque jour maintenant va effacer davantage ce que sa physionomie a d’original et de caractéristique.</w:t>
      </w:r>
      <w:r>
        <w:rPr>
          <w:rStyle w:val="FootnoteReference"/>
          <w:sz w:val="22"/>
        </w:rPr>
        <w:footnoteReference w:id="19"/>
      </w:r>
    </w:p>
    <w:p w14:paraId="462AA61B" w14:textId="77777777" w:rsidR="006B69A0" w:rsidRDefault="006B69A0" w:rsidP="006B69A0">
      <w:r>
        <w:t xml:space="preserve">The more threatened something seemed, the more it appealed to another Romantic taste, that for the near extinct. In the 1820s, across Europe, there was a fashion for what Fiona Stafford has called </w:t>
      </w:r>
      <w:r>
        <w:lastRenderedPageBreak/>
        <w:t>the ‘myth of the last’ of a race, or a type.</w:t>
      </w:r>
      <w:r>
        <w:rPr>
          <w:rStyle w:val="FootnoteReference"/>
        </w:rPr>
        <w:footnoteReference w:id="20"/>
      </w:r>
      <w:r>
        <w:t xml:space="preserve"> This fashion influenced Balzac in </w:t>
      </w:r>
      <w:r>
        <w:rPr>
          <w:i/>
        </w:rPr>
        <w:t>Les Chouans</w:t>
      </w:r>
      <w:r>
        <w:t xml:space="preserve">, where Brittany represents the last bit of primitivism within France; indeed one of his earlier titles puts the emphasis on ‘the last’: </w:t>
      </w:r>
      <w:r>
        <w:rPr>
          <w:i/>
        </w:rPr>
        <w:t>Le Dernier Chouan ou la Bretagne en 1800</w:t>
      </w:r>
      <w:r>
        <w:t xml:space="preserve">. The same fashion fed into Souvestre’s most famous work: </w:t>
      </w:r>
      <w:r>
        <w:rPr>
          <w:i/>
        </w:rPr>
        <w:t>Les Derniers Bretons</w:t>
      </w:r>
      <w:r>
        <w:rPr>
          <w:iCs/>
        </w:rPr>
        <w:t xml:space="preserve"> (1836)</w:t>
      </w:r>
      <w:r>
        <w:t>.</w:t>
      </w:r>
      <w:r>
        <w:rPr>
          <w:rStyle w:val="FootnoteReference"/>
        </w:rPr>
        <w:footnoteReference w:id="21"/>
      </w:r>
      <w:r>
        <w:t xml:space="preserve"> </w:t>
      </w:r>
    </w:p>
    <w:p w14:paraId="6D33440E" w14:textId="77777777" w:rsidR="006B69A0" w:rsidRDefault="006B69A0" w:rsidP="006B69A0">
      <w:pPr>
        <w:pStyle w:val="NormalIndent"/>
      </w:pPr>
      <w:r>
        <w:t>There was something more important than the renewed interest in ‘nos ancêtres les Gaulois’, however, and even than the Romantic interest in ideas of extinction. More than anything it was the shift in sensibility that came with Romanticism that accounts for the attention Brittany enjoyed. It was the reaction against the hyper-cultured, over-sophisticated life of the leisured classes in the eighteenth century that led to a valorization of the simple, the natural, the untainted by so</w:t>
      </w:r>
      <w:r>
        <w:softHyphen/>
        <w:t xml:space="preserve">ciety, including peasants, children, and nature. Jean-Jacques Rousseau, the eighteenth-century </w:t>
      </w:r>
      <w:r>
        <w:rPr>
          <w:i/>
        </w:rPr>
        <w:t>philosophe</w:t>
      </w:r>
      <w:r>
        <w:t>, and father of Roman</w:t>
      </w:r>
      <w:r>
        <w:softHyphen/>
        <w:t xml:space="preserve">ticism, founded a literature of the flight from Paris, whose most influential practitioners in nineteenth-century France would include Chateaubriand, Senancour, Lamartine, Vigny, George Sand, and Nerval. His call ‘fuyez les villes’ is explicit in the preface to his moralizing epistolary novel </w:t>
      </w:r>
      <w:r>
        <w:rPr>
          <w:i/>
        </w:rPr>
        <w:t>Julie ou la Nouvelle Héloïse</w:t>
      </w:r>
      <w:r>
        <w:t xml:space="preserve"> (1761), where the rural community of Clarens represents an antidote to the evils of Paris, a refuge that poor Saint-Preux returns to after his trip to the dangerous and corrupting French capital.</w:t>
      </w:r>
      <w:r>
        <w:rPr>
          <w:rStyle w:val="FootnoteReference"/>
        </w:rPr>
        <w:footnoteReference w:id="22"/>
      </w:r>
      <w:r>
        <w:t xml:space="preserve"> However it is the botanizing Rousseau of the </w:t>
      </w:r>
      <w:r>
        <w:rPr>
          <w:i/>
        </w:rPr>
        <w:t>Rêveries du promeneur solitaire</w:t>
      </w:r>
      <w:r>
        <w:t xml:space="preserve"> (written between 1776 and 1778), especially the famous fifth ‘promenade’ on the ‘Île Saint-Pierre’, whose influence on subsequent literary de</w:t>
      </w:r>
      <w:r>
        <w:softHyphen/>
        <w:t xml:space="preserve">pictions of nature as well as on the ‘récit personnel’ was decisive. </w:t>
      </w:r>
    </w:p>
    <w:p w14:paraId="62C6BCA7" w14:textId="77777777" w:rsidR="006B69A0" w:rsidRDefault="006B69A0" w:rsidP="006B69A0">
      <w:pPr>
        <w:pStyle w:val="NormalIndent"/>
      </w:pPr>
      <w:r>
        <w:t>While one explanation for the predilection for solitary scenes shown by Rousseau might have been his paranoia about escaping from his enemies: ‘mes puissants oppresseurs’, ‘injustes ennemis’,</w:t>
      </w:r>
      <w:r>
        <w:rPr>
          <w:rStyle w:val="FootnoteReference"/>
        </w:rPr>
        <w:footnoteReference w:id="23"/>
      </w:r>
      <w:r>
        <w:t xml:space="preserve"> and their plots against him: ‘le plus affreux complot qui jamais ait été tramé contre la mémoire d’un homme’,</w:t>
      </w:r>
      <w:r>
        <w:rPr>
          <w:rStyle w:val="FootnoteReference"/>
        </w:rPr>
        <w:footnoteReference w:id="24"/>
      </w:r>
      <w:r>
        <w:t xml:space="preserve"> the real reason why it was so influential was that Rousseau was not alone. His work crystallized a tendency, and others were affected by the landscape in this new way, like Diderot’s Dorval in </w:t>
      </w:r>
      <w:r>
        <w:rPr>
          <w:i/>
        </w:rPr>
        <w:t>Entretiens sur ‘Le Fils naturel’</w:t>
      </w:r>
      <w:r>
        <w:rPr>
          <w:iCs/>
        </w:rPr>
        <w:t>,</w:t>
      </w:r>
      <w:r>
        <w:t xml:space="preserve"> as early as 1757:</w:t>
      </w:r>
    </w:p>
    <w:p w14:paraId="7D403E56" w14:textId="77777777" w:rsidR="006B69A0" w:rsidRDefault="006B69A0" w:rsidP="006B69A0">
      <w:pPr>
        <w:pStyle w:val="DisplayQuote"/>
      </w:pPr>
      <w:r w:rsidRPr="0082625F">
        <w:rPr>
          <w:lang w:val="fr-FR"/>
        </w:rPr>
        <w:t xml:space="preserve">Le lendemain, je me rendis au pied de la colline. L’endroit était solitaire et sauvage. On avait en perspective quelques hameaux répandus dans la </w:t>
      </w:r>
      <w:proofErr w:type="gramStart"/>
      <w:r w:rsidRPr="0082625F">
        <w:rPr>
          <w:lang w:val="fr-FR"/>
        </w:rPr>
        <w:t>plaine;</w:t>
      </w:r>
      <w:proofErr w:type="gramEnd"/>
      <w:r w:rsidRPr="0082625F">
        <w:rPr>
          <w:lang w:val="fr-FR"/>
        </w:rPr>
        <w:t xml:space="preserve"> au delà, une chaîne de montagnes inégales et déchirées qui terminaient en partie l’horizon. On était à l’ombre des chênes, et l’on entendait le bruit sourd d’une eau souterraine qui coulait aux environs. </w:t>
      </w:r>
      <w:r w:rsidRPr="006B69A0">
        <w:rPr>
          <w:lang w:val="fr-FR"/>
        </w:rPr>
        <w:t xml:space="preserve">[…] Dorval s’était abandonné au spectacle de la nature. Il avait la poitrine élevée. </w:t>
      </w:r>
      <w:r>
        <w:t>Il respirait avec force.</w:t>
      </w:r>
      <w:r>
        <w:rPr>
          <w:rStyle w:val="FootnoteReference"/>
          <w:sz w:val="22"/>
        </w:rPr>
        <w:footnoteReference w:id="25"/>
      </w:r>
    </w:p>
    <w:p w14:paraId="24A46A1F" w14:textId="77777777" w:rsidR="006B69A0" w:rsidRDefault="006B69A0" w:rsidP="006B69A0">
      <w:pPr>
        <w:pStyle w:val="BodyText"/>
      </w:pPr>
      <w:r>
        <w:t xml:space="preserve">The aesthetic revolution in the way outside reality, or nature, was described, was memorably characterized by Abrams as a shift from a mirror to a lamp: </w:t>
      </w:r>
    </w:p>
    <w:p w14:paraId="5287EAEC" w14:textId="77777777" w:rsidR="006B69A0" w:rsidRDefault="006B69A0" w:rsidP="006B69A0">
      <w:pPr>
        <w:pStyle w:val="DisplayQuote"/>
      </w:pPr>
      <w:r>
        <w:lastRenderedPageBreak/>
        <w:t>The work ceases then to be regarded as primarily a reflection of nature, actual or improved; the mirror held up to nature becomes transparent and yields the reader insights into the mind and heart of the poet himself.</w:t>
      </w:r>
      <w:r>
        <w:rPr>
          <w:rStyle w:val="FootnoteReference"/>
          <w:sz w:val="22"/>
        </w:rPr>
        <w:footnoteReference w:id="26"/>
      </w:r>
    </w:p>
    <w:p w14:paraId="434C3A66" w14:textId="77777777" w:rsidR="006B69A0" w:rsidRDefault="006B69A0" w:rsidP="006B69A0">
      <w:proofErr w:type="gramStart"/>
      <w:r>
        <w:t>So</w:t>
      </w:r>
      <w:proofErr w:type="gramEnd"/>
      <w:r>
        <w:t xml:space="preserve"> poetry was no longer thought to have developed from man’s instinct to imitate nature, but rather to have originated in the cries of primitive man. A sense of nostalgia for this pure variety of poetic expression permeates descriptions of </w:t>
      </w:r>
      <w:proofErr w:type="gramStart"/>
      <w:r>
        <w:t>nature, and</w:t>
      </w:r>
      <w:proofErr w:type="gramEnd"/>
      <w:r>
        <w:t xml:space="preserve"> changes modern man’s relationship to it. The experience of nature sought out by French writers is more and more extreme, as demonstrated by the disappointment of Senancour’s protagonist Oberman in the coun</w:t>
      </w:r>
      <w:r>
        <w:softHyphen/>
        <w:t xml:space="preserve">tryside at Fontainebleau: </w:t>
      </w:r>
    </w:p>
    <w:p w14:paraId="5E692CA6" w14:textId="77777777" w:rsidR="006B69A0" w:rsidRPr="0082625F" w:rsidRDefault="006B69A0" w:rsidP="006B69A0">
      <w:pPr>
        <w:pStyle w:val="DisplayQuote"/>
        <w:rPr>
          <w:b/>
          <w:bCs/>
          <w:sz w:val="22"/>
          <w:lang w:val="fr-FR"/>
        </w:rPr>
      </w:pPr>
      <w:r w:rsidRPr="0082625F">
        <w:rPr>
          <w:lang w:val="fr-FR"/>
        </w:rPr>
        <w:t xml:space="preserve">J’ai bien une terre libre à </w:t>
      </w:r>
      <w:proofErr w:type="gramStart"/>
      <w:r w:rsidRPr="0082625F">
        <w:rPr>
          <w:lang w:val="fr-FR"/>
        </w:rPr>
        <w:t>parcourir;</w:t>
      </w:r>
      <w:proofErr w:type="gramEnd"/>
      <w:r w:rsidRPr="0082625F">
        <w:rPr>
          <w:lang w:val="fr-FR"/>
        </w:rPr>
        <w:t xml:space="preserve"> mais elle n’est pas assez sauvage, assez imposante. Les formes en sont </w:t>
      </w:r>
      <w:proofErr w:type="gramStart"/>
      <w:r w:rsidRPr="0082625F">
        <w:rPr>
          <w:lang w:val="fr-FR"/>
        </w:rPr>
        <w:t>basses;</w:t>
      </w:r>
      <w:proofErr w:type="gramEnd"/>
      <w:r w:rsidRPr="0082625F">
        <w:rPr>
          <w:lang w:val="fr-FR"/>
        </w:rPr>
        <w:t xml:space="preserve"> les roches petites et monotones; la végétation n’y a pas en général cette force, cette profusion qui m’est nécessaire; on n’y entend bruire aucun torrent dans des profondeurs inaccessibles: c’est une terre de plaines. Rien ne m’opprime ici, rien ne me satisfait. Je crois même que l’ennui </w:t>
      </w:r>
      <w:proofErr w:type="gramStart"/>
      <w:r w:rsidRPr="0082625F">
        <w:rPr>
          <w:lang w:val="fr-FR"/>
        </w:rPr>
        <w:t>augmente:</w:t>
      </w:r>
      <w:proofErr w:type="gramEnd"/>
      <w:r w:rsidRPr="0082625F">
        <w:rPr>
          <w:lang w:val="fr-FR"/>
        </w:rPr>
        <w:t xml:space="preserve"> c’est que je ne souffre pas assez..</w:t>
      </w:r>
      <w:r>
        <w:rPr>
          <w:rStyle w:val="FootnoteReference"/>
        </w:rPr>
        <w:footnoteReference w:id="27"/>
      </w:r>
    </w:p>
    <w:p w14:paraId="03E2D518" w14:textId="77777777" w:rsidR="006B69A0" w:rsidRDefault="006B69A0" w:rsidP="006B69A0">
      <w:r>
        <w:t xml:space="preserve">Sainte-Beuve, along with Nodier and George Sand, was responsible for promoting and republishing Senancour’s </w:t>
      </w:r>
      <w:r>
        <w:rPr>
          <w:i/>
          <w:iCs/>
        </w:rPr>
        <w:t>Oberman</w:t>
      </w:r>
      <w:r>
        <w:t xml:space="preserve"> in 1833, at around the time when he was praising Brizeux in the </w:t>
      </w:r>
      <w:r>
        <w:rPr>
          <w:i/>
          <w:iCs/>
        </w:rPr>
        <w:t>Revue de Paris</w:t>
      </w:r>
      <w:r>
        <w:t>.</w:t>
      </w:r>
      <w:r>
        <w:rPr>
          <w:rStyle w:val="FootnoteReference"/>
        </w:rPr>
        <w:footnoteReference w:id="28"/>
      </w:r>
      <w:r>
        <w:t xml:space="preserve"> </w:t>
      </w:r>
    </w:p>
    <w:p w14:paraId="3015A5B4" w14:textId="77777777" w:rsidR="006B69A0" w:rsidRDefault="006B69A0" w:rsidP="006B69A0">
      <w:pPr>
        <w:pStyle w:val="NormalIndent"/>
      </w:pPr>
      <w:r>
        <w:t>The enthusiasm for the peasant inhabitants of the rural idyll was also a measure of the Parisians’ fear of the more threatening urban proletariat.</w:t>
      </w:r>
      <w:r>
        <w:rPr>
          <w:rStyle w:val="FootnoteReference"/>
        </w:rPr>
        <w:footnoteReference w:id="29"/>
      </w:r>
      <w:r>
        <w:t xml:space="preserve"> At a time when intellectuals were convinced that literature really could make a difference, they promoted the whole</w:t>
      </w:r>
      <w:r>
        <w:softHyphen/>
        <w:t>some way of life of the provinces, and saw it as their duty to create reviews and to diffuse Romantic ideas in the local press.</w:t>
      </w:r>
      <w:r>
        <w:rPr>
          <w:rStyle w:val="FootnoteReference"/>
        </w:rPr>
        <w:footnoteReference w:id="30"/>
      </w:r>
      <w:r>
        <w:t xml:space="preserve"> Eugène Fromentin sums up what he calls the ‘incroyable influence des chefs d’école’:</w:t>
      </w:r>
    </w:p>
    <w:p w14:paraId="4982B5C5" w14:textId="77777777" w:rsidR="006B69A0" w:rsidRPr="0082625F" w:rsidRDefault="006B69A0" w:rsidP="006B69A0">
      <w:pPr>
        <w:pStyle w:val="DisplayQuote"/>
        <w:rPr>
          <w:lang w:val="fr-FR"/>
        </w:rPr>
      </w:pPr>
      <w:r w:rsidRPr="0082625F">
        <w:rPr>
          <w:lang w:val="fr-FR"/>
        </w:rPr>
        <w:t>Les petits poètes servent de réflecteurs aux grands. Leur nombre s’accroît en raison des ressources poétiques et des besoins des localités. Nous avons dans ce moment en Languedoc, en Provence, en Bourgogne, en Bretagne des pléiades poétiques au service de M. de Lamartine et de M. Victor Hugo.</w:t>
      </w:r>
      <w:r>
        <w:rPr>
          <w:rStyle w:val="FootnoteReference"/>
        </w:rPr>
        <w:footnoteReference w:id="31"/>
      </w:r>
    </w:p>
    <w:p w14:paraId="36841611" w14:textId="77777777" w:rsidR="006B69A0" w:rsidRDefault="006B69A0" w:rsidP="006B69A0">
      <w:pPr>
        <w:pStyle w:val="Heading2"/>
        <w:rPr>
          <w:rFonts w:cs="Times New Roman"/>
          <w:b/>
          <w:bCs w:val="0"/>
        </w:rPr>
      </w:pPr>
      <w:bookmarkStart w:id="2" w:name="_Toc134339554"/>
      <w:r>
        <w:rPr>
          <w:rFonts w:cs="Times New Roman"/>
        </w:rPr>
        <w:t>Brittany’s inventors</w:t>
      </w:r>
      <w:bookmarkEnd w:id="2"/>
    </w:p>
    <w:p w14:paraId="044F594E" w14:textId="77777777" w:rsidR="006B69A0" w:rsidRDefault="006B69A0" w:rsidP="006B69A0">
      <w:r>
        <w:t xml:space="preserve">I turn now to the writers who can be numbered among Brittany’s inventors. The starting point of such a survey is necessarily open to debate, as such points can always be traced further and further back. However, important work in Breton studies across </w:t>
      </w:r>
      <w:proofErr w:type="gramStart"/>
      <w:r>
        <w:t>a number of</w:t>
      </w:r>
      <w:proofErr w:type="gramEnd"/>
      <w:r>
        <w:t xml:space="preserve"> disciplines has established the 1830s as a crucial decade in the evolution of representations of Brittany. </w:t>
      </w:r>
      <w:r w:rsidRPr="0082625F">
        <w:rPr>
          <w:lang w:val="fr-FR"/>
        </w:rPr>
        <w:t xml:space="preserve">Historian Jean-Yves Guiomar sees in this decade ‘une sorte d’explosion culturelle en Bretagne, préparée par des écrivains comme Le Gonidec, Brizeux, Emile Souvestre et La Villemarqué’, or the beginning of a </w:t>
      </w:r>
      <w:r w:rsidRPr="0082625F">
        <w:rPr>
          <w:lang w:val="fr-FR"/>
        </w:rPr>
        <w:lastRenderedPageBreak/>
        <w:t>period that he calls the ‘création de la Bretagne.’</w:t>
      </w:r>
      <w:r>
        <w:rPr>
          <w:rStyle w:val="FootnoteReference"/>
        </w:rPr>
        <w:footnoteReference w:id="32"/>
      </w:r>
      <w:r w:rsidRPr="0082625F">
        <w:rPr>
          <w:lang w:val="fr-FR"/>
        </w:rPr>
        <w:t xml:space="preserve"> </w:t>
      </w:r>
      <w:r w:rsidRPr="006B69A0">
        <w:rPr>
          <w:lang w:val="fr-FR"/>
        </w:rPr>
        <w:t xml:space="preserve">Art historian Denise Delouche in </w:t>
      </w:r>
      <w:r w:rsidRPr="006B69A0">
        <w:rPr>
          <w:i/>
          <w:lang w:val="fr-FR"/>
        </w:rPr>
        <w:t xml:space="preserve">Peintres de la </w:t>
      </w:r>
      <w:proofErr w:type="gramStart"/>
      <w:r w:rsidRPr="006B69A0">
        <w:rPr>
          <w:i/>
          <w:lang w:val="fr-FR"/>
        </w:rPr>
        <w:t>Bretagne:</w:t>
      </w:r>
      <w:proofErr w:type="gramEnd"/>
      <w:r w:rsidRPr="006B69A0">
        <w:rPr>
          <w:i/>
          <w:lang w:val="fr-FR"/>
        </w:rPr>
        <w:t xml:space="preserve"> découverte d’une province</w:t>
      </w:r>
      <w:r w:rsidRPr="006B69A0">
        <w:rPr>
          <w:lang w:val="fr-FR"/>
        </w:rPr>
        <w:t xml:space="preserve"> agrees.</w:t>
      </w:r>
      <w:r>
        <w:rPr>
          <w:rStyle w:val="FootnoteReference"/>
        </w:rPr>
        <w:footnoteReference w:id="33"/>
      </w:r>
      <w:r w:rsidRPr="006B69A0">
        <w:rPr>
          <w:lang w:val="fr-FR"/>
        </w:rPr>
        <w:t xml:space="preserve"> </w:t>
      </w:r>
      <w:r>
        <w:t xml:space="preserve">Catherine Bertho, in a seminal paper in the social sciences, is one of the first critics to concentrate on identifying this shift. </w:t>
      </w:r>
      <w:r w:rsidRPr="0082625F">
        <w:rPr>
          <w:lang w:val="fr-FR"/>
        </w:rPr>
        <w:t>Her ‘L’inven</w:t>
      </w:r>
      <w:r w:rsidRPr="0082625F">
        <w:rPr>
          <w:lang w:val="fr-FR"/>
        </w:rPr>
        <w:softHyphen/>
        <w:t>tion de la Bretagne’ argues for 1830 as the turning point which sees ‘l’aimable supplanter le sauvage et le bucolique détrôner l’étrange.’</w:t>
      </w:r>
      <w:r>
        <w:rPr>
          <w:rStyle w:val="FootnoteReference"/>
        </w:rPr>
        <w:footnoteReference w:id="34"/>
      </w:r>
      <w:r w:rsidRPr="0082625F">
        <w:rPr>
          <w:lang w:val="fr-FR"/>
        </w:rPr>
        <w:t xml:space="preserve"> </w:t>
      </w:r>
      <w:r>
        <w:t xml:space="preserve">From then on the stereotypes were </w:t>
      </w:r>
      <w:proofErr w:type="gramStart"/>
      <w:r>
        <w:t>fixed;</w:t>
      </w:r>
      <w:proofErr w:type="gramEnd"/>
      <w:r>
        <w:t xml:space="preserve"> her discussion of these focuses in particular on the ‘jeune fille en coiffe’: </w:t>
      </w:r>
    </w:p>
    <w:p w14:paraId="7321B19E" w14:textId="77777777" w:rsidR="006B69A0" w:rsidRPr="0082625F" w:rsidRDefault="006B69A0" w:rsidP="006B69A0">
      <w:pPr>
        <w:pStyle w:val="DisplayQuote"/>
        <w:rPr>
          <w:lang w:val="fr-FR"/>
        </w:rPr>
      </w:pPr>
      <w:r w:rsidRPr="0082625F">
        <w:rPr>
          <w:lang w:val="fr-FR"/>
        </w:rPr>
        <w:t xml:space="preserve">La Bretagne devient la province par excellence où l’opinion conservatrice projette l’utopie réactionnaire d’une société agraire vivant sans conflits sous la houlette de ses maîtres traditionnels. Le personnage le plus typique devient alors </w:t>
      </w:r>
      <w:proofErr w:type="gramStart"/>
      <w:r w:rsidRPr="0082625F">
        <w:rPr>
          <w:lang w:val="fr-FR"/>
        </w:rPr>
        <w:t>féminin:</w:t>
      </w:r>
      <w:proofErr w:type="gramEnd"/>
      <w:r w:rsidRPr="0082625F">
        <w:rPr>
          <w:lang w:val="fr-FR"/>
        </w:rPr>
        <w:t xml:space="preserve"> c’est la jeune Bretonne en coiffe, symbole transparent, quoique inlassablement commenté, de l’innocence, agenouillée au pied d’un calvaire.</w:t>
      </w:r>
      <w:r>
        <w:rPr>
          <w:rStyle w:val="FootnoteReference"/>
        </w:rPr>
        <w:footnoteReference w:id="35"/>
      </w:r>
      <w:r w:rsidRPr="0082625F">
        <w:rPr>
          <w:lang w:val="fr-FR"/>
        </w:rPr>
        <w:t xml:space="preserve"> </w:t>
      </w:r>
    </w:p>
    <w:p w14:paraId="6EA7E1A6" w14:textId="77777777" w:rsidR="006B69A0" w:rsidRDefault="006B69A0" w:rsidP="006B69A0">
      <w:pPr>
        <w:pStyle w:val="BodyText2"/>
        <w:spacing w:line="240" w:lineRule="auto"/>
        <w:rPr>
          <w:rFonts w:ascii="Times New Roman" w:hAnsi="Times New Roman"/>
          <w:b w:val="0"/>
          <w:bCs/>
          <w:sz w:val="22"/>
        </w:rPr>
      </w:pPr>
      <w:r>
        <w:rPr>
          <w:rFonts w:ascii="Times New Roman" w:hAnsi="Times New Roman"/>
          <w:b w:val="0"/>
          <w:bCs/>
          <w:sz w:val="22"/>
        </w:rPr>
        <w:t xml:space="preserve">In 1830 the negative, ‘savage’ stereotype of Brittany had already begun to give way to the positive, </w:t>
      </w:r>
      <w:proofErr w:type="gramStart"/>
      <w:r>
        <w:rPr>
          <w:rFonts w:ascii="Times New Roman" w:hAnsi="Times New Roman"/>
          <w:b w:val="0"/>
          <w:bCs/>
          <w:sz w:val="22"/>
        </w:rPr>
        <w:t>pure</w:t>
      </w:r>
      <w:proofErr w:type="gramEnd"/>
      <w:r>
        <w:rPr>
          <w:rFonts w:ascii="Times New Roman" w:hAnsi="Times New Roman"/>
          <w:b w:val="0"/>
          <w:bCs/>
          <w:sz w:val="22"/>
        </w:rPr>
        <w:t xml:space="preserve"> and feminized version of their </w:t>
      </w:r>
      <w:r>
        <w:rPr>
          <w:rFonts w:ascii="Times New Roman" w:hAnsi="Times New Roman"/>
          <w:b w:val="0"/>
          <w:bCs/>
          <w:i/>
          <w:iCs/>
          <w:sz w:val="22"/>
        </w:rPr>
        <w:t>petite patrie</w:t>
      </w:r>
      <w:r>
        <w:rPr>
          <w:rFonts w:ascii="Times New Roman" w:hAnsi="Times New Roman"/>
          <w:b w:val="0"/>
          <w:bCs/>
          <w:sz w:val="22"/>
        </w:rPr>
        <w:t xml:space="preserve"> that subsequent generations of writers struggled to subvert. </w:t>
      </w:r>
    </w:p>
    <w:p w14:paraId="091E2B0E" w14:textId="578BA044" w:rsidR="00210BE3" w:rsidRDefault="00210BE3"/>
    <w:sectPr w:rsidR="00210B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6EE199" w14:textId="77777777" w:rsidR="006B69A0" w:rsidRDefault="006B69A0" w:rsidP="006B69A0">
      <w:pPr>
        <w:spacing w:after="0" w:line="240" w:lineRule="auto"/>
      </w:pPr>
      <w:r>
        <w:separator/>
      </w:r>
    </w:p>
  </w:endnote>
  <w:endnote w:type="continuationSeparator" w:id="0">
    <w:p w14:paraId="75441990" w14:textId="77777777" w:rsidR="006B69A0" w:rsidRDefault="006B69A0" w:rsidP="006B6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DF67FF" w14:textId="77777777" w:rsidR="006B69A0" w:rsidRDefault="006B69A0" w:rsidP="006B69A0">
      <w:pPr>
        <w:spacing w:after="0" w:line="240" w:lineRule="auto"/>
      </w:pPr>
      <w:r>
        <w:separator/>
      </w:r>
    </w:p>
  </w:footnote>
  <w:footnote w:type="continuationSeparator" w:id="0">
    <w:p w14:paraId="0DD3E200" w14:textId="77777777" w:rsidR="006B69A0" w:rsidRDefault="006B69A0" w:rsidP="006B69A0">
      <w:pPr>
        <w:spacing w:after="0" w:line="240" w:lineRule="auto"/>
      </w:pPr>
      <w:r>
        <w:continuationSeparator/>
      </w:r>
    </w:p>
  </w:footnote>
  <w:footnote w:id="1">
    <w:p w14:paraId="45100403"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Jacques Cambry, </w:t>
      </w:r>
      <w:r w:rsidRPr="0082625F">
        <w:rPr>
          <w:i/>
          <w:lang w:val="fr-FR"/>
        </w:rPr>
        <w:t>Voyage dans le Finistère</w:t>
      </w:r>
      <w:r w:rsidRPr="0082625F">
        <w:rPr>
          <w:lang w:val="fr-FR"/>
        </w:rPr>
        <w:t xml:space="preserve">, </w:t>
      </w:r>
      <w:r w:rsidRPr="0082625F">
        <w:rPr>
          <w:i/>
          <w:lang w:val="fr-FR"/>
        </w:rPr>
        <w:t>nouvelle édition</w:t>
      </w:r>
      <w:r w:rsidRPr="0082625F">
        <w:rPr>
          <w:lang w:val="fr-FR"/>
        </w:rPr>
        <w:t xml:space="preserve">, ed. </w:t>
      </w:r>
      <w:proofErr w:type="gramStart"/>
      <w:r w:rsidRPr="0082625F">
        <w:rPr>
          <w:lang w:val="fr-FR"/>
        </w:rPr>
        <w:t>by</w:t>
      </w:r>
      <w:proofErr w:type="gramEnd"/>
      <w:r w:rsidRPr="0082625F">
        <w:rPr>
          <w:lang w:val="fr-FR"/>
        </w:rPr>
        <w:t xml:space="preserve"> M le Chevalier de Fréminville (Brest: Lefournier, 1836), p.25.</w:t>
      </w:r>
    </w:p>
  </w:footnote>
  <w:footnote w:id="2">
    <w:p w14:paraId="1276D0BE" w14:textId="77777777" w:rsidR="006B69A0" w:rsidRDefault="006B69A0" w:rsidP="006B69A0">
      <w:pPr>
        <w:pStyle w:val="FootnoteText"/>
      </w:pPr>
      <w:r>
        <w:rPr>
          <w:rStyle w:val="FootnoteReference"/>
          <w:vertAlign w:val="baseline"/>
        </w:rPr>
        <w:footnoteRef/>
      </w:r>
      <w:r>
        <w:tab/>
        <w:t xml:space="preserve">Balzac, </w:t>
      </w:r>
      <w:r>
        <w:rPr>
          <w:i/>
        </w:rPr>
        <w:t>Les Chouans</w:t>
      </w:r>
      <w:r>
        <w:t>, ed. by Pierre Gascar (Paris: Gallimard, 1972), p.39. Page references will hereafter be given in the text, to this edition, unless stated otherwise.</w:t>
      </w:r>
    </w:p>
  </w:footnote>
  <w:footnote w:id="3">
    <w:p w14:paraId="7332C0D8"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Stéphane Mallarmé, </w:t>
      </w:r>
      <w:r w:rsidRPr="0082625F">
        <w:rPr>
          <w:i/>
          <w:lang w:val="fr-FR"/>
        </w:rPr>
        <w:t>La Dernière mode</w:t>
      </w:r>
      <w:r w:rsidRPr="0082625F">
        <w:rPr>
          <w:lang w:val="fr-FR"/>
        </w:rPr>
        <w:t xml:space="preserve">, September 6, 1874, in </w:t>
      </w:r>
      <w:r w:rsidRPr="0082625F">
        <w:rPr>
          <w:i/>
          <w:iCs/>
          <w:lang w:val="fr-FR"/>
        </w:rPr>
        <w:t>Œuvres</w:t>
      </w:r>
      <w:r w:rsidRPr="0082625F">
        <w:rPr>
          <w:i/>
          <w:lang w:val="fr-FR"/>
        </w:rPr>
        <w:t xml:space="preserve"> complètes</w:t>
      </w:r>
      <w:r w:rsidRPr="0082625F">
        <w:rPr>
          <w:lang w:val="fr-FR"/>
        </w:rPr>
        <w:t xml:space="preserve"> </w:t>
      </w:r>
      <w:r w:rsidRPr="0082625F">
        <w:rPr>
          <w:i/>
          <w:iCs/>
          <w:lang w:val="fr-FR"/>
        </w:rPr>
        <w:t>II</w:t>
      </w:r>
      <w:r w:rsidRPr="0082625F">
        <w:rPr>
          <w:lang w:val="fr-FR"/>
        </w:rPr>
        <w:t xml:space="preserve">, ed. </w:t>
      </w:r>
      <w:proofErr w:type="gramStart"/>
      <w:r w:rsidRPr="0082625F">
        <w:rPr>
          <w:lang w:val="fr-FR"/>
        </w:rPr>
        <w:t>by</w:t>
      </w:r>
      <w:proofErr w:type="gramEnd"/>
      <w:r w:rsidRPr="0082625F">
        <w:rPr>
          <w:lang w:val="fr-FR"/>
        </w:rPr>
        <w:t xml:space="preserve"> Bertrand Marchal (Paris: Gallimard, 2003), p.503.</w:t>
      </w:r>
    </w:p>
  </w:footnote>
  <w:footnote w:id="4">
    <w:p w14:paraId="7D1D04AB" w14:textId="77777777" w:rsidR="006B69A0" w:rsidRDefault="006B69A0" w:rsidP="006B69A0">
      <w:pPr>
        <w:pStyle w:val="FootnoteText"/>
      </w:pPr>
      <w:r>
        <w:rPr>
          <w:rStyle w:val="FootnoteReference"/>
          <w:vertAlign w:val="baseline"/>
        </w:rPr>
        <w:footnoteRef/>
      </w:r>
      <w:r w:rsidRPr="0082625F">
        <w:rPr>
          <w:lang w:val="fr-FR"/>
        </w:rPr>
        <w:tab/>
        <w:t xml:space="preserve">Marcel Proust, </w:t>
      </w:r>
      <w:r w:rsidRPr="0082625F">
        <w:rPr>
          <w:i/>
          <w:lang w:val="fr-FR"/>
        </w:rPr>
        <w:t>A la recherche du temps perdu</w:t>
      </w:r>
      <w:r w:rsidRPr="0082625F">
        <w:rPr>
          <w:iCs/>
          <w:lang w:val="fr-FR"/>
        </w:rPr>
        <w:t xml:space="preserve">, </w:t>
      </w:r>
      <w:r w:rsidRPr="0082625F">
        <w:rPr>
          <w:smallCaps/>
          <w:lang w:val="fr-FR"/>
        </w:rPr>
        <w:t>i,</w:t>
      </w:r>
      <w:r w:rsidRPr="0082625F">
        <w:rPr>
          <w:lang w:val="fr-FR"/>
        </w:rPr>
        <w:t xml:space="preserve"> 129, 251. </w:t>
      </w:r>
      <w:r>
        <w:t>In Greek mythology the ‘Cimmériens’ are those who live at the edge of the earth.</w:t>
      </w:r>
    </w:p>
  </w:footnote>
  <w:footnote w:id="5">
    <w:p w14:paraId="5D490B08" w14:textId="77777777" w:rsidR="006B69A0" w:rsidRDefault="006B69A0" w:rsidP="006B69A0">
      <w:pPr>
        <w:pStyle w:val="FootnoteText"/>
      </w:pPr>
      <w:r>
        <w:rPr>
          <w:rStyle w:val="FootnoteReference"/>
          <w:vertAlign w:val="baseline"/>
        </w:rPr>
        <w:footnoteRef/>
      </w:r>
      <w:r>
        <w:tab/>
        <w:t xml:space="preserve">See Ceri Crossley, </w:t>
      </w:r>
      <w:r>
        <w:rPr>
          <w:i/>
        </w:rPr>
        <w:t>French Historians and Romanticism: Thierry, Guizot, The Saint-Simonians, Quinet, Michelet</w:t>
      </w:r>
      <w:r>
        <w:t xml:space="preserve"> (London: Routledge, 1993), which takes the following as its guiding question: ‘Why did the legacy of the Revolution entail a reconstruction of the past?’. See also Dakyns, who argues that Romanticism’s feel for the past is ‘immeasurably more profound’ than that of the eighteenth century, Janine R. Dakyns, </w:t>
      </w:r>
      <w:r>
        <w:rPr>
          <w:i/>
        </w:rPr>
        <w:t>The Middle Ages in French Literature 1851–1900</w:t>
      </w:r>
      <w:r>
        <w:t xml:space="preserve"> (Oxford: Clarendon Press, 1973), p.2. She also gives some attention to the overlap between enthusiasm for things Celtic and things medieval, pp.11, 59. See also Charles Rearick, </w:t>
      </w:r>
      <w:r>
        <w:rPr>
          <w:i/>
        </w:rPr>
        <w:t>Beyond the Enlightenment: Historians and Folklore in Nineteenth-century France</w:t>
      </w:r>
      <w:r>
        <w:t xml:space="preserve"> (Bloomington and London: Indiana University Press, 1974). </w:t>
      </w:r>
    </w:p>
  </w:footnote>
  <w:footnote w:id="6">
    <w:p w14:paraId="563915EF" w14:textId="77777777" w:rsidR="006B69A0" w:rsidRDefault="006B69A0" w:rsidP="006B69A0">
      <w:pPr>
        <w:pStyle w:val="FootnoteText"/>
      </w:pPr>
      <w:r>
        <w:rPr>
          <w:rStyle w:val="FootnoteReference"/>
          <w:vertAlign w:val="baseline"/>
        </w:rPr>
        <w:footnoteRef/>
      </w:r>
      <w:r>
        <w:tab/>
        <w:t xml:space="preserve">Michael Dietler, ‘“Our Ancestors the Gauls”: Archaeology, Ethnic Nationalism and the Manipulation of Celtic Identity in Modern Europe’, </w:t>
      </w:r>
      <w:r>
        <w:rPr>
          <w:i/>
        </w:rPr>
        <w:t>American Anthropologist</w:t>
      </w:r>
      <w:r>
        <w:t xml:space="preserve">, 96 (1994), 584–605 (587). See also Annie Jourdan, ‘The Image of Gaul during the French Revolution: Between Charlemagne and Ossian’, in </w:t>
      </w:r>
      <w:r>
        <w:rPr>
          <w:i/>
          <w:iCs/>
        </w:rPr>
        <w:t>Celticism</w:t>
      </w:r>
      <w:r>
        <w:t>, ed. by Terence Brown (Amsterdam: Rodopi, 1996), pp.183–206.</w:t>
      </w:r>
    </w:p>
  </w:footnote>
  <w:footnote w:id="7">
    <w:p w14:paraId="670B5E78"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Dietler, ibid., p.593. </w:t>
      </w:r>
    </w:p>
  </w:footnote>
  <w:footnote w:id="8">
    <w:p w14:paraId="3A3409F8"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‘Quand les bretonistes répudièrent la Gaule (1840–1850)’, in </w:t>
      </w:r>
      <w:r w:rsidRPr="0082625F">
        <w:rPr>
          <w:i/>
          <w:iCs/>
          <w:lang w:val="fr-FR"/>
        </w:rPr>
        <w:t>Nos ancêtres les Gaulois</w:t>
      </w:r>
      <w:r w:rsidRPr="0082625F">
        <w:rPr>
          <w:lang w:val="fr-FR"/>
        </w:rPr>
        <w:t>, actes du colloque international de Clermont-Ferrand, ed by Jean Ehrard and Paul Viallaneix (Clermont-</w:t>
      </w:r>
      <w:proofErr w:type="gramStart"/>
      <w:r w:rsidRPr="0082625F">
        <w:rPr>
          <w:lang w:val="fr-FR"/>
        </w:rPr>
        <w:t>Ferrand:</w:t>
      </w:r>
      <w:proofErr w:type="gramEnd"/>
      <w:r w:rsidRPr="0082625F">
        <w:rPr>
          <w:lang w:val="fr-FR"/>
        </w:rPr>
        <w:t xml:space="preserve"> Association des Publications de la Faculté des Lettres et Sciences Humaines, 1982), pp.195–201.</w:t>
      </w:r>
    </w:p>
  </w:footnote>
  <w:footnote w:id="9">
    <w:p w14:paraId="796F49E7" w14:textId="77777777" w:rsidR="006B69A0" w:rsidRDefault="006B69A0" w:rsidP="006B69A0">
      <w:pPr>
        <w:pStyle w:val="FootnoteText"/>
      </w:pPr>
      <w:r>
        <w:rPr>
          <w:rStyle w:val="FootnoteReference"/>
          <w:vertAlign w:val="baseline"/>
        </w:rPr>
        <w:footnoteRef/>
      </w:r>
      <w:r w:rsidRPr="0082625F">
        <w:rPr>
          <w:lang w:val="fr-FR"/>
        </w:rPr>
        <w:tab/>
        <w:t xml:space="preserve">‘La Poésie des races celtiques’ was first published in the </w:t>
      </w:r>
      <w:r w:rsidRPr="0082625F">
        <w:rPr>
          <w:i/>
          <w:lang w:val="fr-FR"/>
        </w:rPr>
        <w:t>Revue des Deux Mondes</w:t>
      </w:r>
      <w:r w:rsidRPr="0082625F">
        <w:rPr>
          <w:iCs/>
          <w:lang w:val="fr-FR"/>
        </w:rPr>
        <w:t>,</w:t>
      </w:r>
      <w:r w:rsidRPr="0082625F">
        <w:rPr>
          <w:lang w:val="fr-FR"/>
        </w:rPr>
        <w:t xml:space="preserve"> n.s. 5 (1854), 473–506. </w:t>
      </w:r>
      <w:r>
        <w:t xml:space="preserve">For discussion of textual variants see René Galand, </w:t>
      </w:r>
      <w:r>
        <w:rPr>
          <w:i/>
          <w:iCs/>
        </w:rPr>
        <w:t>L’Ame celtique de Renan</w:t>
      </w:r>
      <w:r>
        <w:t xml:space="preserve"> (New Haven: Yale University Press, 1959 [c. 1958]), p.83. On the point when Gaulmania gives way to Bretonism, see the contributions of Guiomar and Tanguy to the collection </w:t>
      </w:r>
      <w:r>
        <w:rPr>
          <w:i/>
        </w:rPr>
        <w:t>Nos ancêtres les Gaulois</w:t>
      </w:r>
      <w:r>
        <w:t xml:space="preserve">, and especially Joseph Rio, </w:t>
      </w:r>
      <w:r>
        <w:rPr>
          <w:i/>
        </w:rPr>
        <w:t>Mythes fondateurs de la Bretagne: aux origines de la celtomanie</w:t>
      </w:r>
      <w:r>
        <w:t xml:space="preserve"> (Rennes: Editions Ouest-France, 2000), for a thorough investigation up to the end of the eighteenth century. </w:t>
      </w:r>
    </w:p>
  </w:footnote>
  <w:footnote w:id="10">
    <w:p w14:paraId="3D7328D1"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Reprinted in Nicole Belmont, ed., </w:t>
      </w:r>
      <w:r w:rsidRPr="0082625F">
        <w:rPr>
          <w:i/>
          <w:iCs/>
          <w:lang w:val="fr-FR"/>
        </w:rPr>
        <w:t xml:space="preserve">Aux sources de l’ethnologie </w:t>
      </w:r>
      <w:proofErr w:type="gramStart"/>
      <w:r w:rsidRPr="0082625F">
        <w:rPr>
          <w:i/>
          <w:iCs/>
          <w:lang w:val="fr-FR"/>
        </w:rPr>
        <w:t>française</w:t>
      </w:r>
      <w:r w:rsidRPr="0082625F">
        <w:rPr>
          <w:i/>
          <w:lang w:val="fr-FR"/>
        </w:rPr>
        <w:t>:</w:t>
      </w:r>
      <w:proofErr w:type="gramEnd"/>
      <w:r w:rsidRPr="0082625F">
        <w:rPr>
          <w:i/>
          <w:lang w:val="fr-FR"/>
        </w:rPr>
        <w:t xml:space="preserve"> l’académie celtique</w:t>
      </w:r>
      <w:r w:rsidRPr="0082625F">
        <w:rPr>
          <w:lang w:val="fr-FR"/>
        </w:rPr>
        <w:t xml:space="preserve"> (Paris: Éditions du CTHS, 1995), pp.23–37.</w:t>
      </w:r>
    </w:p>
  </w:footnote>
  <w:footnote w:id="11">
    <w:p w14:paraId="05F1A42F"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See Mona Ozouf, </w:t>
      </w:r>
      <w:r w:rsidRPr="0082625F">
        <w:rPr>
          <w:i/>
          <w:iCs/>
          <w:lang w:val="fr-FR"/>
        </w:rPr>
        <w:t>L’École de laFrance</w:t>
      </w:r>
      <w:r w:rsidRPr="0082625F">
        <w:rPr>
          <w:lang w:val="fr-FR"/>
        </w:rPr>
        <w:t>, p.351.</w:t>
      </w:r>
    </w:p>
  </w:footnote>
  <w:footnote w:id="12">
    <w:p w14:paraId="223452C7" w14:textId="77777777" w:rsidR="006B69A0" w:rsidRDefault="006B69A0" w:rsidP="006B69A0">
      <w:pPr>
        <w:pStyle w:val="FootnoteText"/>
      </w:pPr>
      <w:r>
        <w:rPr>
          <w:rStyle w:val="FootnoteReference"/>
          <w:vertAlign w:val="baseline"/>
        </w:rPr>
        <w:footnoteRef/>
      </w:r>
      <w:r w:rsidRPr="0082625F">
        <w:rPr>
          <w:lang w:val="fr-FR"/>
        </w:rPr>
        <w:tab/>
      </w:r>
      <w:r w:rsidRPr="0082625F">
        <w:rPr>
          <w:i/>
          <w:iCs/>
          <w:lang w:val="fr-FR"/>
        </w:rPr>
        <w:t>Aux sources de l’ethnologie française,</w:t>
      </w:r>
      <w:r w:rsidRPr="0082625F">
        <w:rPr>
          <w:lang w:val="fr-FR"/>
        </w:rPr>
        <w:t xml:space="preserve"> pp.9–10. </w:t>
      </w:r>
      <w:r>
        <w:t>This paradox of increased interest in them coinciding with a desire to eliminate regional particularities is also pointed out by Mona Ozouf.</w:t>
      </w:r>
    </w:p>
  </w:footnote>
  <w:footnote w:id="13">
    <w:p w14:paraId="4C585C82" w14:textId="77777777" w:rsidR="006B69A0" w:rsidRPr="0082625F" w:rsidRDefault="006B69A0" w:rsidP="006B69A0">
      <w:pPr>
        <w:pStyle w:val="FootnoteText"/>
        <w:rPr>
          <w:lang w:val="fr-FR"/>
        </w:rPr>
      </w:pPr>
      <w:r>
        <w:rPr>
          <w:rStyle w:val="FootnoteReference"/>
          <w:vertAlign w:val="baseline"/>
        </w:rPr>
        <w:footnoteRef/>
      </w:r>
      <w:r>
        <w:tab/>
        <w:t xml:space="preserve">Extract from the </w:t>
      </w:r>
      <w:r>
        <w:rPr>
          <w:i/>
        </w:rPr>
        <w:t>Mémoires</w:t>
      </w:r>
      <w:r>
        <w:t xml:space="preserve"> of the new society, cited in Tanguy, </w:t>
      </w:r>
      <w:r>
        <w:rPr>
          <w:i/>
        </w:rPr>
        <w:t>Aux origines du nationalisme breton</w:t>
      </w:r>
      <w:r>
        <w:t xml:space="preserve">, 2 vols (Union générale d’éditions, 1977), </w:t>
      </w:r>
      <w:r>
        <w:rPr>
          <w:smallCaps/>
        </w:rPr>
        <w:t>i</w:t>
      </w:r>
      <w:r>
        <w:t xml:space="preserve">, p.275. The </w:t>
      </w:r>
      <w:r>
        <w:rPr>
          <w:i/>
        </w:rPr>
        <w:t>Mémoires</w:t>
      </w:r>
      <w:r>
        <w:t xml:space="preserve"> of the new society set out the reasons why the Académie was disbanded and reinvented as the ‘Société Royale des Antiquaires de France’ in 1814. </w:t>
      </w:r>
      <w:r w:rsidRPr="0082625F">
        <w:rPr>
          <w:lang w:val="fr-FR"/>
        </w:rPr>
        <w:t xml:space="preserve">On this question see Mona Ozouf, </w:t>
      </w:r>
      <w:r w:rsidRPr="0082625F">
        <w:rPr>
          <w:i/>
          <w:lang w:val="fr-FR"/>
        </w:rPr>
        <w:t>L’École de la France</w:t>
      </w:r>
      <w:r w:rsidRPr="0082625F">
        <w:rPr>
          <w:iCs/>
          <w:lang w:val="fr-FR"/>
        </w:rPr>
        <w:t>, esp</w:t>
      </w:r>
      <w:r w:rsidRPr="0082625F">
        <w:rPr>
          <w:lang w:val="fr-FR"/>
        </w:rPr>
        <w:t xml:space="preserve">. p.354; also Nicole Belmont, in </w:t>
      </w:r>
      <w:r w:rsidRPr="0082625F">
        <w:rPr>
          <w:i/>
          <w:lang w:val="fr-FR"/>
        </w:rPr>
        <w:t>Aux sources de l’ethnologie française</w:t>
      </w:r>
      <w:r w:rsidRPr="0082625F">
        <w:rPr>
          <w:lang w:val="fr-FR"/>
        </w:rPr>
        <w:t xml:space="preserve">, who puts it down </w:t>
      </w:r>
      <w:proofErr w:type="gramStart"/>
      <w:r w:rsidRPr="0082625F">
        <w:rPr>
          <w:lang w:val="fr-FR"/>
        </w:rPr>
        <w:t>to:</w:t>
      </w:r>
      <w:proofErr w:type="gramEnd"/>
      <w:r w:rsidRPr="0082625F">
        <w:rPr>
          <w:lang w:val="fr-FR"/>
        </w:rPr>
        <w:t xml:space="preserve"> ‘la celtomanie outrancière de certains membres’, pp.15–6.</w:t>
      </w:r>
    </w:p>
  </w:footnote>
  <w:footnote w:id="14">
    <w:p w14:paraId="74E1B440" w14:textId="77777777" w:rsidR="006B69A0" w:rsidRDefault="006B69A0" w:rsidP="006B69A0">
      <w:pPr>
        <w:pStyle w:val="FootnoteText"/>
      </w:pPr>
      <w:r>
        <w:rPr>
          <w:rStyle w:val="FootnoteReference"/>
          <w:vertAlign w:val="baseline"/>
        </w:rPr>
        <w:footnoteRef/>
      </w:r>
      <w:r>
        <w:tab/>
        <w:t xml:space="preserve">For a detailed historical survey see Charles Rearick, </w:t>
      </w:r>
      <w:r>
        <w:rPr>
          <w:i/>
          <w:iCs/>
        </w:rPr>
        <w:t>Beyond the Enlightenment</w:t>
      </w:r>
      <w:r>
        <w:t xml:space="preserve">, p.17, and for further disussion see Mary-Ann Constantine, </w:t>
      </w:r>
      <w:r>
        <w:rPr>
          <w:i/>
        </w:rPr>
        <w:t>Breton Ballads</w:t>
      </w:r>
      <w:r>
        <w:t xml:space="preserve"> (Aberystwyth: Cambrian Medieval Celtic Studies, 1996), p.9.</w:t>
      </w:r>
    </w:p>
  </w:footnote>
  <w:footnote w:id="15">
    <w:p w14:paraId="11CCF0F7" w14:textId="77777777" w:rsidR="006B69A0" w:rsidRDefault="006B69A0" w:rsidP="006B69A0">
      <w:pPr>
        <w:pStyle w:val="FootnoteText"/>
      </w:pPr>
      <w:r>
        <w:rPr>
          <w:rStyle w:val="FootnoteReference"/>
          <w:vertAlign w:val="baseline"/>
        </w:rPr>
        <w:footnoteRef/>
      </w:r>
      <w:r w:rsidRPr="0082625F">
        <w:rPr>
          <w:lang w:val="fr-FR"/>
        </w:rPr>
        <w:tab/>
        <w:t xml:space="preserve">Paul Bénichou, </w:t>
      </w:r>
      <w:r w:rsidRPr="0082625F">
        <w:rPr>
          <w:i/>
          <w:iCs/>
          <w:lang w:val="fr-FR"/>
        </w:rPr>
        <w:t>Nerval et la chanson folklorique</w:t>
      </w:r>
      <w:r w:rsidRPr="0082625F">
        <w:rPr>
          <w:lang w:val="fr-FR"/>
        </w:rPr>
        <w:t xml:space="preserve"> (</w:t>
      </w:r>
      <w:proofErr w:type="gramStart"/>
      <w:r w:rsidRPr="0082625F">
        <w:rPr>
          <w:lang w:val="fr-FR"/>
        </w:rPr>
        <w:t>Paris:</w:t>
      </w:r>
      <w:proofErr w:type="gramEnd"/>
      <w:r w:rsidRPr="0082625F">
        <w:rPr>
          <w:lang w:val="fr-FR"/>
        </w:rPr>
        <w:t xml:space="preserve"> Corti, 1970), p.51. </w:t>
      </w:r>
      <w:r>
        <w:t xml:space="preserve">Bénichou also lists extracts from contemporary writers to show in what sense France was felt to ‘need’ such a tradition: ‘La France est moins riche que d’autres pays en chants primitifs’, p.90. </w:t>
      </w:r>
    </w:p>
  </w:footnote>
  <w:footnote w:id="16">
    <w:p w14:paraId="7E44F4FD"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r>
      <w:r w:rsidRPr="0082625F">
        <w:rPr>
          <w:i/>
          <w:lang w:val="fr-FR"/>
        </w:rPr>
        <w:t>La Renaissance orientale</w:t>
      </w:r>
      <w:r w:rsidRPr="0082625F">
        <w:rPr>
          <w:lang w:val="fr-FR"/>
        </w:rPr>
        <w:t xml:space="preserve"> (</w:t>
      </w:r>
      <w:proofErr w:type="gramStart"/>
      <w:r w:rsidRPr="0082625F">
        <w:rPr>
          <w:lang w:val="fr-FR"/>
        </w:rPr>
        <w:t>Paris:</w:t>
      </w:r>
      <w:proofErr w:type="gramEnd"/>
      <w:r w:rsidRPr="0082625F">
        <w:rPr>
          <w:lang w:val="fr-FR"/>
        </w:rPr>
        <w:t xml:space="preserve"> Payot, 1950), p.225. </w:t>
      </w:r>
    </w:p>
  </w:footnote>
  <w:footnote w:id="17">
    <w:p w14:paraId="36779621"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Cited in Jacques Landrin, ‘La Bretagne de </w:t>
      </w:r>
      <w:proofErr w:type="gramStart"/>
      <w:r w:rsidRPr="0082625F">
        <w:rPr>
          <w:lang w:val="fr-FR"/>
        </w:rPr>
        <w:t>Michelet:</w:t>
      </w:r>
      <w:proofErr w:type="gramEnd"/>
      <w:r w:rsidRPr="0082625F">
        <w:rPr>
          <w:lang w:val="fr-FR"/>
        </w:rPr>
        <w:t xml:space="preserve"> mythe et réalité’, </w:t>
      </w:r>
      <w:r w:rsidRPr="0082625F">
        <w:rPr>
          <w:i/>
          <w:lang w:val="fr-FR"/>
        </w:rPr>
        <w:t>Ouest et romantismes</w:t>
      </w:r>
      <w:r w:rsidRPr="0082625F">
        <w:rPr>
          <w:lang w:val="fr-FR"/>
        </w:rPr>
        <w:t xml:space="preserve">, pp.391–404 (400). </w:t>
      </w:r>
    </w:p>
  </w:footnote>
  <w:footnote w:id="18">
    <w:p w14:paraId="24C75285"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Anne-Marie Thiesse</w:t>
      </w:r>
      <w:r w:rsidRPr="0082625F">
        <w:rPr>
          <w:i/>
          <w:iCs/>
          <w:lang w:val="fr-FR"/>
        </w:rPr>
        <w:t>, Écrire la France</w:t>
      </w:r>
      <w:r w:rsidRPr="0082625F">
        <w:rPr>
          <w:lang w:val="fr-FR"/>
        </w:rPr>
        <w:t>, p.46.</w:t>
      </w:r>
    </w:p>
  </w:footnote>
  <w:footnote w:id="19">
    <w:p w14:paraId="0DB58CB0"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Taylor, Nodier and Cailleux, </w:t>
      </w:r>
      <w:r w:rsidRPr="0082625F">
        <w:rPr>
          <w:i/>
          <w:lang w:val="fr-FR"/>
        </w:rPr>
        <w:t>Voyages pittoresques et romantiques dans l’ancienne France</w:t>
      </w:r>
      <w:r w:rsidRPr="0082625F">
        <w:rPr>
          <w:iCs/>
          <w:lang w:val="fr-FR"/>
        </w:rPr>
        <w:t>, 2 vols</w:t>
      </w:r>
      <w:r w:rsidRPr="0082625F">
        <w:rPr>
          <w:lang w:val="fr-FR"/>
        </w:rPr>
        <w:t xml:space="preserve"> (</w:t>
      </w:r>
      <w:proofErr w:type="gramStart"/>
      <w:r w:rsidRPr="0082625F">
        <w:rPr>
          <w:lang w:val="fr-FR"/>
        </w:rPr>
        <w:t>Paris:</w:t>
      </w:r>
      <w:proofErr w:type="gramEnd"/>
      <w:r w:rsidRPr="0082625F">
        <w:rPr>
          <w:lang w:val="fr-FR"/>
        </w:rPr>
        <w:t xml:space="preserve"> Didot, 1820), </w:t>
      </w:r>
      <w:r w:rsidRPr="0082625F">
        <w:rPr>
          <w:smallCaps/>
          <w:lang w:val="fr-FR"/>
        </w:rPr>
        <w:t>i</w:t>
      </w:r>
      <w:r w:rsidRPr="0082625F">
        <w:rPr>
          <w:lang w:val="fr-FR"/>
        </w:rPr>
        <w:t>, 3.</w:t>
      </w:r>
    </w:p>
  </w:footnote>
  <w:footnote w:id="20">
    <w:p w14:paraId="08E303A6" w14:textId="77777777" w:rsidR="006B69A0" w:rsidRDefault="006B69A0" w:rsidP="006B69A0">
      <w:pPr>
        <w:pStyle w:val="FootnoteText"/>
      </w:pPr>
      <w:r>
        <w:rPr>
          <w:rStyle w:val="FootnoteReference"/>
          <w:vertAlign w:val="baseline"/>
        </w:rPr>
        <w:footnoteRef/>
      </w:r>
      <w:r>
        <w:tab/>
        <w:t xml:space="preserve">See Fiona Stafford, </w:t>
      </w:r>
      <w:r>
        <w:rPr>
          <w:i/>
        </w:rPr>
        <w:t>The Last of the Race: The Growth of a Myth from Milton to Darwin</w:t>
      </w:r>
      <w:r>
        <w:t xml:space="preserve"> (Oxford: Clarendon Press, 1994), pp.200, 232–42, also Malcolm Chapman, </w:t>
      </w:r>
      <w:r>
        <w:rPr>
          <w:i/>
          <w:iCs/>
        </w:rPr>
        <w:t>The Celts</w:t>
      </w:r>
      <w:r>
        <w:t xml:space="preserve">, p.139. </w:t>
      </w:r>
    </w:p>
  </w:footnote>
  <w:footnote w:id="21">
    <w:p w14:paraId="080FA444" w14:textId="77777777" w:rsidR="006B69A0" w:rsidRDefault="006B69A0" w:rsidP="006B69A0">
      <w:pPr>
        <w:pStyle w:val="FootnoteText"/>
      </w:pPr>
      <w:r>
        <w:rPr>
          <w:rStyle w:val="FootnoteReference"/>
          <w:vertAlign w:val="baseline"/>
        </w:rPr>
        <w:footnoteRef/>
      </w:r>
      <w:r>
        <w:tab/>
        <w:t xml:space="preserve">There is an echo of another famous novel in this: </w:t>
      </w:r>
      <w:r>
        <w:rPr>
          <w:i/>
        </w:rPr>
        <w:t>The Last of the Mohicans</w:t>
      </w:r>
      <w:r>
        <w:t xml:space="preserve"> by Fenimoore Cooper, or in the French title that Balzac would have known: </w:t>
      </w:r>
      <w:r>
        <w:rPr>
          <w:i/>
        </w:rPr>
        <w:t>Le Dernier des Mohicans: histoire de mil sept cent cinquante-sept</w:t>
      </w:r>
      <w:r>
        <w:t xml:space="preserve"> (in the translation by Defauconpret). This is part of the same ‘fashion’, and perhaps it is because he was aware of his debt to Cooper that Balzac changed his title from ‘Le Dernier Chouan’ to ‘Les Chouans’. This change of date from 1800 to 1799 was made in the interest of historical accuracy, but the change in the wording is more intriguing. Helen Elcessor Barnes argues in </w:t>
      </w:r>
      <w:r>
        <w:rPr>
          <w:i/>
        </w:rPr>
        <w:t>A Study of the Variations between the Original and the Standard Editions of Balzac’s ‘Les Chouans’</w:t>
      </w:r>
      <w:r>
        <w:t xml:space="preserve"> (Illinois: The University of Chicago Press, 1923) that: ‘the Cooperesque touches indicate no tendency to break away from the influence of the American author, but rather zealous efforts to maintain the atmosphere of </w:t>
      </w:r>
      <w:r>
        <w:rPr>
          <w:i/>
        </w:rPr>
        <w:t>The Last of the Mohicans</w:t>
      </w:r>
      <w:r>
        <w:t xml:space="preserve">’, p.35. </w:t>
      </w:r>
    </w:p>
  </w:footnote>
  <w:footnote w:id="22">
    <w:p w14:paraId="5B1D7794"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Jean-Jacques Rousseau, </w:t>
      </w:r>
      <w:r w:rsidRPr="0082625F">
        <w:rPr>
          <w:i/>
          <w:iCs/>
          <w:lang w:val="fr-FR"/>
        </w:rPr>
        <w:t>Julie ou La Nouvelle Héloïse</w:t>
      </w:r>
      <w:r w:rsidRPr="0082625F">
        <w:rPr>
          <w:lang w:val="fr-FR"/>
        </w:rPr>
        <w:t xml:space="preserve"> (</w:t>
      </w:r>
      <w:proofErr w:type="gramStart"/>
      <w:r w:rsidRPr="0082625F">
        <w:rPr>
          <w:lang w:val="fr-FR"/>
        </w:rPr>
        <w:t>Paris:</w:t>
      </w:r>
      <w:proofErr w:type="gramEnd"/>
      <w:r w:rsidRPr="0082625F">
        <w:rPr>
          <w:lang w:val="fr-FR"/>
        </w:rPr>
        <w:t xml:space="preserve"> Garnier Frères, 1960). </w:t>
      </w:r>
      <w:r>
        <w:t xml:space="preserve">Saint-Preux’s impression of Clarens is found in the form of a complete portrait in a letter to Mylord Édouard: ‘Quelle retraite délicieuse! </w:t>
      </w:r>
      <w:r w:rsidRPr="0082625F">
        <w:rPr>
          <w:lang w:val="fr-FR"/>
        </w:rPr>
        <w:t xml:space="preserve">Quelle charmante </w:t>
      </w:r>
      <w:proofErr w:type="gramStart"/>
      <w:r w:rsidRPr="0082625F">
        <w:rPr>
          <w:lang w:val="fr-FR"/>
        </w:rPr>
        <w:t>habitation!</w:t>
      </w:r>
      <w:proofErr w:type="gramEnd"/>
      <w:r w:rsidRPr="0082625F">
        <w:rPr>
          <w:lang w:val="fr-FR"/>
        </w:rPr>
        <w:t xml:space="preserve"> Que la douce habitude d’y vivre en augmente le </w:t>
      </w:r>
      <w:proofErr w:type="gramStart"/>
      <w:r w:rsidRPr="0082625F">
        <w:rPr>
          <w:lang w:val="fr-FR"/>
        </w:rPr>
        <w:t>prix!</w:t>
      </w:r>
      <w:proofErr w:type="gramEnd"/>
      <w:r w:rsidRPr="0082625F">
        <w:rPr>
          <w:lang w:val="fr-FR"/>
        </w:rPr>
        <w:t xml:space="preserve"> […] on y trouve partout des cœurs contents et des visages gais’ (part 5, letter II, p.447). Paris, in contrast, is false and </w:t>
      </w:r>
      <w:proofErr w:type="gramStart"/>
      <w:r w:rsidRPr="0082625F">
        <w:rPr>
          <w:lang w:val="fr-FR"/>
        </w:rPr>
        <w:t>corrupt:</w:t>
      </w:r>
      <w:proofErr w:type="gramEnd"/>
      <w:r w:rsidRPr="0082625F">
        <w:rPr>
          <w:lang w:val="fr-FR"/>
        </w:rPr>
        <w:t xml:space="preserve"> ‘Jusques ici j’ai vu beaucoup de masques, quand verrai-je des visages d’hommes?’ (</w:t>
      </w:r>
      <w:proofErr w:type="gramStart"/>
      <w:r w:rsidRPr="0082625F">
        <w:rPr>
          <w:lang w:val="fr-FR"/>
        </w:rPr>
        <w:t>letter</w:t>
      </w:r>
      <w:proofErr w:type="gramEnd"/>
      <w:r w:rsidRPr="0082625F">
        <w:rPr>
          <w:lang w:val="fr-FR"/>
        </w:rPr>
        <w:t xml:space="preserve"> to Julie, part 2, letter XIV, p.185), and the corruption extends as far as the Parisians’ language: ‘que penses-tu qu’on apprenne dans ces conversations si charmantes? […] on y apprend à plaider avec art la cause du mensonge, à ébranler à force de philosophie tous les principes de la vertu, à colorer de sophismes subtils ses passions et ses préjugés, et à donner à l’erreur un certain tour à la mode selon les maximes du jour’, (letter to Julie, part 2, letter XIV, p.182). </w:t>
      </w:r>
    </w:p>
  </w:footnote>
  <w:footnote w:id="23">
    <w:p w14:paraId="14814F6C" w14:textId="77777777" w:rsidR="006B69A0" w:rsidRPr="006B69A0" w:rsidRDefault="006B69A0" w:rsidP="006B69A0">
      <w:pPr>
        <w:pStyle w:val="FootnoteText"/>
        <w:rPr>
          <w:lang w:val="fr-FR"/>
        </w:rPr>
      </w:pPr>
      <w:r>
        <w:rPr>
          <w:rStyle w:val="FootnoteReference"/>
          <w:vertAlign w:val="baseline"/>
        </w:rPr>
        <w:footnoteRef/>
      </w:r>
      <w:r>
        <w:tab/>
      </w:r>
      <w:r>
        <w:rPr>
          <w:i/>
          <w:iCs/>
        </w:rPr>
        <w:t>Les Confessions</w:t>
      </w:r>
      <w:r>
        <w:t xml:space="preserve">, 3 vols, ed. by Ad. </w:t>
      </w:r>
      <w:r w:rsidRPr="006B69A0">
        <w:rPr>
          <w:lang w:val="fr-FR"/>
        </w:rPr>
        <w:t xml:space="preserve">Van Bever (Paris: Garnier Frères, 1952), </w:t>
      </w:r>
      <w:r w:rsidRPr="006B69A0">
        <w:rPr>
          <w:smallCaps/>
          <w:lang w:val="fr-FR"/>
        </w:rPr>
        <w:t>ii</w:t>
      </w:r>
      <w:r w:rsidRPr="006B69A0">
        <w:rPr>
          <w:lang w:val="fr-FR"/>
        </w:rPr>
        <w:t>, 237.</w:t>
      </w:r>
    </w:p>
  </w:footnote>
  <w:footnote w:id="24">
    <w:p w14:paraId="3FD08FDE"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r>
      <w:r w:rsidRPr="0082625F">
        <w:rPr>
          <w:i/>
          <w:lang w:val="fr-FR"/>
        </w:rPr>
        <w:t>Les Confessions</w:t>
      </w:r>
      <w:r w:rsidRPr="0082625F">
        <w:rPr>
          <w:lang w:val="fr-FR"/>
        </w:rPr>
        <w:t xml:space="preserve">, </w:t>
      </w:r>
      <w:r w:rsidRPr="0082625F">
        <w:rPr>
          <w:smallCaps/>
          <w:lang w:val="fr-FR"/>
        </w:rPr>
        <w:t>iii</w:t>
      </w:r>
      <w:r w:rsidRPr="0082625F">
        <w:rPr>
          <w:lang w:val="fr-FR"/>
        </w:rPr>
        <w:t>, 112.</w:t>
      </w:r>
    </w:p>
  </w:footnote>
  <w:footnote w:id="25">
    <w:p w14:paraId="3F2C02E0"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r>
      <w:r w:rsidRPr="0082625F">
        <w:rPr>
          <w:i/>
          <w:lang w:val="fr-FR"/>
        </w:rPr>
        <w:t>Œuvres esthétiques</w:t>
      </w:r>
      <w:r w:rsidRPr="0082625F">
        <w:rPr>
          <w:lang w:val="fr-FR"/>
        </w:rPr>
        <w:t xml:space="preserve">, ed. </w:t>
      </w:r>
      <w:proofErr w:type="gramStart"/>
      <w:r w:rsidRPr="0082625F">
        <w:rPr>
          <w:lang w:val="fr-FR"/>
        </w:rPr>
        <w:t>by</w:t>
      </w:r>
      <w:proofErr w:type="gramEnd"/>
      <w:r w:rsidRPr="0082625F">
        <w:rPr>
          <w:lang w:val="fr-FR"/>
        </w:rPr>
        <w:t xml:space="preserve"> Paul Vernière (Paris: Garnier Frères, 1968), p.96.</w:t>
      </w:r>
    </w:p>
  </w:footnote>
  <w:footnote w:id="26">
    <w:p w14:paraId="1677334E" w14:textId="77777777" w:rsidR="006B69A0" w:rsidRDefault="006B69A0" w:rsidP="006B69A0">
      <w:pPr>
        <w:pStyle w:val="FootnoteText"/>
      </w:pPr>
      <w:r>
        <w:rPr>
          <w:rStyle w:val="FootnoteReference"/>
          <w:vertAlign w:val="baseline"/>
        </w:rPr>
        <w:footnoteRef/>
      </w:r>
      <w:r>
        <w:tab/>
        <w:t xml:space="preserve">M. H. Abrams, </w:t>
      </w:r>
      <w:r>
        <w:rPr>
          <w:i/>
        </w:rPr>
        <w:t xml:space="preserve">The </w:t>
      </w:r>
      <w:proofErr w:type="gramStart"/>
      <w:r>
        <w:rPr>
          <w:i/>
        </w:rPr>
        <w:t>Mirror</w:t>
      </w:r>
      <w:proofErr w:type="gramEnd"/>
      <w:r>
        <w:rPr>
          <w:i/>
        </w:rPr>
        <w:t xml:space="preserve"> and the Lamp: Romantic Theory and the Critical Tradition</w:t>
      </w:r>
      <w:r>
        <w:t xml:space="preserve"> (Oxford: Oxford University Press, 1953), p.23. A study on French writing, inspired by Abrams’s approach is Marguerite Iknayan, </w:t>
      </w:r>
      <w:r>
        <w:rPr>
          <w:i/>
        </w:rPr>
        <w:t>The Concave Mirror: From Imitation to Expression in French Esthetic Theory 1800–1830</w:t>
      </w:r>
      <w:r>
        <w:t xml:space="preserve"> (Stanford: Anma Livre, 1983).</w:t>
      </w:r>
    </w:p>
  </w:footnote>
  <w:footnote w:id="27">
    <w:p w14:paraId="75F7E856" w14:textId="77777777" w:rsidR="006B69A0" w:rsidRPr="0082625F" w:rsidRDefault="006B69A0" w:rsidP="006B69A0">
      <w:pPr>
        <w:pStyle w:val="FootnoteText"/>
        <w:rPr>
          <w:lang w:val="fr-FR"/>
        </w:rPr>
      </w:pPr>
      <w:r>
        <w:rPr>
          <w:rStyle w:val="FootnoteReference"/>
          <w:vertAlign w:val="baseline"/>
        </w:rPr>
        <w:footnoteRef/>
      </w:r>
      <w:r w:rsidRPr="0082625F">
        <w:rPr>
          <w:lang w:val="fr-FR"/>
        </w:rPr>
        <w:t xml:space="preserve"> </w:t>
      </w:r>
      <w:r w:rsidRPr="0082625F">
        <w:rPr>
          <w:lang w:val="fr-FR"/>
        </w:rPr>
        <w:tab/>
      </w:r>
      <w:r w:rsidRPr="0082625F">
        <w:rPr>
          <w:i/>
          <w:iCs/>
          <w:lang w:val="fr-FR"/>
        </w:rPr>
        <w:t>Oberman</w:t>
      </w:r>
      <w:r w:rsidRPr="0082625F">
        <w:rPr>
          <w:lang w:val="fr-FR"/>
        </w:rPr>
        <w:t xml:space="preserve">, ed. </w:t>
      </w:r>
      <w:proofErr w:type="gramStart"/>
      <w:r w:rsidRPr="0082625F">
        <w:rPr>
          <w:lang w:val="fr-FR"/>
        </w:rPr>
        <w:t>by</w:t>
      </w:r>
      <w:proofErr w:type="gramEnd"/>
      <w:r w:rsidRPr="0082625F">
        <w:rPr>
          <w:lang w:val="fr-FR"/>
        </w:rPr>
        <w:t xml:space="preserve"> Béatrice Didier (Paris: Livre de poche, 1984), letter XVIII, pp.88-9.</w:t>
      </w:r>
    </w:p>
  </w:footnote>
  <w:footnote w:id="28">
    <w:p w14:paraId="42992381" w14:textId="77777777" w:rsidR="006B69A0" w:rsidRDefault="006B69A0" w:rsidP="006B69A0">
      <w:pPr>
        <w:pStyle w:val="FootnoteText"/>
      </w:pPr>
      <w:r>
        <w:rPr>
          <w:rStyle w:val="FootnoteReference"/>
          <w:vertAlign w:val="baseline"/>
        </w:rPr>
        <w:footnoteRef/>
      </w:r>
      <w:r>
        <w:tab/>
        <w:t xml:space="preserve">See </w:t>
      </w:r>
      <w:r>
        <w:rPr>
          <w:i/>
        </w:rPr>
        <w:t>Revue de Paris</w:t>
      </w:r>
      <w:r>
        <w:t xml:space="preserve">, 34 (1832), 210–22. On Sainte-Beuve’s Joseph Delorme and his enjoyment of ordinary, quiet countryside, see the discussion in C. W. Thompson, </w:t>
      </w:r>
      <w:r>
        <w:rPr>
          <w:i/>
        </w:rPr>
        <w:t>Walking and the French Romantics: Rousseau to Sand and Hugo</w:t>
      </w:r>
      <w:r>
        <w:rPr>
          <w:iCs/>
        </w:rPr>
        <w:t xml:space="preserve"> (Bern: Peter Lang, 2003)</w:t>
      </w:r>
      <w:r>
        <w:t>, p.49.</w:t>
      </w:r>
    </w:p>
  </w:footnote>
  <w:footnote w:id="29">
    <w:p w14:paraId="07F3D3E0"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On the politics behind Sainte-Beuve’s attitude, or that of Romanticism generally, Fausta Garavini </w:t>
      </w:r>
      <w:proofErr w:type="gramStart"/>
      <w:r w:rsidRPr="0082625F">
        <w:rPr>
          <w:lang w:val="fr-FR"/>
        </w:rPr>
        <w:t>says:</w:t>
      </w:r>
      <w:proofErr w:type="gramEnd"/>
      <w:r w:rsidRPr="0082625F">
        <w:rPr>
          <w:lang w:val="fr-FR"/>
        </w:rPr>
        <w:t xml:space="preserve"> ‘Les collaborateurs de la </w:t>
      </w:r>
      <w:r w:rsidRPr="0082625F">
        <w:rPr>
          <w:i/>
          <w:lang w:val="fr-FR"/>
        </w:rPr>
        <w:t>Revue des Deux Mondes</w:t>
      </w:r>
      <w:r w:rsidRPr="0082625F">
        <w:rPr>
          <w:lang w:val="fr-FR"/>
        </w:rPr>
        <w:t xml:space="preserve"> refusent les frémissements de révolte qui agitent la poésie ouvrière et quarante-huitarde, mais ils voient dans le “bon paysan” un antidote, précisément, contre l’esprit de 48 et l’exaltation du prolétariat urbain’, Fausta Garavini, ‘Province et rusticité: esquisse d’un malentendu’, </w:t>
      </w:r>
      <w:r w:rsidRPr="0082625F">
        <w:rPr>
          <w:i/>
          <w:lang w:val="fr-FR"/>
        </w:rPr>
        <w:t>Romantisme</w:t>
      </w:r>
      <w:r w:rsidRPr="0082625F">
        <w:rPr>
          <w:lang w:val="fr-FR"/>
        </w:rPr>
        <w:t xml:space="preserve">, 35 (1982), 73–89 (76). </w:t>
      </w:r>
    </w:p>
  </w:footnote>
  <w:footnote w:id="30">
    <w:p w14:paraId="3013DAD8" w14:textId="77777777" w:rsidR="006B69A0" w:rsidRDefault="006B69A0" w:rsidP="006B69A0">
      <w:pPr>
        <w:pStyle w:val="FootnoteText"/>
      </w:pPr>
      <w:r>
        <w:rPr>
          <w:rStyle w:val="FootnoteReference"/>
          <w:vertAlign w:val="baseline"/>
        </w:rPr>
        <w:footnoteRef/>
      </w:r>
      <w:r>
        <w:tab/>
        <w:t xml:space="preserve">Anne Martin-Fugier in </w:t>
      </w:r>
      <w:r>
        <w:rPr>
          <w:i/>
        </w:rPr>
        <w:t>Les Romantiques: figures de l’artiste 1820–1848</w:t>
      </w:r>
      <w:r>
        <w:t xml:space="preserve"> (Paris: Hachette, 1998), demonstrates the unique excitement and optimism of this time in French literary life through a survey of the memoirs written by those who were young at the time, see esp. p.298.</w:t>
      </w:r>
    </w:p>
  </w:footnote>
  <w:footnote w:id="31">
    <w:p w14:paraId="04BF593A"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Fromentin, Eugène, </w:t>
      </w:r>
      <w:r w:rsidRPr="0082625F">
        <w:rPr>
          <w:i/>
          <w:lang w:val="fr-FR"/>
        </w:rPr>
        <w:t>Œuvres complètes</w:t>
      </w:r>
      <w:r w:rsidRPr="0082625F">
        <w:rPr>
          <w:lang w:val="fr-FR"/>
        </w:rPr>
        <w:t xml:space="preserve">, ed. </w:t>
      </w:r>
      <w:proofErr w:type="gramStart"/>
      <w:r w:rsidRPr="0082625F">
        <w:rPr>
          <w:lang w:val="fr-FR"/>
        </w:rPr>
        <w:t>by</w:t>
      </w:r>
      <w:proofErr w:type="gramEnd"/>
      <w:r w:rsidRPr="0082625F">
        <w:rPr>
          <w:lang w:val="fr-FR"/>
        </w:rPr>
        <w:t xml:space="preserve"> Guy Sagnes, Bibliothèque de la Pléiade (Paris: Gallimard, 1984), p.916. </w:t>
      </w:r>
    </w:p>
  </w:footnote>
  <w:footnote w:id="32">
    <w:p w14:paraId="3BCEC7DC" w14:textId="77777777" w:rsidR="006B69A0" w:rsidRPr="006B69A0" w:rsidRDefault="006B69A0" w:rsidP="006B69A0">
      <w:pPr>
        <w:pStyle w:val="FootnoteText"/>
        <w:rPr>
          <w:lang w:val="fr-FR"/>
        </w:rPr>
      </w:pPr>
      <w:r>
        <w:rPr>
          <w:rStyle w:val="FootnoteReference"/>
          <w:vertAlign w:val="baseline"/>
        </w:rPr>
        <w:footnoteRef/>
      </w:r>
      <w:r w:rsidRPr="006B69A0">
        <w:rPr>
          <w:lang w:val="fr-FR"/>
        </w:rPr>
        <w:tab/>
      </w:r>
      <w:r w:rsidRPr="006B69A0">
        <w:rPr>
          <w:lang w:val="fr-FR"/>
        </w:rPr>
        <w:t xml:space="preserve">Guiomar, </w:t>
      </w:r>
      <w:r w:rsidRPr="006B69A0">
        <w:rPr>
          <w:i/>
          <w:lang w:val="fr-FR"/>
        </w:rPr>
        <w:t>Le Bretonisme</w:t>
      </w:r>
      <w:r w:rsidRPr="006B69A0">
        <w:rPr>
          <w:lang w:val="fr-FR"/>
        </w:rPr>
        <w:t xml:space="preserve">, pp.116, 87. Tanguy, in </w:t>
      </w:r>
      <w:r w:rsidRPr="006B69A0">
        <w:rPr>
          <w:i/>
          <w:lang w:val="fr-FR"/>
        </w:rPr>
        <w:t>Aux origines</w:t>
      </w:r>
      <w:r w:rsidRPr="006B69A0">
        <w:rPr>
          <w:iCs/>
          <w:lang w:val="fr-FR"/>
        </w:rPr>
        <w:t>,</w:t>
      </w:r>
      <w:r w:rsidRPr="006B69A0">
        <w:rPr>
          <w:lang w:val="fr-FR"/>
        </w:rPr>
        <w:t xml:space="preserve"> goes for a slightly earlier date: ‘Car il est indéniable que depuis les années 1820, on s’acheminait vers le </w:t>
      </w:r>
      <w:r w:rsidRPr="006B69A0">
        <w:rPr>
          <w:i/>
          <w:lang w:val="fr-FR"/>
        </w:rPr>
        <w:t>Barzaz Breiz</w:t>
      </w:r>
      <w:r w:rsidRPr="006B69A0">
        <w:rPr>
          <w:lang w:val="fr-FR"/>
        </w:rPr>
        <w:t xml:space="preserve"> de 1839 et même de 1845’, </w:t>
      </w:r>
      <w:r w:rsidRPr="006B69A0">
        <w:rPr>
          <w:smallCaps/>
          <w:lang w:val="fr-FR"/>
        </w:rPr>
        <w:t xml:space="preserve">i, </w:t>
      </w:r>
      <w:r w:rsidRPr="006B69A0">
        <w:rPr>
          <w:lang w:val="fr-FR"/>
        </w:rPr>
        <w:t>321.</w:t>
      </w:r>
    </w:p>
  </w:footnote>
  <w:footnote w:id="33">
    <w:p w14:paraId="06D608D5"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w:t>
      </w:r>
      <w:proofErr w:type="gramStart"/>
      <w:r w:rsidRPr="0082625F">
        <w:rPr>
          <w:lang w:val="fr-FR"/>
        </w:rPr>
        <w:t>Paris:</w:t>
      </w:r>
      <w:proofErr w:type="gramEnd"/>
      <w:r w:rsidRPr="0082625F">
        <w:rPr>
          <w:lang w:val="fr-FR"/>
        </w:rPr>
        <w:t xml:space="preserve"> Klincksieck, 1977).</w:t>
      </w:r>
    </w:p>
  </w:footnote>
  <w:footnote w:id="34">
    <w:p w14:paraId="5C1D98E9" w14:textId="77777777" w:rsidR="006B69A0" w:rsidRDefault="006B69A0" w:rsidP="006B69A0">
      <w:pPr>
        <w:pStyle w:val="FootnoteText"/>
      </w:pPr>
      <w:r>
        <w:rPr>
          <w:rStyle w:val="FootnoteReference"/>
          <w:vertAlign w:val="baseline"/>
        </w:rPr>
        <w:footnoteRef/>
      </w:r>
      <w:r w:rsidRPr="0082625F">
        <w:rPr>
          <w:lang w:val="fr-FR"/>
        </w:rPr>
        <w:tab/>
        <w:t xml:space="preserve">‘L’invention de la </w:t>
      </w:r>
      <w:proofErr w:type="gramStart"/>
      <w:r w:rsidRPr="0082625F">
        <w:rPr>
          <w:lang w:val="fr-FR"/>
        </w:rPr>
        <w:t>Bretagne:</w:t>
      </w:r>
      <w:proofErr w:type="gramEnd"/>
      <w:r w:rsidRPr="0082625F">
        <w:rPr>
          <w:lang w:val="fr-FR"/>
        </w:rPr>
        <w:t xml:space="preserve"> Genèse sociale d’un stéréotype’, </w:t>
      </w:r>
      <w:r w:rsidRPr="0082625F">
        <w:rPr>
          <w:i/>
          <w:lang w:val="fr-FR"/>
        </w:rPr>
        <w:t>Actes de la recherche en sciences sociales</w:t>
      </w:r>
      <w:r w:rsidRPr="0082625F">
        <w:rPr>
          <w:lang w:val="fr-FR"/>
        </w:rPr>
        <w:t xml:space="preserve">, 35 (1980), 45–62 (58). </w:t>
      </w:r>
      <w:r>
        <w:t xml:space="preserve">This highly inflential paper was the result of much broader work in her thesis, </w:t>
      </w:r>
      <w:r>
        <w:rPr>
          <w:i/>
        </w:rPr>
        <w:t>La naissance des stéréotypes régionaux en Bretagne au XIXe siècle</w:t>
      </w:r>
      <w:r>
        <w:t xml:space="preserve"> (1979). </w:t>
      </w:r>
    </w:p>
  </w:footnote>
  <w:footnote w:id="35">
    <w:p w14:paraId="7680120F" w14:textId="77777777" w:rsidR="006B69A0" w:rsidRPr="0082625F" w:rsidRDefault="006B69A0" w:rsidP="006B69A0">
      <w:pPr>
        <w:pStyle w:val="FootnoteText"/>
        <w:rPr>
          <w:lang w:val="fr-FR"/>
        </w:rPr>
      </w:pPr>
      <w:r>
        <w:rPr>
          <w:rStyle w:val="FootnoteReference"/>
          <w:vertAlign w:val="baseline"/>
        </w:rPr>
        <w:footnoteRef/>
      </w:r>
      <w:r w:rsidRPr="0082625F">
        <w:rPr>
          <w:lang w:val="fr-FR"/>
        </w:rPr>
        <w:tab/>
        <w:t xml:space="preserve">Ibid., p.49. This crystallization of stereotypes, she says, explains the success of Brizeux’s </w:t>
      </w:r>
      <w:r w:rsidRPr="0082625F">
        <w:rPr>
          <w:i/>
          <w:lang w:val="fr-FR"/>
        </w:rPr>
        <w:t>Marie</w:t>
      </w:r>
      <w:r w:rsidRPr="0082625F">
        <w:rPr>
          <w:lang w:val="fr-FR"/>
        </w:rPr>
        <w:t xml:space="preserve"> </w:t>
      </w:r>
      <w:proofErr w:type="gramStart"/>
      <w:r w:rsidRPr="0082625F">
        <w:rPr>
          <w:lang w:val="fr-FR"/>
        </w:rPr>
        <w:t>because:</w:t>
      </w:r>
      <w:proofErr w:type="gramEnd"/>
      <w:r w:rsidRPr="0082625F">
        <w:rPr>
          <w:lang w:val="fr-FR"/>
        </w:rPr>
        <w:t xml:space="preserve"> ‘En 1836 [sic], dans le poème d’Auguste Brizeux, </w:t>
      </w:r>
      <w:r w:rsidRPr="0082625F">
        <w:rPr>
          <w:i/>
          <w:lang w:val="fr-FR"/>
        </w:rPr>
        <w:t>Marie</w:t>
      </w:r>
      <w:r w:rsidRPr="0082625F">
        <w:rPr>
          <w:lang w:val="fr-FR"/>
        </w:rPr>
        <w:t>, la jeune fille bretonne en coiffe, pieuse et soumise, rassemblait toutes les qualités de la Bretagne en général. Les poupées bretonnes des boutiques de souvenirs remplissent à peu près le même rôle’, p.62.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9A0"/>
    <w:rsid w:val="00210BE3"/>
    <w:rsid w:val="006B6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F08BA"/>
  <w15:chartTrackingRefBased/>
  <w15:docId w15:val="{1BE929EF-84C6-4347-9A24-247D53679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B69A0"/>
    <w:pPr>
      <w:keepNext/>
      <w:pageBreakBefore/>
      <w:spacing w:after="1040" w:line="340" w:lineRule="exact"/>
      <w:jc w:val="both"/>
      <w:outlineLvl w:val="0"/>
    </w:pPr>
    <w:rPr>
      <w:rFonts w:ascii="Times New Roman" w:eastAsia="Times New Roman" w:hAnsi="Times New Roman" w:cs="Times New Roman"/>
      <w:bCs/>
      <w:color w:val="000000"/>
      <w:sz w:val="30"/>
      <w:szCs w:val="24"/>
    </w:rPr>
  </w:style>
  <w:style w:type="paragraph" w:styleId="Heading2">
    <w:name w:val="heading 2"/>
    <w:basedOn w:val="Normal"/>
    <w:next w:val="Normal"/>
    <w:link w:val="Heading2Char"/>
    <w:qFormat/>
    <w:rsid w:val="006B69A0"/>
    <w:pPr>
      <w:keepNext/>
      <w:spacing w:before="780" w:after="520" w:line="300" w:lineRule="exact"/>
      <w:jc w:val="both"/>
      <w:outlineLvl w:val="1"/>
    </w:pPr>
    <w:rPr>
      <w:rFonts w:ascii="Times New Roman" w:eastAsia="Times New Roman" w:hAnsi="Times New Roman" w:cs="Arial"/>
      <w:bCs/>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B69A0"/>
    <w:rPr>
      <w:rFonts w:ascii="Times New Roman" w:eastAsia="Times New Roman" w:hAnsi="Times New Roman" w:cs="Times New Roman"/>
      <w:bCs/>
      <w:color w:val="000000"/>
      <w:sz w:val="30"/>
      <w:szCs w:val="24"/>
    </w:rPr>
  </w:style>
  <w:style w:type="character" w:customStyle="1" w:styleId="Heading2Char">
    <w:name w:val="Heading 2 Char"/>
    <w:basedOn w:val="DefaultParagraphFont"/>
    <w:link w:val="Heading2"/>
    <w:rsid w:val="006B69A0"/>
    <w:rPr>
      <w:rFonts w:ascii="Times New Roman" w:eastAsia="Times New Roman" w:hAnsi="Times New Roman" w:cs="Arial"/>
      <w:bCs/>
      <w:sz w:val="26"/>
      <w:szCs w:val="24"/>
    </w:rPr>
  </w:style>
  <w:style w:type="paragraph" w:styleId="BodyText2">
    <w:name w:val="Body Text 2"/>
    <w:basedOn w:val="Normal"/>
    <w:link w:val="BodyText2Char"/>
    <w:semiHidden/>
    <w:rsid w:val="006B69A0"/>
    <w:pPr>
      <w:spacing w:after="0" w:line="288" w:lineRule="atLeast"/>
      <w:jc w:val="both"/>
    </w:pPr>
    <w:rPr>
      <w:rFonts w:ascii="Helvetica" w:eastAsia="Times New Roman" w:hAnsi="Helvetica" w:cs="Times New Roman"/>
      <w:b/>
      <w:sz w:val="20"/>
      <w:szCs w:val="20"/>
    </w:rPr>
  </w:style>
  <w:style w:type="character" w:customStyle="1" w:styleId="BodyText2Char">
    <w:name w:val="Body Text 2 Char"/>
    <w:basedOn w:val="DefaultParagraphFont"/>
    <w:link w:val="BodyText2"/>
    <w:semiHidden/>
    <w:rsid w:val="006B69A0"/>
    <w:rPr>
      <w:rFonts w:ascii="Helvetica" w:eastAsia="Times New Roman" w:hAnsi="Helvetica" w:cs="Times New Roman"/>
      <w:b/>
      <w:sz w:val="20"/>
      <w:szCs w:val="20"/>
    </w:rPr>
  </w:style>
  <w:style w:type="character" w:styleId="FootnoteReference">
    <w:name w:val="footnote reference"/>
    <w:basedOn w:val="DefaultParagraphFont"/>
    <w:semiHidden/>
    <w:rsid w:val="006B69A0"/>
    <w:rPr>
      <w:vertAlign w:val="superscript"/>
    </w:rPr>
  </w:style>
  <w:style w:type="paragraph" w:styleId="BodyText">
    <w:name w:val="Body Text"/>
    <w:basedOn w:val="Normal"/>
    <w:link w:val="BodyTextChar"/>
    <w:semiHidden/>
    <w:rsid w:val="006B69A0"/>
    <w:pPr>
      <w:spacing w:after="0" w:line="260" w:lineRule="exact"/>
      <w:jc w:val="both"/>
    </w:pPr>
    <w:rPr>
      <w:rFonts w:ascii="Times New Roman" w:eastAsia="Times New Roman" w:hAnsi="Times New Roman" w:cs="Arial"/>
      <w:szCs w:val="24"/>
    </w:rPr>
  </w:style>
  <w:style w:type="character" w:customStyle="1" w:styleId="BodyTextChar">
    <w:name w:val="Body Text Char"/>
    <w:basedOn w:val="DefaultParagraphFont"/>
    <w:link w:val="BodyText"/>
    <w:semiHidden/>
    <w:rsid w:val="006B69A0"/>
    <w:rPr>
      <w:rFonts w:ascii="Times New Roman" w:eastAsia="Times New Roman" w:hAnsi="Times New Roman" w:cs="Arial"/>
      <w:szCs w:val="24"/>
    </w:rPr>
  </w:style>
  <w:style w:type="paragraph" w:styleId="FootnoteText">
    <w:name w:val="footnote text"/>
    <w:basedOn w:val="Normal"/>
    <w:link w:val="FootnoteTextChar"/>
    <w:semiHidden/>
    <w:rsid w:val="006B69A0"/>
    <w:pPr>
      <w:tabs>
        <w:tab w:val="left" w:pos="454"/>
      </w:tabs>
      <w:overflowPunct w:val="0"/>
      <w:autoSpaceDE w:val="0"/>
      <w:autoSpaceDN w:val="0"/>
      <w:adjustRightInd w:val="0"/>
      <w:spacing w:after="0" w:line="220" w:lineRule="exact"/>
      <w:ind w:left="454" w:hanging="454"/>
      <w:jc w:val="both"/>
      <w:textAlignment w:val="baseline"/>
    </w:pPr>
    <w:rPr>
      <w:rFonts w:ascii="Times New Roman" w:eastAsia="Times New Roman" w:hAnsi="Times New Roman" w:cs="Times New Roman"/>
      <w:sz w:val="18"/>
      <w:szCs w:val="20"/>
    </w:rPr>
  </w:style>
  <w:style w:type="character" w:customStyle="1" w:styleId="FootnoteTextChar">
    <w:name w:val="Footnote Text Char"/>
    <w:basedOn w:val="DefaultParagraphFont"/>
    <w:link w:val="FootnoteText"/>
    <w:semiHidden/>
    <w:rsid w:val="006B69A0"/>
    <w:rPr>
      <w:rFonts w:ascii="Times New Roman" w:eastAsia="Times New Roman" w:hAnsi="Times New Roman" w:cs="Times New Roman"/>
      <w:sz w:val="18"/>
      <w:szCs w:val="20"/>
    </w:rPr>
  </w:style>
  <w:style w:type="paragraph" w:styleId="NormalIndent">
    <w:name w:val="Normal Indent"/>
    <w:basedOn w:val="Normal"/>
    <w:semiHidden/>
    <w:rsid w:val="006B69A0"/>
    <w:pPr>
      <w:spacing w:after="0" w:line="260" w:lineRule="exact"/>
      <w:ind w:firstLine="454"/>
      <w:jc w:val="both"/>
    </w:pPr>
    <w:rPr>
      <w:rFonts w:ascii="Times New Roman" w:eastAsia="Times New Roman" w:hAnsi="Times New Roman" w:cs="Times New Roman"/>
      <w:szCs w:val="24"/>
    </w:rPr>
  </w:style>
  <w:style w:type="paragraph" w:customStyle="1" w:styleId="DisplayQuote">
    <w:name w:val="Display Quote"/>
    <w:basedOn w:val="BodyTextIndent"/>
    <w:next w:val="BodyText"/>
    <w:rsid w:val="006B69A0"/>
    <w:pPr>
      <w:spacing w:before="220" w:after="220" w:line="220" w:lineRule="exact"/>
      <w:ind w:left="454"/>
      <w:jc w:val="both"/>
    </w:pPr>
    <w:rPr>
      <w:rFonts w:ascii="Times New Roman" w:eastAsia="Times New Roman" w:hAnsi="Times New Roman" w:cs="Times New Roman"/>
      <w:sz w:val="18"/>
      <w:szCs w:val="24"/>
    </w:rPr>
  </w:style>
  <w:style w:type="paragraph" w:styleId="BodyTextIndent">
    <w:name w:val="Body Text Indent"/>
    <w:basedOn w:val="Normal"/>
    <w:link w:val="BodyTextIndentChar"/>
    <w:uiPriority w:val="99"/>
    <w:semiHidden/>
    <w:unhideWhenUsed/>
    <w:rsid w:val="006B69A0"/>
    <w:pPr>
      <w:spacing w:after="120"/>
      <w:ind w:left="283"/>
    </w:pPr>
  </w:style>
  <w:style w:type="character" w:customStyle="1" w:styleId="BodyTextIndentChar">
    <w:name w:val="Body Text Indent Char"/>
    <w:basedOn w:val="DefaultParagraphFont"/>
    <w:link w:val="BodyTextIndent"/>
    <w:uiPriority w:val="99"/>
    <w:semiHidden/>
    <w:rsid w:val="006B69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3057</Words>
  <Characters>17431</Characters>
  <Application>Microsoft Office Word</Application>
  <DocSecurity>0</DocSecurity>
  <Lines>145</Lines>
  <Paragraphs>40</Paragraphs>
  <ScaleCrop>false</ScaleCrop>
  <Company/>
  <LinksUpToDate>false</LinksUpToDate>
  <CharactersWithSpaces>20448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Shilton</dc:creator>
  <cp:keywords/>
  <dc:description/>
  <cp:lastModifiedBy>Nicholas Shilton</cp:lastModifiedBy>
  <cp:revision>1</cp:revision>
  <dcterms:created xsi:type="dcterms:W3CDTF">2020-09-25T10:43:00Z</dcterms:created>
  <dcterms:modified xsi:type="dcterms:W3CDTF">2020-09-25T10:45:00Z</dcterms:modified>
</cp:coreProperties>
</file>