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47718AC" w14:textId="77777777" w:rsidR="001F5208" w:rsidRPr="00CA1EAE" w:rsidRDefault="001F5208" w:rsidP="00EF70A6">
      <w:pPr>
        <w:spacing w:before="120"/>
        <w:rPr>
          <w:rFonts w:cs="Arial"/>
          <w:color w:val="000000" w:themeColor="text1"/>
        </w:rPr>
      </w:pPr>
    </w:p>
    <w:p w14:paraId="47FA783E" w14:textId="77777777" w:rsidR="001F5208" w:rsidRPr="00CA1EAE" w:rsidRDefault="00B270F1" w:rsidP="00B270F1">
      <w:pPr>
        <w:spacing w:before="120"/>
        <w:jc w:val="center"/>
        <w:rPr>
          <w:rFonts w:cs="Arial"/>
          <w:color w:val="000000" w:themeColor="text1"/>
        </w:rPr>
      </w:pPr>
      <w:r>
        <w:rPr>
          <w:noProof/>
        </w:rPr>
        <w:drawing>
          <wp:inline distT="0" distB="0" distL="0" distR="0" wp14:anchorId="108F5A02" wp14:editId="667CA7B6">
            <wp:extent cx="2790825" cy="1395413"/>
            <wp:effectExtent l="0" t="0" r="0" b="0"/>
            <wp:docPr id="2" name="Picture 2" descr="Prifysgol Cymru Y Drindod Dewi Sant | University of Wales Trinity Saint  David - NPL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rifysgol Cymru Y Drindod Dewi Sant | University of Wales Trinity Saint  David - NPL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804662" cy="1402332"/>
                    </a:xfrm>
                    <a:prstGeom prst="rect">
                      <a:avLst/>
                    </a:prstGeom>
                    <a:noFill/>
                    <a:ln>
                      <a:noFill/>
                    </a:ln>
                  </pic:spPr>
                </pic:pic>
              </a:graphicData>
            </a:graphic>
          </wp:inline>
        </w:drawing>
      </w:r>
    </w:p>
    <w:p w14:paraId="6EE3C2BB" w14:textId="77777777" w:rsidR="001F5208" w:rsidRPr="00CA1EAE" w:rsidRDefault="001F5208" w:rsidP="00EF70A6">
      <w:pPr>
        <w:spacing w:before="120"/>
        <w:rPr>
          <w:rFonts w:cs="Arial"/>
          <w:color w:val="000000" w:themeColor="text1"/>
        </w:rPr>
      </w:pPr>
    </w:p>
    <w:p w14:paraId="32B26277" w14:textId="77777777" w:rsidR="001F5208" w:rsidRPr="00CA1EAE" w:rsidRDefault="00DE4F89" w:rsidP="00412BCC">
      <w:pPr>
        <w:spacing w:before="120"/>
        <w:jc w:val="center"/>
        <w:rPr>
          <w:rFonts w:cs="Arial"/>
          <w:color w:val="000000" w:themeColor="text1"/>
        </w:rPr>
      </w:pPr>
      <w:r w:rsidRPr="00CA1EAE">
        <w:rPr>
          <w:rFonts w:cs="Arial"/>
          <w:b/>
          <w:color w:val="000000" w:themeColor="text1"/>
          <w:sz w:val="36"/>
        </w:rPr>
        <w:t>BSc Health and Social Care</w:t>
      </w:r>
    </w:p>
    <w:p w14:paraId="007843AE" w14:textId="77777777" w:rsidR="001F5208" w:rsidRPr="00CA1EAE" w:rsidRDefault="00DE4F89" w:rsidP="00412BCC">
      <w:pPr>
        <w:spacing w:before="120"/>
        <w:jc w:val="center"/>
        <w:rPr>
          <w:rFonts w:cs="Arial"/>
          <w:color w:val="000000" w:themeColor="text1"/>
        </w:rPr>
      </w:pPr>
      <w:r w:rsidRPr="00CA1EAE">
        <w:rPr>
          <w:rFonts w:cs="Arial"/>
          <w:b/>
          <w:color w:val="000000" w:themeColor="text1"/>
          <w:sz w:val="30"/>
        </w:rPr>
        <w:t>Changemakers: Building Your Personal Brand for Sustainable Employment</w:t>
      </w:r>
    </w:p>
    <w:p w14:paraId="20C91286" w14:textId="77777777" w:rsidR="001F5208" w:rsidRPr="00CA1EAE" w:rsidRDefault="00DE4F89" w:rsidP="00412BCC">
      <w:pPr>
        <w:spacing w:before="120"/>
        <w:jc w:val="center"/>
        <w:rPr>
          <w:rFonts w:cs="Arial"/>
          <w:color w:val="000000" w:themeColor="text1"/>
        </w:rPr>
      </w:pPr>
      <w:r w:rsidRPr="00CA1EAE">
        <w:rPr>
          <w:rFonts w:cs="Arial"/>
          <w:color w:val="000000" w:themeColor="text1"/>
          <w:sz w:val="24"/>
        </w:rPr>
        <w:t>Module Code: BMHP5015</w:t>
      </w:r>
    </w:p>
    <w:p w14:paraId="5CD86DE1" w14:textId="77777777" w:rsidR="001F5208" w:rsidRPr="00CA1EAE" w:rsidRDefault="001F5208" w:rsidP="00412BCC">
      <w:pPr>
        <w:spacing w:before="120"/>
        <w:jc w:val="center"/>
        <w:rPr>
          <w:rFonts w:cs="Arial"/>
          <w:color w:val="000000" w:themeColor="text1"/>
        </w:rPr>
      </w:pPr>
    </w:p>
    <w:p w14:paraId="75FC35DA" w14:textId="77777777" w:rsidR="001F5208" w:rsidRPr="00CA1EAE" w:rsidRDefault="00DE4F89" w:rsidP="00412BCC">
      <w:pPr>
        <w:spacing w:before="120"/>
        <w:jc w:val="center"/>
        <w:rPr>
          <w:rFonts w:cs="Arial"/>
          <w:color w:val="000000" w:themeColor="text1"/>
        </w:rPr>
      </w:pPr>
      <w:r w:rsidRPr="00CA1EAE">
        <w:rPr>
          <w:rFonts w:cs="Arial"/>
          <w:b/>
          <w:color w:val="000000" w:themeColor="text1"/>
          <w:sz w:val="34"/>
        </w:rPr>
        <w:t>Component 2: Written Assignment Report</w:t>
      </w:r>
    </w:p>
    <w:p w14:paraId="67AADDEF" w14:textId="77777777" w:rsidR="001F5208" w:rsidRPr="00CA1EAE" w:rsidRDefault="00DE4F89" w:rsidP="00412BCC">
      <w:pPr>
        <w:spacing w:before="120"/>
        <w:jc w:val="center"/>
        <w:rPr>
          <w:rFonts w:cs="Arial"/>
          <w:color w:val="000000" w:themeColor="text1"/>
        </w:rPr>
      </w:pPr>
      <w:r w:rsidRPr="00CA1EAE">
        <w:rPr>
          <w:rFonts w:cs="Arial"/>
          <w:b/>
          <w:color w:val="000000" w:themeColor="text1"/>
          <w:sz w:val="30"/>
        </w:rPr>
        <w:t>Career Goal: Social Prescribing Link Worker in UK Primary Care</w:t>
      </w:r>
    </w:p>
    <w:p w14:paraId="21110FD7" w14:textId="77777777" w:rsidR="001F5208" w:rsidRPr="00CA1EAE" w:rsidRDefault="001F5208" w:rsidP="00412BCC">
      <w:pPr>
        <w:spacing w:before="120"/>
        <w:jc w:val="center"/>
        <w:rPr>
          <w:rFonts w:cs="Arial"/>
          <w:color w:val="000000" w:themeColor="text1"/>
        </w:rPr>
      </w:pPr>
    </w:p>
    <w:tbl>
      <w:tblPr>
        <w:tblStyle w:val="TableGrid"/>
        <w:tblW w:w="9648" w:type="dxa"/>
        <w:tblLayout w:type="fixed"/>
        <w:tblLook w:val="04A0" w:firstRow="1" w:lastRow="0" w:firstColumn="1" w:lastColumn="0" w:noHBand="0" w:noVBand="1"/>
      </w:tblPr>
      <w:tblGrid>
        <w:gridCol w:w="4824"/>
        <w:gridCol w:w="4824"/>
      </w:tblGrid>
      <w:tr w:rsidR="00CA1EAE" w:rsidRPr="00CA1EAE" w14:paraId="5F129A29" w14:textId="77777777" w:rsidTr="00D230ED">
        <w:tc>
          <w:tcPr>
            <w:tcW w:w="4824" w:type="dxa"/>
          </w:tcPr>
          <w:p w14:paraId="269961CE" w14:textId="77777777" w:rsidR="001F5208" w:rsidRPr="00CA1EAE" w:rsidRDefault="00DE4F89" w:rsidP="00412BCC">
            <w:pPr>
              <w:spacing w:before="120"/>
              <w:jc w:val="center"/>
              <w:rPr>
                <w:rFonts w:cs="Arial"/>
                <w:color w:val="000000" w:themeColor="text1"/>
              </w:rPr>
            </w:pPr>
            <w:r w:rsidRPr="00CA1EAE">
              <w:rPr>
                <w:rFonts w:cs="Arial"/>
                <w:b/>
                <w:color w:val="000000" w:themeColor="text1"/>
                <w:sz w:val="21"/>
              </w:rPr>
              <w:t>Student Name</w:t>
            </w:r>
          </w:p>
        </w:tc>
        <w:tc>
          <w:tcPr>
            <w:tcW w:w="4824" w:type="dxa"/>
          </w:tcPr>
          <w:p w14:paraId="6549E63D" w14:textId="155C3FBF" w:rsidR="001F5208" w:rsidRPr="00CA1EAE" w:rsidRDefault="00D230ED" w:rsidP="00412BCC">
            <w:pPr>
              <w:spacing w:before="120"/>
              <w:jc w:val="center"/>
              <w:rPr>
                <w:rFonts w:cs="Arial"/>
                <w:color w:val="000000" w:themeColor="text1"/>
              </w:rPr>
            </w:pPr>
            <w:r>
              <w:rPr>
                <w:rFonts w:cs="Arial"/>
                <w:color w:val="000000" w:themeColor="text1"/>
              </w:rPr>
              <w:t>Zaiba Tabassum</w:t>
            </w:r>
          </w:p>
        </w:tc>
      </w:tr>
      <w:tr w:rsidR="00CA1EAE" w:rsidRPr="00CA1EAE" w14:paraId="02412DED" w14:textId="77777777" w:rsidTr="00D230ED">
        <w:tc>
          <w:tcPr>
            <w:tcW w:w="4824" w:type="dxa"/>
          </w:tcPr>
          <w:p w14:paraId="67B0F53A" w14:textId="77777777" w:rsidR="001F5208" w:rsidRPr="00CA1EAE" w:rsidRDefault="00DE4F89" w:rsidP="00412BCC">
            <w:pPr>
              <w:spacing w:before="120"/>
              <w:jc w:val="center"/>
              <w:rPr>
                <w:rFonts w:cs="Arial"/>
                <w:color w:val="000000" w:themeColor="text1"/>
              </w:rPr>
            </w:pPr>
            <w:r w:rsidRPr="00CA1EAE">
              <w:rPr>
                <w:rFonts w:cs="Arial"/>
                <w:b/>
                <w:color w:val="000000" w:themeColor="text1"/>
                <w:sz w:val="21"/>
              </w:rPr>
              <w:t>Student Number</w:t>
            </w:r>
          </w:p>
        </w:tc>
        <w:tc>
          <w:tcPr>
            <w:tcW w:w="4824" w:type="dxa"/>
          </w:tcPr>
          <w:p w14:paraId="0ABCA636" w14:textId="7F68DDF0" w:rsidR="001F5208" w:rsidRPr="00CA1EAE" w:rsidRDefault="00D230ED" w:rsidP="00412BCC">
            <w:pPr>
              <w:spacing w:before="120"/>
              <w:jc w:val="center"/>
              <w:rPr>
                <w:rFonts w:cs="Arial"/>
                <w:color w:val="000000" w:themeColor="text1"/>
              </w:rPr>
            </w:pPr>
            <w:r>
              <w:rPr>
                <w:rFonts w:cs="Arial"/>
                <w:color w:val="000000" w:themeColor="text1"/>
              </w:rPr>
              <w:t>2407213</w:t>
            </w:r>
          </w:p>
        </w:tc>
      </w:tr>
      <w:tr w:rsidR="00CA1EAE" w:rsidRPr="00CA1EAE" w14:paraId="20B4A871" w14:textId="77777777" w:rsidTr="00D230ED">
        <w:tc>
          <w:tcPr>
            <w:tcW w:w="4824" w:type="dxa"/>
          </w:tcPr>
          <w:p w14:paraId="198B9B71" w14:textId="7E6985FB" w:rsidR="001F5208" w:rsidRPr="00CA1EAE" w:rsidRDefault="00DE4F89" w:rsidP="00412BCC">
            <w:pPr>
              <w:spacing w:before="120"/>
              <w:jc w:val="center"/>
              <w:rPr>
                <w:rFonts w:cs="Arial"/>
                <w:color w:val="000000" w:themeColor="text1"/>
              </w:rPr>
            </w:pPr>
            <w:r w:rsidRPr="00CA1EAE">
              <w:rPr>
                <w:rFonts w:cs="Arial"/>
                <w:b/>
                <w:color w:val="000000" w:themeColor="text1"/>
                <w:sz w:val="21"/>
              </w:rPr>
              <w:t>Lecturer</w:t>
            </w:r>
            <w:r w:rsidR="00D230ED">
              <w:rPr>
                <w:rFonts w:cs="Arial"/>
                <w:b/>
                <w:color w:val="000000" w:themeColor="text1"/>
                <w:sz w:val="21"/>
              </w:rPr>
              <w:t xml:space="preserve"> Name</w:t>
            </w:r>
          </w:p>
        </w:tc>
        <w:tc>
          <w:tcPr>
            <w:tcW w:w="4824" w:type="dxa"/>
          </w:tcPr>
          <w:p w14:paraId="1BD6F654" w14:textId="6965B312" w:rsidR="001F5208" w:rsidRPr="00CA1EAE" w:rsidRDefault="00D230ED" w:rsidP="00412BCC">
            <w:pPr>
              <w:spacing w:before="120"/>
              <w:jc w:val="center"/>
              <w:rPr>
                <w:rFonts w:cs="Arial"/>
                <w:color w:val="000000" w:themeColor="text1"/>
              </w:rPr>
            </w:pPr>
            <w:r>
              <w:rPr>
                <w:rFonts w:cs="Arial"/>
                <w:color w:val="000000" w:themeColor="text1"/>
              </w:rPr>
              <w:t>Olufemi Oluranti</w:t>
            </w:r>
          </w:p>
        </w:tc>
      </w:tr>
    </w:tbl>
    <w:p w14:paraId="7E36620D" w14:textId="77777777" w:rsidR="001F5208" w:rsidRPr="00CA1EAE" w:rsidRDefault="001F5208" w:rsidP="00412BCC">
      <w:pPr>
        <w:spacing w:before="120"/>
        <w:jc w:val="center"/>
        <w:rPr>
          <w:rFonts w:cs="Arial"/>
          <w:color w:val="000000" w:themeColor="text1"/>
        </w:rPr>
      </w:pPr>
    </w:p>
    <w:p w14:paraId="075C7CF8" w14:textId="77777777" w:rsidR="001F5208" w:rsidRPr="00CA1EAE" w:rsidRDefault="00DE4F89" w:rsidP="00EF70A6">
      <w:pPr>
        <w:spacing w:before="120"/>
        <w:rPr>
          <w:rFonts w:cs="Arial"/>
          <w:color w:val="000000" w:themeColor="text1"/>
        </w:rPr>
      </w:pPr>
      <w:r w:rsidRPr="00CA1EAE">
        <w:rPr>
          <w:rFonts w:cs="Arial"/>
          <w:color w:val="000000" w:themeColor="text1"/>
        </w:rPr>
        <w:br w:type="page"/>
      </w:r>
    </w:p>
    <w:p w14:paraId="0232ED78" w14:textId="77777777" w:rsidR="00203B21" w:rsidRPr="00CA1EAE" w:rsidRDefault="00203B21" w:rsidP="00203B21">
      <w:pPr>
        <w:spacing w:before="120"/>
        <w:jc w:val="center"/>
        <w:rPr>
          <w:rFonts w:cs="Arial"/>
          <w:b/>
          <w:color w:val="000000" w:themeColor="text1"/>
          <w:sz w:val="28"/>
        </w:rPr>
      </w:pPr>
      <w:r w:rsidRPr="00CA1EAE">
        <w:rPr>
          <w:rFonts w:cs="Arial"/>
          <w:b/>
          <w:color w:val="000000" w:themeColor="text1"/>
          <w:sz w:val="28"/>
        </w:rPr>
        <w:lastRenderedPageBreak/>
        <w:t>Table of Contents</w:t>
      </w:r>
    </w:p>
    <w:p w14:paraId="76CCD0FC" w14:textId="77777777" w:rsidR="00203B21" w:rsidRPr="00CA1EAE" w:rsidRDefault="00203B21">
      <w:pPr>
        <w:pStyle w:val="TOC1"/>
        <w:tabs>
          <w:tab w:val="right" w:leader="dot" w:pos="9638"/>
        </w:tabs>
        <w:rPr>
          <w:noProof/>
          <w:color w:val="000000" w:themeColor="text1"/>
        </w:rPr>
      </w:pPr>
      <w:r w:rsidRPr="00CA1EAE">
        <w:rPr>
          <w:rFonts w:cs="Arial"/>
          <w:color w:val="000000" w:themeColor="text1"/>
        </w:rPr>
        <w:fldChar w:fldCharType="begin"/>
      </w:r>
      <w:r w:rsidRPr="00CA1EAE">
        <w:rPr>
          <w:rFonts w:cs="Arial"/>
          <w:color w:val="000000" w:themeColor="text1"/>
        </w:rPr>
        <w:instrText xml:space="preserve"> TOC \o "1-3" \h \z \u </w:instrText>
      </w:r>
      <w:r w:rsidRPr="00CA1EAE">
        <w:rPr>
          <w:rFonts w:cs="Arial"/>
          <w:color w:val="000000" w:themeColor="text1"/>
        </w:rPr>
        <w:fldChar w:fldCharType="separate"/>
      </w:r>
      <w:hyperlink w:anchor="_Toc234798163" w:history="1">
        <w:r w:rsidRPr="00CA1EAE">
          <w:rPr>
            <w:rStyle w:val="Hyperlink"/>
            <w:rFonts w:cs="Arial"/>
            <w:noProof/>
            <w:color w:val="000000" w:themeColor="text1"/>
          </w:rPr>
          <w:t>1. Introduction</w:t>
        </w:r>
        <w:r w:rsidRPr="00CA1EAE">
          <w:rPr>
            <w:noProof/>
            <w:webHidden/>
            <w:color w:val="000000" w:themeColor="text1"/>
          </w:rPr>
          <w:tab/>
        </w:r>
        <w:r w:rsidRPr="00CA1EAE">
          <w:rPr>
            <w:noProof/>
            <w:webHidden/>
            <w:color w:val="000000" w:themeColor="text1"/>
          </w:rPr>
          <w:fldChar w:fldCharType="begin"/>
        </w:r>
        <w:r w:rsidRPr="00CA1EAE">
          <w:rPr>
            <w:noProof/>
            <w:webHidden/>
            <w:color w:val="000000" w:themeColor="text1"/>
          </w:rPr>
          <w:instrText xml:space="preserve"> PAGEREF _Toc234798163 \h </w:instrText>
        </w:r>
        <w:r w:rsidRPr="00CA1EAE">
          <w:rPr>
            <w:noProof/>
            <w:webHidden/>
            <w:color w:val="000000" w:themeColor="text1"/>
          </w:rPr>
        </w:r>
        <w:r w:rsidRPr="00CA1EAE">
          <w:rPr>
            <w:noProof/>
            <w:webHidden/>
            <w:color w:val="000000" w:themeColor="text1"/>
          </w:rPr>
          <w:fldChar w:fldCharType="separate"/>
        </w:r>
        <w:r w:rsidRPr="00CA1EAE">
          <w:rPr>
            <w:noProof/>
            <w:webHidden/>
            <w:color w:val="000000" w:themeColor="text1"/>
          </w:rPr>
          <w:t>2</w:t>
        </w:r>
        <w:r w:rsidRPr="00CA1EAE">
          <w:rPr>
            <w:noProof/>
            <w:webHidden/>
            <w:color w:val="000000" w:themeColor="text1"/>
          </w:rPr>
          <w:fldChar w:fldCharType="end"/>
        </w:r>
      </w:hyperlink>
    </w:p>
    <w:p w14:paraId="2A7A3CD3" w14:textId="77777777" w:rsidR="00203B21" w:rsidRPr="00CA1EAE" w:rsidRDefault="00203B21">
      <w:pPr>
        <w:pStyle w:val="TOC1"/>
        <w:tabs>
          <w:tab w:val="right" w:leader="dot" w:pos="9638"/>
        </w:tabs>
        <w:rPr>
          <w:noProof/>
          <w:color w:val="000000" w:themeColor="text1"/>
        </w:rPr>
      </w:pPr>
      <w:hyperlink w:anchor="_Toc234798164" w:history="1">
        <w:r w:rsidRPr="00CA1EAE">
          <w:rPr>
            <w:rStyle w:val="Hyperlink"/>
            <w:rFonts w:cs="Arial"/>
            <w:noProof/>
            <w:color w:val="000000" w:themeColor="text1"/>
          </w:rPr>
          <w:t>2. Job Advertisement and Role Context</w:t>
        </w:r>
        <w:r w:rsidRPr="00CA1EAE">
          <w:rPr>
            <w:noProof/>
            <w:webHidden/>
            <w:color w:val="000000" w:themeColor="text1"/>
          </w:rPr>
          <w:tab/>
        </w:r>
        <w:r w:rsidRPr="00CA1EAE">
          <w:rPr>
            <w:noProof/>
            <w:webHidden/>
            <w:color w:val="000000" w:themeColor="text1"/>
          </w:rPr>
          <w:fldChar w:fldCharType="begin"/>
        </w:r>
        <w:r w:rsidRPr="00CA1EAE">
          <w:rPr>
            <w:noProof/>
            <w:webHidden/>
            <w:color w:val="000000" w:themeColor="text1"/>
          </w:rPr>
          <w:instrText xml:space="preserve"> PAGEREF _Toc234798164 \h </w:instrText>
        </w:r>
        <w:r w:rsidRPr="00CA1EAE">
          <w:rPr>
            <w:noProof/>
            <w:webHidden/>
            <w:color w:val="000000" w:themeColor="text1"/>
          </w:rPr>
        </w:r>
        <w:r w:rsidRPr="00CA1EAE">
          <w:rPr>
            <w:noProof/>
            <w:webHidden/>
            <w:color w:val="000000" w:themeColor="text1"/>
          </w:rPr>
          <w:fldChar w:fldCharType="separate"/>
        </w:r>
        <w:r w:rsidRPr="00CA1EAE">
          <w:rPr>
            <w:noProof/>
            <w:webHidden/>
            <w:color w:val="000000" w:themeColor="text1"/>
          </w:rPr>
          <w:t>2</w:t>
        </w:r>
        <w:r w:rsidRPr="00CA1EAE">
          <w:rPr>
            <w:noProof/>
            <w:webHidden/>
            <w:color w:val="000000" w:themeColor="text1"/>
          </w:rPr>
          <w:fldChar w:fldCharType="end"/>
        </w:r>
      </w:hyperlink>
    </w:p>
    <w:p w14:paraId="2E7C3D00" w14:textId="77777777" w:rsidR="00203B21" w:rsidRPr="00CA1EAE" w:rsidRDefault="00203B21">
      <w:pPr>
        <w:pStyle w:val="TOC1"/>
        <w:tabs>
          <w:tab w:val="right" w:leader="dot" w:pos="9638"/>
        </w:tabs>
        <w:rPr>
          <w:noProof/>
          <w:color w:val="000000" w:themeColor="text1"/>
        </w:rPr>
      </w:pPr>
      <w:hyperlink w:anchor="_Toc234798165" w:history="1">
        <w:r w:rsidRPr="00CA1EAE">
          <w:rPr>
            <w:rStyle w:val="Hyperlink"/>
            <w:rFonts w:cs="Arial"/>
            <w:noProof/>
            <w:color w:val="000000" w:themeColor="text1"/>
          </w:rPr>
          <w:t>3. Employability Skills Required</w:t>
        </w:r>
        <w:r w:rsidRPr="00CA1EAE">
          <w:rPr>
            <w:noProof/>
            <w:webHidden/>
            <w:color w:val="000000" w:themeColor="text1"/>
          </w:rPr>
          <w:tab/>
        </w:r>
        <w:r w:rsidRPr="00CA1EAE">
          <w:rPr>
            <w:noProof/>
            <w:webHidden/>
            <w:color w:val="000000" w:themeColor="text1"/>
          </w:rPr>
          <w:fldChar w:fldCharType="begin"/>
        </w:r>
        <w:r w:rsidRPr="00CA1EAE">
          <w:rPr>
            <w:noProof/>
            <w:webHidden/>
            <w:color w:val="000000" w:themeColor="text1"/>
          </w:rPr>
          <w:instrText xml:space="preserve"> PAGEREF _Toc234798165 \h </w:instrText>
        </w:r>
        <w:r w:rsidRPr="00CA1EAE">
          <w:rPr>
            <w:noProof/>
            <w:webHidden/>
            <w:color w:val="000000" w:themeColor="text1"/>
          </w:rPr>
        </w:r>
        <w:r w:rsidRPr="00CA1EAE">
          <w:rPr>
            <w:noProof/>
            <w:webHidden/>
            <w:color w:val="000000" w:themeColor="text1"/>
          </w:rPr>
          <w:fldChar w:fldCharType="separate"/>
        </w:r>
        <w:r w:rsidRPr="00CA1EAE">
          <w:rPr>
            <w:noProof/>
            <w:webHidden/>
            <w:color w:val="000000" w:themeColor="text1"/>
          </w:rPr>
          <w:t>4</w:t>
        </w:r>
        <w:r w:rsidRPr="00CA1EAE">
          <w:rPr>
            <w:noProof/>
            <w:webHidden/>
            <w:color w:val="000000" w:themeColor="text1"/>
          </w:rPr>
          <w:fldChar w:fldCharType="end"/>
        </w:r>
      </w:hyperlink>
    </w:p>
    <w:p w14:paraId="6F3CF460" w14:textId="77777777" w:rsidR="00203B21" w:rsidRPr="00CA1EAE" w:rsidRDefault="00203B21">
      <w:pPr>
        <w:pStyle w:val="TOC1"/>
        <w:tabs>
          <w:tab w:val="right" w:leader="dot" w:pos="9638"/>
        </w:tabs>
        <w:rPr>
          <w:noProof/>
          <w:color w:val="000000" w:themeColor="text1"/>
        </w:rPr>
      </w:pPr>
      <w:hyperlink w:anchor="_Toc234798166" w:history="1">
        <w:r w:rsidRPr="00CA1EAE">
          <w:rPr>
            <w:rStyle w:val="Hyperlink"/>
            <w:rFonts w:cs="Arial"/>
            <w:noProof/>
            <w:color w:val="000000" w:themeColor="text1"/>
          </w:rPr>
          <w:t>4. Evaluation of My Current Skills</w:t>
        </w:r>
        <w:r w:rsidRPr="00CA1EAE">
          <w:rPr>
            <w:noProof/>
            <w:webHidden/>
            <w:color w:val="000000" w:themeColor="text1"/>
          </w:rPr>
          <w:tab/>
        </w:r>
        <w:r w:rsidRPr="00CA1EAE">
          <w:rPr>
            <w:noProof/>
            <w:webHidden/>
            <w:color w:val="000000" w:themeColor="text1"/>
          </w:rPr>
          <w:fldChar w:fldCharType="begin"/>
        </w:r>
        <w:r w:rsidRPr="00CA1EAE">
          <w:rPr>
            <w:noProof/>
            <w:webHidden/>
            <w:color w:val="000000" w:themeColor="text1"/>
          </w:rPr>
          <w:instrText xml:space="preserve"> PAGEREF _Toc234798166 \h </w:instrText>
        </w:r>
        <w:r w:rsidRPr="00CA1EAE">
          <w:rPr>
            <w:noProof/>
            <w:webHidden/>
            <w:color w:val="000000" w:themeColor="text1"/>
          </w:rPr>
        </w:r>
        <w:r w:rsidRPr="00CA1EAE">
          <w:rPr>
            <w:noProof/>
            <w:webHidden/>
            <w:color w:val="000000" w:themeColor="text1"/>
          </w:rPr>
          <w:fldChar w:fldCharType="separate"/>
        </w:r>
        <w:r w:rsidRPr="00CA1EAE">
          <w:rPr>
            <w:noProof/>
            <w:webHidden/>
            <w:color w:val="000000" w:themeColor="text1"/>
          </w:rPr>
          <w:t>4</w:t>
        </w:r>
        <w:r w:rsidRPr="00CA1EAE">
          <w:rPr>
            <w:noProof/>
            <w:webHidden/>
            <w:color w:val="000000" w:themeColor="text1"/>
          </w:rPr>
          <w:fldChar w:fldCharType="end"/>
        </w:r>
      </w:hyperlink>
    </w:p>
    <w:p w14:paraId="1077FCBE" w14:textId="77777777" w:rsidR="00203B21" w:rsidRPr="00CA1EAE" w:rsidRDefault="00203B21">
      <w:pPr>
        <w:pStyle w:val="TOC1"/>
        <w:tabs>
          <w:tab w:val="right" w:leader="dot" w:pos="9638"/>
        </w:tabs>
        <w:rPr>
          <w:noProof/>
          <w:color w:val="000000" w:themeColor="text1"/>
        </w:rPr>
      </w:pPr>
      <w:hyperlink w:anchor="_Toc234798167" w:history="1">
        <w:r w:rsidRPr="00CA1EAE">
          <w:rPr>
            <w:rStyle w:val="Hyperlink"/>
            <w:rFonts w:cs="Arial"/>
            <w:noProof/>
            <w:color w:val="000000" w:themeColor="text1"/>
          </w:rPr>
          <w:t>5. Action Plan and Five-Year Timeline</w:t>
        </w:r>
        <w:r w:rsidRPr="00CA1EAE">
          <w:rPr>
            <w:noProof/>
            <w:webHidden/>
            <w:color w:val="000000" w:themeColor="text1"/>
          </w:rPr>
          <w:tab/>
        </w:r>
        <w:r w:rsidRPr="00CA1EAE">
          <w:rPr>
            <w:noProof/>
            <w:webHidden/>
            <w:color w:val="000000" w:themeColor="text1"/>
          </w:rPr>
          <w:fldChar w:fldCharType="begin"/>
        </w:r>
        <w:r w:rsidRPr="00CA1EAE">
          <w:rPr>
            <w:noProof/>
            <w:webHidden/>
            <w:color w:val="000000" w:themeColor="text1"/>
          </w:rPr>
          <w:instrText xml:space="preserve"> PAGEREF _Toc234798167 \h </w:instrText>
        </w:r>
        <w:r w:rsidRPr="00CA1EAE">
          <w:rPr>
            <w:noProof/>
            <w:webHidden/>
            <w:color w:val="000000" w:themeColor="text1"/>
          </w:rPr>
        </w:r>
        <w:r w:rsidRPr="00CA1EAE">
          <w:rPr>
            <w:noProof/>
            <w:webHidden/>
            <w:color w:val="000000" w:themeColor="text1"/>
          </w:rPr>
          <w:fldChar w:fldCharType="separate"/>
        </w:r>
        <w:r w:rsidRPr="00CA1EAE">
          <w:rPr>
            <w:noProof/>
            <w:webHidden/>
            <w:color w:val="000000" w:themeColor="text1"/>
          </w:rPr>
          <w:t>5</w:t>
        </w:r>
        <w:r w:rsidRPr="00CA1EAE">
          <w:rPr>
            <w:noProof/>
            <w:webHidden/>
            <w:color w:val="000000" w:themeColor="text1"/>
          </w:rPr>
          <w:fldChar w:fldCharType="end"/>
        </w:r>
      </w:hyperlink>
    </w:p>
    <w:p w14:paraId="6627ADDB" w14:textId="77777777" w:rsidR="00203B21" w:rsidRPr="00CA1EAE" w:rsidRDefault="00203B21">
      <w:pPr>
        <w:pStyle w:val="TOC1"/>
        <w:tabs>
          <w:tab w:val="right" w:leader="dot" w:pos="9638"/>
        </w:tabs>
        <w:rPr>
          <w:noProof/>
          <w:color w:val="000000" w:themeColor="text1"/>
        </w:rPr>
      </w:pPr>
      <w:hyperlink w:anchor="_Toc234798168" w:history="1">
        <w:r w:rsidRPr="00CA1EAE">
          <w:rPr>
            <w:rStyle w:val="Hyperlink"/>
            <w:rFonts w:cs="Arial"/>
            <w:noProof/>
            <w:color w:val="000000" w:themeColor="text1"/>
          </w:rPr>
          <w:t>6. Building My Personal Brand</w:t>
        </w:r>
        <w:r w:rsidRPr="00CA1EAE">
          <w:rPr>
            <w:noProof/>
            <w:webHidden/>
            <w:color w:val="000000" w:themeColor="text1"/>
          </w:rPr>
          <w:tab/>
        </w:r>
        <w:r w:rsidRPr="00CA1EAE">
          <w:rPr>
            <w:noProof/>
            <w:webHidden/>
            <w:color w:val="000000" w:themeColor="text1"/>
          </w:rPr>
          <w:fldChar w:fldCharType="begin"/>
        </w:r>
        <w:r w:rsidRPr="00CA1EAE">
          <w:rPr>
            <w:noProof/>
            <w:webHidden/>
            <w:color w:val="000000" w:themeColor="text1"/>
          </w:rPr>
          <w:instrText xml:space="preserve"> PAGEREF _Toc234798168 \h </w:instrText>
        </w:r>
        <w:r w:rsidRPr="00CA1EAE">
          <w:rPr>
            <w:noProof/>
            <w:webHidden/>
            <w:color w:val="000000" w:themeColor="text1"/>
          </w:rPr>
        </w:r>
        <w:r w:rsidRPr="00CA1EAE">
          <w:rPr>
            <w:noProof/>
            <w:webHidden/>
            <w:color w:val="000000" w:themeColor="text1"/>
          </w:rPr>
          <w:fldChar w:fldCharType="separate"/>
        </w:r>
        <w:r w:rsidRPr="00CA1EAE">
          <w:rPr>
            <w:noProof/>
            <w:webHidden/>
            <w:color w:val="000000" w:themeColor="text1"/>
          </w:rPr>
          <w:t>7</w:t>
        </w:r>
        <w:r w:rsidRPr="00CA1EAE">
          <w:rPr>
            <w:noProof/>
            <w:webHidden/>
            <w:color w:val="000000" w:themeColor="text1"/>
          </w:rPr>
          <w:fldChar w:fldCharType="end"/>
        </w:r>
      </w:hyperlink>
    </w:p>
    <w:p w14:paraId="1B45AA8A" w14:textId="77777777" w:rsidR="00203B21" w:rsidRPr="00CA1EAE" w:rsidRDefault="00203B21">
      <w:pPr>
        <w:pStyle w:val="TOC1"/>
        <w:tabs>
          <w:tab w:val="right" w:leader="dot" w:pos="9638"/>
        </w:tabs>
        <w:rPr>
          <w:noProof/>
          <w:color w:val="000000" w:themeColor="text1"/>
        </w:rPr>
      </w:pPr>
      <w:hyperlink w:anchor="_Toc234798169" w:history="1">
        <w:r w:rsidRPr="00CA1EAE">
          <w:rPr>
            <w:rStyle w:val="Hyperlink"/>
            <w:rFonts w:cs="Arial"/>
            <w:noProof/>
            <w:color w:val="000000" w:themeColor="text1"/>
          </w:rPr>
          <w:t>7. Promoting My Professional Identity</w:t>
        </w:r>
        <w:r w:rsidRPr="00CA1EAE">
          <w:rPr>
            <w:noProof/>
            <w:webHidden/>
            <w:color w:val="000000" w:themeColor="text1"/>
          </w:rPr>
          <w:tab/>
        </w:r>
        <w:r w:rsidRPr="00CA1EAE">
          <w:rPr>
            <w:noProof/>
            <w:webHidden/>
            <w:color w:val="000000" w:themeColor="text1"/>
          </w:rPr>
          <w:fldChar w:fldCharType="begin"/>
        </w:r>
        <w:r w:rsidRPr="00CA1EAE">
          <w:rPr>
            <w:noProof/>
            <w:webHidden/>
            <w:color w:val="000000" w:themeColor="text1"/>
          </w:rPr>
          <w:instrText xml:space="preserve"> PAGEREF _Toc234798169 \h </w:instrText>
        </w:r>
        <w:r w:rsidRPr="00CA1EAE">
          <w:rPr>
            <w:noProof/>
            <w:webHidden/>
            <w:color w:val="000000" w:themeColor="text1"/>
          </w:rPr>
        </w:r>
        <w:r w:rsidRPr="00CA1EAE">
          <w:rPr>
            <w:noProof/>
            <w:webHidden/>
            <w:color w:val="000000" w:themeColor="text1"/>
          </w:rPr>
          <w:fldChar w:fldCharType="separate"/>
        </w:r>
        <w:r w:rsidRPr="00CA1EAE">
          <w:rPr>
            <w:noProof/>
            <w:webHidden/>
            <w:color w:val="000000" w:themeColor="text1"/>
          </w:rPr>
          <w:t>7</w:t>
        </w:r>
        <w:r w:rsidRPr="00CA1EAE">
          <w:rPr>
            <w:noProof/>
            <w:webHidden/>
            <w:color w:val="000000" w:themeColor="text1"/>
          </w:rPr>
          <w:fldChar w:fldCharType="end"/>
        </w:r>
      </w:hyperlink>
    </w:p>
    <w:p w14:paraId="5AAC2CE6" w14:textId="77777777" w:rsidR="00203B21" w:rsidRPr="00CA1EAE" w:rsidRDefault="00203B21">
      <w:pPr>
        <w:pStyle w:val="TOC1"/>
        <w:tabs>
          <w:tab w:val="right" w:leader="dot" w:pos="9638"/>
        </w:tabs>
        <w:rPr>
          <w:noProof/>
          <w:color w:val="000000" w:themeColor="text1"/>
        </w:rPr>
      </w:pPr>
      <w:hyperlink w:anchor="_Toc234798170" w:history="1">
        <w:r w:rsidRPr="00CA1EAE">
          <w:rPr>
            <w:rStyle w:val="Hyperlink"/>
            <w:rFonts w:cs="Arial"/>
            <w:noProof/>
            <w:color w:val="000000" w:themeColor="text1"/>
          </w:rPr>
          <w:t>8. Building a Network for Successful Employment</w:t>
        </w:r>
        <w:r w:rsidRPr="00CA1EAE">
          <w:rPr>
            <w:noProof/>
            <w:webHidden/>
            <w:color w:val="000000" w:themeColor="text1"/>
          </w:rPr>
          <w:tab/>
        </w:r>
        <w:r w:rsidRPr="00CA1EAE">
          <w:rPr>
            <w:noProof/>
            <w:webHidden/>
            <w:color w:val="000000" w:themeColor="text1"/>
          </w:rPr>
          <w:fldChar w:fldCharType="begin"/>
        </w:r>
        <w:r w:rsidRPr="00CA1EAE">
          <w:rPr>
            <w:noProof/>
            <w:webHidden/>
            <w:color w:val="000000" w:themeColor="text1"/>
          </w:rPr>
          <w:instrText xml:space="preserve"> PAGEREF _Toc234798170 \h </w:instrText>
        </w:r>
        <w:r w:rsidRPr="00CA1EAE">
          <w:rPr>
            <w:noProof/>
            <w:webHidden/>
            <w:color w:val="000000" w:themeColor="text1"/>
          </w:rPr>
        </w:r>
        <w:r w:rsidRPr="00CA1EAE">
          <w:rPr>
            <w:noProof/>
            <w:webHidden/>
            <w:color w:val="000000" w:themeColor="text1"/>
          </w:rPr>
          <w:fldChar w:fldCharType="separate"/>
        </w:r>
        <w:r w:rsidRPr="00CA1EAE">
          <w:rPr>
            <w:noProof/>
            <w:webHidden/>
            <w:color w:val="000000" w:themeColor="text1"/>
          </w:rPr>
          <w:t>7</w:t>
        </w:r>
        <w:r w:rsidRPr="00CA1EAE">
          <w:rPr>
            <w:noProof/>
            <w:webHidden/>
            <w:color w:val="000000" w:themeColor="text1"/>
          </w:rPr>
          <w:fldChar w:fldCharType="end"/>
        </w:r>
      </w:hyperlink>
    </w:p>
    <w:p w14:paraId="1A43594F" w14:textId="77777777" w:rsidR="00203B21" w:rsidRPr="00CA1EAE" w:rsidRDefault="00203B21">
      <w:pPr>
        <w:pStyle w:val="TOC1"/>
        <w:tabs>
          <w:tab w:val="right" w:leader="dot" w:pos="9638"/>
        </w:tabs>
        <w:rPr>
          <w:noProof/>
          <w:color w:val="000000" w:themeColor="text1"/>
        </w:rPr>
      </w:pPr>
      <w:hyperlink w:anchor="_Toc234798171" w:history="1">
        <w:r w:rsidRPr="00CA1EAE">
          <w:rPr>
            <w:rStyle w:val="Hyperlink"/>
            <w:rFonts w:cs="Arial"/>
            <w:noProof/>
            <w:color w:val="000000" w:themeColor="text1"/>
          </w:rPr>
          <w:t>9. Conclusion</w:t>
        </w:r>
        <w:r w:rsidRPr="00CA1EAE">
          <w:rPr>
            <w:noProof/>
            <w:webHidden/>
            <w:color w:val="000000" w:themeColor="text1"/>
          </w:rPr>
          <w:tab/>
        </w:r>
        <w:r w:rsidRPr="00CA1EAE">
          <w:rPr>
            <w:noProof/>
            <w:webHidden/>
            <w:color w:val="000000" w:themeColor="text1"/>
          </w:rPr>
          <w:fldChar w:fldCharType="begin"/>
        </w:r>
        <w:r w:rsidRPr="00CA1EAE">
          <w:rPr>
            <w:noProof/>
            <w:webHidden/>
            <w:color w:val="000000" w:themeColor="text1"/>
          </w:rPr>
          <w:instrText xml:space="preserve"> PAGEREF _Toc234798171 \h </w:instrText>
        </w:r>
        <w:r w:rsidRPr="00CA1EAE">
          <w:rPr>
            <w:noProof/>
            <w:webHidden/>
            <w:color w:val="000000" w:themeColor="text1"/>
          </w:rPr>
        </w:r>
        <w:r w:rsidRPr="00CA1EAE">
          <w:rPr>
            <w:noProof/>
            <w:webHidden/>
            <w:color w:val="000000" w:themeColor="text1"/>
          </w:rPr>
          <w:fldChar w:fldCharType="separate"/>
        </w:r>
        <w:r w:rsidRPr="00CA1EAE">
          <w:rPr>
            <w:noProof/>
            <w:webHidden/>
            <w:color w:val="000000" w:themeColor="text1"/>
          </w:rPr>
          <w:t>8</w:t>
        </w:r>
        <w:r w:rsidRPr="00CA1EAE">
          <w:rPr>
            <w:noProof/>
            <w:webHidden/>
            <w:color w:val="000000" w:themeColor="text1"/>
          </w:rPr>
          <w:fldChar w:fldCharType="end"/>
        </w:r>
      </w:hyperlink>
    </w:p>
    <w:p w14:paraId="24C5F8CD" w14:textId="77777777" w:rsidR="00203B21" w:rsidRPr="00CA1EAE" w:rsidRDefault="00203B21">
      <w:pPr>
        <w:pStyle w:val="TOC1"/>
        <w:tabs>
          <w:tab w:val="right" w:leader="dot" w:pos="9638"/>
        </w:tabs>
        <w:rPr>
          <w:noProof/>
          <w:color w:val="000000" w:themeColor="text1"/>
        </w:rPr>
      </w:pPr>
      <w:hyperlink w:anchor="_Toc234798172" w:history="1">
        <w:r w:rsidRPr="00CA1EAE">
          <w:rPr>
            <w:rStyle w:val="Hyperlink"/>
            <w:rFonts w:cs="Arial"/>
            <w:noProof/>
            <w:color w:val="000000" w:themeColor="text1"/>
          </w:rPr>
          <w:t>Reference List</w:t>
        </w:r>
        <w:r w:rsidRPr="00CA1EAE">
          <w:rPr>
            <w:noProof/>
            <w:webHidden/>
            <w:color w:val="000000" w:themeColor="text1"/>
          </w:rPr>
          <w:tab/>
        </w:r>
        <w:r w:rsidRPr="00CA1EAE">
          <w:rPr>
            <w:noProof/>
            <w:webHidden/>
            <w:color w:val="000000" w:themeColor="text1"/>
          </w:rPr>
          <w:fldChar w:fldCharType="begin"/>
        </w:r>
        <w:r w:rsidRPr="00CA1EAE">
          <w:rPr>
            <w:noProof/>
            <w:webHidden/>
            <w:color w:val="000000" w:themeColor="text1"/>
          </w:rPr>
          <w:instrText xml:space="preserve"> PAGEREF _Toc234798172 \h </w:instrText>
        </w:r>
        <w:r w:rsidRPr="00CA1EAE">
          <w:rPr>
            <w:noProof/>
            <w:webHidden/>
            <w:color w:val="000000" w:themeColor="text1"/>
          </w:rPr>
        </w:r>
        <w:r w:rsidRPr="00CA1EAE">
          <w:rPr>
            <w:noProof/>
            <w:webHidden/>
            <w:color w:val="000000" w:themeColor="text1"/>
          </w:rPr>
          <w:fldChar w:fldCharType="separate"/>
        </w:r>
        <w:r w:rsidRPr="00CA1EAE">
          <w:rPr>
            <w:noProof/>
            <w:webHidden/>
            <w:color w:val="000000" w:themeColor="text1"/>
          </w:rPr>
          <w:t>9</w:t>
        </w:r>
        <w:r w:rsidRPr="00CA1EAE">
          <w:rPr>
            <w:noProof/>
            <w:webHidden/>
            <w:color w:val="000000" w:themeColor="text1"/>
          </w:rPr>
          <w:fldChar w:fldCharType="end"/>
        </w:r>
      </w:hyperlink>
    </w:p>
    <w:p w14:paraId="59E6A6CA" w14:textId="77777777" w:rsidR="00203B21" w:rsidRPr="00CA1EAE" w:rsidRDefault="00203B21" w:rsidP="00EF70A6">
      <w:pPr>
        <w:spacing w:before="120"/>
        <w:rPr>
          <w:rFonts w:cs="Arial"/>
          <w:color w:val="000000" w:themeColor="text1"/>
        </w:rPr>
      </w:pPr>
      <w:r w:rsidRPr="00CA1EAE">
        <w:rPr>
          <w:rFonts w:cs="Arial"/>
          <w:color w:val="000000" w:themeColor="text1"/>
        </w:rPr>
        <w:fldChar w:fldCharType="end"/>
      </w:r>
    </w:p>
    <w:p w14:paraId="009976D1" w14:textId="77777777" w:rsidR="00CA1EAE" w:rsidRPr="00CA1EAE" w:rsidRDefault="00CA1EAE" w:rsidP="00EF70A6">
      <w:pPr>
        <w:spacing w:before="120"/>
        <w:rPr>
          <w:rFonts w:cs="Arial"/>
          <w:color w:val="000000" w:themeColor="text1"/>
        </w:rPr>
      </w:pPr>
    </w:p>
    <w:p w14:paraId="1A6FE4D4" w14:textId="77777777" w:rsidR="00CA1EAE" w:rsidRPr="00CA1EAE" w:rsidRDefault="00CA1EAE" w:rsidP="00EF70A6">
      <w:pPr>
        <w:spacing w:before="120"/>
        <w:rPr>
          <w:rFonts w:cs="Arial"/>
          <w:color w:val="000000" w:themeColor="text1"/>
        </w:rPr>
      </w:pPr>
    </w:p>
    <w:p w14:paraId="51AA55A2" w14:textId="77777777" w:rsidR="00CA1EAE" w:rsidRPr="00CA1EAE" w:rsidRDefault="00CA1EAE" w:rsidP="00EF70A6">
      <w:pPr>
        <w:spacing w:before="120"/>
        <w:rPr>
          <w:rFonts w:cs="Arial"/>
          <w:color w:val="000000" w:themeColor="text1"/>
        </w:rPr>
      </w:pPr>
    </w:p>
    <w:p w14:paraId="0EA40B2C" w14:textId="77777777" w:rsidR="00CA1EAE" w:rsidRPr="00CA1EAE" w:rsidRDefault="00CA1EAE" w:rsidP="00EF70A6">
      <w:pPr>
        <w:spacing w:before="120"/>
        <w:rPr>
          <w:rFonts w:cs="Arial"/>
          <w:color w:val="000000" w:themeColor="text1"/>
        </w:rPr>
      </w:pPr>
    </w:p>
    <w:p w14:paraId="464D5493" w14:textId="77777777" w:rsidR="00CA1EAE" w:rsidRPr="00CA1EAE" w:rsidRDefault="00CA1EAE" w:rsidP="00EF70A6">
      <w:pPr>
        <w:spacing w:before="120"/>
        <w:rPr>
          <w:rFonts w:cs="Arial"/>
          <w:color w:val="000000" w:themeColor="text1"/>
        </w:rPr>
      </w:pPr>
    </w:p>
    <w:p w14:paraId="1FB27115" w14:textId="77777777" w:rsidR="00CA1EAE" w:rsidRPr="00CA1EAE" w:rsidRDefault="00CA1EAE" w:rsidP="00EF70A6">
      <w:pPr>
        <w:spacing w:before="120"/>
        <w:rPr>
          <w:rFonts w:cs="Arial"/>
          <w:color w:val="000000" w:themeColor="text1"/>
        </w:rPr>
      </w:pPr>
    </w:p>
    <w:p w14:paraId="1BA8F8C4" w14:textId="77777777" w:rsidR="00CA1EAE" w:rsidRPr="00CA1EAE" w:rsidRDefault="00CA1EAE" w:rsidP="00EF70A6">
      <w:pPr>
        <w:spacing w:before="120"/>
        <w:rPr>
          <w:rFonts w:cs="Arial"/>
          <w:color w:val="000000" w:themeColor="text1"/>
        </w:rPr>
      </w:pPr>
    </w:p>
    <w:p w14:paraId="3C5C2B47" w14:textId="77777777" w:rsidR="00CA1EAE" w:rsidRPr="00CA1EAE" w:rsidRDefault="00CA1EAE" w:rsidP="00EF70A6">
      <w:pPr>
        <w:spacing w:before="120"/>
        <w:rPr>
          <w:rFonts w:cs="Arial"/>
          <w:color w:val="000000" w:themeColor="text1"/>
        </w:rPr>
      </w:pPr>
    </w:p>
    <w:p w14:paraId="36F525D9" w14:textId="77777777" w:rsidR="00CA1EAE" w:rsidRPr="00CA1EAE" w:rsidRDefault="00CA1EAE" w:rsidP="00EF70A6">
      <w:pPr>
        <w:spacing w:before="120"/>
        <w:rPr>
          <w:rFonts w:cs="Arial"/>
          <w:color w:val="000000" w:themeColor="text1"/>
        </w:rPr>
      </w:pPr>
    </w:p>
    <w:p w14:paraId="75B9D49D" w14:textId="77777777" w:rsidR="00CA1EAE" w:rsidRPr="00CA1EAE" w:rsidRDefault="00CA1EAE" w:rsidP="00EF70A6">
      <w:pPr>
        <w:spacing w:before="120"/>
        <w:rPr>
          <w:rFonts w:cs="Arial"/>
          <w:color w:val="000000" w:themeColor="text1"/>
        </w:rPr>
      </w:pPr>
    </w:p>
    <w:p w14:paraId="751E829E" w14:textId="77777777" w:rsidR="00CA1EAE" w:rsidRPr="00CA1EAE" w:rsidRDefault="00CA1EAE" w:rsidP="00EF70A6">
      <w:pPr>
        <w:spacing w:before="120"/>
        <w:rPr>
          <w:rFonts w:cs="Arial"/>
          <w:color w:val="000000" w:themeColor="text1"/>
        </w:rPr>
      </w:pPr>
    </w:p>
    <w:p w14:paraId="2E85E3B5" w14:textId="77777777" w:rsidR="00CA1EAE" w:rsidRPr="00CA1EAE" w:rsidRDefault="00CA1EAE" w:rsidP="00EF70A6">
      <w:pPr>
        <w:spacing w:before="120"/>
        <w:rPr>
          <w:rFonts w:cs="Arial"/>
          <w:color w:val="000000" w:themeColor="text1"/>
        </w:rPr>
      </w:pPr>
    </w:p>
    <w:p w14:paraId="617D576A" w14:textId="77777777" w:rsidR="00CA1EAE" w:rsidRPr="00CA1EAE" w:rsidRDefault="00CA1EAE" w:rsidP="00EF70A6">
      <w:pPr>
        <w:spacing w:before="120"/>
        <w:rPr>
          <w:rFonts w:cs="Arial"/>
          <w:color w:val="000000" w:themeColor="text1"/>
        </w:rPr>
      </w:pPr>
    </w:p>
    <w:p w14:paraId="208F7459" w14:textId="77777777" w:rsidR="00CA1EAE" w:rsidRPr="00CA1EAE" w:rsidRDefault="00CA1EAE" w:rsidP="00EF70A6">
      <w:pPr>
        <w:spacing w:before="120"/>
        <w:rPr>
          <w:rFonts w:cs="Arial"/>
          <w:color w:val="000000" w:themeColor="text1"/>
        </w:rPr>
      </w:pPr>
    </w:p>
    <w:p w14:paraId="3A6F30F5" w14:textId="77777777" w:rsidR="001F5208" w:rsidRPr="00CA1EAE" w:rsidRDefault="00DE4F89" w:rsidP="00EF70A6">
      <w:pPr>
        <w:pStyle w:val="Heading1"/>
        <w:spacing w:before="120" w:after="120"/>
        <w:rPr>
          <w:rFonts w:ascii="Arial" w:hAnsi="Arial" w:cs="Arial"/>
          <w:color w:val="000000" w:themeColor="text1"/>
        </w:rPr>
      </w:pPr>
      <w:bookmarkStart w:id="0" w:name="_Toc234798163"/>
      <w:r w:rsidRPr="00CA1EAE">
        <w:rPr>
          <w:rFonts w:ascii="Arial" w:hAnsi="Arial" w:cs="Arial"/>
          <w:color w:val="000000" w:themeColor="text1"/>
        </w:rPr>
        <w:lastRenderedPageBreak/>
        <w:t>1. Introduction</w:t>
      </w:r>
      <w:bookmarkEnd w:id="0"/>
    </w:p>
    <w:p w14:paraId="56B5EA70" w14:textId="77777777" w:rsidR="001F5208" w:rsidRPr="00CA1EAE" w:rsidRDefault="00DE4F89" w:rsidP="00EF70A6">
      <w:pPr>
        <w:spacing w:before="120"/>
        <w:rPr>
          <w:rFonts w:cs="Arial"/>
          <w:color w:val="000000" w:themeColor="text1"/>
        </w:rPr>
      </w:pPr>
      <w:r w:rsidRPr="00CA1EAE">
        <w:rPr>
          <w:rFonts w:cs="Arial"/>
          <w:color w:val="000000" w:themeColor="text1"/>
        </w:rPr>
        <w:t>This report evaluates my suitability for the future role of Social Prescribing Link Worker (SPLW) in UK primary care. Social prescribing is a non-clinical approach that connects people with community services addressing practical, social and emotional factors affecting health. NHS England (n.d.a) explains that link workers give people time, focus on “what matters” to them and co-produce personalised support plans. I am interested in this role because it combines person-centred communication, prevention, community engagement and action on health inequalities. It also offers a realistic progression route from a BSc Health and Social Care degree into multidisciplinary primary care.</w:t>
      </w:r>
    </w:p>
    <w:p w14:paraId="1BEFB6D0" w14:textId="77777777" w:rsidR="001F5208" w:rsidRPr="00CA1EAE" w:rsidRDefault="00DE4F89" w:rsidP="00EF70A6">
      <w:pPr>
        <w:pStyle w:val="Heading1"/>
        <w:spacing w:before="120" w:after="120"/>
        <w:rPr>
          <w:rFonts w:ascii="Arial" w:hAnsi="Arial" w:cs="Arial"/>
          <w:color w:val="000000" w:themeColor="text1"/>
        </w:rPr>
      </w:pPr>
      <w:bookmarkStart w:id="1" w:name="_Toc234798164"/>
      <w:r w:rsidRPr="00CA1EAE">
        <w:rPr>
          <w:rFonts w:ascii="Arial" w:hAnsi="Arial" w:cs="Arial"/>
          <w:color w:val="000000" w:themeColor="text1"/>
        </w:rPr>
        <w:t>2. Job Advertisement and Role Context</w:t>
      </w:r>
      <w:bookmarkEnd w:id="1"/>
    </w:p>
    <w:p w14:paraId="56450129" w14:textId="77777777" w:rsidR="001F5208" w:rsidRPr="00CA1EAE" w:rsidRDefault="00DE4F89" w:rsidP="00EF70A6">
      <w:pPr>
        <w:spacing w:before="120"/>
        <w:rPr>
          <w:rFonts w:cs="Arial"/>
          <w:color w:val="000000" w:themeColor="text1"/>
        </w:rPr>
      </w:pPr>
      <w:r w:rsidRPr="00CA1EAE">
        <w:rPr>
          <w:rFonts w:cs="Arial"/>
          <w:color w:val="000000" w:themeColor="text1"/>
        </w:rPr>
        <w:t>The vacancy selected is Social Prescribing Link Worker with Nottingham City General Practice Alliance, working across three practices in Nottingham City South Primary Care Network. Nottingham City General Practice Alliance (2026) advertises the post as a six-month, full- or part-time role, closing on 22 July 2026. Its purpose is to link patients, GPs and community providers, manage and prioritise a caseload and help people access support for issues such as poor housing, debt and physical inactivity. The advert requires previous health and social care experience and NVQ Level 3, while primary care experience is desirable. It also highlights safeguarding, information governance, accurate records, evidence-based interventions and multidisciplinary teamwork.</w:t>
      </w:r>
    </w:p>
    <w:p w14:paraId="304A5331" w14:textId="77777777" w:rsidR="001F5208" w:rsidRPr="00CA1EAE" w:rsidRDefault="00DE4F89" w:rsidP="00EF70A6">
      <w:pPr>
        <w:spacing w:before="120"/>
        <w:rPr>
          <w:rFonts w:cs="Arial"/>
          <w:color w:val="000000" w:themeColor="text1"/>
        </w:rPr>
      </w:pPr>
      <w:r w:rsidRPr="00CA1EAE">
        <w:rPr>
          <w:rFonts w:cs="Arial"/>
          <w:color w:val="000000" w:themeColor="text1"/>
        </w:rPr>
        <w:t>The role is important because health is influenced by more than medical treatment. NHS England (n.d.b) states that SPLWs connect people to community-based practical, social and emotional support and work particularly well with loneliness, long-term conditions, low-level mental health needs and complex social circumstances. This makes the role central to prevention, personalised care and reducing unequal health outcomes.</w:t>
      </w:r>
    </w:p>
    <w:p w14:paraId="2E665BB7" w14:textId="77777777" w:rsidR="001F5208" w:rsidRPr="00CA1EAE" w:rsidRDefault="00DE4F89" w:rsidP="00C65839">
      <w:pPr>
        <w:spacing w:before="120"/>
        <w:jc w:val="center"/>
        <w:rPr>
          <w:rFonts w:cs="Arial"/>
          <w:color w:val="000000" w:themeColor="text1"/>
        </w:rPr>
      </w:pPr>
      <w:r w:rsidRPr="00CA1EAE">
        <w:rPr>
          <w:rFonts w:cs="Arial"/>
          <w:noProof/>
          <w:color w:val="000000" w:themeColor="text1"/>
        </w:rPr>
        <w:lastRenderedPageBreak/>
        <w:drawing>
          <wp:inline distT="0" distB="0" distL="0" distR="0" wp14:anchorId="573AD8AB" wp14:editId="0796F303">
            <wp:extent cx="5669280" cy="6884126"/>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current_vacancy_extract.png"/>
                    <pic:cNvPicPr/>
                  </pic:nvPicPr>
                  <pic:blipFill>
                    <a:blip r:embed="rId9"/>
                    <a:stretch>
                      <a:fillRect/>
                    </a:stretch>
                  </pic:blipFill>
                  <pic:spPr>
                    <a:xfrm>
                      <a:off x="0" y="0"/>
                      <a:ext cx="5669280" cy="6884126"/>
                    </a:xfrm>
                    <a:prstGeom prst="rect">
                      <a:avLst/>
                    </a:prstGeom>
                  </pic:spPr>
                </pic:pic>
              </a:graphicData>
            </a:graphic>
          </wp:inline>
        </w:drawing>
      </w:r>
    </w:p>
    <w:p w14:paraId="27D937F3" w14:textId="77777777" w:rsidR="001F5208" w:rsidRPr="00CA1EAE" w:rsidRDefault="00DE4F89" w:rsidP="00C65839">
      <w:pPr>
        <w:pStyle w:val="FigureCaption"/>
        <w:spacing w:before="120" w:after="120" w:line="360" w:lineRule="auto"/>
        <w:rPr>
          <w:rFonts w:cs="Arial"/>
          <w:color w:val="000000" w:themeColor="text1"/>
        </w:rPr>
      </w:pPr>
      <w:r w:rsidRPr="00CA1EAE">
        <w:rPr>
          <w:rFonts w:cs="Arial"/>
          <w:color w:val="000000" w:themeColor="text1"/>
        </w:rPr>
        <w:t>Figure 1. Screenshot-style extract of the current vacancy advertisement and person specification (Nottingham City General Practice Alliance, 2026).</w:t>
      </w:r>
    </w:p>
    <w:p w14:paraId="53442F28" w14:textId="77777777" w:rsidR="001F5208" w:rsidRPr="00CA1EAE" w:rsidRDefault="00DE4F89" w:rsidP="00EF70A6">
      <w:pPr>
        <w:pStyle w:val="Heading1"/>
        <w:spacing w:before="120" w:after="120"/>
        <w:rPr>
          <w:rFonts w:ascii="Arial" w:hAnsi="Arial" w:cs="Arial"/>
          <w:color w:val="000000" w:themeColor="text1"/>
        </w:rPr>
      </w:pPr>
      <w:bookmarkStart w:id="2" w:name="_Toc234798165"/>
      <w:r w:rsidRPr="00CA1EAE">
        <w:rPr>
          <w:rFonts w:ascii="Arial" w:hAnsi="Arial" w:cs="Arial"/>
          <w:color w:val="000000" w:themeColor="text1"/>
        </w:rPr>
        <w:t>3. Employability Skills Required</w:t>
      </w:r>
      <w:bookmarkEnd w:id="2"/>
    </w:p>
    <w:p w14:paraId="79D1EF1D" w14:textId="77777777" w:rsidR="001F5208" w:rsidRPr="00CA1EAE" w:rsidRDefault="00DE4F89" w:rsidP="00EF70A6">
      <w:pPr>
        <w:spacing w:before="120"/>
        <w:rPr>
          <w:rFonts w:cs="Arial"/>
          <w:color w:val="000000" w:themeColor="text1"/>
        </w:rPr>
      </w:pPr>
      <w:r w:rsidRPr="00CA1EAE">
        <w:rPr>
          <w:rFonts w:cs="Arial"/>
          <w:color w:val="000000" w:themeColor="text1"/>
        </w:rPr>
        <w:t xml:space="preserve">The vacancy requires a combination of interpersonal, organisational, ethical and digital employability skills. First, communication must be empathetic, culturally responsive and adapted to different levels of health literacy. A link worker needs active listening, appropriate questioning and motivational </w:t>
      </w:r>
      <w:r w:rsidRPr="00CA1EAE">
        <w:rPr>
          <w:rFonts w:cs="Arial"/>
          <w:color w:val="000000" w:themeColor="text1"/>
        </w:rPr>
        <w:lastRenderedPageBreak/>
        <w:t>communication to identify a person’s priorities without imposing solutions. Skills for Care (2025) identifies communication, person-centred practice, privacy, dignity and handling information as core care capabilities.</w:t>
      </w:r>
    </w:p>
    <w:p w14:paraId="05CF26B9" w14:textId="77777777" w:rsidR="001F5208" w:rsidRPr="00CA1EAE" w:rsidRDefault="00DE4F89" w:rsidP="00EF70A6">
      <w:pPr>
        <w:spacing w:before="120"/>
        <w:rPr>
          <w:rFonts w:cs="Arial"/>
          <w:color w:val="000000" w:themeColor="text1"/>
        </w:rPr>
      </w:pPr>
      <w:r w:rsidRPr="00CA1EAE">
        <w:rPr>
          <w:rFonts w:cs="Arial"/>
          <w:color w:val="000000" w:themeColor="text1"/>
        </w:rPr>
        <w:t>Second, relationship-building and teamwork are essential. The postholder must gain the trust of patients and carers while collaborating with GPs, nurses, social care staff, local authorities and voluntary, community and social enterprise organisations. NHS England (2023) places partnership working and effective contribution to the multidisciplinary team among the role’s core functions.</w:t>
      </w:r>
    </w:p>
    <w:p w14:paraId="770D2BFE" w14:textId="77777777" w:rsidR="001F5208" w:rsidRPr="00CA1EAE" w:rsidRDefault="00DE4F89" w:rsidP="00EF70A6">
      <w:pPr>
        <w:spacing w:before="120"/>
        <w:rPr>
          <w:rFonts w:cs="Arial"/>
          <w:color w:val="000000" w:themeColor="text1"/>
        </w:rPr>
      </w:pPr>
      <w:r w:rsidRPr="00CA1EAE">
        <w:rPr>
          <w:rFonts w:cs="Arial"/>
          <w:color w:val="000000" w:themeColor="text1"/>
        </w:rPr>
        <w:t>Third, caseload management requires time management, prioritisation, problem-solving and professional judgement. The worker must distinguish between needs that can be addressed through community support and risks requiring escalation to clinical or safeguarding professionals. UK Parliament (2014), through the Care Act 2014, establishes duties concerning adult wellbeing and safeguarding, while the Department of Health and Social Care (2025) stresses that wellbeing cannot be promoted without safety.</w:t>
      </w:r>
    </w:p>
    <w:p w14:paraId="4F5DB698" w14:textId="77777777" w:rsidR="001F5208" w:rsidRPr="00CA1EAE" w:rsidRDefault="00DE4F89" w:rsidP="00EF70A6">
      <w:pPr>
        <w:spacing w:before="120"/>
        <w:rPr>
          <w:rFonts w:cs="Arial"/>
          <w:color w:val="000000" w:themeColor="text1"/>
        </w:rPr>
      </w:pPr>
      <w:r w:rsidRPr="00CA1EAE">
        <w:rPr>
          <w:rFonts w:cs="Arial"/>
          <w:color w:val="000000" w:themeColor="text1"/>
        </w:rPr>
        <w:t>Fourth, accurate digital recording, confidentiality and outcome measurement are necessary. The Information Commissioner’s Office (2025) explains that health information is sensitive personal data requiring additional protection. The worker must therefore document decisions clearly, share information only when lawful and necessary and evaluate whether referrals improve wellbeing.</w:t>
      </w:r>
    </w:p>
    <w:p w14:paraId="5932C0DB" w14:textId="77777777" w:rsidR="001F5208" w:rsidRPr="00CA1EAE" w:rsidRDefault="00DE4F89" w:rsidP="00EF70A6">
      <w:pPr>
        <w:spacing w:before="120"/>
        <w:rPr>
          <w:rFonts w:cs="Arial"/>
          <w:color w:val="000000" w:themeColor="text1"/>
        </w:rPr>
      </w:pPr>
      <w:r w:rsidRPr="00CA1EAE">
        <w:rPr>
          <w:rFonts w:cs="Arial"/>
          <w:color w:val="000000" w:themeColor="text1"/>
        </w:rPr>
        <w:t>Finally, resilience, adaptability and reflective learning are important because clients may present with distress, poverty, isolation or multiple unmet needs. Fugate, Kinicki and Ashforth (2004) describe employability as the interaction of career identity, adaptability and human and social capital. These dimensions fit a role that continuously learns from communities and changing services.</w:t>
      </w:r>
    </w:p>
    <w:p w14:paraId="0B1D7105" w14:textId="77777777" w:rsidR="001F5208" w:rsidRPr="00CA1EAE" w:rsidRDefault="00DE4F89" w:rsidP="00EF70A6">
      <w:pPr>
        <w:pStyle w:val="Heading1"/>
        <w:spacing w:before="120" w:after="120"/>
        <w:rPr>
          <w:rFonts w:ascii="Arial" w:hAnsi="Arial" w:cs="Arial"/>
          <w:color w:val="000000" w:themeColor="text1"/>
        </w:rPr>
      </w:pPr>
      <w:bookmarkStart w:id="3" w:name="_Toc234798166"/>
      <w:r w:rsidRPr="00CA1EAE">
        <w:rPr>
          <w:rFonts w:ascii="Arial" w:hAnsi="Arial" w:cs="Arial"/>
          <w:color w:val="000000" w:themeColor="text1"/>
        </w:rPr>
        <w:t>4. Evaluation of My Current Skills</w:t>
      </w:r>
      <w:bookmarkEnd w:id="3"/>
    </w:p>
    <w:p w14:paraId="03859008" w14:textId="77777777" w:rsidR="001F5208" w:rsidRPr="00CA1EAE" w:rsidRDefault="00DE4F89" w:rsidP="00EF70A6">
      <w:pPr>
        <w:spacing w:before="120"/>
        <w:rPr>
          <w:rFonts w:cs="Arial"/>
          <w:color w:val="000000" w:themeColor="text1"/>
        </w:rPr>
      </w:pPr>
      <w:r w:rsidRPr="00CA1EAE">
        <w:rPr>
          <w:rFonts w:cs="Arial"/>
          <w:color w:val="000000" w:themeColor="text1"/>
        </w:rPr>
        <w:t>My present strengths come mainly from my BSc Health and Social Care learning rather than from assumed employment experience. Academic work has developed my understanding of person-centred care, health inequalities, safeguarding, ethics and the wider determinants of health. Group presentations and written assignments provide evidence of teamwork, research, professional writing and communicating complex topics clearly. These strengths align with the role’s need to explain options, work across professional boundaries and use evidence to support decisions.</w:t>
      </w:r>
    </w:p>
    <w:p w14:paraId="35F333C3" w14:textId="77777777" w:rsidR="001F5208" w:rsidRPr="00CA1EAE" w:rsidRDefault="00DE4F89" w:rsidP="00EF70A6">
      <w:pPr>
        <w:spacing w:before="120"/>
        <w:rPr>
          <w:rFonts w:cs="Arial"/>
          <w:color w:val="000000" w:themeColor="text1"/>
        </w:rPr>
      </w:pPr>
      <w:r w:rsidRPr="00CA1EAE">
        <w:rPr>
          <w:rFonts w:cs="Arial"/>
          <w:color w:val="000000" w:themeColor="text1"/>
        </w:rPr>
        <w:t xml:space="preserve">I would add value through a respectful, holistic approach. My proposed unique selling point is the ability to combine compassion with structured follow-through: listening carefully, identifying the person’s priority, researching appropriate local support and recording actions and outcomes accurately. UK Parliament (2010), through the Equality Act 2010, requires services to avoid discrimination across protected characteristics. I would therefore aim to make referrals inclusive and </w:t>
      </w:r>
      <w:r w:rsidRPr="00CA1EAE">
        <w:rPr>
          <w:rFonts w:cs="Arial"/>
          <w:color w:val="000000" w:themeColor="text1"/>
        </w:rPr>
        <w:lastRenderedPageBreak/>
        <w:t>consider language, culture, disability, financial barriers and digital exclusion instead of offering the same response to every person.</w:t>
      </w:r>
    </w:p>
    <w:p w14:paraId="4E1583CD" w14:textId="77777777" w:rsidR="001F5208" w:rsidRPr="00CA1EAE" w:rsidRDefault="00DE4F89" w:rsidP="00EF70A6">
      <w:pPr>
        <w:spacing w:before="120"/>
        <w:rPr>
          <w:rFonts w:cs="Arial"/>
          <w:color w:val="000000" w:themeColor="text1"/>
        </w:rPr>
      </w:pPr>
      <w:r w:rsidRPr="00CA1EAE">
        <w:rPr>
          <w:rFonts w:cs="Arial"/>
          <w:color w:val="000000" w:themeColor="text1"/>
        </w:rPr>
        <w:t>However, my self-assessment identifies important gaps. I do not currently claim verified UK primary care experience, independent caseload responsibility or a completed role-specific Level 3 social prescribing qualification. I also need stronger practical evidence in risk identification, safeguarding escalation, NHS information systems, community asset mapping, motivational interviewing and outcome tools. A degree-level course provides useful theory, but it does not automatically demonstrate safe competence in practice.</w:t>
      </w:r>
    </w:p>
    <w:p w14:paraId="2A6E1FA6" w14:textId="77777777" w:rsidR="001F5208" w:rsidRPr="00CA1EAE" w:rsidRDefault="00DE4F89" w:rsidP="00EF70A6">
      <w:pPr>
        <w:spacing w:before="120"/>
        <w:rPr>
          <w:rFonts w:cs="Arial"/>
          <w:color w:val="000000" w:themeColor="text1"/>
        </w:rPr>
      </w:pPr>
      <w:r w:rsidRPr="00CA1EAE">
        <w:rPr>
          <w:rFonts w:cs="Arial"/>
          <w:color w:val="000000" w:themeColor="text1"/>
        </w:rPr>
        <w:t>I will assess progress through a skills audit mapped against the NHS England workforce framework, a SWOT analysis, feedback from tutors and placement supervisors and a continuing professional development portfolio. Schön (1983) argues that professionals develop through reflection on practice, while Kolb (1984) presents learning as a cycle of experience, reflection, conceptualisation and experimentation. After each volunteering or placement activity, I will therefore record what happened, what I learned, what evidence was produced and what I will change.</w:t>
      </w:r>
    </w:p>
    <w:p w14:paraId="5DC0E46A" w14:textId="77777777" w:rsidR="001F5208" w:rsidRPr="00CA1EAE" w:rsidRDefault="00DE4F89" w:rsidP="00EF70A6">
      <w:pPr>
        <w:spacing w:before="120"/>
        <w:rPr>
          <w:rFonts w:cs="Arial"/>
          <w:color w:val="000000" w:themeColor="text1"/>
        </w:rPr>
      </w:pPr>
      <w:r w:rsidRPr="00CA1EAE">
        <w:rPr>
          <w:rFonts w:cs="Arial"/>
          <w:color w:val="000000" w:themeColor="text1"/>
        </w:rPr>
        <w:t>Support should come from a university careers adviser, module tutors, a placement supervisor, an experienced SPLW mentor and safeguarding or information-governance trainers. Their feedback will help test my self-perception against observed performance. I will also request mock interviews and review job descriptions every six months so that my development remains aligned with current employer expectations.</w:t>
      </w:r>
    </w:p>
    <w:p w14:paraId="4C07B0CA" w14:textId="77777777" w:rsidR="001F5208" w:rsidRPr="00CA1EAE" w:rsidRDefault="00DE4F89" w:rsidP="00EF70A6">
      <w:pPr>
        <w:pStyle w:val="Heading1"/>
        <w:spacing w:before="120" w:after="120"/>
        <w:rPr>
          <w:rFonts w:ascii="Arial" w:hAnsi="Arial" w:cs="Arial"/>
          <w:color w:val="000000" w:themeColor="text1"/>
        </w:rPr>
      </w:pPr>
      <w:bookmarkStart w:id="4" w:name="_Toc234798167"/>
      <w:r w:rsidRPr="00CA1EAE">
        <w:rPr>
          <w:rFonts w:ascii="Arial" w:hAnsi="Arial" w:cs="Arial"/>
          <w:color w:val="000000" w:themeColor="text1"/>
        </w:rPr>
        <w:t>5. Action Plan and Five-Year Timeline</w:t>
      </w:r>
      <w:bookmarkEnd w:id="4"/>
    </w:p>
    <w:p w14:paraId="5E162001" w14:textId="77777777" w:rsidR="001F5208" w:rsidRPr="00CA1EAE" w:rsidRDefault="00DE4F89" w:rsidP="00EF70A6">
      <w:pPr>
        <w:spacing w:before="120"/>
        <w:rPr>
          <w:rFonts w:cs="Arial"/>
          <w:color w:val="000000" w:themeColor="text1"/>
        </w:rPr>
      </w:pPr>
      <w:r w:rsidRPr="00CA1EAE">
        <w:rPr>
          <w:rFonts w:cs="Arial"/>
          <w:color w:val="000000" w:themeColor="text1"/>
        </w:rPr>
        <w:t>My development plan uses measurable stages rather than relying on the degree alone. The Personalised Care Institute (n.d.) states that SPLWs should complete approved Level 3 training or an appropriate Level 3 apprenticeship and identifies modules on personalised support planning, partnerships, safeguarding, records, mental health and culturally responsive practice. I will use these standards to select training.</w:t>
      </w:r>
    </w:p>
    <w:p w14:paraId="11D6B26A" w14:textId="77777777" w:rsidR="001F5208" w:rsidRPr="00CA1EAE" w:rsidRDefault="00DE4F89" w:rsidP="00EF70A6">
      <w:pPr>
        <w:spacing w:before="120"/>
        <w:rPr>
          <w:rFonts w:cs="Arial"/>
          <w:color w:val="000000" w:themeColor="text1"/>
        </w:rPr>
      </w:pPr>
      <w:r w:rsidRPr="00CA1EAE">
        <w:rPr>
          <w:rFonts w:cs="Arial"/>
          <w:color w:val="000000" w:themeColor="text1"/>
        </w:rPr>
        <w:t>In the first six months, I will complete a baseline skills audit, update my CV and LinkedIn profile and undertake introductory training in adult and child safeguarding, confidentiality, equality, mental health awareness and basic life support. I will apply for weekly volunteering with an NHS, charity, befriending, welfare-advice or community organisation. NHS England (n.d.c) describes volunteering as a route to support communities while developing skills.</w:t>
      </w:r>
    </w:p>
    <w:p w14:paraId="74873D22" w14:textId="77777777" w:rsidR="001F5208" w:rsidRPr="00CA1EAE" w:rsidRDefault="00DE4F89" w:rsidP="00EF70A6">
      <w:pPr>
        <w:spacing w:before="120"/>
        <w:rPr>
          <w:rFonts w:cs="Arial"/>
          <w:color w:val="000000" w:themeColor="text1"/>
        </w:rPr>
      </w:pPr>
      <w:r w:rsidRPr="00CA1EAE">
        <w:rPr>
          <w:rFonts w:cs="Arial"/>
          <w:color w:val="000000" w:themeColor="text1"/>
        </w:rPr>
        <w:t xml:space="preserve">By months six to eighteen, I will complete an approved Social Prescribing Link Worker Level 3 programme or Community Health and Wellbeing Worker pathway. I will seek a supervised placement that involves signposting, person-centred conversations, community mapping and record keeping. </w:t>
      </w:r>
      <w:r w:rsidRPr="00CA1EAE">
        <w:rPr>
          <w:rFonts w:cs="Arial"/>
          <w:color w:val="000000" w:themeColor="text1"/>
        </w:rPr>
        <w:lastRenderedPageBreak/>
        <w:t>Evidence will include certificates, reflective accounts, supervisor feedback and anonymised case examples.</w:t>
      </w:r>
    </w:p>
    <w:p w14:paraId="03413D23" w14:textId="77777777" w:rsidR="001F5208" w:rsidRPr="00CA1EAE" w:rsidRDefault="00DE4F89" w:rsidP="00EF70A6">
      <w:pPr>
        <w:spacing w:before="120"/>
        <w:rPr>
          <w:rFonts w:cs="Arial"/>
          <w:color w:val="000000" w:themeColor="text1"/>
        </w:rPr>
      </w:pPr>
      <w:r w:rsidRPr="00CA1EAE">
        <w:rPr>
          <w:rFonts w:cs="Arial"/>
          <w:color w:val="000000" w:themeColor="text1"/>
        </w:rPr>
        <w:t>During years two and three, I will target paid roles such as community connector, wellbeing assistant, care navigator or trainee link worker. I will develop competence in motivational interviewing, risk management, caseload prioritisation, digital records and outcome measurement. During years three to five, I will apply for SPLW posts in PCNs and voluntary-sector providers, tailoring each application to the person specification. After securing employment, I will maintain CPD and seek specialist experience in mental health, loneliness or welfare support.</w:t>
      </w:r>
    </w:p>
    <w:p w14:paraId="78D31DE3" w14:textId="77777777" w:rsidR="00A3063A" w:rsidRPr="00CA1EAE" w:rsidRDefault="00A3063A" w:rsidP="00932BE7">
      <w:pPr>
        <w:pStyle w:val="Caption"/>
        <w:keepNext/>
        <w:spacing w:before="120" w:line="360" w:lineRule="auto"/>
        <w:jc w:val="center"/>
        <w:rPr>
          <w:rFonts w:cs="Arial"/>
          <w:color w:val="000000" w:themeColor="text1"/>
        </w:rPr>
      </w:pPr>
      <w:r w:rsidRPr="00CA1EAE">
        <w:rPr>
          <w:rFonts w:cs="Arial"/>
          <w:color w:val="000000" w:themeColor="text1"/>
        </w:rPr>
        <w:t xml:space="preserve">Table </w:t>
      </w:r>
      <w:r w:rsidRPr="00CA1EAE">
        <w:rPr>
          <w:rFonts w:cs="Arial"/>
          <w:color w:val="000000" w:themeColor="text1"/>
        </w:rPr>
        <w:fldChar w:fldCharType="begin"/>
      </w:r>
      <w:r w:rsidRPr="00CA1EAE">
        <w:rPr>
          <w:rFonts w:cs="Arial"/>
          <w:color w:val="000000" w:themeColor="text1"/>
        </w:rPr>
        <w:instrText xml:space="preserve"> SEQ Table \* ARABIC </w:instrText>
      </w:r>
      <w:r w:rsidRPr="00CA1EAE">
        <w:rPr>
          <w:rFonts w:cs="Arial"/>
          <w:color w:val="000000" w:themeColor="text1"/>
        </w:rPr>
        <w:fldChar w:fldCharType="separate"/>
      </w:r>
      <w:r w:rsidRPr="00CA1EAE">
        <w:rPr>
          <w:rFonts w:cs="Arial"/>
          <w:noProof/>
          <w:color w:val="000000" w:themeColor="text1"/>
        </w:rPr>
        <w:t>1</w:t>
      </w:r>
      <w:r w:rsidRPr="00CA1EAE">
        <w:rPr>
          <w:rFonts w:cs="Arial"/>
          <w:color w:val="000000" w:themeColor="text1"/>
        </w:rPr>
        <w:fldChar w:fldCharType="end"/>
      </w:r>
      <w:r w:rsidRPr="00CA1EAE">
        <w:rPr>
          <w:rFonts w:cs="Arial"/>
          <w:color w:val="000000" w:themeColor="text1"/>
        </w:rPr>
        <w:t>: Development action plan</w:t>
      </w:r>
    </w:p>
    <w:tbl>
      <w:tblPr>
        <w:tblStyle w:val="TableGrid"/>
        <w:tblW w:w="0" w:type="auto"/>
        <w:jc w:val="center"/>
        <w:tblLook w:val="04A0" w:firstRow="1" w:lastRow="0" w:firstColumn="1" w:lastColumn="0" w:noHBand="0" w:noVBand="1"/>
      </w:tblPr>
      <w:tblGrid>
        <w:gridCol w:w="2164"/>
        <w:gridCol w:w="2682"/>
        <w:gridCol w:w="2538"/>
        <w:gridCol w:w="2254"/>
      </w:tblGrid>
      <w:tr w:rsidR="00CA1EAE" w:rsidRPr="00CA1EAE" w14:paraId="53440473" w14:textId="77777777" w:rsidTr="00A3063A">
        <w:trPr>
          <w:jc w:val="center"/>
        </w:trPr>
        <w:tc>
          <w:tcPr>
            <w:tcW w:w="2239" w:type="dxa"/>
            <w:shd w:val="clear" w:color="auto" w:fill="1F3D5B"/>
            <w:vAlign w:val="center"/>
          </w:tcPr>
          <w:p w14:paraId="562E73D1" w14:textId="77777777" w:rsidR="001F5208" w:rsidRPr="00932BE7" w:rsidRDefault="00DE4F89" w:rsidP="00EF70A6">
            <w:pPr>
              <w:spacing w:before="120"/>
              <w:rPr>
                <w:rFonts w:cs="Arial"/>
                <w:color w:val="FFFFFF" w:themeColor="background1"/>
              </w:rPr>
            </w:pPr>
            <w:r w:rsidRPr="00932BE7">
              <w:rPr>
                <w:rFonts w:cs="Arial"/>
                <w:b/>
                <w:color w:val="FFFFFF" w:themeColor="background1"/>
                <w:sz w:val="18"/>
              </w:rPr>
              <w:t>Timeline</w:t>
            </w:r>
          </w:p>
        </w:tc>
        <w:tc>
          <w:tcPr>
            <w:tcW w:w="2756" w:type="dxa"/>
            <w:shd w:val="clear" w:color="auto" w:fill="1F3D5B"/>
            <w:vAlign w:val="center"/>
          </w:tcPr>
          <w:p w14:paraId="4F1E0E7D" w14:textId="77777777" w:rsidR="001F5208" w:rsidRPr="00932BE7" w:rsidRDefault="00DE4F89" w:rsidP="00EF70A6">
            <w:pPr>
              <w:spacing w:before="120"/>
              <w:rPr>
                <w:rFonts w:cs="Arial"/>
                <w:color w:val="FFFFFF" w:themeColor="background1"/>
              </w:rPr>
            </w:pPr>
            <w:r w:rsidRPr="00932BE7">
              <w:rPr>
                <w:rFonts w:cs="Arial"/>
                <w:b/>
                <w:color w:val="FFFFFF" w:themeColor="background1"/>
                <w:sz w:val="18"/>
              </w:rPr>
              <w:t>Planned action</w:t>
            </w:r>
          </w:p>
        </w:tc>
        <w:tc>
          <w:tcPr>
            <w:tcW w:w="2576" w:type="dxa"/>
            <w:shd w:val="clear" w:color="auto" w:fill="1F3D5B"/>
            <w:vAlign w:val="center"/>
          </w:tcPr>
          <w:p w14:paraId="4F1EAB06" w14:textId="77777777" w:rsidR="001F5208" w:rsidRPr="00932BE7" w:rsidRDefault="00DE4F89" w:rsidP="00EF70A6">
            <w:pPr>
              <w:spacing w:before="120"/>
              <w:rPr>
                <w:rFonts w:cs="Arial"/>
                <w:color w:val="FFFFFF" w:themeColor="background1"/>
              </w:rPr>
            </w:pPr>
            <w:r w:rsidRPr="00932BE7">
              <w:rPr>
                <w:rFonts w:cs="Arial"/>
                <w:b/>
                <w:color w:val="FFFFFF" w:themeColor="background1"/>
                <w:sz w:val="18"/>
              </w:rPr>
              <w:t>Evidence/resources</w:t>
            </w:r>
          </w:p>
        </w:tc>
        <w:tc>
          <w:tcPr>
            <w:tcW w:w="2293" w:type="dxa"/>
            <w:shd w:val="clear" w:color="auto" w:fill="1F3D5B"/>
            <w:vAlign w:val="center"/>
          </w:tcPr>
          <w:p w14:paraId="6693E84F" w14:textId="77777777" w:rsidR="001F5208" w:rsidRPr="00932BE7" w:rsidRDefault="00DE4F89" w:rsidP="00EF70A6">
            <w:pPr>
              <w:spacing w:before="120"/>
              <w:rPr>
                <w:rFonts w:cs="Arial"/>
                <w:color w:val="FFFFFF" w:themeColor="background1"/>
              </w:rPr>
            </w:pPr>
            <w:r w:rsidRPr="00932BE7">
              <w:rPr>
                <w:rFonts w:cs="Arial"/>
                <w:b/>
                <w:color w:val="FFFFFF" w:themeColor="background1"/>
                <w:sz w:val="18"/>
              </w:rPr>
              <w:t>Success measure</w:t>
            </w:r>
          </w:p>
        </w:tc>
      </w:tr>
      <w:tr w:rsidR="00CA1EAE" w:rsidRPr="00CA1EAE" w14:paraId="4D1DF309" w14:textId="77777777" w:rsidTr="00932BE7">
        <w:trPr>
          <w:jc w:val="center"/>
        </w:trPr>
        <w:tc>
          <w:tcPr>
            <w:tcW w:w="2239" w:type="dxa"/>
            <w:shd w:val="clear" w:color="auto" w:fill="D9D9D9" w:themeFill="background1" w:themeFillShade="D9"/>
          </w:tcPr>
          <w:p w14:paraId="736BA33D" w14:textId="77777777" w:rsidR="001F5208" w:rsidRPr="00932BE7" w:rsidRDefault="00DE4F89" w:rsidP="00EF70A6">
            <w:pPr>
              <w:spacing w:before="120"/>
              <w:rPr>
                <w:rFonts w:cs="Arial"/>
                <w:color w:val="000000" w:themeColor="text1"/>
                <w:sz w:val="20"/>
              </w:rPr>
            </w:pPr>
            <w:r w:rsidRPr="00932BE7">
              <w:rPr>
                <w:rFonts w:cs="Arial"/>
                <w:color w:val="000000" w:themeColor="text1"/>
                <w:sz w:val="20"/>
              </w:rPr>
              <w:t>0–6 months</w:t>
            </w:r>
          </w:p>
        </w:tc>
        <w:tc>
          <w:tcPr>
            <w:tcW w:w="2756" w:type="dxa"/>
            <w:shd w:val="clear" w:color="auto" w:fill="D9D9D9" w:themeFill="background1" w:themeFillShade="D9"/>
          </w:tcPr>
          <w:p w14:paraId="036257D8" w14:textId="77777777" w:rsidR="001F5208" w:rsidRPr="00932BE7" w:rsidRDefault="00DE4F89" w:rsidP="00EF70A6">
            <w:pPr>
              <w:spacing w:before="120"/>
              <w:rPr>
                <w:rFonts w:cs="Arial"/>
                <w:color w:val="000000" w:themeColor="text1"/>
                <w:sz w:val="20"/>
              </w:rPr>
            </w:pPr>
            <w:r w:rsidRPr="00932BE7">
              <w:rPr>
                <w:rFonts w:cs="Arial"/>
                <w:color w:val="000000" w:themeColor="text1"/>
                <w:sz w:val="20"/>
              </w:rPr>
              <w:t>Complete skills audit; update CV and LinkedIn; finish safeguarding, confidentiality, equality, mental-health awareness and basic-life-support learning.</w:t>
            </w:r>
          </w:p>
        </w:tc>
        <w:tc>
          <w:tcPr>
            <w:tcW w:w="2576" w:type="dxa"/>
            <w:shd w:val="clear" w:color="auto" w:fill="D9D9D9" w:themeFill="background1" w:themeFillShade="D9"/>
          </w:tcPr>
          <w:p w14:paraId="6ED0B688" w14:textId="77777777" w:rsidR="001F5208" w:rsidRPr="00932BE7" w:rsidRDefault="00DE4F89" w:rsidP="00EF70A6">
            <w:pPr>
              <w:spacing w:before="120"/>
              <w:rPr>
                <w:rFonts w:cs="Arial"/>
                <w:color w:val="000000" w:themeColor="text1"/>
                <w:sz w:val="20"/>
              </w:rPr>
            </w:pPr>
            <w:r w:rsidRPr="00932BE7">
              <w:rPr>
                <w:rFonts w:cs="Arial"/>
                <w:color w:val="000000" w:themeColor="text1"/>
                <w:sz w:val="20"/>
              </w:rPr>
              <w:t>Skills matrix, certificates and two mock-interview feedback records.</w:t>
            </w:r>
          </w:p>
        </w:tc>
        <w:tc>
          <w:tcPr>
            <w:tcW w:w="2293" w:type="dxa"/>
            <w:shd w:val="clear" w:color="auto" w:fill="D9D9D9" w:themeFill="background1" w:themeFillShade="D9"/>
          </w:tcPr>
          <w:p w14:paraId="57F78108" w14:textId="77777777" w:rsidR="001F5208" w:rsidRPr="00932BE7" w:rsidRDefault="00DE4F89" w:rsidP="00EF70A6">
            <w:pPr>
              <w:spacing w:before="120"/>
              <w:rPr>
                <w:rFonts w:cs="Arial"/>
                <w:color w:val="000000" w:themeColor="text1"/>
                <w:sz w:val="20"/>
              </w:rPr>
            </w:pPr>
            <w:r w:rsidRPr="00932BE7">
              <w:rPr>
                <w:rFonts w:cs="Arial"/>
                <w:color w:val="000000" w:themeColor="text1"/>
                <w:sz w:val="20"/>
              </w:rPr>
              <w:t>All introductory learning completed and one suitable volunteering role secured.</w:t>
            </w:r>
          </w:p>
        </w:tc>
      </w:tr>
      <w:tr w:rsidR="00CA1EAE" w:rsidRPr="00CA1EAE" w14:paraId="2A101E3B" w14:textId="77777777" w:rsidTr="00932BE7">
        <w:trPr>
          <w:jc w:val="center"/>
        </w:trPr>
        <w:tc>
          <w:tcPr>
            <w:tcW w:w="2239" w:type="dxa"/>
            <w:shd w:val="clear" w:color="auto" w:fill="D9D9D9" w:themeFill="background1" w:themeFillShade="D9"/>
          </w:tcPr>
          <w:p w14:paraId="11018606" w14:textId="77777777" w:rsidR="001F5208" w:rsidRPr="00932BE7" w:rsidRDefault="00DE4F89" w:rsidP="00EF70A6">
            <w:pPr>
              <w:spacing w:before="120"/>
              <w:rPr>
                <w:rFonts w:cs="Arial"/>
                <w:color w:val="000000" w:themeColor="text1"/>
                <w:sz w:val="20"/>
              </w:rPr>
            </w:pPr>
            <w:r w:rsidRPr="00932BE7">
              <w:rPr>
                <w:rFonts w:cs="Arial"/>
                <w:color w:val="000000" w:themeColor="text1"/>
                <w:sz w:val="20"/>
              </w:rPr>
              <w:t>6–18 months</w:t>
            </w:r>
          </w:p>
        </w:tc>
        <w:tc>
          <w:tcPr>
            <w:tcW w:w="2756" w:type="dxa"/>
            <w:shd w:val="clear" w:color="auto" w:fill="D9D9D9" w:themeFill="background1" w:themeFillShade="D9"/>
          </w:tcPr>
          <w:p w14:paraId="027F6149" w14:textId="77777777" w:rsidR="001F5208" w:rsidRPr="00932BE7" w:rsidRDefault="00DE4F89" w:rsidP="00EF70A6">
            <w:pPr>
              <w:spacing w:before="120"/>
              <w:rPr>
                <w:rFonts w:cs="Arial"/>
                <w:color w:val="000000" w:themeColor="text1"/>
                <w:sz w:val="20"/>
              </w:rPr>
            </w:pPr>
            <w:r w:rsidRPr="00932BE7">
              <w:rPr>
                <w:rFonts w:cs="Arial"/>
                <w:color w:val="000000" w:themeColor="text1"/>
                <w:sz w:val="20"/>
              </w:rPr>
              <w:t>Complete approved Level 3 SPLW training or Community Health and Wellbeing Worker pathway; begin supervised community experience.</w:t>
            </w:r>
          </w:p>
        </w:tc>
        <w:tc>
          <w:tcPr>
            <w:tcW w:w="2576" w:type="dxa"/>
            <w:shd w:val="clear" w:color="auto" w:fill="D9D9D9" w:themeFill="background1" w:themeFillShade="D9"/>
          </w:tcPr>
          <w:p w14:paraId="6BC3DD79" w14:textId="77777777" w:rsidR="001F5208" w:rsidRPr="00932BE7" w:rsidRDefault="00DE4F89" w:rsidP="00EF70A6">
            <w:pPr>
              <w:spacing w:before="120"/>
              <w:rPr>
                <w:rFonts w:cs="Arial"/>
                <w:color w:val="000000" w:themeColor="text1"/>
                <w:sz w:val="20"/>
              </w:rPr>
            </w:pPr>
            <w:r w:rsidRPr="00932BE7">
              <w:rPr>
                <w:rFonts w:cs="Arial"/>
                <w:color w:val="000000" w:themeColor="text1"/>
                <w:sz w:val="20"/>
              </w:rPr>
              <w:t>Qualification record, at least 80 supervised hours and monthly reflective entries.</w:t>
            </w:r>
          </w:p>
        </w:tc>
        <w:tc>
          <w:tcPr>
            <w:tcW w:w="2293" w:type="dxa"/>
            <w:shd w:val="clear" w:color="auto" w:fill="D9D9D9" w:themeFill="background1" w:themeFillShade="D9"/>
          </w:tcPr>
          <w:p w14:paraId="54144E63" w14:textId="77777777" w:rsidR="001F5208" w:rsidRPr="00932BE7" w:rsidRDefault="00DE4F89" w:rsidP="00EF70A6">
            <w:pPr>
              <w:spacing w:before="120"/>
              <w:rPr>
                <w:rFonts w:cs="Arial"/>
                <w:color w:val="000000" w:themeColor="text1"/>
                <w:sz w:val="20"/>
              </w:rPr>
            </w:pPr>
            <w:r w:rsidRPr="00932BE7">
              <w:rPr>
                <w:rFonts w:cs="Arial"/>
                <w:color w:val="000000" w:themeColor="text1"/>
                <w:sz w:val="20"/>
              </w:rPr>
              <w:t>Supervisor confirms competence in communication, signposting and professional boundaries.</w:t>
            </w:r>
          </w:p>
        </w:tc>
      </w:tr>
      <w:tr w:rsidR="00CA1EAE" w:rsidRPr="00CA1EAE" w14:paraId="04B78FF6" w14:textId="77777777" w:rsidTr="00932BE7">
        <w:trPr>
          <w:jc w:val="center"/>
        </w:trPr>
        <w:tc>
          <w:tcPr>
            <w:tcW w:w="2239" w:type="dxa"/>
            <w:shd w:val="clear" w:color="auto" w:fill="D9D9D9" w:themeFill="background1" w:themeFillShade="D9"/>
          </w:tcPr>
          <w:p w14:paraId="47649759" w14:textId="77777777" w:rsidR="001F5208" w:rsidRPr="00932BE7" w:rsidRDefault="00DE4F89" w:rsidP="00EF70A6">
            <w:pPr>
              <w:spacing w:before="120"/>
              <w:rPr>
                <w:rFonts w:cs="Arial"/>
                <w:color w:val="000000" w:themeColor="text1"/>
                <w:sz w:val="20"/>
              </w:rPr>
            </w:pPr>
            <w:r w:rsidRPr="00932BE7">
              <w:rPr>
                <w:rFonts w:cs="Arial"/>
                <w:color w:val="000000" w:themeColor="text1"/>
                <w:sz w:val="20"/>
              </w:rPr>
              <w:t>Years 2–3</w:t>
            </w:r>
          </w:p>
        </w:tc>
        <w:tc>
          <w:tcPr>
            <w:tcW w:w="2756" w:type="dxa"/>
            <w:shd w:val="clear" w:color="auto" w:fill="D9D9D9" w:themeFill="background1" w:themeFillShade="D9"/>
          </w:tcPr>
          <w:p w14:paraId="790F09F8" w14:textId="77777777" w:rsidR="001F5208" w:rsidRPr="00932BE7" w:rsidRDefault="00DE4F89" w:rsidP="00EF70A6">
            <w:pPr>
              <w:spacing w:before="120"/>
              <w:rPr>
                <w:rFonts w:cs="Arial"/>
                <w:color w:val="000000" w:themeColor="text1"/>
                <w:sz w:val="20"/>
              </w:rPr>
            </w:pPr>
            <w:r w:rsidRPr="00932BE7">
              <w:rPr>
                <w:rFonts w:cs="Arial"/>
                <w:color w:val="000000" w:themeColor="text1"/>
                <w:sz w:val="20"/>
              </w:rPr>
              <w:t>Seek care navigator, community connector, wellbeing assistant or trainee role; develop records, risk and caseload skills.</w:t>
            </w:r>
          </w:p>
        </w:tc>
        <w:tc>
          <w:tcPr>
            <w:tcW w:w="2576" w:type="dxa"/>
            <w:shd w:val="clear" w:color="auto" w:fill="D9D9D9" w:themeFill="background1" w:themeFillShade="D9"/>
          </w:tcPr>
          <w:p w14:paraId="50FE6ABA" w14:textId="77777777" w:rsidR="001F5208" w:rsidRPr="00932BE7" w:rsidRDefault="00DE4F89" w:rsidP="00EF70A6">
            <w:pPr>
              <w:spacing w:before="120"/>
              <w:rPr>
                <w:rFonts w:cs="Arial"/>
                <w:color w:val="000000" w:themeColor="text1"/>
                <w:sz w:val="20"/>
              </w:rPr>
            </w:pPr>
            <w:r w:rsidRPr="00932BE7">
              <w:rPr>
                <w:rFonts w:cs="Arial"/>
                <w:color w:val="000000" w:themeColor="text1"/>
                <w:sz w:val="20"/>
              </w:rPr>
              <w:t>Anonymised case reflections, quarterly feedback and evidence of outcome measurement.</w:t>
            </w:r>
          </w:p>
        </w:tc>
        <w:tc>
          <w:tcPr>
            <w:tcW w:w="2293" w:type="dxa"/>
            <w:shd w:val="clear" w:color="auto" w:fill="D9D9D9" w:themeFill="background1" w:themeFillShade="D9"/>
          </w:tcPr>
          <w:p w14:paraId="4B513052" w14:textId="77777777" w:rsidR="001F5208" w:rsidRPr="00932BE7" w:rsidRDefault="00DE4F89" w:rsidP="00EF70A6">
            <w:pPr>
              <w:spacing w:before="120"/>
              <w:rPr>
                <w:rFonts w:cs="Arial"/>
                <w:color w:val="000000" w:themeColor="text1"/>
                <w:sz w:val="20"/>
              </w:rPr>
            </w:pPr>
            <w:r w:rsidRPr="00932BE7">
              <w:rPr>
                <w:rFonts w:cs="Arial"/>
                <w:color w:val="000000" w:themeColor="text1"/>
                <w:sz w:val="20"/>
              </w:rPr>
              <w:t>Manage a supervised caseload reliably and address development points within agreed dates.</w:t>
            </w:r>
          </w:p>
        </w:tc>
      </w:tr>
      <w:tr w:rsidR="00CA1EAE" w:rsidRPr="00CA1EAE" w14:paraId="68950ECA" w14:textId="77777777" w:rsidTr="00932BE7">
        <w:trPr>
          <w:jc w:val="center"/>
        </w:trPr>
        <w:tc>
          <w:tcPr>
            <w:tcW w:w="2239" w:type="dxa"/>
            <w:shd w:val="clear" w:color="auto" w:fill="D9D9D9" w:themeFill="background1" w:themeFillShade="D9"/>
          </w:tcPr>
          <w:p w14:paraId="111A7F80" w14:textId="77777777" w:rsidR="001F5208" w:rsidRPr="00932BE7" w:rsidRDefault="00DE4F89" w:rsidP="00EF70A6">
            <w:pPr>
              <w:spacing w:before="120"/>
              <w:rPr>
                <w:rFonts w:cs="Arial"/>
                <w:color w:val="000000" w:themeColor="text1"/>
                <w:sz w:val="20"/>
              </w:rPr>
            </w:pPr>
            <w:r w:rsidRPr="00932BE7">
              <w:rPr>
                <w:rFonts w:cs="Arial"/>
                <w:color w:val="000000" w:themeColor="text1"/>
                <w:sz w:val="20"/>
              </w:rPr>
              <w:t>Years 3–4</w:t>
            </w:r>
          </w:p>
        </w:tc>
        <w:tc>
          <w:tcPr>
            <w:tcW w:w="2756" w:type="dxa"/>
            <w:shd w:val="clear" w:color="auto" w:fill="D9D9D9" w:themeFill="background1" w:themeFillShade="D9"/>
          </w:tcPr>
          <w:p w14:paraId="409A0EA4" w14:textId="77777777" w:rsidR="001F5208" w:rsidRPr="00932BE7" w:rsidRDefault="00DE4F89" w:rsidP="00EF70A6">
            <w:pPr>
              <w:spacing w:before="120"/>
              <w:rPr>
                <w:rFonts w:cs="Arial"/>
                <w:color w:val="000000" w:themeColor="text1"/>
                <w:sz w:val="20"/>
              </w:rPr>
            </w:pPr>
            <w:r w:rsidRPr="00932BE7">
              <w:rPr>
                <w:rFonts w:cs="Arial"/>
                <w:color w:val="000000" w:themeColor="text1"/>
                <w:sz w:val="20"/>
              </w:rPr>
              <w:t>Undertake advanced motivational interviewing, welfare, mental-health and culturally responsive practice development.</w:t>
            </w:r>
          </w:p>
        </w:tc>
        <w:tc>
          <w:tcPr>
            <w:tcW w:w="2576" w:type="dxa"/>
            <w:shd w:val="clear" w:color="auto" w:fill="D9D9D9" w:themeFill="background1" w:themeFillShade="D9"/>
          </w:tcPr>
          <w:p w14:paraId="71308BCE" w14:textId="77777777" w:rsidR="001F5208" w:rsidRPr="00932BE7" w:rsidRDefault="00DE4F89" w:rsidP="00EF70A6">
            <w:pPr>
              <w:spacing w:before="120"/>
              <w:rPr>
                <w:rFonts w:cs="Arial"/>
                <w:color w:val="000000" w:themeColor="text1"/>
                <w:sz w:val="20"/>
              </w:rPr>
            </w:pPr>
            <w:r w:rsidRPr="00932BE7">
              <w:rPr>
                <w:rFonts w:cs="Arial"/>
                <w:color w:val="000000" w:themeColor="text1"/>
                <w:sz w:val="20"/>
              </w:rPr>
              <w:t>CPD certificates, mentor reviews and participation in NASP learning events.</w:t>
            </w:r>
          </w:p>
        </w:tc>
        <w:tc>
          <w:tcPr>
            <w:tcW w:w="2293" w:type="dxa"/>
            <w:shd w:val="clear" w:color="auto" w:fill="D9D9D9" w:themeFill="background1" w:themeFillShade="D9"/>
          </w:tcPr>
          <w:p w14:paraId="6E70630E" w14:textId="77777777" w:rsidR="001F5208" w:rsidRPr="00932BE7" w:rsidRDefault="00DE4F89" w:rsidP="00EF70A6">
            <w:pPr>
              <w:spacing w:before="120"/>
              <w:rPr>
                <w:rFonts w:cs="Arial"/>
                <w:color w:val="000000" w:themeColor="text1"/>
                <w:sz w:val="20"/>
              </w:rPr>
            </w:pPr>
            <w:r w:rsidRPr="00932BE7">
              <w:rPr>
                <w:rFonts w:cs="Arial"/>
                <w:color w:val="000000" w:themeColor="text1"/>
                <w:sz w:val="20"/>
              </w:rPr>
              <w:t>Demonstrate stronger complex-conversation and partnership-working competence.</w:t>
            </w:r>
          </w:p>
        </w:tc>
      </w:tr>
      <w:tr w:rsidR="00CA1EAE" w:rsidRPr="00CA1EAE" w14:paraId="6244DE9F" w14:textId="77777777" w:rsidTr="00932BE7">
        <w:trPr>
          <w:jc w:val="center"/>
        </w:trPr>
        <w:tc>
          <w:tcPr>
            <w:tcW w:w="2239" w:type="dxa"/>
            <w:shd w:val="clear" w:color="auto" w:fill="D9D9D9" w:themeFill="background1" w:themeFillShade="D9"/>
          </w:tcPr>
          <w:p w14:paraId="39653B38" w14:textId="77777777" w:rsidR="001F5208" w:rsidRPr="00932BE7" w:rsidRDefault="00DE4F89" w:rsidP="00EF70A6">
            <w:pPr>
              <w:spacing w:before="120"/>
              <w:rPr>
                <w:rFonts w:cs="Arial"/>
                <w:color w:val="000000" w:themeColor="text1"/>
                <w:sz w:val="20"/>
              </w:rPr>
            </w:pPr>
            <w:r w:rsidRPr="00932BE7">
              <w:rPr>
                <w:rFonts w:cs="Arial"/>
                <w:color w:val="000000" w:themeColor="text1"/>
                <w:sz w:val="20"/>
              </w:rPr>
              <w:lastRenderedPageBreak/>
              <w:t>Year 5</w:t>
            </w:r>
          </w:p>
        </w:tc>
        <w:tc>
          <w:tcPr>
            <w:tcW w:w="2756" w:type="dxa"/>
            <w:shd w:val="clear" w:color="auto" w:fill="D9D9D9" w:themeFill="background1" w:themeFillShade="D9"/>
          </w:tcPr>
          <w:p w14:paraId="7B9D9308" w14:textId="77777777" w:rsidR="001F5208" w:rsidRPr="00932BE7" w:rsidRDefault="00DE4F89" w:rsidP="00EF70A6">
            <w:pPr>
              <w:spacing w:before="120"/>
              <w:rPr>
                <w:rFonts w:cs="Arial"/>
                <w:color w:val="000000" w:themeColor="text1"/>
                <w:sz w:val="20"/>
              </w:rPr>
            </w:pPr>
            <w:r w:rsidRPr="00932BE7">
              <w:rPr>
                <w:rFonts w:cs="Arial"/>
                <w:color w:val="000000" w:themeColor="text1"/>
                <w:sz w:val="20"/>
              </w:rPr>
              <w:t>Apply for SPLW posts and maintain ongoing CPD after appointment.</w:t>
            </w:r>
          </w:p>
        </w:tc>
        <w:tc>
          <w:tcPr>
            <w:tcW w:w="2576" w:type="dxa"/>
            <w:shd w:val="clear" w:color="auto" w:fill="D9D9D9" w:themeFill="background1" w:themeFillShade="D9"/>
          </w:tcPr>
          <w:p w14:paraId="671E82E1" w14:textId="77777777" w:rsidR="001F5208" w:rsidRPr="00932BE7" w:rsidRDefault="00DE4F89" w:rsidP="00EF70A6">
            <w:pPr>
              <w:spacing w:before="120"/>
              <w:rPr>
                <w:rFonts w:cs="Arial"/>
                <w:color w:val="000000" w:themeColor="text1"/>
                <w:sz w:val="20"/>
              </w:rPr>
            </w:pPr>
            <w:r w:rsidRPr="00932BE7">
              <w:rPr>
                <w:rFonts w:cs="Arial"/>
                <w:color w:val="000000" w:themeColor="text1"/>
                <w:sz w:val="20"/>
              </w:rPr>
              <w:t>Tailored applications, interview feedback and annual CPD portfolio.</w:t>
            </w:r>
          </w:p>
        </w:tc>
        <w:tc>
          <w:tcPr>
            <w:tcW w:w="2293" w:type="dxa"/>
            <w:shd w:val="clear" w:color="auto" w:fill="D9D9D9" w:themeFill="background1" w:themeFillShade="D9"/>
          </w:tcPr>
          <w:p w14:paraId="188FDE03" w14:textId="77777777" w:rsidR="001F5208" w:rsidRPr="00932BE7" w:rsidRDefault="00DE4F89" w:rsidP="00EF70A6">
            <w:pPr>
              <w:spacing w:before="120"/>
              <w:rPr>
                <w:rFonts w:cs="Arial"/>
                <w:color w:val="000000" w:themeColor="text1"/>
                <w:sz w:val="20"/>
              </w:rPr>
            </w:pPr>
            <w:r w:rsidRPr="00932BE7">
              <w:rPr>
                <w:rFonts w:cs="Arial"/>
                <w:color w:val="000000" w:themeColor="text1"/>
                <w:sz w:val="20"/>
              </w:rPr>
              <w:t>Secure an SPLW role or a clearly related progression post and agree a development plan.</w:t>
            </w:r>
          </w:p>
        </w:tc>
      </w:tr>
    </w:tbl>
    <w:p w14:paraId="071D692F" w14:textId="77777777" w:rsidR="001F5208" w:rsidRPr="00CA1EAE" w:rsidRDefault="001F5208" w:rsidP="00EF70A6">
      <w:pPr>
        <w:spacing w:before="120"/>
        <w:rPr>
          <w:rFonts w:cs="Arial"/>
          <w:color w:val="000000" w:themeColor="text1"/>
        </w:rPr>
      </w:pPr>
    </w:p>
    <w:p w14:paraId="0E58E760" w14:textId="77777777" w:rsidR="001F5208" w:rsidRPr="00CA1EAE" w:rsidRDefault="00DE4F89" w:rsidP="00EF70A6">
      <w:pPr>
        <w:pStyle w:val="Heading1"/>
        <w:spacing w:before="120" w:after="120"/>
        <w:rPr>
          <w:rFonts w:ascii="Arial" w:hAnsi="Arial" w:cs="Arial"/>
          <w:color w:val="000000" w:themeColor="text1"/>
        </w:rPr>
      </w:pPr>
      <w:bookmarkStart w:id="5" w:name="_Toc234798168"/>
      <w:r w:rsidRPr="00CA1EAE">
        <w:rPr>
          <w:rFonts w:ascii="Arial" w:hAnsi="Arial" w:cs="Arial"/>
          <w:color w:val="000000" w:themeColor="text1"/>
        </w:rPr>
        <w:t>6. Building My Personal Brand</w:t>
      </w:r>
      <w:bookmarkEnd w:id="5"/>
    </w:p>
    <w:p w14:paraId="03B1034E" w14:textId="77777777" w:rsidR="001F5208" w:rsidRPr="00CA1EAE" w:rsidRDefault="00DE4F89" w:rsidP="00EF70A6">
      <w:pPr>
        <w:spacing w:before="120"/>
        <w:rPr>
          <w:rFonts w:cs="Arial"/>
          <w:color w:val="000000" w:themeColor="text1"/>
        </w:rPr>
      </w:pPr>
      <w:r w:rsidRPr="00CA1EAE">
        <w:rPr>
          <w:rFonts w:cs="Arial"/>
          <w:color w:val="000000" w:themeColor="text1"/>
        </w:rPr>
        <w:t>My personal brand should communicate a clear professional promise: person-centred, evidence-informed and community-connected support. Labrecque, Markos and Milne (2011) show that online personal branding involves managing visibility and audience perceptions across digital platforms. I will therefore use a consistent name, professional photograph, headline and summary on LinkedIn, while ensuring that every claim is supported by evidence.</w:t>
      </w:r>
    </w:p>
    <w:p w14:paraId="38D86801" w14:textId="77777777" w:rsidR="00F17930" w:rsidRPr="00F17930" w:rsidRDefault="00DE4F89" w:rsidP="00F17930">
      <w:pPr>
        <w:spacing w:before="120"/>
        <w:rPr>
          <w:rFonts w:cs="Arial"/>
          <w:color w:val="000000" w:themeColor="text1"/>
        </w:rPr>
      </w:pPr>
      <w:r w:rsidRPr="00CA1EAE">
        <w:rPr>
          <w:rFonts w:cs="Arial"/>
          <w:color w:val="000000" w:themeColor="text1"/>
        </w:rPr>
        <w:t xml:space="preserve">My content will demonstrate values rather than self-promotion alone. </w:t>
      </w:r>
      <w:r w:rsidR="00F17930" w:rsidRPr="00F17930">
        <w:rPr>
          <w:rFonts w:cs="Arial"/>
          <w:color w:val="000000" w:themeColor="text1"/>
        </w:rPr>
        <w:t xml:space="preserve">I will be sharing short insights about health inequalities, social prescribing webinars, community resources and learning from volunteering, without sharing any personal information. I will draw up a basic digital portfolio of certificates, a skills matrix, reflective learning, presentations and </w:t>
      </w:r>
      <w:proofErr w:type="spellStart"/>
      <w:r w:rsidR="00F17930" w:rsidRPr="00F17930">
        <w:rPr>
          <w:rFonts w:cs="Arial"/>
          <w:color w:val="000000" w:themeColor="text1"/>
        </w:rPr>
        <w:t>anonymised</w:t>
      </w:r>
      <w:proofErr w:type="spellEnd"/>
      <w:r w:rsidR="00F17930" w:rsidRPr="00F17930">
        <w:rPr>
          <w:rFonts w:cs="Arial"/>
          <w:color w:val="000000" w:themeColor="text1"/>
        </w:rPr>
        <w:t xml:space="preserve"> community mapping examples. Lair, Sullivan and Cheney (2005) caution against the downside of personal branding: it can turn professional identity into marketing. My brand will not go there to avoid this, and will always be authentic, ethical and focused on the benefit of service users, not exaggerated claims.</w:t>
      </w:r>
    </w:p>
    <w:p w14:paraId="611ACFB2" w14:textId="77777777" w:rsidR="001F5208" w:rsidRPr="00CA1EAE" w:rsidRDefault="00DE4F89" w:rsidP="00EF70A6">
      <w:pPr>
        <w:pStyle w:val="Heading1"/>
        <w:spacing w:before="120" w:after="120"/>
        <w:rPr>
          <w:rFonts w:ascii="Arial" w:hAnsi="Arial" w:cs="Arial"/>
          <w:color w:val="000000" w:themeColor="text1"/>
        </w:rPr>
      </w:pPr>
      <w:bookmarkStart w:id="6" w:name="_Toc234798169"/>
      <w:r w:rsidRPr="00CA1EAE">
        <w:rPr>
          <w:rFonts w:ascii="Arial" w:hAnsi="Arial" w:cs="Arial"/>
          <w:color w:val="000000" w:themeColor="text1"/>
        </w:rPr>
        <w:t>7. Promoting My Professional Identity</w:t>
      </w:r>
      <w:bookmarkEnd w:id="6"/>
    </w:p>
    <w:p w14:paraId="5C9EB7A1" w14:textId="77777777" w:rsidR="009137F4" w:rsidRPr="00F17930" w:rsidRDefault="009137F4" w:rsidP="009137F4">
      <w:pPr>
        <w:spacing w:before="120"/>
        <w:rPr>
          <w:rFonts w:cs="Arial"/>
          <w:color w:val="000000" w:themeColor="text1"/>
        </w:rPr>
      </w:pPr>
      <w:r w:rsidRPr="00F17930">
        <w:rPr>
          <w:rFonts w:cs="Arial"/>
          <w:color w:val="000000" w:themeColor="text1"/>
        </w:rPr>
        <w:t>I will express my professional identity using a purposeful CV, supporting statement, cover letter, LinkedIn profile and interview examples. Each application will reflect the key requirements of the vacancy and will be provided in the STAR format which will include situations, tasks, actions and results. Rather than stating that I have good communication skills, I will provide proof of my effectiveness in communication, e.g., the adaptation of information for a diverse audience, or the solving of a group-work challenge or getting a person to access a service.</w:t>
      </w:r>
    </w:p>
    <w:p w14:paraId="4FF77EC5" w14:textId="77777777" w:rsidR="001F5208" w:rsidRPr="00CA1EAE" w:rsidRDefault="009137F4" w:rsidP="00EF70A6">
      <w:pPr>
        <w:spacing w:before="120"/>
        <w:rPr>
          <w:rFonts w:cs="Arial"/>
          <w:color w:val="000000" w:themeColor="text1"/>
        </w:rPr>
      </w:pPr>
      <w:r w:rsidRPr="00F17930">
        <w:rPr>
          <w:rFonts w:cs="Arial"/>
          <w:color w:val="000000" w:themeColor="text1"/>
        </w:rPr>
        <w:t>BSc and relevant modules will be highlighted in my CV as well as any verified training and volunteering; as will be Digital skills and measurable outcomes. Online portfolio will be used to supplement evidence, privacy settings/content to be monitored on a regular basis. Role boundaries, escalating safeguarding concerns, confidentiality and how I would co-produce a plan will be covered at interview. This approach is a viable developing practitioner with values and accountability</w:t>
      </w:r>
      <w:r w:rsidR="00DE4F89" w:rsidRPr="00CA1EAE">
        <w:rPr>
          <w:rFonts w:cs="Arial"/>
          <w:color w:val="000000" w:themeColor="text1"/>
        </w:rPr>
        <w:t>.</w:t>
      </w:r>
    </w:p>
    <w:p w14:paraId="64C718E4" w14:textId="77777777" w:rsidR="001F5208" w:rsidRPr="00CA1EAE" w:rsidRDefault="00DE4F89" w:rsidP="00EF70A6">
      <w:pPr>
        <w:pStyle w:val="Heading1"/>
        <w:spacing w:before="120" w:after="120"/>
        <w:rPr>
          <w:rFonts w:ascii="Arial" w:hAnsi="Arial" w:cs="Arial"/>
          <w:color w:val="000000" w:themeColor="text1"/>
        </w:rPr>
      </w:pPr>
      <w:bookmarkStart w:id="7" w:name="_Toc234798170"/>
      <w:r w:rsidRPr="00CA1EAE">
        <w:rPr>
          <w:rFonts w:ascii="Arial" w:hAnsi="Arial" w:cs="Arial"/>
          <w:color w:val="000000" w:themeColor="text1"/>
        </w:rPr>
        <w:lastRenderedPageBreak/>
        <w:t>8. Building a Network for Successful Employment</w:t>
      </w:r>
      <w:bookmarkEnd w:id="7"/>
    </w:p>
    <w:p w14:paraId="4512CE0D" w14:textId="77777777" w:rsidR="007A106D" w:rsidRPr="007A106D" w:rsidRDefault="00DE4F89" w:rsidP="007A106D">
      <w:pPr>
        <w:spacing w:before="120"/>
        <w:rPr>
          <w:rFonts w:cs="Arial"/>
          <w:color w:val="000000" w:themeColor="text1"/>
        </w:rPr>
      </w:pPr>
      <w:r w:rsidRPr="00CA1EAE">
        <w:rPr>
          <w:rFonts w:cs="Arial"/>
          <w:color w:val="000000" w:themeColor="text1"/>
        </w:rPr>
        <w:t>Networking is essential because social prescribing depends on relationships across primary care and the voluntary sector</w:t>
      </w:r>
      <w:r w:rsidR="007A106D" w:rsidRPr="007A106D">
        <w:rPr>
          <w:rFonts w:cs="Arial"/>
          <w:color w:val="000000" w:themeColor="text1"/>
        </w:rPr>
        <w:t xml:space="preserve">. </w:t>
      </w:r>
      <w:proofErr w:type="spellStart"/>
      <w:r w:rsidR="007A106D" w:rsidRPr="007A106D">
        <w:rPr>
          <w:rFonts w:cs="Arial"/>
          <w:color w:val="000000" w:themeColor="text1"/>
        </w:rPr>
        <w:t>Granovetter</w:t>
      </w:r>
      <w:proofErr w:type="spellEnd"/>
      <w:r w:rsidR="007A106D" w:rsidRPr="007A106D">
        <w:rPr>
          <w:rFonts w:cs="Arial"/>
          <w:color w:val="000000" w:themeColor="text1"/>
        </w:rPr>
        <w:t xml:space="preserve"> (1973) has suggested that beyond the close network of associates, weaker professional links can also offer access to new information and jobs. I will make purposeful connections with SPLWs, PCN managers, charity coordinators, local authority staff, University alumni/SPLWs and placement colleagues.</w:t>
      </w:r>
    </w:p>
    <w:p w14:paraId="7D779FC9" w14:textId="77777777" w:rsidR="007A106D" w:rsidRPr="007A106D" w:rsidRDefault="007A106D" w:rsidP="007A106D">
      <w:pPr>
        <w:spacing w:before="120"/>
        <w:rPr>
          <w:rFonts w:cs="Arial"/>
          <w:color w:val="000000" w:themeColor="text1"/>
        </w:rPr>
      </w:pPr>
      <w:r w:rsidRPr="007A106D">
        <w:rPr>
          <w:rFonts w:cs="Arial"/>
          <w:color w:val="000000" w:themeColor="text1"/>
        </w:rPr>
        <w:t>The National Academy for Social Prescribing (n.d.a) provides training, events and a network of innovation. There are also link-worker webinars and practical tools and shared learning from the National Academy for Social Prescribing (n.d.b). I will attend one or more appropriate events each quarter, schedule one informational conversation per month and find a mentor. Networking will be done in a reciprocal manner, meaning that I'll be providing helpful resources, I'll be thanking those that help me, and I'll be reaching out professionally, not just for jobs.</w:t>
      </w:r>
    </w:p>
    <w:p w14:paraId="7139E4C4" w14:textId="77777777" w:rsidR="001F5208" w:rsidRPr="00CA1EAE" w:rsidRDefault="00DE4F89" w:rsidP="00EF70A6">
      <w:pPr>
        <w:pStyle w:val="Heading1"/>
        <w:spacing w:before="120" w:after="120"/>
        <w:rPr>
          <w:rFonts w:ascii="Arial" w:hAnsi="Arial" w:cs="Arial"/>
          <w:color w:val="000000" w:themeColor="text1"/>
        </w:rPr>
      </w:pPr>
      <w:bookmarkStart w:id="8" w:name="_Toc234798171"/>
      <w:r w:rsidRPr="00CA1EAE">
        <w:rPr>
          <w:rFonts w:ascii="Arial" w:hAnsi="Arial" w:cs="Arial"/>
          <w:color w:val="000000" w:themeColor="text1"/>
        </w:rPr>
        <w:t>9. Conclusion</w:t>
      </w:r>
      <w:bookmarkEnd w:id="8"/>
    </w:p>
    <w:p w14:paraId="550A320E" w14:textId="77777777" w:rsidR="00807119" w:rsidRPr="007A106D" w:rsidRDefault="00C01794" w:rsidP="00807119">
      <w:pPr>
        <w:spacing w:before="120"/>
        <w:rPr>
          <w:rFonts w:cs="Arial"/>
          <w:color w:val="000000" w:themeColor="text1"/>
        </w:rPr>
      </w:pPr>
      <w:r>
        <w:rPr>
          <w:rFonts w:cs="Arial"/>
          <w:color w:val="000000" w:themeColor="text1"/>
        </w:rPr>
        <w:t>In conclusion, t</w:t>
      </w:r>
      <w:r w:rsidR="00807119" w:rsidRPr="007A106D">
        <w:rPr>
          <w:rFonts w:cs="Arial"/>
          <w:color w:val="000000" w:themeColor="text1"/>
        </w:rPr>
        <w:t xml:space="preserve">he Social Prescribing Link Worker role is an appropriate career objective as it consists of a combination of </w:t>
      </w:r>
      <w:proofErr w:type="spellStart"/>
      <w:r w:rsidR="00807119" w:rsidRPr="007A106D">
        <w:rPr>
          <w:rFonts w:cs="Arial"/>
          <w:color w:val="000000" w:themeColor="text1"/>
        </w:rPr>
        <w:t>personalised</w:t>
      </w:r>
      <w:proofErr w:type="spellEnd"/>
      <w:r w:rsidR="00807119" w:rsidRPr="007A106D">
        <w:rPr>
          <w:rFonts w:cs="Arial"/>
          <w:color w:val="000000" w:themeColor="text1"/>
        </w:rPr>
        <w:t xml:space="preserve"> care, prevention, communication and partnership working. The selected vacancy requires practical experience of health and social care, level 3 preparation, awareness of safeguarding, good record keeping, managing caseload and effective working with other disciplines. I think my BSc learning gives me a solid start in all the theories, research, communication and health inequalities and my own added value would be the humble listening with </w:t>
      </w:r>
      <w:proofErr w:type="spellStart"/>
      <w:r w:rsidR="00807119" w:rsidRPr="007A106D">
        <w:rPr>
          <w:rFonts w:cs="Arial"/>
          <w:color w:val="000000" w:themeColor="text1"/>
        </w:rPr>
        <w:t>organised</w:t>
      </w:r>
      <w:proofErr w:type="spellEnd"/>
      <w:r w:rsidR="00807119" w:rsidRPr="007A106D">
        <w:rPr>
          <w:rFonts w:cs="Arial"/>
          <w:color w:val="000000" w:themeColor="text1"/>
        </w:rPr>
        <w:t xml:space="preserve"> evidence-based follow up.</w:t>
      </w:r>
    </w:p>
    <w:p w14:paraId="032F30DC" w14:textId="77777777" w:rsidR="001F5208" w:rsidRPr="00CA1EAE" w:rsidRDefault="00807119" w:rsidP="00EF70A6">
      <w:pPr>
        <w:spacing w:before="120"/>
        <w:rPr>
          <w:rFonts w:cs="Arial"/>
          <w:color w:val="000000" w:themeColor="text1"/>
        </w:rPr>
      </w:pPr>
      <w:r w:rsidRPr="007A106D">
        <w:rPr>
          <w:rFonts w:cs="Arial"/>
          <w:color w:val="000000" w:themeColor="text1"/>
        </w:rPr>
        <w:t>My key gaps are primary care exposure in the UK and role specific training and practice independently evidenced. These are covered by the five-year plan via accredited learning, volunteering, supervised experience, reflective assessment and entry-level employment and continuing professional development. My growing competence will be seen by employers, as I establish an ethical personal brand consistently, as well as applying my skills in the right places and networking professionally. Progress will be recorded and regular feedback will be sought to enable me to gain experience and to translate academic understanding to safe, credible and employable SPLW practice</w:t>
      </w:r>
      <w:r w:rsidR="00DE4F89" w:rsidRPr="00CA1EAE">
        <w:rPr>
          <w:rFonts w:cs="Arial"/>
          <w:color w:val="000000" w:themeColor="text1"/>
        </w:rPr>
        <w:t>.</w:t>
      </w:r>
    </w:p>
    <w:p w14:paraId="44721F5E" w14:textId="77777777" w:rsidR="001F5208" w:rsidRPr="00CA1EAE" w:rsidRDefault="00DE4F89" w:rsidP="00EF70A6">
      <w:pPr>
        <w:spacing w:before="120"/>
        <w:rPr>
          <w:rFonts w:cs="Arial"/>
          <w:color w:val="000000" w:themeColor="text1"/>
        </w:rPr>
      </w:pPr>
      <w:r w:rsidRPr="00CA1EAE">
        <w:rPr>
          <w:rFonts w:cs="Arial"/>
          <w:color w:val="000000" w:themeColor="text1"/>
        </w:rPr>
        <w:br w:type="page"/>
      </w:r>
    </w:p>
    <w:p w14:paraId="692A42DF" w14:textId="77777777" w:rsidR="001F5208" w:rsidRPr="00CA1EAE" w:rsidRDefault="00DE4F89" w:rsidP="00500E21">
      <w:pPr>
        <w:pStyle w:val="Heading1"/>
        <w:spacing w:before="120" w:after="120"/>
        <w:jc w:val="center"/>
        <w:rPr>
          <w:rFonts w:ascii="Arial" w:hAnsi="Arial" w:cs="Arial"/>
          <w:color w:val="000000" w:themeColor="text1"/>
        </w:rPr>
      </w:pPr>
      <w:bookmarkStart w:id="9" w:name="_Toc234798172"/>
      <w:r w:rsidRPr="00CA1EAE">
        <w:rPr>
          <w:rFonts w:ascii="Arial" w:hAnsi="Arial" w:cs="Arial"/>
          <w:color w:val="000000" w:themeColor="text1"/>
        </w:rPr>
        <w:lastRenderedPageBreak/>
        <w:t>Reference List</w:t>
      </w:r>
      <w:bookmarkEnd w:id="9"/>
    </w:p>
    <w:p w14:paraId="1554612C" w14:textId="77777777" w:rsidR="001F5208" w:rsidRPr="00CA1EAE" w:rsidRDefault="00DE4F89" w:rsidP="00EF70A6">
      <w:pPr>
        <w:spacing w:before="120"/>
        <w:ind w:left="360" w:hanging="360"/>
        <w:rPr>
          <w:rFonts w:cs="Arial"/>
          <w:color w:val="000000" w:themeColor="text1"/>
        </w:rPr>
      </w:pPr>
      <w:r w:rsidRPr="00CA1EAE">
        <w:rPr>
          <w:rFonts w:cs="Arial"/>
          <w:color w:val="000000" w:themeColor="text1"/>
        </w:rPr>
        <w:t>Department of Health and Social Care (2025) Care and support statutory guidance. Available at: https://www.gov.uk/government/publications/care-act-statutory-guidance/care-and-support-statutory-guidance (Accessed: 13 July 2026).</w:t>
      </w:r>
    </w:p>
    <w:p w14:paraId="612087A2" w14:textId="77777777" w:rsidR="001F5208" w:rsidRPr="00CA1EAE" w:rsidRDefault="00DE4F89" w:rsidP="00EF70A6">
      <w:pPr>
        <w:spacing w:before="120"/>
        <w:ind w:left="360" w:hanging="360"/>
        <w:rPr>
          <w:rFonts w:cs="Arial"/>
          <w:color w:val="000000" w:themeColor="text1"/>
        </w:rPr>
      </w:pPr>
      <w:r w:rsidRPr="00CA1EAE">
        <w:rPr>
          <w:rFonts w:cs="Arial"/>
          <w:color w:val="000000" w:themeColor="text1"/>
        </w:rPr>
        <w:t>Fugate, M., Kinicki, A.J. and Ashforth, B.E. (2004) ‘Employability: A psycho-social construct, its dimensions, and applications’, Journal of Vocational Behavior, 65(1), pp. 14–38. doi: 10.1016/j.jvb.2003.10.005.</w:t>
      </w:r>
    </w:p>
    <w:p w14:paraId="380049F6" w14:textId="77777777" w:rsidR="001F5208" w:rsidRPr="00CA1EAE" w:rsidRDefault="00DE4F89" w:rsidP="00EF70A6">
      <w:pPr>
        <w:spacing w:before="120"/>
        <w:ind w:left="360" w:hanging="360"/>
        <w:rPr>
          <w:rFonts w:cs="Arial"/>
          <w:color w:val="000000" w:themeColor="text1"/>
        </w:rPr>
      </w:pPr>
      <w:r w:rsidRPr="00CA1EAE">
        <w:rPr>
          <w:rFonts w:cs="Arial"/>
          <w:color w:val="000000" w:themeColor="text1"/>
        </w:rPr>
        <w:t>Granovetter, M.S. (1973) ‘The strength of weak ties’, American Journal of Sociology, 78(6), pp. 1360–1380. doi: 10.1086/225469.</w:t>
      </w:r>
    </w:p>
    <w:p w14:paraId="7E2242B9" w14:textId="77777777" w:rsidR="001F5208" w:rsidRPr="00CA1EAE" w:rsidRDefault="00DE4F89" w:rsidP="00EF70A6">
      <w:pPr>
        <w:spacing w:before="120"/>
        <w:ind w:left="360" w:hanging="360"/>
        <w:rPr>
          <w:rFonts w:cs="Arial"/>
          <w:color w:val="000000" w:themeColor="text1"/>
        </w:rPr>
      </w:pPr>
      <w:r w:rsidRPr="00CA1EAE">
        <w:rPr>
          <w:rFonts w:cs="Arial"/>
          <w:color w:val="000000" w:themeColor="text1"/>
        </w:rPr>
        <w:t>Information Commissioner’s Office (2025) Health information. Available at: https://ico.org.uk/for-organisations/uk-gdpr-guidance-and-resources/individual-rights/right-of-access/health-information/ (Accessed: 13 July 2026).</w:t>
      </w:r>
    </w:p>
    <w:p w14:paraId="0366A3AE" w14:textId="77777777" w:rsidR="001F5208" w:rsidRPr="00CA1EAE" w:rsidRDefault="00DE4F89" w:rsidP="00EF70A6">
      <w:pPr>
        <w:spacing w:before="120"/>
        <w:ind w:left="360" w:hanging="360"/>
        <w:rPr>
          <w:rFonts w:cs="Arial"/>
          <w:color w:val="000000" w:themeColor="text1"/>
        </w:rPr>
      </w:pPr>
      <w:r w:rsidRPr="00CA1EAE">
        <w:rPr>
          <w:rFonts w:cs="Arial"/>
          <w:color w:val="000000" w:themeColor="text1"/>
        </w:rPr>
        <w:t>Kolb, D.A. (1984) Experiential learning: Experience as the source of learning and development. Englewood Cliffs, NJ: Prentice Hall.</w:t>
      </w:r>
    </w:p>
    <w:p w14:paraId="13A1F00E" w14:textId="77777777" w:rsidR="001F5208" w:rsidRPr="00CA1EAE" w:rsidRDefault="00DE4F89" w:rsidP="00EF70A6">
      <w:pPr>
        <w:spacing w:before="120"/>
        <w:ind w:left="360" w:hanging="360"/>
        <w:rPr>
          <w:rFonts w:cs="Arial"/>
          <w:color w:val="000000" w:themeColor="text1"/>
        </w:rPr>
      </w:pPr>
      <w:r w:rsidRPr="00CA1EAE">
        <w:rPr>
          <w:rFonts w:cs="Arial"/>
          <w:color w:val="000000" w:themeColor="text1"/>
        </w:rPr>
        <w:t>Labrecque, L.I., Markos, E. and Milne, G.R. (2011) ‘Online personal branding: Processes, challenges, and implications’, Journal of Interactive Marketing, 25(1), pp. 37–50. doi: 10.1016/j.intmar.2010.09.002.</w:t>
      </w:r>
    </w:p>
    <w:p w14:paraId="4682F226" w14:textId="77777777" w:rsidR="001F5208" w:rsidRPr="00CA1EAE" w:rsidRDefault="00DE4F89" w:rsidP="00EF70A6">
      <w:pPr>
        <w:spacing w:before="120"/>
        <w:ind w:left="360" w:hanging="360"/>
        <w:rPr>
          <w:rFonts w:cs="Arial"/>
          <w:color w:val="000000" w:themeColor="text1"/>
        </w:rPr>
      </w:pPr>
      <w:r w:rsidRPr="00CA1EAE">
        <w:rPr>
          <w:rFonts w:cs="Arial"/>
          <w:color w:val="000000" w:themeColor="text1"/>
        </w:rPr>
        <w:t>Lair, D.J., Sullivan, K. and Cheney, G. (2005) ‘Marketization and the recasting of the professional self: The rhetoric and ethics of personal branding’, Management Communication Quarterly, 18(3), pp. 307–343. doi: 10.1177/0893318904270744.</w:t>
      </w:r>
    </w:p>
    <w:p w14:paraId="289063F6" w14:textId="77777777" w:rsidR="001F5208" w:rsidRPr="00CA1EAE" w:rsidRDefault="00DE4F89" w:rsidP="00EF70A6">
      <w:pPr>
        <w:spacing w:before="120"/>
        <w:ind w:left="360" w:hanging="360"/>
        <w:rPr>
          <w:rFonts w:cs="Arial"/>
          <w:color w:val="000000" w:themeColor="text1"/>
        </w:rPr>
      </w:pPr>
      <w:r w:rsidRPr="00CA1EAE">
        <w:rPr>
          <w:rFonts w:cs="Arial"/>
          <w:color w:val="000000" w:themeColor="text1"/>
        </w:rPr>
        <w:t>National Academy for Social Prescribing (n.d.a) Social prescribing training. Available at: https://socialprescribingacademy.org.uk/social-prescribing-training/ (Accessed: 13 July 2026).</w:t>
      </w:r>
    </w:p>
    <w:p w14:paraId="4657AB22" w14:textId="77777777" w:rsidR="001F5208" w:rsidRPr="00CA1EAE" w:rsidRDefault="00DE4F89" w:rsidP="00EF70A6">
      <w:pPr>
        <w:spacing w:before="120"/>
        <w:ind w:left="360" w:hanging="360"/>
        <w:rPr>
          <w:rFonts w:cs="Arial"/>
          <w:color w:val="000000" w:themeColor="text1"/>
        </w:rPr>
      </w:pPr>
      <w:r w:rsidRPr="00CA1EAE">
        <w:rPr>
          <w:rFonts w:cs="Arial"/>
          <w:color w:val="000000" w:themeColor="text1"/>
        </w:rPr>
        <w:t>National Academy for Social Prescribing (n.d.b) Social prescribing link workers. Available at: https://socialprescribingacademy.org.uk/how-we-can-support-you/social-prescribing-link-workers/ (Accessed: 13 July 2026).</w:t>
      </w:r>
    </w:p>
    <w:p w14:paraId="2C4D1E3B" w14:textId="77777777" w:rsidR="001F5208" w:rsidRPr="00CA1EAE" w:rsidRDefault="00DE4F89" w:rsidP="00EF70A6">
      <w:pPr>
        <w:spacing w:before="120"/>
        <w:ind w:left="360" w:hanging="360"/>
        <w:rPr>
          <w:rFonts w:cs="Arial"/>
          <w:color w:val="000000" w:themeColor="text1"/>
        </w:rPr>
      </w:pPr>
      <w:r w:rsidRPr="00CA1EAE">
        <w:rPr>
          <w:rFonts w:cs="Arial"/>
          <w:color w:val="000000" w:themeColor="text1"/>
        </w:rPr>
        <w:t>NHS England (2023) Workforce development framework: Social prescribing link workers. Available at: https://www.england.nhs.uk/long-read/workforce-development-framework-social-prescribing-link-workers/ (Accessed: 13 July 2026).</w:t>
      </w:r>
    </w:p>
    <w:p w14:paraId="258D7FF9" w14:textId="77777777" w:rsidR="001F5208" w:rsidRPr="00CA1EAE" w:rsidRDefault="00DE4F89" w:rsidP="00EF70A6">
      <w:pPr>
        <w:spacing w:before="120"/>
        <w:ind w:left="360" w:hanging="360"/>
        <w:rPr>
          <w:rFonts w:cs="Arial"/>
          <w:color w:val="000000" w:themeColor="text1"/>
        </w:rPr>
      </w:pPr>
      <w:r w:rsidRPr="00CA1EAE">
        <w:rPr>
          <w:rFonts w:cs="Arial"/>
          <w:color w:val="000000" w:themeColor="text1"/>
        </w:rPr>
        <w:t>NHS England (n.d.a) Social prescribing. Available at: https://www.england.nhs.uk/personalisedcare/social-prescribing/ (Accessed: 13 July 2026).</w:t>
      </w:r>
    </w:p>
    <w:p w14:paraId="40733252" w14:textId="77777777" w:rsidR="001F5208" w:rsidRPr="00CA1EAE" w:rsidRDefault="00DE4F89" w:rsidP="00EF70A6">
      <w:pPr>
        <w:spacing w:before="120"/>
        <w:ind w:left="360" w:hanging="360"/>
        <w:rPr>
          <w:rFonts w:cs="Arial"/>
          <w:color w:val="000000" w:themeColor="text1"/>
        </w:rPr>
      </w:pPr>
      <w:r w:rsidRPr="00CA1EAE">
        <w:rPr>
          <w:rFonts w:cs="Arial"/>
          <w:color w:val="000000" w:themeColor="text1"/>
        </w:rPr>
        <w:lastRenderedPageBreak/>
        <w:t>NHS England (n.d.b) Social prescribing link workers. Available at: https://www.england.nhs.uk/personalisedcare/workforce-and-training/social-prescribing-link-workers/ (Accessed: 13 July 2026).</w:t>
      </w:r>
    </w:p>
    <w:p w14:paraId="1E5E5CD7" w14:textId="77777777" w:rsidR="001F5208" w:rsidRPr="00CA1EAE" w:rsidRDefault="00DE4F89" w:rsidP="00EF70A6">
      <w:pPr>
        <w:spacing w:before="120"/>
        <w:ind w:left="360" w:hanging="360"/>
        <w:rPr>
          <w:rFonts w:cs="Arial"/>
          <w:color w:val="000000" w:themeColor="text1"/>
        </w:rPr>
      </w:pPr>
      <w:r w:rsidRPr="00CA1EAE">
        <w:rPr>
          <w:rFonts w:cs="Arial"/>
          <w:color w:val="000000" w:themeColor="text1"/>
        </w:rPr>
        <w:t>NHS England (n.d.c) Volunteering. Available at: https://www.england.nhs.uk/get-involved/get-involved/volunteering/ (Accessed: 13 July 2026).</w:t>
      </w:r>
    </w:p>
    <w:p w14:paraId="251C70E9" w14:textId="77777777" w:rsidR="001F5208" w:rsidRPr="00CA1EAE" w:rsidRDefault="00DE4F89" w:rsidP="00EF70A6">
      <w:pPr>
        <w:spacing w:before="120"/>
        <w:ind w:left="360" w:hanging="360"/>
        <w:rPr>
          <w:rFonts w:cs="Arial"/>
          <w:color w:val="000000" w:themeColor="text1"/>
        </w:rPr>
      </w:pPr>
      <w:r w:rsidRPr="00CA1EAE">
        <w:rPr>
          <w:rFonts w:cs="Arial"/>
          <w:color w:val="000000" w:themeColor="text1"/>
        </w:rPr>
        <w:t>Nottingham City General Practice Alliance (2026) Social Prescribing Link worker, vacancy ref. GPA-8087628. Available at: https://www.nhsjobs.com/job/UK/Nottinghamshire/Nottingham/Nottingham_City_General_Practice_Alliance/social_prescribing_link_worker/social_prescribing_link_worker-v8139443 (Accessed: 13 July 2026).</w:t>
      </w:r>
    </w:p>
    <w:p w14:paraId="4F245517" w14:textId="77777777" w:rsidR="001F5208" w:rsidRPr="00CA1EAE" w:rsidRDefault="00DE4F89" w:rsidP="00EF70A6">
      <w:pPr>
        <w:spacing w:before="120"/>
        <w:ind w:left="360" w:hanging="360"/>
        <w:rPr>
          <w:rFonts w:cs="Arial"/>
          <w:color w:val="000000" w:themeColor="text1"/>
        </w:rPr>
      </w:pPr>
      <w:r w:rsidRPr="00CA1EAE">
        <w:rPr>
          <w:rFonts w:cs="Arial"/>
          <w:color w:val="000000" w:themeColor="text1"/>
        </w:rPr>
        <w:t>Personalised Care Institute (n.d.) ARRS roles training requirements. Available at: https://www.personalisedcareinstitute.org.uk/education-and-training/training-standards/ (Accessed: 13 July 2026).</w:t>
      </w:r>
    </w:p>
    <w:p w14:paraId="3FE120E8" w14:textId="77777777" w:rsidR="001F5208" w:rsidRPr="00CA1EAE" w:rsidRDefault="00DE4F89" w:rsidP="00EF70A6">
      <w:pPr>
        <w:spacing w:before="120"/>
        <w:ind w:left="360" w:hanging="360"/>
        <w:rPr>
          <w:rFonts w:cs="Arial"/>
          <w:color w:val="000000" w:themeColor="text1"/>
        </w:rPr>
      </w:pPr>
      <w:r w:rsidRPr="00CA1EAE">
        <w:rPr>
          <w:rFonts w:cs="Arial"/>
          <w:color w:val="000000" w:themeColor="text1"/>
        </w:rPr>
        <w:t>Schön, D.A. (1983) The reflective practitioner: How professionals think in action. New York: Basic Books.</w:t>
      </w:r>
    </w:p>
    <w:p w14:paraId="3AB83E0C" w14:textId="77777777" w:rsidR="001F5208" w:rsidRPr="00CA1EAE" w:rsidRDefault="00DE4F89" w:rsidP="00EF70A6">
      <w:pPr>
        <w:spacing w:before="120"/>
        <w:ind w:left="360" w:hanging="360"/>
        <w:rPr>
          <w:rFonts w:cs="Arial"/>
          <w:color w:val="000000" w:themeColor="text1"/>
        </w:rPr>
      </w:pPr>
      <w:r w:rsidRPr="00CA1EAE">
        <w:rPr>
          <w:rFonts w:cs="Arial"/>
          <w:color w:val="000000" w:themeColor="text1"/>
        </w:rPr>
        <w:t>Skills for Care (2025) Care Certificate standards, March 2025. Available at: https://www.skillsforcare.org.uk/resources/documents/Developing-your-workforce/Care-Certificate/Care-Certificate-Standards/Care-Certificate-standards-March-2025.pdf (Accessed: 13 July 2026).</w:t>
      </w:r>
    </w:p>
    <w:p w14:paraId="49311D10" w14:textId="77777777" w:rsidR="001F5208" w:rsidRPr="00CA1EAE" w:rsidRDefault="00DE4F89" w:rsidP="00EF70A6">
      <w:pPr>
        <w:spacing w:before="120"/>
        <w:ind w:left="360" w:hanging="360"/>
        <w:rPr>
          <w:rFonts w:cs="Arial"/>
          <w:color w:val="000000" w:themeColor="text1"/>
        </w:rPr>
      </w:pPr>
      <w:r w:rsidRPr="00CA1EAE">
        <w:rPr>
          <w:rFonts w:cs="Arial"/>
          <w:color w:val="000000" w:themeColor="text1"/>
        </w:rPr>
        <w:t>UK Parliament (2010) Equality Act 2010. Available at: https://www.legislation.gov.uk/ukpga/2010/15/contents (Accessed: 13 July 2026).</w:t>
      </w:r>
    </w:p>
    <w:p w14:paraId="7C34CC52" w14:textId="77777777" w:rsidR="001F5208" w:rsidRPr="00CA1EAE" w:rsidRDefault="00DE4F89" w:rsidP="00EF70A6">
      <w:pPr>
        <w:spacing w:before="120"/>
        <w:ind w:left="360" w:hanging="360"/>
        <w:rPr>
          <w:rFonts w:cs="Arial"/>
          <w:color w:val="000000" w:themeColor="text1"/>
        </w:rPr>
      </w:pPr>
      <w:r w:rsidRPr="00CA1EAE">
        <w:rPr>
          <w:rFonts w:cs="Arial"/>
          <w:color w:val="000000" w:themeColor="text1"/>
        </w:rPr>
        <w:t>UK Parliament (2014) Care Act 2014. Available at: https://www.legislation.gov.uk/ukpga/2014/23/contents (Accessed: 13 July 2026).</w:t>
      </w:r>
    </w:p>
    <w:sectPr w:rsidR="001F5208" w:rsidRPr="00CA1EAE" w:rsidSect="00034616">
      <w:footerReference w:type="default" r:id="rId10"/>
      <w:footerReference w:type="first" r:id="rId11"/>
      <w:pgSz w:w="12240" w:h="15840"/>
      <w:pgMar w:top="1080" w:right="1296" w:bottom="1080" w:left="1296"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BBD2A6F" w14:textId="77777777" w:rsidR="00DE3D0D" w:rsidRDefault="00DE3D0D">
      <w:pPr>
        <w:spacing w:after="0" w:line="240" w:lineRule="auto"/>
      </w:pPr>
      <w:r>
        <w:separator/>
      </w:r>
    </w:p>
  </w:endnote>
  <w:endnote w:type="continuationSeparator" w:id="0">
    <w:p w14:paraId="28B0DA57" w14:textId="77777777" w:rsidR="00DE3D0D" w:rsidRDefault="00DE3D0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Mincho">
    <w:panose1 w:val="02020609040205080304"/>
    <w:charset w:val="80"/>
    <w:family w:val="modern"/>
    <w:pitch w:val="fixed"/>
    <w:sig w:usb0="E00002FF" w:usb1="6AC7FDFB" w:usb2="08000012" w:usb3="00000000" w:csb0="000200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auto"/>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A17E8D2" w14:textId="77777777" w:rsidR="001F5208" w:rsidRDefault="00DE4F89">
    <w:pPr>
      <w:pStyle w:val="Footer"/>
      <w:jc w:val="center"/>
    </w:pPr>
    <w:r>
      <w:rPr>
        <w:sz w:val="18"/>
      </w:rPr>
      <w:t xml:space="preserve">Page </w:t>
    </w:r>
    <w:r>
      <w:rPr>
        <w:sz w:val="18"/>
      </w:rPr>
      <w:fldChar w:fldCharType="begin"/>
    </w:r>
    <w:r>
      <w:rPr>
        <w:sz w:val="18"/>
      </w:rPr>
      <w:instrText>PAGE</w:instrText>
    </w:r>
    <w:r>
      <w:rPr>
        <w:sz w:val="18"/>
      </w:rPr>
      <w:fldChar w:fldCharType="separate"/>
    </w:r>
    <w:r w:rsidR="00C812AD">
      <w:rPr>
        <w:noProof/>
        <w:sz w:val="18"/>
      </w:rPr>
      <w:t>2</w:t>
    </w:r>
    <w:r>
      <w:rPr>
        <w:sz w:val="18"/>
      </w:rPr>
      <w:fldChar w:fldCharType="end"/>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65113983"/>
      <w:docPartObj>
        <w:docPartGallery w:val="Page Numbers (Bottom of Page)"/>
        <w:docPartUnique/>
      </w:docPartObj>
    </w:sdtPr>
    <w:sdtEndPr>
      <w:rPr>
        <w:noProof/>
      </w:rPr>
    </w:sdtEndPr>
    <w:sdtContent>
      <w:p w14:paraId="1A534AEE" w14:textId="77777777" w:rsidR="00245E5F" w:rsidRDefault="00245E5F">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86E42B6" w14:textId="77777777" w:rsidR="00245E5F" w:rsidRDefault="00245E5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1F24FD9" w14:textId="77777777" w:rsidR="00DE3D0D" w:rsidRDefault="00DE3D0D">
      <w:pPr>
        <w:spacing w:after="0" w:line="240" w:lineRule="auto"/>
      </w:pPr>
      <w:r>
        <w:separator/>
      </w:r>
    </w:p>
  </w:footnote>
  <w:footnote w:type="continuationSeparator" w:id="0">
    <w:p w14:paraId="75480CB6" w14:textId="77777777" w:rsidR="00DE3D0D" w:rsidRDefault="00DE3D0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num w:numId="1" w16cid:durableId="1179999830">
    <w:abstractNumId w:val="8"/>
  </w:num>
  <w:num w:numId="2" w16cid:durableId="1751191259">
    <w:abstractNumId w:val="6"/>
  </w:num>
  <w:num w:numId="3" w16cid:durableId="1546870288">
    <w:abstractNumId w:val="5"/>
  </w:num>
  <w:num w:numId="4" w16cid:durableId="213277848">
    <w:abstractNumId w:val="4"/>
  </w:num>
  <w:num w:numId="5" w16cid:durableId="1824929778">
    <w:abstractNumId w:val="7"/>
  </w:num>
  <w:num w:numId="6" w16cid:durableId="576020528">
    <w:abstractNumId w:val="3"/>
  </w:num>
  <w:num w:numId="7" w16cid:durableId="2116972753">
    <w:abstractNumId w:val="2"/>
  </w:num>
  <w:num w:numId="8" w16cid:durableId="1912808471">
    <w:abstractNumId w:val="1"/>
  </w:num>
  <w:num w:numId="9" w16cid:durableId="13167359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7730"/>
    <w:rsid w:val="00034616"/>
    <w:rsid w:val="0006063C"/>
    <w:rsid w:val="000665F2"/>
    <w:rsid w:val="000D1DDC"/>
    <w:rsid w:val="0015074B"/>
    <w:rsid w:val="001F5208"/>
    <w:rsid w:val="00203B21"/>
    <w:rsid w:val="00245E5F"/>
    <w:rsid w:val="0029639D"/>
    <w:rsid w:val="002C0C44"/>
    <w:rsid w:val="00321687"/>
    <w:rsid w:val="00326F90"/>
    <w:rsid w:val="003825E8"/>
    <w:rsid w:val="003B2BD9"/>
    <w:rsid w:val="003C3144"/>
    <w:rsid w:val="00412BCC"/>
    <w:rsid w:val="004279A7"/>
    <w:rsid w:val="004B1CA2"/>
    <w:rsid w:val="004E38A3"/>
    <w:rsid w:val="00500E21"/>
    <w:rsid w:val="00602B84"/>
    <w:rsid w:val="00633963"/>
    <w:rsid w:val="007A106D"/>
    <w:rsid w:val="007D3FA7"/>
    <w:rsid w:val="00807119"/>
    <w:rsid w:val="00841519"/>
    <w:rsid w:val="009137F4"/>
    <w:rsid w:val="00931101"/>
    <w:rsid w:val="00932BE7"/>
    <w:rsid w:val="00990CF6"/>
    <w:rsid w:val="00A3063A"/>
    <w:rsid w:val="00AA1D8D"/>
    <w:rsid w:val="00AF2483"/>
    <w:rsid w:val="00B270F1"/>
    <w:rsid w:val="00B47730"/>
    <w:rsid w:val="00C01794"/>
    <w:rsid w:val="00C2585D"/>
    <w:rsid w:val="00C65839"/>
    <w:rsid w:val="00C812AD"/>
    <w:rsid w:val="00CA1EAE"/>
    <w:rsid w:val="00CB0664"/>
    <w:rsid w:val="00CB20C3"/>
    <w:rsid w:val="00CC3B02"/>
    <w:rsid w:val="00D230ED"/>
    <w:rsid w:val="00D41BF9"/>
    <w:rsid w:val="00D613B3"/>
    <w:rsid w:val="00D61762"/>
    <w:rsid w:val="00DE3D0D"/>
    <w:rsid w:val="00DE4F89"/>
    <w:rsid w:val="00E7653F"/>
    <w:rsid w:val="00E840A0"/>
    <w:rsid w:val="00EA37CA"/>
    <w:rsid w:val="00EF70A6"/>
    <w:rsid w:val="00F06821"/>
    <w:rsid w:val="00F17930"/>
    <w:rsid w:val="00F64427"/>
    <w:rsid w:val="00F719AE"/>
    <w:rsid w:val="00F9116B"/>
    <w:rsid w:val="00FC693F"/>
    <w:rsid w:val="00FF3EE6"/>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494F324A"/>
  <w14:defaultImageDpi w14:val="300"/>
  <w15:docId w15:val="{C883E3A2-4F5C-42DF-8961-046A04592B5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pPr>
      <w:spacing w:after="120" w:line="360" w:lineRule="auto"/>
      <w:jc w:val="both"/>
    </w:pPr>
    <w:rPr>
      <w:rFonts w:ascii="Arial" w:eastAsia="Arial" w:hAnsi="Arial"/>
    </w:rPr>
  </w:style>
  <w:style w:type="paragraph" w:styleId="Heading1">
    <w:name w:val="heading 1"/>
    <w:basedOn w:val="Normal"/>
    <w:next w:val="Normal"/>
    <w:link w:val="Heading1Char"/>
    <w:uiPriority w:val="9"/>
    <w:qFormat/>
    <w:rsid w:val="00FC693F"/>
    <w:pPr>
      <w:keepNext/>
      <w:keepLines/>
      <w:spacing w:before="200" w:after="100"/>
      <w:outlineLvl w:val="0"/>
    </w:pPr>
    <w:rPr>
      <w:rFonts w:asciiTheme="majorHAnsi" w:eastAsiaTheme="majorEastAsia" w:hAnsiTheme="majorHAnsi" w:cstheme="majorBidi"/>
      <w:b/>
      <w:bCs/>
      <w:color w:val="1F3D5B"/>
      <w:sz w:val="30"/>
      <w:szCs w:val="28"/>
    </w:rPr>
  </w:style>
  <w:style w:type="paragraph" w:styleId="Heading2">
    <w:name w:val="heading 2"/>
    <w:basedOn w:val="Normal"/>
    <w:next w:val="Normal"/>
    <w:link w:val="Heading2Char"/>
    <w:uiPriority w:val="9"/>
    <w:unhideWhenUsed/>
    <w:qFormat/>
    <w:rsid w:val="00FC693F"/>
    <w:pPr>
      <w:keepNext/>
      <w:keepLines/>
      <w:spacing w:before="200" w:after="100"/>
      <w:outlineLvl w:val="1"/>
    </w:pPr>
    <w:rPr>
      <w:rFonts w:asciiTheme="majorHAnsi" w:eastAsiaTheme="majorEastAsia" w:hAnsiTheme="majorHAnsi" w:cstheme="majorBidi"/>
      <w:b/>
      <w:bCs/>
      <w:color w:val="005EB8"/>
      <w:sz w:val="25"/>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before="200" w:after="100" w:line="240" w:lineRule="auto"/>
      <w:contextualSpacing/>
    </w:pPr>
    <w:rPr>
      <w:rFonts w:asciiTheme="majorHAnsi" w:eastAsiaTheme="majorEastAsia" w:hAnsiTheme="majorHAnsi" w:cstheme="majorBidi"/>
      <w:b/>
      <w:color w:val="1F3D5B"/>
      <w:spacing w:val="5"/>
      <w:kern w:val="28"/>
      <w:sz w:val="44"/>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ind w:left="360"/>
      <w:contextualSpacing/>
    </w:pPr>
  </w:style>
  <w:style w:type="paragraph" w:styleId="ListContinue2">
    <w:name w:val="List Continue 2"/>
    <w:basedOn w:val="Normal"/>
    <w:uiPriority w:val="99"/>
    <w:unhideWhenUsed/>
    <w:rsid w:val="0029639D"/>
    <w:pPr>
      <w:ind w:left="720"/>
      <w:contextualSpacing/>
    </w:pPr>
  </w:style>
  <w:style w:type="paragraph" w:styleId="ListContinue3">
    <w:name w:val="List Continue 3"/>
    <w:basedOn w:val="Normal"/>
    <w:uiPriority w:val="99"/>
    <w:unhideWhenUsed/>
    <w:rsid w:val="0029639D"/>
    <w:pPr>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u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u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u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u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u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u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u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u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u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u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u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u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u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u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u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u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u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u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u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u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u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paragraph" w:customStyle="1" w:styleId="FigureCaption">
    <w:name w:val="Figure Caption"/>
    <w:pPr>
      <w:spacing w:after="160"/>
      <w:jc w:val="center"/>
    </w:pPr>
    <w:rPr>
      <w:rFonts w:ascii="Arial" w:eastAsia="Arial" w:hAnsi="Arial"/>
      <w:i/>
      <w:sz w:val="18"/>
    </w:rPr>
  </w:style>
  <w:style w:type="paragraph" w:styleId="TOC1">
    <w:name w:val="toc 1"/>
    <w:basedOn w:val="Normal"/>
    <w:next w:val="Normal"/>
    <w:autoRedefine/>
    <w:uiPriority w:val="39"/>
    <w:unhideWhenUsed/>
    <w:rsid w:val="00203B21"/>
    <w:pPr>
      <w:spacing w:after="100"/>
    </w:pPr>
  </w:style>
  <w:style w:type="character" w:styleId="Hyperlink">
    <w:name w:val="Hyperlink"/>
    <w:basedOn w:val="DefaultParagraphFont"/>
    <w:uiPriority w:val="99"/>
    <w:unhideWhenUsed/>
    <w:rsid w:val="00203B21"/>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899A543-71C4-4445-9A68-0666833379D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11</Pages>
  <Words>2985</Words>
  <Characters>17018</Characters>
  <Application>Microsoft Office Word</Application>
  <DocSecurity>0</DocSecurity>
  <Lines>141</Lines>
  <Paragraphs>39</Paragraphs>
  <ScaleCrop>false</ScaleCrop>
  <HeadingPairs>
    <vt:vector size="2" baseType="variant">
      <vt:variant>
        <vt:lpstr>Title</vt:lpstr>
      </vt:variant>
      <vt:variant>
        <vt:i4>1</vt:i4>
      </vt:variant>
    </vt:vector>
  </HeadingPairs>
  <TitlesOfParts>
    <vt:vector size="1" baseType="lpstr">
      <vt:lpstr>BMHP5015 Assessment 2 - Social Prescribing Link Worker Report</vt:lpstr>
    </vt:vector>
  </TitlesOfParts>
  <Manager/>
  <Company/>
  <LinksUpToDate>false</LinksUpToDate>
  <CharactersWithSpaces>19964</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BMHP5015 Assessment 2 - Social Prescribing Link Worker Report</dc:title>
  <dc:subject>Personal employability, personal brand and five-year development plan</dc:subject>
  <dc:creator>Zaiba</dc:creator>
  <cp:keywords/>
  <dc:description>generated by python-docx</dc:description>
  <cp:lastModifiedBy>Zaiba Tabassum (2407213)</cp:lastModifiedBy>
  <cp:revision>3</cp:revision>
  <dcterms:created xsi:type="dcterms:W3CDTF">2026-07-13T23:46:00Z</dcterms:created>
  <dcterms:modified xsi:type="dcterms:W3CDTF">2026-07-14T00:12:00Z</dcterms:modified>
  <cp:category/>
</cp:coreProperties>
</file>