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3B2A80" w14:textId="5D88216E" w:rsidR="00726EEE" w:rsidRPr="002E039B" w:rsidRDefault="001A2F9E" w:rsidP="008729B3">
      <w:pPr>
        <w:rPr>
          <w:rFonts w:ascii="Calibri" w:hAnsi="Calibri" w:cs="Calibri"/>
          <w:b/>
          <w:bCs/>
        </w:rPr>
      </w:pPr>
      <w:r w:rsidRPr="002E039B">
        <w:rPr>
          <w:rFonts w:ascii="Calibri" w:hAnsi="Calibri" w:cs="Calibri"/>
          <w:b/>
          <w:bCs/>
        </w:rPr>
        <w:t>Introduction</w:t>
      </w:r>
    </w:p>
    <w:p w14:paraId="16213CFC" w14:textId="13B0C180" w:rsidR="009C3C56" w:rsidRPr="002E039B" w:rsidRDefault="009C3C56" w:rsidP="009C3C56">
      <w:pPr>
        <w:rPr>
          <w:rFonts w:ascii="Calibri" w:hAnsi="Calibri" w:cs="Calibri"/>
        </w:rPr>
      </w:pPr>
      <w:r w:rsidRPr="002E039B">
        <w:rPr>
          <w:rFonts w:ascii="Calibri" w:hAnsi="Calibri" w:cs="Calibri"/>
        </w:rPr>
        <w:t xml:space="preserve">In the face of ever increasing and evolving risks the United Kingdom government realised it required a robust legal framework to respond to emergencies and crises. For these </w:t>
      </w:r>
      <w:r w:rsidR="005000BA" w:rsidRPr="002E039B">
        <w:rPr>
          <w:rFonts w:ascii="Calibri" w:hAnsi="Calibri" w:cs="Calibri"/>
        </w:rPr>
        <w:t>reasons,</w:t>
      </w:r>
      <w:r w:rsidRPr="002E039B">
        <w:rPr>
          <w:rFonts w:ascii="Calibri" w:hAnsi="Calibri" w:cs="Calibri"/>
        </w:rPr>
        <w:t xml:space="preserve"> the Civil Contingencies Act 2004 </w:t>
      </w:r>
      <w:r w:rsidR="00DC735C" w:rsidRPr="002E039B">
        <w:rPr>
          <w:rFonts w:ascii="Calibri" w:hAnsi="Calibri" w:cs="Calibri"/>
        </w:rPr>
        <w:t xml:space="preserve">(CCA 2004) </w:t>
      </w:r>
      <w:r w:rsidR="005161ED">
        <w:rPr>
          <w:rFonts w:ascii="Calibri" w:hAnsi="Calibri" w:cs="Calibri"/>
        </w:rPr>
        <w:t>was created</w:t>
      </w:r>
      <w:r w:rsidRPr="002E039B">
        <w:rPr>
          <w:rFonts w:ascii="Calibri" w:hAnsi="Calibri" w:cs="Calibri"/>
        </w:rPr>
        <w:t xml:space="preserve"> </w:t>
      </w:r>
      <w:r w:rsidR="0013752C">
        <w:rPr>
          <w:rFonts w:ascii="Calibri" w:hAnsi="Calibri" w:cs="Calibri"/>
        </w:rPr>
        <w:t xml:space="preserve">by the UK Government </w:t>
      </w:r>
      <w:r w:rsidRPr="002E039B">
        <w:rPr>
          <w:rFonts w:ascii="Calibri" w:hAnsi="Calibri" w:cs="Calibri"/>
        </w:rPr>
        <w:t xml:space="preserve">to respond to incidents that could threaten the safety security and the financial well-being of the </w:t>
      </w:r>
      <w:r w:rsidR="00DC735C" w:rsidRPr="002E039B">
        <w:rPr>
          <w:rFonts w:ascii="Calibri" w:hAnsi="Calibri" w:cs="Calibri"/>
        </w:rPr>
        <w:t>United Kingdom</w:t>
      </w:r>
      <w:r w:rsidR="0013752C" w:rsidRPr="002E039B">
        <w:rPr>
          <w:rFonts w:ascii="Calibri" w:hAnsi="Calibri" w:cs="Calibri"/>
        </w:rPr>
        <w:t xml:space="preserve">. </w:t>
      </w:r>
    </w:p>
    <w:p w14:paraId="142D5FA6" w14:textId="65DABF1B" w:rsidR="009C3C56" w:rsidRPr="002E039B" w:rsidRDefault="009C3C56" w:rsidP="009C3C56">
      <w:pPr>
        <w:rPr>
          <w:rFonts w:ascii="Calibri" w:hAnsi="Calibri" w:cs="Calibri"/>
        </w:rPr>
      </w:pPr>
      <w:r w:rsidRPr="002E039B">
        <w:rPr>
          <w:rFonts w:ascii="Calibri" w:hAnsi="Calibri" w:cs="Calibri"/>
        </w:rPr>
        <w:t xml:space="preserve">The </w:t>
      </w:r>
      <w:r w:rsidR="0013752C">
        <w:rPr>
          <w:rFonts w:ascii="Calibri" w:hAnsi="Calibri" w:cs="Calibri"/>
        </w:rPr>
        <w:t>Act was created</w:t>
      </w:r>
      <w:r w:rsidRPr="002E039B">
        <w:rPr>
          <w:rFonts w:ascii="Calibri" w:hAnsi="Calibri" w:cs="Calibri"/>
        </w:rPr>
        <w:t xml:space="preserve"> as a replacement to The Emergency Powers Act of 1920 and The Civil Defence Act 1948 as this legislation was not thought adequate for recent national emergencies such as the Foot and Mouth Disease outbreak in 2001 and the flooding and fuel protests of 2000. </w:t>
      </w:r>
    </w:p>
    <w:p w14:paraId="744008A5" w14:textId="0517C206" w:rsidR="003C2BD8" w:rsidRPr="002E039B" w:rsidRDefault="002C22BD" w:rsidP="002C22BD">
      <w:pPr>
        <w:rPr>
          <w:rFonts w:ascii="Calibri" w:hAnsi="Calibri" w:cs="Calibri"/>
        </w:rPr>
      </w:pPr>
      <w:r w:rsidRPr="002E039B">
        <w:rPr>
          <w:rFonts w:ascii="Calibri" w:hAnsi="Calibri" w:cs="Calibri"/>
        </w:rPr>
        <w:t>The CCA 2004 stands as the</w:t>
      </w:r>
      <w:r w:rsidR="007B71F5" w:rsidRPr="002E039B">
        <w:rPr>
          <w:rFonts w:ascii="Calibri" w:hAnsi="Calibri" w:cs="Calibri"/>
        </w:rPr>
        <w:t xml:space="preserve"> foundation</w:t>
      </w:r>
      <w:r w:rsidRPr="002E039B">
        <w:rPr>
          <w:rFonts w:ascii="Calibri" w:hAnsi="Calibri" w:cs="Calibri"/>
        </w:rPr>
        <w:t xml:space="preserve"> in the United Kingdom's legal framework, providing a comprehensive structure for emergency preparedness and response. Designed to address a spectrum of potential crises, ranging from natural disasters to terrorist threats, the act delineates the roles, responsibilities, and powers of various authorities and organizations. Within this legislative structure, this discussion will delve into the purpose of the CCA 2004, the supporting regulations, and statutory guidance that accompany it. </w:t>
      </w:r>
      <w:r w:rsidR="00DC735C" w:rsidRPr="002E039B">
        <w:rPr>
          <w:rFonts w:ascii="Calibri" w:hAnsi="Calibri" w:cs="Calibri"/>
        </w:rPr>
        <w:t>It is important to say that the CCA 2004 sets out the way that Emergency Planners plan and</w:t>
      </w:r>
      <w:r w:rsidR="007B71F5" w:rsidRPr="002E039B">
        <w:rPr>
          <w:rFonts w:ascii="Calibri" w:hAnsi="Calibri" w:cs="Calibri"/>
        </w:rPr>
        <w:t xml:space="preserve"> respond </w:t>
      </w:r>
      <w:r w:rsidR="00DC735C" w:rsidRPr="002E039B">
        <w:rPr>
          <w:rFonts w:ascii="Calibri" w:hAnsi="Calibri" w:cs="Calibri"/>
        </w:rPr>
        <w:t xml:space="preserve">to incidents and emergencies within the UK. </w:t>
      </w:r>
    </w:p>
    <w:p w14:paraId="30E41945" w14:textId="7376B30F" w:rsidR="00D96DA9" w:rsidRPr="002E039B" w:rsidRDefault="002C22BD" w:rsidP="00D96DA9">
      <w:pPr>
        <w:rPr>
          <w:rFonts w:ascii="Calibri" w:hAnsi="Calibri" w:cs="Calibri"/>
        </w:rPr>
      </w:pPr>
      <w:r w:rsidRPr="002E039B">
        <w:rPr>
          <w:rFonts w:ascii="Calibri" w:hAnsi="Calibri" w:cs="Calibri"/>
        </w:rPr>
        <w:t xml:space="preserve">Additionally, I will explore the potential implications of the transfer of functions to Welsh Ministers, examining how it may reshape the landscape of preparedness and response specifically within Wales. Furthermore, </w:t>
      </w:r>
      <w:r w:rsidR="0047201C">
        <w:rPr>
          <w:rFonts w:ascii="Calibri" w:hAnsi="Calibri" w:cs="Calibri"/>
        </w:rPr>
        <w:t>I</w:t>
      </w:r>
      <w:r w:rsidRPr="002E039B">
        <w:rPr>
          <w:rFonts w:ascii="Calibri" w:hAnsi="Calibri" w:cs="Calibri"/>
        </w:rPr>
        <w:t xml:space="preserve"> will shed light on the emergency powers vested in authorities by the act and the mechanisms in place to ensure responder agencies comply with their duties. </w:t>
      </w:r>
      <w:r w:rsidR="00847348" w:rsidRPr="002E039B">
        <w:rPr>
          <w:rFonts w:ascii="Calibri" w:hAnsi="Calibri" w:cs="Calibri"/>
        </w:rPr>
        <w:t xml:space="preserve">I will also describe the history of the </w:t>
      </w:r>
      <w:r w:rsidR="00090E26" w:rsidRPr="002E039B">
        <w:rPr>
          <w:rFonts w:ascii="Calibri" w:hAnsi="Calibri" w:cs="Calibri"/>
        </w:rPr>
        <w:t>challenges for Wales. I will explore t</w:t>
      </w:r>
      <w:r w:rsidR="003428FE" w:rsidRPr="002E039B">
        <w:rPr>
          <w:rFonts w:ascii="Calibri" w:hAnsi="Calibri" w:cs="Calibri"/>
        </w:rPr>
        <w:t xml:space="preserve">he history of the Act in Wales and how </w:t>
      </w:r>
      <w:r w:rsidR="00177DE8" w:rsidRPr="002E039B">
        <w:rPr>
          <w:rFonts w:ascii="Calibri" w:hAnsi="Calibri" w:cs="Calibri"/>
        </w:rPr>
        <w:t>the Transfer of Powers 2018</w:t>
      </w:r>
      <w:r w:rsidR="003428FE" w:rsidRPr="002E039B">
        <w:rPr>
          <w:rFonts w:ascii="Calibri" w:hAnsi="Calibri" w:cs="Calibri"/>
        </w:rPr>
        <w:t xml:space="preserve"> </w:t>
      </w:r>
      <w:r w:rsidR="00C1585F" w:rsidRPr="002E039B">
        <w:rPr>
          <w:rFonts w:ascii="Calibri" w:hAnsi="Calibri" w:cs="Calibri"/>
        </w:rPr>
        <w:t xml:space="preserve">may allow </w:t>
      </w:r>
      <w:r w:rsidR="00621ED7" w:rsidRPr="002E039B">
        <w:rPr>
          <w:rFonts w:ascii="Calibri" w:hAnsi="Calibri" w:cs="Calibri"/>
        </w:rPr>
        <w:t xml:space="preserve">Welsh Ministers </w:t>
      </w:r>
      <w:r w:rsidR="000C326A" w:rsidRPr="002E039B">
        <w:rPr>
          <w:rFonts w:ascii="Calibri" w:hAnsi="Calibri" w:cs="Calibri"/>
        </w:rPr>
        <w:t>to shape civil contingencies in Wales.</w:t>
      </w:r>
    </w:p>
    <w:p w14:paraId="7E373221" w14:textId="708CC00A" w:rsidR="00D96DA9" w:rsidRPr="002E039B" w:rsidRDefault="00D96DA9">
      <w:pPr>
        <w:rPr>
          <w:rFonts w:ascii="Calibri" w:hAnsi="Calibri" w:cs="Calibri"/>
        </w:rPr>
      </w:pPr>
      <w:r w:rsidRPr="002E039B">
        <w:rPr>
          <w:rFonts w:ascii="Calibri" w:hAnsi="Calibri" w:cs="Calibri"/>
        </w:rPr>
        <w:t xml:space="preserve">I will also provide an assessment of how as a Category 2 responder Dwr Cymru Welsh Water (DCWW) support the planning and response of local and national plans through working groups within the structure of the Local Resilience Forum’s (LRF’s). </w:t>
      </w:r>
    </w:p>
    <w:p w14:paraId="48A63723" w14:textId="7E24BEE9" w:rsidR="00392D0B" w:rsidRPr="002E039B" w:rsidRDefault="001A2F9E" w:rsidP="00EE6987">
      <w:pPr>
        <w:rPr>
          <w:rFonts w:ascii="Calibri" w:hAnsi="Calibri" w:cs="Calibri"/>
        </w:rPr>
      </w:pPr>
      <w:r w:rsidRPr="002E039B">
        <w:rPr>
          <w:rFonts w:ascii="Calibri" w:hAnsi="Calibri" w:cs="Calibri"/>
        </w:rPr>
        <w:t xml:space="preserve">Purpose </w:t>
      </w:r>
      <w:r w:rsidR="00230D61" w:rsidRPr="002E039B">
        <w:rPr>
          <w:rFonts w:ascii="Calibri" w:hAnsi="Calibri" w:cs="Calibri"/>
        </w:rPr>
        <w:t xml:space="preserve">and Overview </w:t>
      </w:r>
      <w:r w:rsidRPr="002E039B">
        <w:rPr>
          <w:rFonts w:ascii="Calibri" w:hAnsi="Calibri" w:cs="Calibri"/>
        </w:rPr>
        <w:t>of the CCA 2004</w:t>
      </w:r>
      <w:r w:rsidR="00EB55D8" w:rsidRPr="002E039B">
        <w:rPr>
          <w:rFonts w:ascii="Calibri" w:hAnsi="Calibri" w:cs="Calibri"/>
        </w:rPr>
        <w:t xml:space="preserve"> (960)</w:t>
      </w:r>
    </w:p>
    <w:p w14:paraId="65376A61" w14:textId="2F87FD3A" w:rsidR="00653461" w:rsidRPr="002E039B" w:rsidRDefault="00EF0991">
      <w:pPr>
        <w:rPr>
          <w:rFonts w:ascii="Calibri" w:hAnsi="Calibri" w:cs="Calibri"/>
        </w:rPr>
      </w:pPr>
      <w:r w:rsidRPr="002E039B">
        <w:rPr>
          <w:rFonts w:ascii="Calibri" w:hAnsi="Calibri" w:cs="Calibri"/>
        </w:rPr>
        <w:t xml:space="preserve">The purpose of the </w:t>
      </w:r>
      <w:r w:rsidR="00BB47A4" w:rsidRPr="002E039B">
        <w:rPr>
          <w:rFonts w:ascii="Calibri" w:hAnsi="Calibri" w:cs="Calibri"/>
        </w:rPr>
        <w:t>CCA 2004</w:t>
      </w:r>
      <w:r w:rsidRPr="002E039B">
        <w:rPr>
          <w:rFonts w:ascii="Calibri" w:hAnsi="Calibri" w:cs="Calibri"/>
        </w:rPr>
        <w:t xml:space="preserve"> is to provide a legal framework for emergency preparedness and response in the United Kingdom. The Act aims to enhance the</w:t>
      </w:r>
      <w:r w:rsidR="00230205" w:rsidRPr="002E039B">
        <w:rPr>
          <w:rFonts w:ascii="Calibri" w:hAnsi="Calibri" w:cs="Calibri"/>
        </w:rPr>
        <w:t xml:space="preserve"> UK’S </w:t>
      </w:r>
      <w:r w:rsidRPr="002E039B">
        <w:rPr>
          <w:rFonts w:ascii="Calibri" w:hAnsi="Calibri" w:cs="Calibri"/>
        </w:rPr>
        <w:t>ability to prevent, prepare for, respond to, and recover from emergencies. These emergencies can include a wide range of events, such as natural disasters, public health crises, industrial accidents, and terrorist attacks.</w:t>
      </w:r>
      <w:r w:rsidR="00567252" w:rsidRPr="002E039B">
        <w:rPr>
          <w:rFonts w:ascii="Calibri" w:hAnsi="Calibri" w:cs="Calibri"/>
        </w:rPr>
        <w:t xml:space="preserve"> </w:t>
      </w:r>
      <w:r w:rsidR="00DC735C" w:rsidRPr="002E039B">
        <w:rPr>
          <w:rFonts w:ascii="Calibri" w:hAnsi="Calibri" w:cs="Calibri"/>
        </w:rPr>
        <w:t>One should note</w:t>
      </w:r>
      <w:r w:rsidR="00567252" w:rsidRPr="002E039B">
        <w:rPr>
          <w:rFonts w:ascii="Calibri" w:hAnsi="Calibri" w:cs="Calibri"/>
        </w:rPr>
        <w:t xml:space="preserve"> that whilst </w:t>
      </w:r>
      <w:r w:rsidR="00BC0D48" w:rsidRPr="002E039B">
        <w:rPr>
          <w:rFonts w:ascii="Calibri" w:hAnsi="Calibri" w:cs="Calibri"/>
        </w:rPr>
        <w:t xml:space="preserve">preparedness and planning are </w:t>
      </w:r>
      <w:r w:rsidR="00C77D8A" w:rsidRPr="002E039B">
        <w:rPr>
          <w:rFonts w:ascii="Calibri" w:hAnsi="Calibri" w:cs="Calibri"/>
        </w:rPr>
        <w:t xml:space="preserve">legally required under the </w:t>
      </w:r>
      <w:r w:rsidR="00B8569F" w:rsidRPr="002E039B">
        <w:rPr>
          <w:rFonts w:ascii="Calibri" w:hAnsi="Calibri" w:cs="Calibri"/>
        </w:rPr>
        <w:t>Act</w:t>
      </w:r>
      <w:r w:rsidR="00C77D8A" w:rsidRPr="002E039B">
        <w:rPr>
          <w:rFonts w:ascii="Calibri" w:hAnsi="Calibri" w:cs="Calibri"/>
        </w:rPr>
        <w:t xml:space="preserve"> </w:t>
      </w:r>
      <w:r w:rsidR="00AB301D" w:rsidRPr="002E039B">
        <w:rPr>
          <w:rFonts w:ascii="Calibri" w:hAnsi="Calibri" w:cs="Calibri"/>
        </w:rPr>
        <w:t xml:space="preserve">recovery is a </w:t>
      </w:r>
      <w:r w:rsidR="00B8569F" w:rsidRPr="002E039B">
        <w:rPr>
          <w:rFonts w:ascii="Calibri" w:hAnsi="Calibri" w:cs="Calibri"/>
        </w:rPr>
        <w:t>non-statutory legal criterion</w:t>
      </w:r>
      <w:r w:rsidR="00D90AE1" w:rsidRPr="002E039B">
        <w:rPr>
          <w:rFonts w:ascii="Calibri" w:hAnsi="Calibri" w:cs="Calibri"/>
        </w:rPr>
        <w:t>.</w:t>
      </w:r>
      <w:r w:rsidR="00B8569F" w:rsidRPr="002E039B">
        <w:rPr>
          <w:rFonts w:ascii="Calibri" w:hAnsi="Calibri" w:cs="Calibri"/>
        </w:rPr>
        <w:t xml:space="preserve"> (</w:t>
      </w:r>
      <w:r w:rsidR="00DC735C" w:rsidRPr="002E039B">
        <w:rPr>
          <w:rFonts w:ascii="Calibri" w:hAnsi="Calibri" w:cs="Calibri"/>
        </w:rPr>
        <w:t>CCA</w:t>
      </w:r>
      <w:r w:rsidR="00B8569F" w:rsidRPr="002E039B">
        <w:rPr>
          <w:rFonts w:ascii="Calibri" w:hAnsi="Calibri" w:cs="Calibri"/>
        </w:rPr>
        <w:t xml:space="preserve"> 2004)</w:t>
      </w:r>
      <w:r w:rsidR="00DC735C" w:rsidRPr="002E039B">
        <w:rPr>
          <w:rFonts w:ascii="Calibri" w:hAnsi="Calibri" w:cs="Calibri"/>
        </w:rPr>
        <w:t xml:space="preserve">. </w:t>
      </w:r>
    </w:p>
    <w:p w14:paraId="0330A6A9" w14:textId="05A45E4E" w:rsidR="00037854" w:rsidRPr="002E039B" w:rsidRDefault="00D90AE1" w:rsidP="00787E17">
      <w:pPr>
        <w:rPr>
          <w:rFonts w:ascii="Calibri" w:hAnsi="Calibri" w:cs="Calibri"/>
        </w:rPr>
      </w:pPr>
      <w:r w:rsidRPr="002E039B">
        <w:rPr>
          <w:rFonts w:ascii="Calibri" w:hAnsi="Calibri" w:cs="Calibri"/>
        </w:rPr>
        <w:t xml:space="preserve"> </w:t>
      </w:r>
      <w:r w:rsidR="00653461" w:rsidRPr="002E039B">
        <w:rPr>
          <w:rFonts w:ascii="Calibri" w:hAnsi="Calibri" w:cs="Calibri"/>
        </w:rPr>
        <w:t xml:space="preserve">The Act imposes legal duties on various organizations and authorities to cooperate and share information for the purpose of effective emergency management. This ensures a unified and collaborative approach among different agencies. To enable these duties and to cooperate with planning for incidents and preparing plans organisations come together to form ‘local resilience forums’ which are </w:t>
      </w:r>
      <w:r w:rsidR="00682889">
        <w:rPr>
          <w:rFonts w:ascii="Calibri" w:hAnsi="Calibri" w:cs="Calibri"/>
        </w:rPr>
        <w:t>b</w:t>
      </w:r>
      <w:r w:rsidR="00682889" w:rsidRPr="002E039B">
        <w:rPr>
          <w:rFonts w:ascii="Calibri" w:hAnsi="Calibri" w:cs="Calibri"/>
        </w:rPr>
        <w:t>ased</w:t>
      </w:r>
      <w:r w:rsidR="00653461" w:rsidRPr="002E039B">
        <w:rPr>
          <w:rFonts w:ascii="Calibri" w:hAnsi="Calibri" w:cs="Calibri"/>
        </w:rPr>
        <w:t xml:space="preserve"> on Police </w:t>
      </w:r>
      <w:r w:rsidR="00682889">
        <w:rPr>
          <w:rFonts w:ascii="Calibri" w:hAnsi="Calibri" w:cs="Calibri"/>
        </w:rPr>
        <w:t xml:space="preserve">Force </w:t>
      </w:r>
      <w:r w:rsidR="00653461" w:rsidRPr="002E039B">
        <w:rPr>
          <w:rFonts w:ascii="Calibri" w:hAnsi="Calibri" w:cs="Calibri"/>
        </w:rPr>
        <w:t xml:space="preserve">areas. There are four across Wales North Wales LRF, Dyfed Powys LRF South Wales LRF and Gwent LRF. </w:t>
      </w:r>
    </w:p>
    <w:p w14:paraId="35690E7E" w14:textId="764548B9" w:rsidR="00372849" w:rsidRPr="002E039B" w:rsidRDefault="00372849">
      <w:pPr>
        <w:rPr>
          <w:rFonts w:ascii="Calibri" w:hAnsi="Calibri" w:cs="Calibri"/>
        </w:rPr>
      </w:pPr>
      <w:r w:rsidRPr="002E039B">
        <w:rPr>
          <w:rFonts w:ascii="Calibri" w:hAnsi="Calibri" w:cs="Calibri"/>
        </w:rPr>
        <w:t>Coordinated Response</w:t>
      </w:r>
    </w:p>
    <w:p w14:paraId="50ACB22D" w14:textId="665E72CD" w:rsidR="00530B88" w:rsidRPr="002E039B" w:rsidRDefault="00530B88">
      <w:pPr>
        <w:rPr>
          <w:rFonts w:ascii="Calibri" w:hAnsi="Calibri" w:cs="Calibri"/>
        </w:rPr>
      </w:pPr>
      <w:r w:rsidRPr="002E039B">
        <w:rPr>
          <w:rFonts w:ascii="Calibri" w:hAnsi="Calibri" w:cs="Calibri"/>
        </w:rPr>
        <w:t>The Act establishes mechanisms to ensure a coordinated and effective response to emergencies involving multiple agencies and levels of government.</w:t>
      </w:r>
    </w:p>
    <w:p w14:paraId="11E1E46A" w14:textId="77777777" w:rsidR="00353CCD" w:rsidRPr="002E039B" w:rsidRDefault="00353CCD" w:rsidP="001E1B5A">
      <w:pPr>
        <w:shd w:val="clear" w:color="auto" w:fill="FFFFFF"/>
        <w:spacing w:after="0" w:line="240" w:lineRule="auto"/>
        <w:textAlignment w:val="baseline"/>
        <w:rPr>
          <w:rFonts w:ascii="Calibri" w:eastAsia="Times New Roman" w:hAnsi="Calibri" w:cs="Calibri"/>
          <w:b/>
          <w:bCs/>
          <w:color w:val="242424"/>
          <w:kern w:val="0"/>
          <w:sz w:val="24"/>
          <w:szCs w:val="24"/>
          <w:bdr w:val="none" w:sz="0" w:space="0" w:color="auto" w:frame="1"/>
          <w:shd w:val="clear" w:color="auto" w:fill="FFFFFF"/>
          <w:lang w:eastAsia="en-GB"/>
          <w14:ligatures w14:val="none"/>
        </w:rPr>
      </w:pPr>
    </w:p>
    <w:p w14:paraId="6099E651" w14:textId="77777777" w:rsidR="006D4F5E" w:rsidRDefault="006D4F5E" w:rsidP="001E1B5A">
      <w:pPr>
        <w:shd w:val="clear" w:color="auto" w:fill="FFFFFF"/>
        <w:spacing w:after="0" w:line="240" w:lineRule="auto"/>
        <w:textAlignment w:val="baseline"/>
        <w:rPr>
          <w:rFonts w:ascii="Calibri" w:eastAsia="Times New Roman" w:hAnsi="Calibri" w:cs="Calibri"/>
          <w:b/>
          <w:bCs/>
          <w:color w:val="242424"/>
          <w:kern w:val="0"/>
          <w:sz w:val="24"/>
          <w:szCs w:val="24"/>
          <w:bdr w:val="none" w:sz="0" w:space="0" w:color="auto" w:frame="1"/>
          <w:shd w:val="clear" w:color="auto" w:fill="FFFFFF"/>
          <w:lang w:eastAsia="en-GB"/>
          <w14:ligatures w14:val="none"/>
        </w:rPr>
      </w:pPr>
    </w:p>
    <w:p w14:paraId="598DFF97" w14:textId="1C541442" w:rsidR="001E1B5A" w:rsidRPr="002E039B" w:rsidRDefault="001E1B5A" w:rsidP="001E1B5A">
      <w:pPr>
        <w:shd w:val="clear" w:color="auto" w:fill="FFFFFF"/>
        <w:spacing w:after="0" w:line="240" w:lineRule="auto"/>
        <w:textAlignment w:val="baseline"/>
        <w:rPr>
          <w:rFonts w:ascii="Calibri" w:eastAsia="Times New Roman" w:hAnsi="Calibri" w:cs="Calibri"/>
          <w:b/>
          <w:bCs/>
          <w:color w:val="242424"/>
          <w:kern w:val="0"/>
          <w:sz w:val="24"/>
          <w:szCs w:val="24"/>
          <w:bdr w:val="none" w:sz="0" w:space="0" w:color="auto" w:frame="1"/>
          <w:shd w:val="clear" w:color="auto" w:fill="FFFFFF"/>
          <w:lang w:eastAsia="en-GB"/>
          <w14:ligatures w14:val="none"/>
        </w:rPr>
      </w:pPr>
      <w:r w:rsidRPr="002E039B">
        <w:rPr>
          <w:rFonts w:ascii="Calibri" w:eastAsia="Times New Roman" w:hAnsi="Calibri" w:cs="Calibri"/>
          <w:b/>
          <w:bCs/>
          <w:color w:val="242424"/>
          <w:kern w:val="0"/>
          <w:sz w:val="24"/>
          <w:szCs w:val="24"/>
          <w:bdr w:val="none" w:sz="0" w:space="0" w:color="auto" w:frame="1"/>
          <w:shd w:val="clear" w:color="auto" w:fill="FFFFFF"/>
          <w:lang w:eastAsia="en-GB"/>
          <w14:ligatures w14:val="none"/>
        </w:rPr>
        <w:lastRenderedPageBreak/>
        <w:t>Overview of the Act</w:t>
      </w:r>
    </w:p>
    <w:p w14:paraId="37932A6F" w14:textId="77777777" w:rsidR="001E1B5A" w:rsidRPr="002E039B" w:rsidRDefault="001E1B5A" w:rsidP="001E1B5A">
      <w:pPr>
        <w:shd w:val="clear" w:color="auto" w:fill="FFFFFF"/>
        <w:spacing w:after="0" w:line="240" w:lineRule="auto"/>
        <w:textAlignment w:val="baseline"/>
        <w:rPr>
          <w:rFonts w:ascii="Calibri" w:eastAsia="Times New Roman" w:hAnsi="Calibri" w:cs="Calibri"/>
          <w:color w:val="242424"/>
          <w:kern w:val="0"/>
          <w:sz w:val="24"/>
          <w:szCs w:val="24"/>
          <w:bdr w:val="none" w:sz="0" w:space="0" w:color="auto" w:frame="1"/>
          <w:shd w:val="clear" w:color="auto" w:fill="FFFFFF"/>
          <w:lang w:eastAsia="en-GB"/>
          <w14:ligatures w14:val="none"/>
        </w:rPr>
      </w:pPr>
    </w:p>
    <w:p w14:paraId="23CFB15A" w14:textId="77777777" w:rsidR="001E1B5A" w:rsidRPr="002E039B" w:rsidRDefault="001E1B5A" w:rsidP="001E1B5A">
      <w:pPr>
        <w:shd w:val="clear" w:color="auto" w:fill="FFFFFF"/>
        <w:spacing w:after="0" w:line="240" w:lineRule="auto"/>
        <w:textAlignment w:val="baseline"/>
        <w:rPr>
          <w:rFonts w:ascii="Calibri" w:eastAsia="Times New Roman" w:hAnsi="Calibri" w:cs="Calibri"/>
          <w:color w:val="242424"/>
          <w:kern w:val="0"/>
          <w:bdr w:val="none" w:sz="0" w:space="0" w:color="auto" w:frame="1"/>
          <w:shd w:val="clear" w:color="auto" w:fill="FFFFFF"/>
          <w:lang w:eastAsia="en-GB"/>
          <w14:ligatures w14:val="none"/>
        </w:rPr>
      </w:pPr>
      <w:r w:rsidRPr="002E039B">
        <w:rPr>
          <w:rFonts w:ascii="Calibri" w:eastAsia="Times New Roman" w:hAnsi="Calibri" w:cs="Calibri"/>
          <w:color w:val="242424"/>
          <w:kern w:val="0"/>
          <w:bdr w:val="none" w:sz="0" w:space="0" w:color="auto" w:frame="1"/>
          <w:shd w:val="clear" w:color="auto" w:fill="FFFFFF"/>
          <w:lang w:eastAsia="en-GB"/>
          <w14:ligatures w14:val="none"/>
        </w:rPr>
        <w:t>The Act includes two substantive parts.</w:t>
      </w:r>
    </w:p>
    <w:p w14:paraId="71D3990B" w14:textId="77777777" w:rsidR="001E1B5A" w:rsidRPr="002E039B" w:rsidRDefault="001E1B5A" w:rsidP="001E1B5A">
      <w:pPr>
        <w:shd w:val="clear" w:color="auto" w:fill="FFFFFF"/>
        <w:spacing w:after="0" w:line="240" w:lineRule="auto"/>
        <w:textAlignment w:val="baseline"/>
        <w:rPr>
          <w:rFonts w:ascii="Calibri" w:eastAsia="Times New Roman" w:hAnsi="Calibri" w:cs="Calibri"/>
          <w:color w:val="242424"/>
          <w:kern w:val="0"/>
          <w:bdr w:val="none" w:sz="0" w:space="0" w:color="auto" w:frame="1"/>
          <w:shd w:val="clear" w:color="auto" w:fill="FFFFFF"/>
          <w:lang w:eastAsia="en-GB"/>
          <w14:ligatures w14:val="none"/>
        </w:rPr>
      </w:pPr>
    </w:p>
    <w:p w14:paraId="5DA3228C" w14:textId="77777777" w:rsidR="001E1B5A" w:rsidRPr="002E039B" w:rsidRDefault="001E1B5A" w:rsidP="001E1B5A">
      <w:pPr>
        <w:numPr>
          <w:ilvl w:val="0"/>
          <w:numId w:val="17"/>
        </w:numPr>
        <w:shd w:val="clear" w:color="auto" w:fill="FFFFFF"/>
        <w:spacing w:after="0" w:line="240" w:lineRule="auto"/>
        <w:contextualSpacing/>
        <w:textAlignment w:val="baseline"/>
        <w:rPr>
          <w:rFonts w:ascii="Calibri" w:eastAsia="Times New Roman" w:hAnsi="Calibri" w:cs="Calibri"/>
          <w:color w:val="242424"/>
          <w:kern w:val="0"/>
          <w:bdr w:val="none" w:sz="0" w:space="0" w:color="auto" w:frame="1"/>
          <w:shd w:val="clear" w:color="auto" w:fill="FFFFFF"/>
          <w:lang w:eastAsia="en-GB"/>
          <w14:ligatures w14:val="none"/>
        </w:rPr>
      </w:pPr>
      <w:r w:rsidRPr="002E039B">
        <w:rPr>
          <w:rFonts w:ascii="Calibri" w:eastAsia="Times New Roman" w:hAnsi="Calibri" w:cs="Calibri"/>
          <w:color w:val="242424"/>
          <w:kern w:val="0"/>
          <w:bdr w:val="none" w:sz="0" w:space="0" w:color="auto" w:frame="1"/>
          <w:shd w:val="clear" w:color="auto" w:fill="FFFFFF"/>
          <w:lang w:eastAsia="en-GB"/>
          <w14:ligatures w14:val="none"/>
        </w:rPr>
        <w:t>Part 1: focuses on the local arrangements for civil protection, establishing a statutory framework of roles and responsibilities for local responders.</w:t>
      </w:r>
    </w:p>
    <w:p w14:paraId="56712FE5" w14:textId="77777777" w:rsidR="001E1B5A" w:rsidRPr="002E039B" w:rsidRDefault="001E1B5A" w:rsidP="001E1B5A">
      <w:pPr>
        <w:shd w:val="clear" w:color="auto" w:fill="FFFFFF"/>
        <w:spacing w:after="0" w:line="240" w:lineRule="auto"/>
        <w:ind w:left="360"/>
        <w:textAlignment w:val="baseline"/>
        <w:rPr>
          <w:rFonts w:ascii="Calibri" w:eastAsia="Times New Roman" w:hAnsi="Calibri" w:cs="Calibri"/>
          <w:color w:val="242424"/>
          <w:kern w:val="0"/>
          <w:bdr w:val="none" w:sz="0" w:space="0" w:color="auto" w:frame="1"/>
          <w:shd w:val="clear" w:color="auto" w:fill="FFFFFF"/>
          <w:lang w:eastAsia="en-GB"/>
          <w14:ligatures w14:val="none"/>
        </w:rPr>
      </w:pPr>
    </w:p>
    <w:p w14:paraId="4F4758A1" w14:textId="77777777" w:rsidR="001E1B5A" w:rsidRPr="002E039B" w:rsidRDefault="001E1B5A" w:rsidP="001E1B5A">
      <w:pPr>
        <w:numPr>
          <w:ilvl w:val="0"/>
          <w:numId w:val="17"/>
        </w:numPr>
        <w:shd w:val="clear" w:color="auto" w:fill="FFFFFF"/>
        <w:spacing w:after="0" w:line="240" w:lineRule="auto"/>
        <w:contextualSpacing/>
        <w:textAlignment w:val="baseline"/>
        <w:rPr>
          <w:rFonts w:ascii="Calibri" w:eastAsia="Times New Roman" w:hAnsi="Calibri" w:cs="Calibri"/>
          <w:color w:val="242424"/>
          <w:kern w:val="0"/>
          <w:bdr w:val="none" w:sz="0" w:space="0" w:color="auto" w:frame="1"/>
          <w:shd w:val="clear" w:color="auto" w:fill="FFFFFF"/>
          <w:lang w:eastAsia="en-GB"/>
          <w14:ligatures w14:val="none"/>
        </w:rPr>
      </w:pPr>
      <w:r w:rsidRPr="002E039B">
        <w:rPr>
          <w:rFonts w:ascii="Calibri" w:eastAsia="Times New Roman" w:hAnsi="Calibri" w:cs="Calibri"/>
          <w:color w:val="242424"/>
          <w:kern w:val="0"/>
          <w:bdr w:val="none" w:sz="0" w:space="0" w:color="auto" w:frame="1"/>
          <w:shd w:val="clear" w:color="auto" w:fill="FFFFFF"/>
          <w:lang w:eastAsia="en-GB"/>
          <w14:ligatures w14:val="none"/>
        </w:rPr>
        <w:t>Part 2: focuses on emergency powers, establishing a modern framework for the use of special legislative measures that might be necessary to deal with the effects of the most serious emergencies.</w:t>
      </w:r>
    </w:p>
    <w:p w14:paraId="7F1FFCAA" w14:textId="77777777" w:rsidR="001E1B5A" w:rsidRPr="002E039B" w:rsidRDefault="001E1B5A" w:rsidP="001E1B5A">
      <w:pPr>
        <w:shd w:val="clear" w:color="auto" w:fill="FFFFFF"/>
        <w:spacing w:after="0" w:line="240" w:lineRule="auto"/>
        <w:ind w:left="720"/>
        <w:contextualSpacing/>
        <w:textAlignment w:val="baseline"/>
        <w:rPr>
          <w:rFonts w:ascii="Calibri" w:eastAsia="Times New Roman" w:hAnsi="Calibri" w:cs="Calibri"/>
          <w:color w:val="242424"/>
          <w:kern w:val="0"/>
          <w:bdr w:val="none" w:sz="0" w:space="0" w:color="auto" w:frame="1"/>
          <w:shd w:val="clear" w:color="auto" w:fill="FFFFFF"/>
          <w:lang w:eastAsia="en-GB"/>
          <w14:ligatures w14:val="none"/>
        </w:rPr>
      </w:pPr>
    </w:p>
    <w:p w14:paraId="092D0058" w14:textId="77777777" w:rsidR="001E1B5A" w:rsidRPr="002E039B" w:rsidRDefault="001E1B5A" w:rsidP="001E1B5A">
      <w:pPr>
        <w:shd w:val="clear" w:color="auto" w:fill="FFFFFF"/>
        <w:spacing w:after="0" w:line="240" w:lineRule="auto"/>
        <w:ind w:left="720"/>
        <w:contextualSpacing/>
        <w:textAlignment w:val="baseline"/>
        <w:rPr>
          <w:rFonts w:ascii="Calibri" w:eastAsia="Times New Roman" w:hAnsi="Calibri" w:cs="Calibri"/>
          <w:color w:val="242424"/>
          <w:kern w:val="0"/>
          <w:bdr w:val="none" w:sz="0" w:space="0" w:color="auto" w:frame="1"/>
          <w:shd w:val="clear" w:color="auto" w:fill="FFFFFF"/>
          <w:lang w:eastAsia="en-GB"/>
          <w14:ligatures w14:val="none"/>
        </w:rPr>
      </w:pPr>
    </w:p>
    <w:p w14:paraId="42675BEF" w14:textId="0293B93F" w:rsidR="001E1B5A" w:rsidRPr="002E039B" w:rsidRDefault="001E1B5A" w:rsidP="001E1B5A">
      <w:pPr>
        <w:shd w:val="clear" w:color="auto" w:fill="FFFFFF"/>
        <w:spacing w:after="0" w:line="240" w:lineRule="auto"/>
        <w:contextualSpacing/>
        <w:textAlignment w:val="baseline"/>
        <w:rPr>
          <w:rFonts w:ascii="Calibri" w:eastAsia="Times New Roman" w:hAnsi="Calibri" w:cs="Calibri"/>
          <w:color w:val="242424"/>
          <w:kern w:val="0"/>
          <w:bdr w:val="none" w:sz="0" w:space="0" w:color="auto" w:frame="1"/>
          <w:shd w:val="clear" w:color="auto" w:fill="FFFFFF"/>
          <w:lang w:eastAsia="en-GB"/>
          <w14:ligatures w14:val="none"/>
        </w:rPr>
      </w:pPr>
      <w:r w:rsidRPr="002E039B">
        <w:rPr>
          <w:rFonts w:ascii="Calibri" w:eastAsia="Times New Roman" w:hAnsi="Calibri" w:cs="Calibri"/>
          <w:color w:val="242424"/>
          <w:kern w:val="0"/>
          <w:bdr w:val="none" w:sz="0" w:space="0" w:color="auto" w:frame="1"/>
          <w:shd w:val="clear" w:color="auto" w:fill="FFFFFF"/>
          <w:lang w:eastAsia="en-GB"/>
          <w14:ligatures w14:val="none"/>
        </w:rPr>
        <w:t xml:space="preserve">Key to modernising existing legislation is updating the definition of what constitutes an ‘’emergency’’. </w:t>
      </w:r>
      <w:r w:rsidR="00E22354" w:rsidRPr="002E039B">
        <w:rPr>
          <w:rFonts w:ascii="Calibri" w:eastAsia="Times New Roman" w:hAnsi="Calibri" w:cs="Calibri"/>
          <w:color w:val="242424"/>
          <w:kern w:val="0"/>
          <w:bdr w:val="none" w:sz="0" w:space="0" w:color="auto" w:frame="1"/>
          <w:shd w:val="clear" w:color="auto" w:fill="FFFFFF"/>
          <w:lang w:eastAsia="en-GB"/>
          <w14:ligatures w14:val="none"/>
        </w:rPr>
        <w:t xml:space="preserve">This is outline in the CCA 2004 as the following:  </w:t>
      </w:r>
    </w:p>
    <w:p w14:paraId="59036B77" w14:textId="77777777" w:rsidR="00E22354" w:rsidRPr="002E039B" w:rsidRDefault="00E22354" w:rsidP="001E1B5A">
      <w:pPr>
        <w:shd w:val="clear" w:color="auto" w:fill="FFFFFF"/>
        <w:spacing w:after="0" w:line="240" w:lineRule="auto"/>
        <w:contextualSpacing/>
        <w:textAlignment w:val="baseline"/>
        <w:rPr>
          <w:rFonts w:ascii="Calibri" w:eastAsia="Times New Roman" w:hAnsi="Calibri" w:cs="Calibri"/>
          <w:color w:val="242424"/>
          <w:kern w:val="0"/>
          <w:bdr w:val="none" w:sz="0" w:space="0" w:color="auto" w:frame="1"/>
          <w:shd w:val="clear" w:color="auto" w:fill="FFFFFF"/>
          <w:lang w:eastAsia="en-GB"/>
          <w14:ligatures w14:val="none"/>
        </w:rPr>
      </w:pPr>
    </w:p>
    <w:p w14:paraId="42B97900" w14:textId="48AB3207" w:rsidR="00E22354" w:rsidRPr="002E039B" w:rsidRDefault="00E22354" w:rsidP="00E22354">
      <w:pPr>
        <w:pStyle w:val="ListParagraph"/>
        <w:numPr>
          <w:ilvl w:val="0"/>
          <w:numId w:val="23"/>
        </w:numPr>
        <w:shd w:val="clear" w:color="auto" w:fill="FFFFFF"/>
        <w:spacing w:after="0" w:line="240" w:lineRule="auto"/>
        <w:textAlignment w:val="baseline"/>
        <w:rPr>
          <w:rFonts w:ascii="Calibri" w:eastAsia="Times New Roman" w:hAnsi="Calibri" w:cs="Calibri"/>
          <w:color w:val="242424"/>
          <w:kern w:val="0"/>
          <w:bdr w:val="none" w:sz="0" w:space="0" w:color="auto" w:frame="1"/>
          <w:shd w:val="clear" w:color="auto" w:fill="FFFFFF"/>
          <w:lang w:eastAsia="en-GB"/>
          <w14:ligatures w14:val="none"/>
        </w:rPr>
      </w:pPr>
      <w:r w:rsidRPr="002E039B">
        <w:rPr>
          <w:rFonts w:ascii="Calibri" w:eastAsia="Times New Roman" w:hAnsi="Calibri" w:cs="Calibri"/>
          <w:color w:val="242424"/>
          <w:kern w:val="0"/>
          <w:bdr w:val="none" w:sz="0" w:space="0" w:color="auto" w:frame="1"/>
          <w:shd w:val="clear" w:color="auto" w:fill="FFFFFF"/>
          <w:lang w:eastAsia="en-GB"/>
          <w14:ligatures w14:val="none"/>
        </w:rPr>
        <w:t xml:space="preserve">an event or situation which threatens </w:t>
      </w:r>
      <w:proofErr w:type="gramStart"/>
      <w:r w:rsidRPr="002E039B">
        <w:rPr>
          <w:rFonts w:ascii="Calibri" w:eastAsia="Times New Roman" w:hAnsi="Calibri" w:cs="Calibri"/>
          <w:color w:val="242424"/>
          <w:kern w:val="0"/>
          <w:bdr w:val="none" w:sz="0" w:space="0" w:color="auto" w:frame="1"/>
          <w:shd w:val="clear" w:color="auto" w:fill="FFFFFF"/>
          <w:lang w:eastAsia="en-GB"/>
          <w14:ligatures w14:val="none"/>
        </w:rPr>
        <w:t>serious damage</w:t>
      </w:r>
      <w:proofErr w:type="gramEnd"/>
      <w:r w:rsidRPr="002E039B">
        <w:rPr>
          <w:rFonts w:ascii="Calibri" w:eastAsia="Times New Roman" w:hAnsi="Calibri" w:cs="Calibri"/>
          <w:color w:val="242424"/>
          <w:kern w:val="0"/>
          <w:bdr w:val="none" w:sz="0" w:space="0" w:color="auto" w:frame="1"/>
          <w:shd w:val="clear" w:color="auto" w:fill="FFFFFF"/>
          <w:lang w:eastAsia="en-GB"/>
          <w14:ligatures w14:val="none"/>
        </w:rPr>
        <w:t xml:space="preserve"> to human </w:t>
      </w:r>
      <w:r w:rsidR="009F60B3" w:rsidRPr="002E039B">
        <w:rPr>
          <w:rFonts w:ascii="Calibri" w:eastAsia="Times New Roman" w:hAnsi="Calibri" w:cs="Calibri"/>
          <w:color w:val="242424"/>
          <w:kern w:val="0"/>
          <w:bdr w:val="none" w:sz="0" w:space="0" w:color="auto" w:frame="1"/>
          <w:shd w:val="clear" w:color="auto" w:fill="FFFFFF"/>
          <w:lang w:eastAsia="en-GB"/>
          <w14:ligatures w14:val="none"/>
        </w:rPr>
        <w:t>welfare.</w:t>
      </w:r>
      <w:r w:rsidRPr="002E039B">
        <w:rPr>
          <w:rFonts w:ascii="Calibri" w:eastAsia="Times New Roman" w:hAnsi="Calibri" w:cs="Calibri"/>
          <w:color w:val="242424"/>
          <w:kern w:val="0"/>
          <w:bdr w:val="none" w:sz="0" w:space="0" w:color="auto" w:frame="1"/>
          <w:shd w:val="clear" w:color="auto" w:fill="FFFFFF"/>
          <w:lang w:eastAsia="en-GB"/>
          <w14:ligatures w14:val="none"/>
        </w:rPr>
        <w:t xml:space="preserve"> </w:t>
      </w:r>
    </w:p>
    <w:p w14:paraId="706A5B1E" w14:textId="0C38578E" w:rsidR="00E22354" w:rsidRPr="002E039B" w:rsidRDefault="00E22354" w:rsidP="00E22354">
      <w:pPr>
        <w:pStyle w:val="ListParagraph"/>
        <w:numPr>
          <w:ilvl w:val="0"/>
          <w:numId w:val="23"/>
        </w:numPr>
        <w:shd w:val="clear" w:color="auto" w:fill="FFFFFF"/>
        <w:spacing w:after="0" w:line="240" w:lineRule="auto"/>
        <w:textAlignment w:val="baseline"/>
        <w:rPr>
          <w:rFonts w:ascii="Calibri" w:eastAsia="Times New Roman" w:hAnsi="Calibri" w:cs="Calibri"/>
          <w:color w:val="242424"/>
          <w:kern w:val="0"/>
          <w:bdr w:val="none" w:sz="0" w:space="0" w:color="auto" w:frame="1"/>
          <w:shd w:val="clear" w:color="auto" w:fill="FFFFFF"/>
          <w:lang w:eastAsia="en-GB"/>
          <w14:ligatures w14:val="none"/>
        </w:rPr>
      </w:pPr>
      <w:r w:rsidRPr="002E039B">
        <w:rPr>
          <w:rFonts w:ascii="Calibri" w:eastAsia="Times New Roman" w:hAnsi="Calibri" w:cs="Calibri"/>
          <w:color w:val="242424"/>
          <w:kern w:val="0"/>
          <w:bdr w:val="none" w:sz="0" w:space="0" w:color="auto" w:frame="1"/>
          <w:shd w:val="clear" w:color="auto" w:fill="FFFFFF"/>
          <w:lang w:eastAsia="en-GB"/>
          <w14:ligatures w14:val="none"/>
        </w:rPr>
        <w:t xml:space="preserve">an event or situation which threatens </w:t>
      </w:r>
      <w:proofErr w:type="gramStart"/>
      <w:r w:rsidRPr="002E039B">
        <w:rPr>
          <w:rFonts w:ascii="Calibri" w:eastAsia="Times New Roman" w:hAnsi="Calibri" w:cs="Calibri"/>
          <w:color w:val="242424"/>
          <w:kern w:val="0"/>
          <w:bdr w:val="none" w:sz="0" w:space="0" w:color="auto" w:frame="1"/>
          <w:shd w:val="clear" w:color="auto" w:fill="FFFFFF"/>
          <w:lang w:eastAsia="en-GB"/>
          <w14:ligatures w14:val="none"/>
        </w:rPr>
        <w:t>serious damage</w:t>
      </w:r>
      <w:proofErr w:type="gramEnd"/>
      <w:r w:rsidRPr="002E039B">
        <w:rPr>
          <w:rFonts w:ascii="Calibri" w:eastAsia="Times New Roman" w:hAnsi="Calibri" w:cs="Calibri"/>
          <w:color w:val="242424"/>
          <w:kern w:val="0"/>
          <w:bdr w:val="none" w:sz="0" w:space="0" w:color="auto" w:frame="1"/>
          <w:shd w:val="clear" w:color="auto" w:fill="FFFFFF"/>
          <w:lang w:eastAsia="en-GB"/>
          <w14:ligatures w14:val="none"/>
        </w:rPr>
        <w:t xml:space="preserve"> to the environment; or </w:t>
      </w:r>
    </w:p>
    <w:p w14:paraId="447DBBF3" w14:textId="1E950770" w:rsidR="00E22354" w:rsidRPr="002E039B" w:rsidRDefault="00E22354" w:rsidP="00E22354">
      <w:pPr>
        <w:pStyle w:val="ListParagraph"/>
        <w:numPr>
          <w:ilvl w:val="0"/>
          <w:numId w:val="23"/>
        </w:numPr>
        <w:shd w:val="clear" w:color="auto" w:fill="FFFFFF"/>
        <w:spacing w:after="0" w:line="240" w:lineRule="auto"/>
        <w:textAlignment w:val="baseline"/>
        <w:rPr>
          <w:rFonts w:ascii="Calibri" w:eastAsia="Times New Roman" w:hAnsi="Calibri" w:cs="Calibri"/>
          <w:color w:val="242424"/>
          <w:kern w:val="0"/>
          <w:bdr w:val="none" w:sz="0" w:space="0" w:color="auto" w:frame="1"/>
          <w:shd w:val="clear" w:color="auto" w:fill="FFFFFF"/>
          <w:lang w:eastAsia="en-GB"/>
          <w14:ligatures w14:val="none"/>
        </w:rPr>
      </w:pPr>
      <w:r w:rsidRPr="002E039B">
        <w:rPr>
          <w:rFonts w:ascii="Calibri" w:eastAsia="Times New Roman" w:hAnsi="Calibri" w:cs="Calibri"/>
          <w:color w:val="242424"/>
          <w:kern w:val="0"/>
          <w:bdr w:val="none" w:sz="0" w:space="0" w:color="auto" w:frame="1"/>
          <w:shd w:val="clear" w:color="auto" w:fill="FFFFFF"/>
          <w:lang w:eastAsia="en-GB"/>
          <w14:ligatures w14:val="none"/>
        </w:rPr>
        <w:t xml:space="preserve">war, or terrorism, which threatens </w:t>
      </w:r>
      <w:proofErr w:type="gramStart"/>
      <w:r w:rsidRPr="002E039B">
        <w:rPr>
          <w:rFonts w:ascii="Calibri" w:eastAsia="Times New Roman" w:hAnsi="Calibri" w:cs="Calibri"/>
          <w:color w:val="242424"/>
          <w:kern w:val="0"/>
          <w:bdr w:val="none" w:sz="0" w:space="0" w:color="auto" w:frame="1"/>
          <w:shd w:val="clear" w:color="auto" w:fill="FFFFFF"/>
          <w:lang w:eastAsia="en-GB"/>
          <w14:ligatures w14:val="none"/>
        </w:rPr>
        <w:t>serious damage</w:t>
      </w:r>
      <w:proofErr w:type="gramEnd"/>
      <w:r w:rsidRPr="002E039B">
        <w:rPr>
          <w:rFonts w:ascii="Calibri" w:eastAsia="Times New Roman" w:hAnsi="Calibri" w:cs="Calibri"/>
          <w:color w:val="242424"/>
          <w:kern w:val="0"/>
          <w:bdr w:val="none" w:sz="0" w:space="0" w:color="auto" w:frame="1"/>
          <w:shd w:val="clear" w:color="auto" w:fill="FFFFFF"/>
          <w:lang w:eastAsia="en-GB"/>
          <w14:ligatures w14:val="none"/>
        </w:rPr>
        <w:t xml:space="preserve"> to security.</w:t>
      </w:r>
    </w:p>
    <w:p w14:paraId="68348813" w14:textId="77777777" w:rsidR="001E1B5A" w:rsidRPr="002E039B" w:rsidRDefault="001E1B5A" w:rsidP="001E1B5A">
      <w:pPr>
        <w:shd w:val="clear" w:color="auto" w:fill="FFFFFF"/>
        <w:spacing w:after="0" w:line="240" w:lineRule="auto"/>
        <w:contextualSpacing/>
        <w:textAlignment w:val="baseline"/>
        <w:rPr>
          <w:rFonts w:ascii="Calibri" w:eastAsia="Times New Roman" w:hAnsi="Calibri" w:cs="Calibri"/>
          <w:color w:val="242424"/>
          <w:kern w:val="0"/>
          <w:bdr w:val="none" w:sz="0" w:space="0" w:color="auto" w:frame="1"/>
          <w:shd w:val="clear" w:color="auto" w:fill="FFFFFF"/>
          <w:lang w:eastAsia="en-GB"/>
          <w14:ligatures w14:val="none"/>
        </w:rPr>
      </w:pPr>
    </w:p>
    <w:p w14:paraId="3DA8EAA8" w14:textId="1660839A" w:rsidR="00962305" w:rsidRPr="002E039B" w:rsidRDefault="00962305" w:rsidP="00787E17">
      <w:pPr>
        <w:rPr>
          <w:rFonts w:ascii="Calibri" w:hAnsi="Calibri" w:cs="Calibri"/>
          <w:b/>
          <w:bCs/>
        </w:rPr>
      </w:pPr>
      <w:r w:rsidRPr="002E039B">
        <w:rPr>
          <w:rFonts w:ascii="Calibri" w:hAnsi="Calibri" w:cs="Calibri"/>
          <w:b/>
          <w:bCs/>
        </w:rPr>
        <w:t>Part 1 of the Civil Contingencies Act 2004 – Local Arrangements for Civil Protection</w:t>
      </w:r>
    </w:p>
    <w:p w14:paraId="143EF491" w14:textId="67E42C38" w:rsidR="00962305" w:rsidRPr="002E039B" w:rsidRDefault="001E1B5A" w:rsidP="001E1B5A">
      <w:pPr>
        <w:shd w:val="clear" w:color="auto" w:fill="FFFFFF"/>
        <w:spacing w:after="0" w:line="240" w:lineRule="auto"/>
        <w:textAlignment w:val="baseline"/>
        <w:rPr>
          <w:rFonts w:ascii="Calibri" w:eastAsia="Times New Roman" w:hAnsi="Calibri" w:cs="Calibri"/>
          <w:color w:val="242424"/>
          <w:kern w:val="0"/>
          <w:bdr w:val="none" w:sz="0" w:space="0" w:color="auto" w:frame="1"/>
          <w:shd w:val="clear" w:color="auto" w:fill="FFFFFF"/>
          <w:lang w:eastAsia="en-GB"/>
          <w14:ligatures w14:val="none"/>
        </w:rPr>
      </w:pPr>
      <w:r w:rsidRPr="002E039B">
        <w:rPr>
          <w:rFonts w:ascii="Calibri" w:eastAsia="Times New Roman" w:hAnsi="Calibri" w:cs="Calibri"/>
          <w:color w:val="242424"/>
          <w:kern w:val="0"/>
          <w:bdr w:val="none" w:sz="0" w:space="0" w:color="auto" w:frame="1"/>
          <w:shd w:val="clear" w:color="auto" w:fill="FFFFFF"/>
          <w:lang w:eastAsia="en-GB"/>
          <w14:ligatures w14:val="none"/>
        </w:rPr>
        <w:t xml:space="preserve">Here </w:t>
      </w:r>
      <w:r w:rsidR="000277A0">
        <w:rPr>
          <w:rFonts w:ascii="Calibri" w:eastAsia="Times New Roman" w:hAnsi="Calibri" w:cs="Calibri"/>
          <w:color w:val="242424"/>
          <w:kern w:val="0"/>
          <w:bdr w:val="none" w:sz="0" w:space="0" w:color="auto" w:frame="1"/>
          <w:shd w:val="clear" w:color="auto" w:fill="FFFFFF"/>
          <w:lang w:eastAsia="en-GB"/>
          <w14:ligatures w14:val="none"/>
        </w:rPr>
        <w:t>I</w:t>
      </w:r>
      <w:r w:rsidRPr="002E039B">
        <w:rPr>
          <w:rFonts w:ascii="Calibri" w:eastAsia="Times New Roman" w:hAnsi="Calibri" w:cs="Calibri"/>
          <w:color w:val="242424"/>
          <w:kern w:val="0"/>
          <w:bdr w:val="none" w:sz="0" w:space="0" w:color="auto" w:frame="1"/>
          <w:shd w:val="clear" w:color="auto" w:fill="FFFFFF"/>
          <w:lang w:eastAsia="en-GB"/>
          <w14:ligatures w14:val="none"/>
        </w:rPr>
        <w:t xml:space="preserve"> will examine in more detail the purpose of Part 1 of the Act. Part 1 can be described as a new statutory framework at a local level. This is based on local responders being the ‘building blocks’ of resilience. This will be enhanced by:</w:t>
      </w:r>
    </w:p>
    <w:p w14:paraId="04D2004A" w14:textId="77777777" w:rsidR="001E1B5A" w:rsidRPr="002E039B" w:rsidRDefault="001E1B5A" w:rsidP="001E1B5A">
      <w:pPr>
        <w:shd w:val="clear" w:color="auto" w:fill="FFFFFF"/>
        <w:spacing w:after="0" w:line="240" w:lineRule="auto"/>
        <w:textAlignment w:val="baseline"/>
        <w:rPr>
          <w:rFonts w:ascii="Calibri" w:eastAsia="Times New Roman" w:hAnsi="Calibri" w:cs="Calibri"/>
          <w:color w:val="242424"/>
          <w:kern w:val="0"/>
          <w:bdr w:val="none" w:sz="0" w:space="0" w:color="auto" w:frame="1"/>
          <w:shd w:val="clear" w:color="auto" w:fill="FFFFFF"/>
          <w:lang w:eastAsia="en-GB"/>
          <w14:ligatures w14:val="none"/>
        </w:rPr>
      </w:pPr>
    </w:p>
    <w:p w14:paraId="405AB902" w14:textId="77777777" w:rsidR="00962305" w:rsidRPr="002E039B" w:rsidRDefault="00962305" w:rsidP="001E1B5A">
      <w:pPr>
        <w:pStyle w:val="ListParagraph"/>
        <w:numPr>
          <w:ilvl w:val="0"/>
          <w:numId w:val="16"/>
        </w:numPr>
        <w:rPr>
          <w:rFonts w:ascii="Calibri" w:hAnsi="Calibri" w:cs="Calibri"/>
        </w:rPr>
      </w:pPr>
      <w:r w:rsidRPr="002E039B">
        <w:rPr>
          <w:rFonts w:ascii="Calibri" w:hAnsi="Calibri" w:cs="Calibri"/>
        </w:rPr>
        <w:t>Establishing a clear set of roles and responsibilities for local responders.</w:t>
      </w:r>
    </w:p>
    <w:p w14:paraId="737848C2" w14:textId="77777777" w:rsidR="00962305" w:rsidRPr="002E039B" w:rsidRDefault="00962305" w:rsidP="001E1B5A">
      <w:pPr>
        <w:pStyle w:val="ListParagraph"/>
        <w:numPr>
          <w:ilvl w:val="0"/>
          <w:numId w:val="16"/>
        </w:numPr>
        <w:rPr>
          <w:rFonts w:ascii="Calibri" w:hAnsi="Calibri" w:cs="Calibri"/>
        </w:rPr>
      </w:pPr>
      <w:r w:rsidRPr="002E039B">
        <w:rPr>
          <w:rFonts w:ascii="Calibri" w:hAnsi="Calibri" w:cs="Calibri"/>
        </w:rPr>
        <w:t>Giving greater structure and consistency to local civil protection activity; and</w:t>
      </w:r>
    </w:p>
    <w:p w14:paraId="663766B6" w14:textId="47A358E2" w:rsidR="00962305" w:rsidRPr="002E039B" w:rsidRDefault="00962305" w:rsidP="001E1B5A">
      <w:pPr>
        <w:pStyle w:val="ListParagraph"/>
        <w:numPr>
          <w:ilvl w:val="0"/>
          <w:numId w:val="16"/>
        </w:numPr>
        <w:rPr>
          <w:rFonts w:ascii="Calibri" w:hAnsi="Calibri" w:cs="Calibri"/>
        </w:rPr>
      </w:pPr>
      <w:r w:rsidRPr="002E039B">
        <w:rPr>
          <w:rFonts w:ascii="Calibri" w:hAnsi="Calibri" w:cs="Calibri"/>
        </w:rPr>
        <w:t>Establishing a sound basis for performance management at a local level. (CCA 2004)</w:t>
      </w:r>
    </w:p>
    <w:p w14:paraId="339EE8B2" w14:textId="77777777" w:rsidR="00E22354" w:rsidRPr="002E039B" w:rsidRDefault="002F0D2A" w:rsidP="00787E17">
      <w:pPr>
        <w:rPr>
          <w:rFonts w:ascii="Calibri" w:hAnsi="Calibri" w:cs="Calibri"/>
        </w:rPr>
      </w:pPr>
      <w:r w:rsidRPr="002E039B">
        <w:rPr>
          <w:rFonts w:ascii="Calibri" w:hAnsi="Calibri" w:cs="Calibri"/>
        </w:rPr>
        <w:t xml:space="preserve">Responders are divided into two categories, Category </w:t>
      </w:r>
      <w:r w:rsidR="002C3446" w:rsidRPr="002E039B">
        <w:rPr>
          <w:rFonts w:ascii="Calibri" w:hAnsi="Calibri" w:cs="Calibri"/>
        </w:rPr>
        <w:t>1,</w:t>
      </w:r>
      <w:r w:rsidRPr="002E039B">
        <w:rPr>
          <w:rFonts w:ascii="Calibri" w:hAnsi="Calibri" w:cs="Calibri"/>
        </w:rPr>
        <w:t xml:space="preserve"> and Category 2. </w:t>
      </w:r>
    </w:p>
    <w:p w14:paraId="2BDB878E" w14:textId="77777777" w:rsidR="00E22354" w:rsidRPr="002E039B" w:rsidRDefault="00E22354" w:rsidP="00E22354">
      <w:pPr>
        <w:rPr>
          <w:rFonts w:ascii="Calibri" w:hAnsi="Calibri" w:cs="Calibri"/>
          <w:b/>
          <w:bCs/>
        </w:rPr>
      </w:pPr>
      <w:r w:rsidRPr="002E039B">
        <w:rPr>
          <w:rFonts w:ascii="Calibri" w:hAnsi="Calibri" w:cs="Calibri"/>
          <w:b/>
          <w:bCs/>
        </w:rPr>
        <w:t xml:space="preserve">Category 1. </w:t>
      </w:r>
    </w:p>
    <w:p w14:paraId="4369CAB4" w14:textId="0AA66329" w:rsidR="00E22354" w:rsidRPr="002E039B" w:rsidRDefault="00E22354" w:rsidP="00787E17">
      <w:pPr>
        <w:rPr>
          <w:rFonts w:ascii="Calibri" w:hAnsi="Calibri" w:cs="Calibri"/>
        </w:rPr>
      </w:pPr>
      <w:r w:rsidRPr="002E039B">
        <w:rPr>
          <w:rFonts w:ascii="Calibri" w:hAnsi="Calibri" w:cs="Calibri"/>
        </w:rPr>
        <w:t xml:space="preserve">Category 1 responders have specific responsibilities and statutory duties under the Act </w:t>
      </w:r>
      <w:r w:rsidR="009E7B70" w:rsidRPr="002E039B">
        <w:rPr>
          <w:rFonts w:ascii="Calibri" w:hAnsi="Calibri" w:cs="Calibri"/>
        </w:rPr>
        <w:t>that they must:</w:t>
      </w:r>
    </w:p>
    <w:p w14:paraId="77AE91CC" w14:textId="77777777" w:rsidR="009E7B70" w:rsidRPr="002E039B" w:rsidRDefault="009E7B70" w:rsidP="009E7B70">
      <w:pPr>
        <w:numPr>
          <w:ilvl w:val="0"/>
          <w:numId w:val="6"/>
        </w:numPr>
        <w:shd w:val="clear" w:color="auto" w:fill="FFFFFF"/>
        <w:spacing w:after="0" w:line="240" w:lineRule="auto"/>
        <w:contextualSpacing/>
        <w:textAlignment w:val="baseline"/>
        <w:rPr>
          <w:rFonts w:ascii="Calibri" w:eastAsia="Times New Roman" w:hAnsi="Calibri" w:cs="Calibri"/>
          <w:color w:val="242424"/>
          <w:kern w:val="0"/>
          <w:bdr w:val="none" w:sz="0" w:space="0" w:color="auto" w:frame="1"/>
          <w:shd w:val="clear" w:color="auto" w:fill="FFFFFF"/>
          <w:lang w:eastAsia="en-GB"/>
          <w14:ligatures w14:val="none"/>
        </w:rPr>
      </w:pPr>
      <w:r w:rsidRPr="002E039B">
        <w:rPr>
          <w:rFonts w:ascii="Calibri" w:eastAsia="Times New Roman" w:hAnsi="Calibri" w:cs="Calibri"/>
          <w:color w:val="242424"/>
          <w:kern w:val="0"/>
          <w:bdr w:val="none" w:sz="0" w:space="0" w:color="auto" w:frame="1"/>
          <w:shd w:val="clear" w:color="auto" w:fill="FFFFFF"/>
          <w:lang w:eastAsia="en-GB"/>
          <w14:ligatures w14:val="none"/>
        </w:rPr>
        <w:t xml:space="preserve">Assess the risk of emergencies occurring and use this to inform contingency planning. </w:t>
      </w:r>
    </w:p>
    <w:p w14:paraId="7F1C3ABD" w14:textId="77777777" w:rsidR="009E7B70" w:rsidRPr="002E039B" w:rsidRDefault="009E7B70" w:rsidP="009E7B70">
      <w:pPr>
        <w:numPr>
          <w:ilvl w:val="0"/>
          <w:numId w:val="6"/>
        </w:numPr>
        <w:shd w:val="clear" w:color="auto" w:fill="FFFFFF"/>
        <w:spacing w:after="0" w:line="240" w:lineRule="auto"/>
        <w:contextualSpacing/>
        <w:textAlignment w:val="baseline"/>
        <w:rPr>
          <w:rFonts w:ascii="Calibri" w:eastAsia="Times New Roman" w:hAnsi="Calibri" w:cs="Calibri"/>
          <w:color w:val="242424"/>
          <w:kern w:val="0"/>
          <w:bdr w:val="none" w:sz="0" w:space="0" w:color="auto" w:frame="1"/>
          <w:shd w:val="clear" w:color="auto" w:fill="FFFFFF"/>
          <w:lang w:eastAsia="en-GB"/>
          <w14:ligatures w14:val="none"/>
        </w:rPr>
      </w:pPr>
      <w:r w:rsidRPr="002E039B">
        <w:rPr>
          <w:rFonts w:ascii="Calibri" w:eastAsia="Times New Roman" w:hAnsi="Calibri" w:cs="Calibri"/>
          <w:color w:val="242424"/>
          <w:kern w:val="0"/>
          <w:bdr w:val="none" w:sz="0" w:space="0" w:color="auto" w:frame="1"/>
          <w:shd w:val="clear" w:color="auto" w:fill="FFFFFF"/>
          <w:lang w:eastAsia="en-GB"/>
          <w14:ligatures w14:val="none"/>
        </w:rPr>
        <w:t xml:space="preserve">Put in place emergency plans. </w:t>
      </w:r>
    </w:p>
    <w:p w14:paraId="790659C5" w14:textId="77777777" w:rsidR="009E7B70" w:rsidRPr="002E039B" w:rsidRDefault="009E7B70" w:rsidP="009E7B70">
      <w:pPr>
        <w:numPr>
          <w:ilvl w:val="0"/>
          <w:numId w:val="6"/>
        </w:numPr>
        <w:shd w:val="clear" w:color="auto" w:fill="FFFFFF"/>
        <w:spacing w:after="0" w:line="240" w:lineRule="auto"/>
        <w:contextualSpacing/>
        <w:textAlignment w:val="baseline"/>
        <w:rPr>
          <w:rFonts w:ascii="Calibri" w:eastAsia="Times New Roman" w:hAnsi="Calibri" w:cs="Calibri"/>
          <w:color w:val="242424"/>
          <w:kern w:val="0"/>
          <w:bdr w:val="none" w:sz="0" w:space="0" w:color="auto" w:frame="1"/>
          <w:shd w:val="clear" w:color="auto" w:fill="FFFFFF"/>
          <w:lang w:eastAsia="en-GB"/>
          <w14:ligatures w14:val="none"/>
        </w:rPr>
      </w:pPr>
      <w:r w:rsidRPr="002E039B">
        <w:rPr>
          <w:rFonts w:ascii="Calibri" w:eastAsia="Times New Roman" w:hAnsi="Calibri" w:cs="Calibri"/>
          <w:color w:val="242424"/>
          <w:kern w:val="0"/>
          <w:bdr w:val="none" w:sz="0" w:space="0" w:color="auto" w:frame="1"/>
          <w:shd w:val="clear" w:color="auto" w:fill="FFFFFF"/>
          <w:lang w:eastAsia="en-GB"/>
          <w14:ligatures w14:val="none"/>
        </w:rPr>
        <w:t xml:space="preserve">Put in place Business Continuity Management arrangements. </w:t>
      </w:r>
    </w:p>
    <w:p w14:paraId="03AED72D" w14:textId="77777777" w:rsidR="009E7B70" w:rsidRPr="002E039B" w:rsidRDefault="009E7B70" w:rsidP="009E7B70">
      <w:pPr>
        <w:numPr>
          <w:ilvl w:val="0"/>
          <w:numId w:val="6"/>
        </w:numPr>
        <w:shd w:val="clear" w:color="auto" w:fill="FFFFFF"/>
        <w:spacing w:after="0" w:line="240" w:lineRule="auto"/>
        <w:contextualSpacing/>
        <w:textAlignment w:val="baseline"/>
        <w:rPr>
          <w:rFonts w:ascii="Calibri" w:eastAsia="Times New Roman" w:hAnsi="Calibri" w:cs="Calibri"/>
          <w:color w:val="242424"/>
          <w:kern w:val="0"/>
          <w:bdr w:val="none" w:sz="0" w:space="0" w:color="auto" w:frame="1"/>
          <w:shd w:val="clear" w:color="auto" w:fill="FFFFFF"/>
          <w:lang w:eastAsia="en-GB"/>
          <w14:ligatures w14:val="none"/>
        </w:rPr>
      </w:pPr>
      <w:r w:rsidRPr="002E039B">
        <w:rPr>
          <w:rFonts w:ascii="Calibri" w:eastAsia="Times New Roman" w:hAnsi="Calibri" w:cs="Calibri"/>
          <w:color w:val="242424"/>
          <w:kern w:val="0"/>
          <w:bdr w:val="none" w:sz="0" w:space="0" w:color="auto" w:frame="1"/>
          <w:shd w:val="clear" w:color="auto" w:fill="FFFFFF"/>
          <w:lang w:eastAsia="en-GB"/>
          <w14:ligatures w14:val="none"/>
        </w:rPr>
        <w:t xml:space="preserve">Put in place arrangements to make information available to the public about civil protection matters and maintain arrangements to warn, inform and advise the public in the event of an emergency. </w:t>
      </w:r>
    </w:p>
    <w:p w14:paraId="65818F85" w14:textId="77777777" w:rsidR="009E7B70" w:rsidRPr="002E039B" w:rsidRDefault="009E7B70" w:rsidP="009E7B70">
      <w:pPr>
        <w:numPr>
          <w:ilvl w:val="0"/>
          <w:numId w:val="6"/>
        </w:numPr>
        <w:shd w:val="clear" w:color="auto" w:fill="FFFFFF"/>
        <w:spacing w:after="0" w:line="240" w:lineRule="auto"/>
        <w:contextualSpacing/>
        <w:textAlignment w:val="baseline"/>
        <w:rPr>
          <w:rFonts w:ascii="Calibri" w:eastAsia="Times New Roman" w:hAnsi="Calibri" w:cs="Calibri"/>
          <w:color w:val="242424"/>
          <w:kern w:val="0"/>
          <w:bdr w:val="none" w:sz="0" w:space="0" w:color="auto" w:frame="1"/>
          <w:shd w:val="clear" w:color="auto" w:fill="FFFFFF"/>
          <w:lang w:eastAsia="en-GB"/>
          <w14:ligatures w14:val="none"/>
        </w:rPr>
      </w:pPr>
      <w:r w:rsidRPr="002E039B">
        <w:rPr>
          <w:rFonts w:ascii="Calibri" w:eastAsia="Times New Roman" w:hAnsi="Calibri" w:cs="Calibri"/>
          <w:color w:val="242424"/>
          <w:kern w:val="0"/>
          <w:bdr w:val="none" w:sz="0" w:space="0" w:color="auto" w:frame="1"/>
          <w:shd w:val="clear" w:color="auto" w:fill="FFFFFF"/>
          <w:lang w:eastAsia="en-GB"/>
          <w14:ligatures w14:val="none"/>
        </w:rPr>
        <w:t xml:space="preserve">Share information with other local responders to enhance co-ordination. </w:t>
      </w:r>
    </w:p>
    <w:p w14:paraId="366BC7AB" w14:textId="77777777" w:rsidR="009E7B70" w:rsidRPr="002E039B" w:rsidRDefault="009E7B70" w:rsidP="009E7B70">
      <w:pPr>
        <w:numPr>
          <w:ilvl w:val="0"/>
          <w:numId w:val="6"/>
        </w:numPr>
        <w:shd w:val="clear" w:color="auto" w:fill="FFFFFF"/>
        <w:spacing w:after="0" w:line="240" w:lineRule="auto"/>
        <w:contextualSpacing/>
        <w:textAlignment w:val="baseline"/>
        <w:rPr>
          <w:rFonts w:ascii="Calibri" w:eastAsia="Times New Roman" w:hAnsi="Calibri" w:cs="Calibri"/>
          <w:color w:val="242424"/>
          <w:kern w:val="0"/>
          <w:bdr w:val="none" w:sz="0" w:space="0" w:color="auto" w:frame="1"/>
          <w:shd w:val="clear" w:color="auto" w:fill="FFFFFF"/>
          <w:lang w:eastAsia="en-GB"/>
          <w14:ligatures w14:val="none"/>
        </w:rPr>
      </w:pPr>
      <w:r w:rsidRPr="002E039B">
        <w:rPr>
          <w:rFonts w:ascii="Calibri" w:eastAsia="Times New Roman" w:hAnsi="Calibri" w:cs="Calibri"/>
          <w:color w:val="242424"/>
          <w:kern w:val="0"/>
          <w:bdr w:val="none" w:sz="0" w:space="0" w:color="auto" w:frame="1"/>
          <w:shd w:val="clear" w:color="auto" w:fill="FFFFFF"/>
          <w:lang w:eastAsia="en-GB"/>
          <w14:ligatures w14:val="none"/>
        </w:rPr>
        <w:t xml:space="preserve">Co-operate with other local responders to enhance co-ordination and efficiency; and </w:t>
      </w:r>
    </w:p>
    <w:p w14:paraId="5FD7C99B" w14:textId="2AC849C9" w:rsidR="009E7B70" w:rsidRPr="002E039B" w:rsidRDefault="009E7B70" w:rsidP="009E7B70">
      <w:pPr>
        <w:numPr>
          <w:ilvl w:val="0"/>
          <w:numId w:val="6"/>
        </w:numPr>
        <w:shd w:val="clear" w:color="auto" w:fill="FFFFFF"/>
        <w:spacing w:after="0" w:line="240" w:lineRule="auto"/>
        <w:ind w:left="787"/>
        <w:contextualSpacing/>
        <w:textAlignment w:val="baseline"/>
        <w:rPr>
          <w:rFonts w:ascii="Calibri" w:eastAsia="Times New Roman" w:hAnsi="Calibri" w:cs="Calibri"/>
          <w:color w:val="242424"/>
          <w:kern w:val="0"/>
          <w:bdr w:val="none" w:sz="0" w:space="0" w:color="auto" w:frame="1"/>
          <w:shd w:val="clear" w:color="auto" w:fill="FFFFFF"/>
          <w:lang w:eastAsia="en-GB"/>
          <w14:ligatures w14:val="none"/>
        </w:rPr>
      </w:pPr>
      <w:r w:rsidRPr="002E039B">
        <w:rPr>
          <w:rFonts w:ascii="Calibri" w:eastAsia="Times New Roman" w:hAnsi="Calibri" w:cs="Calibri"/>
          <w:color w:val="242424"/>
          <w:kern w:val="0"/>
          <w:bdr w:val="none" w:sz="0" w:space="0" w:color="auto" w:frame="1"/>
          <w:shd w:val="clear" w:color="auto" w:fill="FFFFFF"/>
          <w:lang w:eastAsia="en-GB"/>
          <w14:ligatures w14:val="none"/>
        </w:rPr>
        <w:t xml:space="preserve">Provide advice and assistance to businesses and voluntary organisations about business continuity management (Local Authorities only). </w:t>
      </w:r>
      <w:r w:rsidR="00700625" w:rsidRPr="002E039B">
        <w:rPr>
          <w:rFonts w:ascii="Calibri" w:eastAsia="Times New Roman" w:hAnsi="Calibri" w:cs="Calibri"/>
          <w:color w:val="242424"/>
          <w:kern w:val="0"/>
          <w:bdr w:val="none" w:sz="0" w:space="0" w:color="auto" w:frame="1"/>
          <w:shd w:val="clear" w:color="auto" w:fill="FFFFFF"/>
          <w:lang w:eastAsia="en-GB"/>
          <w14:ligatures w14:val="none"/>
        </w:rPr>
        <w:t>(CCA 2004)</w:t>
      </w:r>
    </w:p>
    <w:p w14:paraId="701DE108" w14:textId="77777777" w:rsidR="00E22354" w:rsidRPr="002E039B" w:rsidRDefault="00E22354" w:rsidP="00787E17">
      <w:pPr>
        <w:rPr>
          <w:rFonts w:ascii="Calibri" w:hAnsi="Calibri" w:cs="Calibri"/>
        </w:rPr>
      </w:pPr>
    </w:p>
    <w:p w14:paraId="3928A3F4" w14:textId="579AA939" w:rsidR="002F0D2A" w:rsidRPr="002E039B" w:rsidRDefault="002F0D2A" w:rsidP="00787E17">
      <w:pPr>
        <w:rPr>
          <w:rFonts w:ascii="Calibri" w:hAnsi="Calibri" w:cs="Calibri"/>
        </w:rPr>
      </w:pPr>
      <w:r w:rsidRPr="002E039B">
        <w:rPr>
          <w:rFonts w:ascii="Calibri" w:hAnsi="Calibri" w:cs="Calibri"/>
        </w:rPr>
        <w:t>I will list the</w:t>
      </w:r>
      <w:r w:rsidR="00946095">
        <w:rPr>
          <w:rFonts w:ascii="Calibri" w:hAnsi="Calibri" w:cs="Calibri"/>
        </w:rPr>
        <w:t xml:space="preserve"> responders </w:t>
      </w:r>
      <w:r w:rsidRPr="002E039B">
        <w:rPr>
          <w:rFonts w:ascii="Calibri" w:hAnsi="Calibri" w:cs="Calibri"/>
        </w:rPr>
        <w:t xml:space="preserve">below and provide a brief example of how they are required to assist under the Act. These examples are non-exhaustive. </w:t>
      </w:r>
    </w:p>
    <w:p w14:paraId="63374784" w14:textId="77777777" w:rsidR="002F0D2A" w:rsidRPr="002E039B" w:rsidRDefault="00962305" w:rsidP="002F0D2A">
      <w:pPr>
        <w:pStyle w:val="ListParagraph"/>
        <w:numPr>
          <w:ilvl w:val="0"/>
          <w:numId w:val="16"/>
        </w:numPr>
        <w:rPr>
          <w:rFonts w:ascii="Calibri" w:hAnsi="Calibri" w:cs="Calibri"/>
        </w:rPr>
      </w:pPr>
      <w:r w:rsidRPr="002E039B">
        <w:rPr>
          <w:rFonts w:ascii="Calibri" w:hAnsi="Calibri" w:cs="Calibri"/>
          <w:b/>
          <w:bCs/>
        </w:rPr>
        <w:t>Police</w:t>
      </w:r>
      <w:r w:rsidRPr="002E039B">
        <w:rPr>
          <w:rFonts w:ascii="Calibri" w:hAnsi="Calibri" w:cs="Calibri"/>
        </w:rPr>
        <w:t xml:space="preserve"> </w:t>
      </w:r>
      <w:r w:rsidR="002F0D2A" w:rsidRPr="002E039B">
        <w:rPr>
          <w:rFonts w:ascii="Calibri" w:hAnsi="Calibri" w:cs="Calibri"/>
        </w:rPr>
        <w:t>- Conducting risk assessments for potential security threats or public safety issues.</w:t>
      </w:r>
    </w:p>
    <w:p w14:paraId="5ABF813F" w14:textId="77777777" w:rsidR="002F0D2A" w:rsidRPr="002E039B" w:rsidRDefault="002F0D2A" w:rsidP="002C3446">
      <w:pPr>
        <w:pStyle w:val="ListParagraph"/>
        <w:rPr>
          <w:rFonts w:ascii="Calibri" w:hAnsi="Calibri" w:cs="Calibri"/>
        </w:rPr>
      </w:pPr>
      <w:r w:rsidRPr="002E039B">
        <w:rPr>
          <w:rFonts w:ascii="Calibri" w:hAnsi="Calibri" w:cs="Calibri"/>
        </w:rPr>
        <w:t>Developing contingency plans for managing large-scale events or critical incidents.</w:t>
      </w:r>
    </w:p>
    <w:p w14:paraId="15484311" w14:textId="488DCC21" w:rsidR="00962305" w:rsidRPr="002E039B" w:rsidRDefault="002F0D2A" w:rsidP="002C3446">
      <w:pPr>
        <w:pStyle w:val="ListParagraph"/>
        <w:rPr>
          <w:rFonts w:ascii="Calibri" w:hAnsi="Calibri" w:cs="Calibri"/>
        </w:rPr>
      </w:pPr>
      <w:r w:rsidRPr="002E039B">
        <w:rPr>
          <w:rFonts w:ascii="Calibri" w:hAnsi="Calibri" w:cs="Calibri"/>
        </w:rPr>
        <w:lastRenderedPageBreak/>
        <w:t>Providing public information and warnings during emergencies.</w:t>
      </w:r>
    </w:p>
    <w:p w14:paraId="4EE98925" w14:textId="77777777" w:rsidR="005E1A07" w:rsidRPr="002E039B" w:rsidRDefault="005E1A07" w:rsidP="005E1A07">
      <w:pPr>
        <w:pStyle w:val="ListParagraph"/>
        <w:rPr>
          <w:rFonts w:ascii="Calibri" w:hAnsi="Calibri" w:cs="Calibri"/>
        </w:rPr>
      </w:pPr>
    </w:p>
    <w:p w14:paraId="5FDAA314" w14:textId="2C373C34" w:rsidR="002F0D2A" w:rsidRPr="002E039B" w:rsidRDefault="00962305" w:rsidP="002F0D2A">
      <w:pPr>
        <w:pStyle w:val="ListParagraph"/>
        <w:numPr>
          <w:ilvl w:val="0"/>
          <w:numId w:val="16"/>
        </w:numPr>
        <w:rPr>
          <w:rFonts w:ascii="Calibri" w:hAnsi="Calibri" w:cs="Calibri"/>
        </w:rPr>
      </w:pPr>
      <w:r w:rsidRPr="002E039B">
        <w:rPr>
          <w:rFonts w:ascii="Calibri" w:hAnsi="Calibri" w:cs="Calibri"/>
          <w:b/>
          <w:bCs/>
        </w:rPr>
        <w:t xml:space="preserve">Fire </w:t>
      </w:r>
      <w:r w:rsidR="002F0D2A" w:rsidRPr="002E039B">
        <w:rPr>
          <w:rFonts w:ascii="Calibri" w:hAnsi="Calibri" w:cs="Calibri"/>
          <w:b/>
          <w:bCs/>
        </w:rPr>
        <w:t>and Rescue Services</w:t>
      </w:r>
      <w:r w:rsidR="002F0D2A" w:rsidRPr="002E039B">
        <w:rPr>
          <w:rFonts w:ascii="Calibri" w:hAnsi="Calibri" w:cs="Calibri"/>
        </w:rPr>
        <w:t xml:space="preserve"> - Assessing the risk of fires or hazardous material incidents. This could be at sites that are </w:t>
      </w:r>
      <w:r w:rsidR="00204AA2">
        <w:rPr>
          <w:rFonts w:ascii="Calibri" w:hAnsi="Calibri" w:cs="Calibri"/>
        </w:rPr>
        <w:t>recorded</w:t>
      </w:r>
      <w:r w:rsidR="002F0D2A" w:rsidRPr="002E039B">
        <w:rPr>
          <w:rFonts w:ascii="Calibri" w:hAnsi="Calibri" w:cs="Calibri"/>
        </w:rPr>
        <w:t xml:space="preserve"> under the Control of Major Hazards (COMAH) regulations. </w:t>
      </w:r>
    </w:p>
    <w:p w14:paraId="61AF17BF" w14:textId="77777777" w:rsidR="002F0D2A" w:rsidRPr="002E039B" w:rsidRDefault="002F0D2A" w:rsidP="002C3446">
      <w:pPr>
        <w:pStyle w:val="ListParagraph"/>
        <w:rPr>
          <w:rFonts w:ascii="Calibri" w:hAnsi="Calibri" w:cs="Calibri"/>
        </w:rPr>
      </w:pPr>
      <w:r w:rsidRPr="002E039B">
        <w:rPr>
          <w:rFonts w:ascii="Calibri" w:hAnsi="Calibri" w:cs="Calibri"/>
        </w:rPr>
        <w:t>Developing plans for responding to large-scale emergencies such as floods or industrial accidents.</w:t>
      </w:r>
    </w:p>
    <w:p w14:paraId="104194EE" w14:textId="1998E481" w:rsidR="00962305" w:rsidRPr="002E039B" w:rsidRDefault="002F0D2A" w:rsidP="002C3446">
      <w:pPr>
        <w:pStyle w:val="ListParagraph"/>
        <w:rPr>
          <w:rFonts w:ascii="Calibri" w:hAnsi="Calibri" w:cs="Calibri"/>
        </w:rPr>
      </w:pPr>
      <w:r w:rsidRPr="002E039B">
        <w:rPr>
          <w:rFonts w:ascii="Calibri" w:hAnsi="Calibri" w:cs="Calibri"/>
        </w:rPr>
        <w:t>Coordinating with other emergency services for effective response.</w:t>
      </w:r>
    </w:p>
    <w:p w14:paraId="3DFD8A9F" w14:textId="77777777" w:rsidR="005E1A07" w:rsidRPr="002E039B" w:rsidRDefault="005E1A07" w:rsidP="005E1A07">
      <w:pPr>
        <w:pStyle w:val="ListParagraph"/>
        <w:rPr>
          <w:rFonts w:ascii="Calibri" w:hAnsi="Calibri" w:cs="Calibri"/>
        </w:rPr>
      </w:pPr>
    </w:p>
    <w:p w14:paraId="3761A17A" w14:textId="5FE32828" w:rsidR="005E1A07" w:rsidRPr="002E039B" w:rsidRDefault="00962305" w:rsidP="005E1A07">
      <w:pPr>
        <w:pStyle w:val="ListParagraph"/>
        <w:numPr>
          <w:ilvl w:val="0"/>
          <w:numId w:val="16"/>
        </w:numPr>
        <w:rPr>
          <w:rFonts w:ascii="Calibri" w:hAnsi="Calibri" w:cs="Calibri"/>
        </w:rPr>
      </w:pPr>
      <w:r w:rsidRPr="002E039B">
        <w:rPr>
          <w:rFonts w:ascii="Calibri" w:hAnsi="Calibri" w:cs="Calibri"/>
          <w:b/>
          <w:bCs/>
        </w:rPr>
        <w:t xml:space="preserve">Ambulance </w:t>
      </w:r>
      <w:r w:rsidR="002F0D2A" w:rsidRPr="002E039B">
        <w:rPr>
          <w:rFonts w:ascii="Calibri" w:hAnsi="Calibri" w:cs="Calibri"/>
          <w:b/>
          <w:bCs/>
        </w:rPr>
        <w:t>Services</w:t>
      </w:r>
      <w:r w:rsidR="002F0D2A" w:rsidRPr="002E039B">
        <w:rPr>
          <w:rFonts w:ascii="Calibri" w:hAnsi="Calibri" w:cs="Calibri"/>
        </w:rPr>
        <w:t xml:space="preserve"> </w:t>
      </w:r>
      <w:r w:rsidR="005E1A07" w:rsidRPr="002E039B">
        <w:rPr>
          <w:rFonts w:ascii="Calibri" w:hAnsi="Calibri" w:cs="Calibri"/>
        </w:rPr>
        <w:t>- Assessing the risk of health-related emergencies, including pandemics or major accidents.</w:t>
      </w:r>
    </w:p>
    <w:p w14:paraId="3EFB3951" w14:textId="59EE3094" w:rsidR="00962305" w:rsidRPr="002E039B" w:rsidRDefault="005E1A07" w:rsidP="002C3446">
      <w:pPr>
        <w:pStyle w:val="ListParagraph"/>
        <w:rPr>
          <w:rFonts w:ascii="Calibri" w:hAnsi="Calibri" w:cs="Calibri"/>
        </w:rPr>
      </w:pPr>
      <w:r w:rsidRPr="002E039B">
        <w:rPr>
          <w:rFonts w:ascii="Calibri" w:hAnsi="Calibri" w:cs="Calibri"/>
        </w:rPr>
        <w:t xml:space="preserve">Developing plans for mass casualty incidents such as triage protocols and ensuring the continuity of emergency medical services. </w:t>
      </w:r>
    </w:p>
    <w:p w14:paraId="192B3031" w14:textId="77777777" w:rsidR="005E1A07" w:rsidRPr="002E039B" w:rsidRDefault="005E1A07" w:rsidP="005E1A07">
      <w:pPr>
        <w:pStyle w:val="ListParagraph"/>
        <w:rPr>
          <w:rFonts w:ascii="Calibri" w:hAnsi="Calibri" w:cs="Calibri"/>
        </w:rPr>
      </w:pPr>
    </w:p>
    <w:p w14:paraId="46D29D82" w14:textId="4B4C2437" w:rsidR="00962305" w:rsidRPr="002E039B" w:rsidRDefault="00962305" w:rsidP="005E1A07">
      <w:pPr>
        <w:pStyle w:val="ListParagraph"/>
        <w:numPr>
          <w:ilvl w:val="0"/>
          <w:numId w:val="16"/>
        </w:numPr>
        <w:rPr>
          <w:rFonts w:ascii="Calibri" w:hAnsi="Calibri" w:cs="Calibri"/>
        </w:rPr>
      </w:pPr>
      <w:r w:rsidRPr="002E039B">
        <w:rPr>
          <w:rFonts w:ascii="Calibri" w:hAnsi="Calibri" w:cs="Calibri"/>
          <w:b/>
          <w:bCs/>
        </w:rPr>
        <w:t>HM Coastguard</w:t>
      </w:r>
      <w:r w:rsidRPr="002E039B">
        <w:rPr>
          <w:rFonts w:ascii="Calibri" w:hAnsi="Calibri" w:cs="Calibri"/>
        </w:rPr>
        <w:t xml:space="preserve"> </w:t>
      </w:r>
      <w:r w:rsidR="005E1A07" w:rsidRPr="002E039B">
        <w:rPr>
          <w:rFonts w:ascii="Calibri" w:hAnsi="Calibri" w:cs="Calibri"/>
        </w:rPr>
        <w:t>– Assessing risks and developing plans for search and rescue operations.</w:t>
      </w:r>
    </w:p>
    <w:p w14:paraId="2C1B583F" w14:textId="77777777" w:rsidR="002C3446" w:rsidRPr="002E039B" w:rsidRDefault="002C3446" w:rsidP="002C3446">
      <w:pPr>
        <w:pStyle w:val="ListParagraph"/>
        <w:rPr>
          <w:rFonts w:ascii="Calibri" w:hAnsi="Calibri" w:cs="Calibri"/>
        </w:rPr>
      </w:pPr>
    </w:p>
    <w:p w14:paraId="5C4FC2C9" w14:textId="129700BF" w:rsidR="005E1A07" w:rsidRPr="002E039B" w:rsidRDefault="00962305" w:rsidP="005E1A07">
      <w:pPr>
        <w:pStyle w:val="ListParagraph"/>
        <w:numPr>
          <w:ilvl w:val="0"/>
          <w:numId w:val="16"/>
        </w:numPr>
        <w:rPr>
          <w:rFonts w:ascii="Calibri" w:hAnsi="Calibri" w:cs="Calibri"/>
        </w:rPr>
      </w:pPr>
      <w:r w:rsidRPr="002E039B">
        <w:rPr>
          <w:rFonts w:ascii="Calibri" w:hAnsi="Calibri" w:cs="Calibri"/>
          <w:b/>
          <w:bCs/>
        </w:rPr>
        <w:t xml:space="preserve">Local Authorities </w:t>
      </w:r>
      <w:r w:rsidR="005E1A07" w:rsidRPr="002E039B">
        <w:rPr>
          <w:rFonts w:ascii="Calibri" w:hAnsi="Calibri" w:cs="Calibri"/>
          <w:b/>
          <w:bCs/>
        </w:rPr>
        <w:t xml:space="preserve">- </w:t>
      </w:r>
      <w:r w:rsidR="005E1A07" w:rsidRPr="002E039B">
        <w:rPr>
          <w:rFonts w:ascii="Calibri" w:hAnsi="Calibri" w:cs="Calibri"/>
        </w:rPr>
        <w:t>Developing plans for maintaining essential services during adverse conditions.</w:t>
      </w:r>
    </w:p>
    <w:p w14:paraId="18F17033" w14:textId="3051BE8D" w:rsidR="00962305" w:rsidRPr="002E039B" w:rsidRDefault="005E1A07" w:rsidP="002C3446">
      <w:pPr>
        <w:pStyle w:val="ListParagraph"/>
        <w:rPr>
          <w:rFonts w:ascii="Calibri" w:hAnsi="Calibri" w:cs="Calibri"/>
        </w:rPr>
      </w:pPr>
      <w:r w:rsidRPr="002E039B">
        <w:rPr>
          <w:rFonts w:ascii="Calibri" w:hAnsi="Calibri" w:cs="Calibri"/>
        </w:rPr>
        <w:t>Providing advice to local businesses and voluntary organizations regarding continuity planning.</w:t>
      </w:r>
    </w:p>
    <w:p w14:paraId="0D23543B" w14:textId="77777777" w:rsidR="005E1A07" w:rsidRPr="002E039B" w:rsidRDefault="005E1A07" w:rsidP="005E1A07">
      <w:pPr>
        <w:pStyle w:val="ListParagraph"/>
        <w:rPr>
          <w:rFonts w:ascii="Calibri" w:hAnsi="Calibri" w:cs="Calibri"/>
        </w:rPr>
      </w:pPr>
    </w:p>
    <w:p w14:paraId="016A248E" w14:textId="396DC235" w:rsidR="00962305" w:rsidRPr="002E039B" w:rsidRDefault="00962305" w:rsidP="005E1A07">
      <w:pPr>
        <w:pStyle w:val="ListParagraph"/>
        <w:numPr>
          <w:ilvl w:val="0"/>
          <w:numId w:val="16"/>
        </w:numPr>
        <w:rPr>
          <w:rFonts w:ascii="Calibri" w:hAnsi="Calibri" w:cs="Calibri"/>
        </w:rPr>
      </w:pPr>
      <w:r w:rsidRPr="002E039B">
        <w:rPr>
          <w:rFonts w:ascii="Calibri" w:hAnsi="Calibri" w:cs="Calibri"/>
          <w:b/>
          <w:bCs/>
        </w:rPr>
        <w:t>NHS Bodies -Public Health Wales, Health Board</w:t>
      </w:r>
      <w:r w:rsidRPr="002E039B">
        <w:rPr>
          <w:rFonts w:ascii="Calibri" w:hAnsi="Calibri" w:cs="Calibri"/>
        </w:rPr>
        <w:t xml:space="preserve"> </w:t>
      </w:r>
      <w:r w:rsidR="005E1A07" w:rsidRPr="002E039B">
        <w:rPr>
          <w:rFonts w:ascii="Calibri" w:hAnsi="Calibri" w:cs="Calibri"/>
        </w:rPr>
        <w:t xml:space="preserve">– Assessing risks and preparing for disease outbreaks or </w:t>
      </w:r>
      <w:r w:rsidR="005C0613" w:rsidRPr="002E039B">
        <w:rPr>
          <w:rFonts w:ascii="Calibri" w:hAnsi="Calibri" w:cs="Calibri"/>
        </w:rPr>
        <w:t>pandemics.</w:t>
      </w:r>
      <w:r w:rsidR="005E1A07" w:rsidRPr="002E039B">
        <w:rPr>
          <w:rFonts w:ascii="Calibri" w:hAnsi="Calibri" w:cs="Calibri"/>
        </w:rPr>
        <w:t xml:space="preserve"> </w:t>
      </w:r>
    </w:p>
    <w:p w14:paraId="235CD2BE" w14:textId="20379CAB" w:rsidR="005E1A07" w:rsidRPr="002E039B" w:rsidRDefault="005E1A07" w:rsidP="002C3446">
      <w:pPr>
        <w:pStyle w:val="ListParagraph"/>
        <w:rPr>
          <w:rFonts w:ascii="Calibri" w:hAnsi="Calibri" w:cs="Calibri"/>
        </w:rPr>
      </w:pPr>
      <w:r w:rsidRPr="002E039B">
        <w:rPr>
          <w:rFonts w:ascii="Calibri" w:hAnsi="Calibri" w:cs="Calibri"/>
        </w:rPr>
        <w:t>Coordinating with other health bodies to ensure unified response to emergencies such as mutual aid.</w:t>
      </w:r>
    </w:p>
    <w:p w14:paraId="3EADA0BF" w14:textId="77777777" w:rsidR="005E1A07" w:rsidRPr="002E039B" w:rsidRDefault="005E1A07" w:rsidP="005E1A07">
      <w:pPr>
        <w:pStyle w:val="ListParagraph"/>
        <w:rPr>
          <w:rFonts w:ascii="Calibri" w:hAnsi="Calibri" w:cs="Calibri"/>
        </w:rPr>
      </w:pPr>
    </w:p>
    <w:p w14:paraId="60090EC3" w14:textId="68A9202C" w:rsidR="00962305" w:rsidRPr="002E039B" w:rsidRDefault="00962305" w:rsidP="005E1A07">
      <w:pPr>
        <w:pStyle w:val="ListParagraph"/>
        <w:numPr>
          <w:ilvl w:val="0"/>
          <w:numId w:val="16"/>
        </w:numPr>
        <w:rPr>
          <w:rFonts w:ascii="Calibri" w:hAnsi="Calibri" w:cs="Calibri"/>
        </w:rPr>
      </w:pPr>
      <w:r w:rsidRPr="002E039B">
        <w:rPr>
          <w:rFonts w:ascii="Calibri" w:hAnsi="Calibri" w:cs="Calibri"/>
          <w:b/>
          <w:bCs/>
        </w:rPr>
        <w:t>Natural Resources Wales</w:t>
      </w:r>
      <w:r w:rsidR="005E1A07" w:rsidRPr="002E039B">
        <w:rPr>
          <w:rFonts w:ascii="Calibri" w:hAnsi="Calibri" w:cs="Calibri"/>
        </w:rPr>
        <w:t xml:space="preserve"> – Attend planning meetings and advise of flooding risks.</w:t>
      </w:r>
    </w:p>
    <w:p w14:paraId="4257A4AE" w14:textId="6009D02C" w:rsidR="005E1A07" w:rsidRPr="002E039B" w:rsidRDefault="005E1A07" w:rsidP="002C3446">
      <w:pPr>
        <w:pStyle w:val="ListParagraph"/>
        <w:rPr>
          <w:rFonts w:ascii="Calibri" w:hAnsi="Calibri" w:cs="Calibri"/>
        </w:rPr>
      </w:pPr>
      <w:r w:rsidRPr="002E039B">
        <w:rPr>
          <w:rFonts w:ascii="Calibri" w:hAnsi="Calibri" w:cs="Calibri"/>
        </w:rPr>
        <w:t>Work together with other responder organisations to warn and inform of potential</w:t>
      </w:r>
      <w:r w:rsidR="002C3446" w:rsidRPr="002E039B">
        <w:rPr>
          <w:rFonts w:ascii="Calibri" w:hAnsi="Calibri" w:cs="Calibri"/>
        </w:rPr>
        <w:t xml:space="preserve"> </w:t>
      </w:r>
      <w:r w:rsidRPr="002E039B">
        <w:rPr>
          <w:rFonts w:ascii="Calibri" w:hAnsi="Calibri" w:cs="Calibri"/>
        </w:rPr>
        <w:t xml:space="preserve">risks. </w:t>
      </w:r>
    </w:p>
    <w:p w14:paraId="242A6422" w14:textId="77777777" w:rsidR="005E1A07" w:rsidRPr="002E039B" w:rsidRDefault="005E1A07" w:rsidP="005E1A07">
      <w:pPr>
        <w:pStyle w:val="ListParagraph"/>
        <w:rPr>
          <w:rFonts w:ascii="Calibri" w:hAnsi="Calibri" w:cs="Calibri"/>
        </w:rPr>
      </w:pPr>
    </w:p>
    <w:p w14:paraId="4EA3A7B9" w14:textId="7F6EA6DB" w:rsidR="002C3446" w:rsidRPr="002E039B" w:rsidRDefault="00962305" w:rsidP="002C3446">
      <w:pPr>
        <w:pStyle w:val="ListParagraph"/>
        <w:numPr>
          <w:ilvl w:val="0"/>
          <w:numId w:val="16"/>
        </w:numPr>
        <w:rPr>
          <w:rFonts w:ascii="Calibri" w:hAnsi="Calibri" w:cs="Calibri"/>
        </w:rPr>
      </w:pPr>
      <w:r w:rsidRPr="002E039B">
        <w:rPr>
          <w:rFonts w:ascii="Calibri" w:hAnsi="Calibri" w:cs="Calibri"/>
          <w:b/>
          <w:bCs/>
        </w:rPr>
        <w:t>Port Authorities</w:t>
      </w:r>
      <w:r w:rsidR="002C3446" w:rsidRPr="002E039B">
        <w:rPr>
          <w:rFonts w:ascii="Calibri" w:hAnsi="Calibri" w:cs="Calibri"/>
        </w:rPr>
        <w:t>– Security of the border implement security measures to ensure mitigation to security threats.</w:t>
      </w:r>
    </w:p>
    <w:p w14:paraId="18B0B886" w14:textId="37A0A216" w:rsidR="002C3446" w:rsidRPr="002E039B" w:rsidRDefault="002C3446" w:rsidP="002C3446">
      <w:pPr>
        <w:pStyle w:val="ListParagraph"/>
        <w:rPr>
          <w:rFonts w:ascii="Calibri" w:hAnsi="Calibri" w:cs="Calibri"/>
        </w:rPr>
      </w:pPr>
      <w:r w:rsidRPr="002E039B">
        <w:rPr>
          <w:rFonts w:ascii="Calibri" w:hAnsi="Calibri" w:cs="Calibri"/>
        </w:rPr>
        <w:t xml:space="preserve">Cooperation with other local responders </w:t>
      </w:r>
      <w:r w:rsidR="009F60B3" w:rsidRPr="002E039B">
        <w:rPr>
          <w:rFonts w:ascii="Calibri" w:hAnsi="Calibri" w:cs="Calibri"/>
        </w:rPr>
        <w:t>to</w:t>
      </w:r>
      <w:r w:rsidRPr="002E039B">
        <w:rPr>
          <w:rFonts w:ascii="Calibri" w:hAnsi="Calibri" w:cs="Calibri"/>
        </w:rPr>
        <w:t xml:space="preserve"> enhance cooperation this could be cross border such as French authorities to reduce the impact of emergencies. </w:t>
      </w:r>
      <w:r w:rsidR="00E22354" w:rsidRPr="002E039B">
        <w:rPr>
          <w:rFonts w:ascii="Calibri" w:hAnsi="Calibri" w:cs="Calibri"/>
        </w:rPr>
        <w:t>(CCA 2004)</w:t>
      </w:r>
    </w:p>
    <w:p w14:paraId="49D8D89B" w14:textId="77777777" w:rsidR="00EA5089" w:rsidRPr="002E039B" w:rsidRDefault="00EA5089" w:rsidP="00787E17">
      <w:pPr>
        <w:rPr>
          <w:rFonts w:ascii="Calibri" w:hAnsi="Calibri" w:cs="Calibri"/>
        </w:rPr>
      </w:pPr>
    </w:p>
    <w:p w14:paraId="30A8D666" w14:textId="16786A8E" w:rsidR="002C3446" w:rsidRPr="002E039B" w:rsidRDefault="002C3446" w:rsidP="00787E17">
      <w:pPr>
        <w:rPr>
          <w:rFonts w:ascii="Calibri" w:hAnsi="Calibri" w:cs="Calibri"/>
        </w:rPr>
      </w:pPr>
      <w:r w:rsidRPr="002E039B">
        <w:rPr>
          <w:rFonts w:ascii="Calibri" w:hAnsi="Calibri" w:cs="Calibri"/>
        </w:rPr>
        <w:t>I have outlined above</w:t>
      </w:r>
      <w:r w:rsidR="00E22354" w:rsidRPr="002E039B">
        <w:rPr>
          <w:rFonts w:ascii="Calibri" w:hAnsi="Calibri" w:cs="Calibri"/>
        </w:rPr>
        <w:t xml:space="preserve">, </w:t>
      </w:r>
      <w:r w:rsidRPr="002E039B">
        <w:rPr>
          <w:rFonts w:ascii="Calibri" w:hAnsi="Calibri" w:cs="Calibri"/>
        </w:rPr>
        <w:t xml:space="preserve">under Part 1 of the Civil Contingencies Act 2004 (CCA 2004), Category 1 responders play a pivotal role in enhancing preparedness and response to emergencies. Their responsibilities encompass a comprehensive approach, including assessing the risk of emergencies within their areas of responsibility, developing, and implementing contingency plans based on identified risks, and establishing Business Continuity Management arrangements to ensure the uninterrupted provision of essential services during emergencies. Category 1 responders </w:t>
      </w:r>
      <w:r w:rsidR="00204AA2">
        <w:rPr>
          <w:rFonts w:ascii="Calibri" w:hAnsi="Calibri" w:cs="Calibri"/>
        </w:rPr>
        <w:t>required</w:t>
      </w:r>
      <w:r w:rsidR="009A2134">
        <w:rPr>
          <w:rFonts w:ascii="Calibri" w:hAnsi="Calibri" w:cs="Calibri"/>
        </w:rPr>
        <w:t xml:space="preserve"> under the Act</w:t>
      </w:r>
      <w:r w:rsidRPr="002E039B">
        <w:rPr>
          <w:rFonts w:ascii="Calibri" w:hAnsi="Calibri" w:cs="Calibri"/>
        </w:rPr>
        <w:t xml:space="preserve"> </w:t>
      </w:r>
      <w:r w:rsidR="009A2134">
        <w:rPr>
          <w:rFonts w:ascii="Calibri" w:hAnsi="Calibri" w:cs="Calibri"/>
        </w:rPr>
        <w:t>to make</w:t>
      </w:r>
      <w:r w:rsidRPr="002E039B">
        <w:rPr>
          <w:rFonts w:ascii="Calibri" w:hAnsi="Calibri" w:cs="Calibri"/>
        </w:rPr>
        <w:t xml:space="preserve"> information about civil protection matters available to the public, issuing warnings and advice during emergencies, and actively participating in the coordination and cooperation with other local responders to enhance overall efficiency. Local Authorities, as part of Category 1 responders, also extend their role to provide advice and assistance to businesses and voluntary organizations regarding continuity planning.</w:t>
      </w:r>
    </w:p>
    <w:p w14:paraId="420C42CB" w14:textId="77777777" w:rsidR="00962305" w:rsidRPr="002E039B" w:rsidRDefault="00962305" w:rsidP="00787E17">
      <w:pPr>
        <w:rPr>
          <w:rFonts w:ascii="Calibri" w:hAnsi="Calibri" w:cs="Calibri"/>
        </w:rPr>
      </w:pPr>
    </w:p>
    <w:p w14:paraId="3ED7149B" w14:textId="06F1E62C" w:rsidR="00700625" w:rsidRPr="002E039B" w:rsidRDefault="00700625" w:rsidP="00787E17">
      <w:pPr>
        <w:rPr>
          <w:rFonts w:ascii="Calibri" w:hAnsi="Calibri" w:cs="Calibri"/>
          <w:b/>
          <w:bCs/>
        </w:rPr>
      </w:pPr>
      <w:r w:rsidRPr="002E039B">
        <w:rPr>
          <w:rFonts w:ascii="Calibri" w:hAnsi="Calibri" w:cs="Calibri"/>
          <w:b/>
          <w:bCs/>
        </w:rPr>
        <w:lastRenderedPageBreak/>
        <w:t xml:space="preserve">Category 2 </w:t>
      </w:r>
    </w:p>
    <w:p w14:paraId="16FBC870" w14:textId="5EB00C03" w:rsidR="00962305" w:rsidRPr="002E039B" w:rsidRDefault="00700625" w:rsidP="00787E17">
      <w:pPr>
        <w:rPr>
          <w:rFonts w:ascii="Calibri" w:hAnsi="Calibri" w:cs="Calibri"/>
        </w:rPr>
      </w:pPr>
      <w:r w:rsidRPr="002E039B">
        <w:rPr>
          <w:rFonts w:ascii="Calibri" w:hAnsi="Calibri" w:cs="Calibri"/>
        </w:rPr>
        <w:t xml:space="preserve">Category 2 organisations (the Health and Safety Executive, </w:t>
      </w:r>
      <w:r w:rsidR="009A2134" w:rsidRPr="002E039B">
        <w:rPr>
          <w:rFonts w:ascii="Calibri" w:hAnsi="Calibri" w:cs="Calibri"/>
        </w:rPr>
        <w:t>transport,</w:t>
      </w:r>
      <w:r w:rsidRPr="002E039B">
        <w:rPr>
          <w:rFonts w:ascii="Calibri" w:hAnsi="Calibri" w:cs="Calibri"/>
        </w:rPr>
        <w:t xml:space="preserve"> and utility companies) are ‘co-operating </w:t>
      </w:r>
      <w:r w:rsidR="009F60B3" w:rsidRPr="002E039B">
        <w:rPr>
          <w:rFonts w:ascii="Calibri" w:hAnsi="Calibri" w:cs="Calibri"/>
        </w:rPr>
        <w:t>bodies</w:t>
      </w:r>
      <w:r w:rsidRPr="002E039B">
        <w:rPr>
          <w:rFonts w:ascii="Calibri" w:hAnsi="Calibri" w:cs="Calibri"/>
        </w:rPr>
        <w:t xml:space="preserve">. They are less likely to be involved in the heart of planning </w:t>
      </w:r>
      <w:r w:rsidR="009F60B3" w:rsidRPr="002E039B">
        <w:rPr>
          <w:rFonts w:ascii="Calibri" w:hAnsi="Calibri" w:cs="Calibri"/>
        </w:rPr>
        <w:t>work but</w:t>
      </w:r>
      <w:r w:rsidRPr="002E039B">
        <w:rPr>
          <w:rFonts w:ascii="Calibri" w:hAnsi="Calibri" w:cs="Calibri"/>
        </w:rPr>
        <w:t xml:space="preserve"> will be heavily involved in incidents that affect their own sector. Category 2 responders have a lesser set of duties - co-operating and sharing relevant information with other Category 1 and 2 responders. (CCA 2004) </w:t>
      </w:r>
    </w:p>
    <w:p w14:paraId="11397F12" w14:textId="57046D3D" w:rsidR="00BE1AA2" w:rsidRPr="002E039B" w:rsidRDefault="00BE1AA2" w:rsidP="00BE1AA2">
      <w:pPr>
        <w:shd w:val="clear" w:color="auto" w:fill="FFFFFF"/>
        <w:spacing w:after="0" w:line="240" w:lineRule="auto"/>
        <w:textAlignment w:val="baseline"/>
        <w:rPr>
          <w:rFonts w:ascii="Calibri" w:eastAsia="Times New Roman" w:hAnsi="Calibri" w:cs="Calibri"/>
          <w:color w:val="242424"/>
          <w:kern w:val="0"/>
          <w:bdr w:val="none" w:sz="0" w:space="0" w:color="auto" w:frame="1"/>
          <w:shd w:val="clear" w:color="auto" w:fill="FFFFFF"/>
          <w:lang w:eastAsia="en-GB"/>
          <w14:ligatures w14:val="none"/>
        </w:rPr>
      </w:pPr>
      <w:r w:rsidRPr="002E039B">
        <w:rPr>
          <w:rFonts w:ascii="Calibri" w:eastAsia="Times New Roman" w:hAnsi="Calibri" w:cs="Calibri"/>
          <w:color w:val="242424"/>
          <w:kern w:val="0"/>
          <w:bdr w:val="none" w:sz="0" w:space="0" w:color="auto" w:frame="1"/>
          <w:shd w:val="clear" w:color="auto" w:fill="FFFFFF"/>
          <w:lang w:eastAsia="en-GB"/>
          <w14:ligatures w14:val="none"/>
        </w:rPr>
        <w:t xml:space="preserve">To enable these duties and to cooperate with planning for incidents and preparing plans organisations come together to form ‘local resilience forums’ which are </w:t>
      </w:r>
      <w:r w:rsidR="00093374">
        <w:rPr>
          <w:rFonts w:ascii="Calibri" w:eastAsia="Times New Roman" w:hAnsi="Calibri" w:cs="Calibri"/>
          <w:color w:val="242424"/>
          <w:kern w:val="0"/>
          <w:bdr w:val="none" w:sz="0" w:space="0" w:color="auto" w:frame="1"/>
          <w:shd w:val="clear" w:color="auto" w:fill="FFFFFF"/>
          <w:lang w:eastAsia="en-GB"/>
          <w14:ligatures w14:val="none"/>
        </w:rPr>
        <w:t xml:space="preserve">based </w:t>
      </w:r>
      <w:r w:rsidRPr="002E039B">
        <w:rPr>
          <w:rFonts w:ascii="Calibri" w:eastAsia="Times New Roman" w:hAnsi="Calibri" w:cs="Calibri"/>
          <w:color w:val="242424"/>
          <w:kern w:val="0"/>
          <w:bdr w:val="none" w:sz="0" w:space="0" w:color="auto" w:frame="1"/>
          <w:shd w:val="clear" w:color="auto" w:fill="FFFFFF"/>
          <w:lang w:eastAsia="en-GB"/>
          <w14:ligatures w14:val="none"/>
        </w:rPr>
        <w:t>on Police</w:t>
      </w:r>
      <w:r w:rsidR="00093374">
        <w:rPr>
          <w:rFonts w:ascii="Calibri" w:eastAsia="Times New Roman" w:hAnsi="Calibri" w:cs="Calibri"/>
          <w:color w:val="242424"/>
          <w:kern w:val="0"/>
          <w:bdr w:val="none" w:sz="0" w:space="0" w:color="auto" w:frame="1"/>
          <w:shd w:val="clear" w:color="auto" w:fill="FFFFFF"/>
          <w:lang w:eastAsia="en-GB"/>
          <w14:ligatures w14:val="none"/>
        </w:rPr>
        <w:t xml:space="preserve"> Force</w:t>
      </w:r>
      <w:r w:rsidRPr="002E039B">
        <w:rPr>
          <w:rFonts w:ascii="Calibri" w:eastAsia="Times New Roman" w:hAnsi="Calibri" w:cs="Calibri"/>
          <w:color w:val="242424"/>
          <w:kern w:val="0"/>
          <w:bdr w:val="none" w:sz="0" w:space="0" w:color="auto" w:frame="1"/>
          <w:shd w:val="clear" w:color="auto" w:fill="FFFFFF"/>
          <w:lang w:eastAsia="en-GB"/>
          <w14:ligatures w14:val="none"/>
        </w:rPr>
        <w:t xml:space="preserve"> areas. There are four across Wales North Wales LRF, Dyfed Powys LRF South Wales LRF and Gwent LRF. In addition to planning across the organisations there is a duty on Local Authorities to provide business continuity advise to businesses and voluntary organisations. This could include advise to shops in an area that is known for flooding. This has been in place since May 2006.</w:t>
      </w:r>
    </w:p>
    <w:p w14:paraId="65CC9D18" w14:textId="77777777" w:rsidR="00BE1AA2" w:rsidRPr="002E039B" w:rsidRDefault="00BE1AA2" w:rsidP="00BE1AA2">
      <w:pPr>
        <w:shd w:val="clear" w:color="auto" w:fill="FFFFFF"/>
        <w:spacing w:after="0" w:line="240" w:lineRule="auto"/>
        <w:textAlignment w:val="baseline"/>
        <w:rPr>
          <w:rFonts w:ascii="Calibri" w:eastAsia="Times New Roman" w:hAnsi="Calibri" w:cs="Calibri"/>
          <w:color w:val="242424"/>
          <w:kern w:val="0"/>
          <w:bdr w:val="none" w:sz="0" w:space="0" w:color="auto" w:frame="1"/>
          <w:shd w:val="clear" w:color="auto" w:fill="FFFFFF"/>
          <w:lang w:eastAsia="en-GB"/>
          <w14:ligatures w14:val="none"/>
        </w:rPr>
      </w:pPr>
    </w:p>
    <w:p w14:paraId="0446EFB7" w14:textId="41CC3B71" w:rsidR="00BE1AA2" w:rsidRPr="002E039B" w:rsidRDefault="007F61EA" w:rsidP="00BE1AA2">
      <w:pPr>
        <w:shd w:val="clear" w:color="auto" w:fill="FFFFFF"/>
        <w:spacing w:after="0" w:line="240" w:lineRule="auto"/>
        <w:textAlignment w:val="baseline"/>
        <w:rPr>
          <w:rFonts w:ascii="Calibri" w:eastAsia="Times New Roman" w:hAnsi="Calibri" w:cs="Calibri"/>
          <w:noProof/>
          <w:kern w:val="0"/>
          <w:lang w:eastAsia="en-GB"/>
        </w:rPr>
      </w:pPr>
      <w:r>
        <w:rPr>
          <w:rFonts w:ascii="Calibri" w:eastAsia="Times New Roman" w:hAnsi="Calibri" w:cs="Calibri"/>
          <w:color w:val="242424"/>
          <w:kern w:val="0"/>
          <w:bdr w:val="none" w:sz="0" w:space="0" w:color="auto" w:frame="1"/>
          <w:shd w:val="clear" w:color="auto" w:fill="FFFFFF"/>
          <w:lang w:eastAsia="en-GB"/>
          <w14:ligatures w14:val="none"/>
        </w:rPr>
        <w:t xml:space="preserve">Here I </w:t>
      </w:r>
      <w:r w:rsidR="00A01F0C">
        <w:rPr>
          <w:rFonts w:ascii="Calibri" w:eastAsia="Times New Roman" w:hAnsi="Calibri" w:cs="Calibri"/>
          <w:color w:val="242424"/>
          <w:kern w:val="0"/>
          <w:bdr w:val="none" w:sz="0" w:space="0" w:color="auto" w:frame="1"/>
          <w:shd w:val="clear" w:color="auto" w:fill="FFFFFF"/>
          <w:lang w:eastAsia="en-GB"/>
          <w14:ligatures w14:val="none"/>
        </w:rPr>
        <w:t>show</w:t>
      </w:r>
      <w:r w:rsidR="00BE1AA2" w:rsidRPr="002E039B">
        <w:rPr>
          <w:rFonts w:ascii="Calibri" w:eastAsia="Times New Roman" w:hAnsi="Calibri" w:cs="Calibri"/>
          <w:color w:val="242424"/>
          <w:kern w:val="0"/>
          <w:bdr w:val="none" w:sz="0" w:space="0" w:color="auto" w:frame="1"/>
          <w:shd w:val="clear" w:color="auto" w:fill="FFFFFF"/>
          <w:lang w:eastAsia="en-GB"/>
          <w14:ligatures w14:val="none"/>
        </w:rPr>
        <w:t xml:space="preserve"> that there are multiple duties placed on Category 1 and </w:t>
      </w:r>
      <w:r w:rsidR="00BE1AA2" w:rsidRPr="002E039B">
        <w:rPr>
          <w:rFonts w:ascii="Calibri" w:eastAsia="Times New Roman" w:hAnsi="Calibri" w:cs="Calibri"/>
          <w:kern w:val="0"/>
          <w:bdr w:val="none" w:sz="0" w:space="0" w:color="auto" w:frame="1"/>
          <w:shd w:val="clear" w:color="auto" w:fill="FFFFFF"/>
          <w:lang w:eastAsia="en-GB"/>
          <w14:ligatures w14:val="none"/>
        </w:rPr>
        <w:t xml:space="preserve">Category 2 </w:t>
      </w:r>
      <w:r w:rsidR="00BE1AA2" w:rsidRPr="002E039B">
        <w:rPr>
          <w:rFonts w:ascii="Calibri" w:eastAsia="Times New Roman" w:hAnsi="Calibri" w:cs="Calibri"/>
          <w:color w:val="242424"/>
          <w:kern w:val="0"/>
          <w:bdr w:val="none" w:sz="0" w:space="0" w:color="auto" w:frame="1"/>
          <w:shd w:val="clear" w:color="auto" w:fill="FFFFFF"/>
          <w:lang w:eastAsia="en-GB"/>
          <w14:ligatures w14:val="none"/>
        </w:rPr>
        <w:t>Responders these are as below:</w:t>
      </w:r>
      <w:r w:rsidR="00BE1AA2" w:rsidRPr="002E039B">
        <w:rPr>
          <w:rFonts w:ascii="Calibri" w:eastAsia="Times New Roman" w:hAnsi="Calibri" w:cs="Calibri"/>
          <w:noProof/>
          <w:kern w:val="0"/>
          <w:lang w:eastAsia="en-GB"/>
        </w:rPr>
        <w:t xml:space="preserve"> </w:t>
      </w:r>
    </w:p>
    <w:p w14:paraId="3066FF19" w14:textId="77777777" w:rsidR="00BE1AA2" w:rsidRPr="002E039B" w:rsidRDefault="00BE1AA2" w:rsidP="00BE1AA2">
      <w:pPr>
        <w:shd w:val="clear" w:color="auto" w:fill="FFFFFF"/>
        <w:spacing w:after="0" w:line="240" w:lineRule="auto"/>
        <w:textAlignment w:val="baseline"/>
        <w:rPr>
          <w:rFonts w:ascii="Calibri" w:eastAsia="Times New Roman" w:hAnsi="Calibri" w:cs="Calibri"/>
          <w:color w:val="242424"/>
          <w:kern w:val="0"/>
          <w:bdr w:val="none" w:sz="0" w:space="0" w:color="auto" w:frame="1"/>
          <w:shd w:val="clear" w:color="auto" w:fill="FFFFFF"/>
          <w:lang w:eastAsia="en-GB"/>
          <w14:ligatures w14:val="none"/>
        </w:rPr>
      </w:pPr>
    </w:p>
    <w:p w14:paraId="7A551DB9" w14:textId="77777777" w:rsidR="00BE1AA2" w:rsidRPr="002E039B" w:rsidRDefault="00BE1AA2" w:rsidP="00BE1AA2">
      <w:pPr>
        <w:numPr>
          <w:ilvl w:val="0"/>
          <w:numId w:val="26"/>
        </w:numPr>
        <w:spacing w:after="0" w:line="240" w:lineRule="auto"/>
        <w:contextualSpacing/>
        <w:rPr>
          <w:rFonts w:ascii="Calibri" w:eastAsia="Times New Roman" w:hAnsi="Calibri" w:cs="Calibri"/>
          <w:color w:val="242424"/>
          <w:kern w:val="0"/>
          <w:bdr w:val="none" w:sz="0" w:space="0" w:color="auto" w:frame="1"/>
          <w:shd w:val="clear" w:color="auto" w:fill="FFFFFF"/>
          <w:lang w:eastAsia="en-GB"/>
          <w14:ligatures w14:val="none"/>
        </w:rPr>
      </w:pPr>
      <w:r w:rsidRPr="002E039B">
        <w:rPr>
          <w:rFonts w:ascii="Calibri" w:eastAsia="Times New Roman" w:hAnsi="Calibri" w:cs="Calibri"/>
          <w:color w:val="242424"/>
          <w:kern w:val="0"/>
          <w:bdr w:val="none" w:sz="0" w:space="0" w:color="auto" w:frame="1"/>
          <w:shd w:val="clear" w:color="auto" w:fill="FFFFFF"/>
          <w:lang w:eastAsia="en-GB"/>
          <w14:ligatures w14:val="none"/>
        </w:rPr>
        <w:t>Risk Assessment</w:t>
      </w:r>
    </w:p>
    <w:p w14:paraId="2E623287" w14:textId="77777777" w:rsidR="00BE1AA2" w:rsidRPr="002E039B" w:rsidRDefault="00BE1AA2" w:rsidP="00BE1AA2">
      <w:pPr>
        <w:numPr>
          <w:ilvl w:val="0"/>
          <w:numId w:val="26"/>
        </w:numPr>
        <w:spacing w:after="0" w:line="240" w:lineRule="auto"/>
        <w:contextualSpacing/>
        <w:rPr>
          <w:rFonts w:ascii="Calibri" w:eastAsia="Times New Roman" w:hAnsi="Calibri" w:cs="Calibri"/>
          <w:color w:val="242424"/>
          <w:kern w:val="0"/>
          <w:bdr w:val="none" w:sz="0" w:space="0" w:color="auto" w:frame="1"/>
          <w:shd w:val="clear" w:color="auto" w:fill="FFFFFF"/>
          <w:lang w:eastAsia="en-GB"/>
          <w14:ligatures w14:val="none"/>
        </w:rPr>
      </w:pPr>
      <w:r w:rsidRPr="002E039B">
        <w:rPr>
          <w:rFonts w:ascii="Calibri" w:eastAsia="Times New Roman" w:hAnsi="Calibri" w:cs="Calibri"/>
          <w:color w:val="242424"/>
          <w:kern w:val="0"/>
          <w:bdr w:val="none" w:sz="0" w:space="0" w:color="auto" w:frame="1"/>
          <w:shd w:val="clear" w:color="auto" w:fill="FFFFFF"/>
          <w:lang w:eastAsia="en-GB"/>
          <w14:ligatures w14:val="none"/>
        </w:rPr>
        <w:t>Emergency Planning</w:t>
      </w:r>
    </w:p>
    <w:p w14:paraId="08392350" w14:textId="77777777" w:rsidR="00BE1AA2" w:rsidRPr="002E039B" w:rsidRDefault="00BE1AA2" w:rsidP="00BE1AA2">
      <w:pPr>
        <w:numPr>
          <w:ilvl w:val="0"/>
          <w:numId w:val="26"/>
        </w:numPr>
        <w:spacing w:after="0" w:line="240" w:lineRule="auto"/>
        <w:contextualSpacing/>
        <w:rPr>
          <w:rFonts w:ascii="Calibri" w:eastAsia="Times New Roman" w:hAnsi="Calibri" w:cs="Calibri"/>
          <w:color w:val="242424"/>
          <w:kern w:val="0"/>
          <w:bdr w:val="none" w:sz="0" w:space="0" w:color="auto" w:frame="1"/>
          <w:shd w:val="clear" w:color="auto" w:fill="FFFFFF"/>
          <w:lang w:eastAsia="en-GB"/>
          <w14:ligatures w14:val="none"/>
        </w:rPr>
      </w:pPr>
      <w:r w:rsidRPr="002E039B">
        <w:rPr>
          <w:rFonts w:ascii="Calibri" w:eastAsia="Times New Roman" w:hAnsi="Calibri" w:cs="Calibri"/>
          <w:color w:val="242424"/>
          <w:kern w:val="0"/>
          <w:bdr w:val="none" w:sz="0" w:space="0" w:color="auto" w:frame="1"/>
          <w:shd w:val="clear" w:color="auto" w:fill="FFFFFF"/>
          <w:lang w:eastAsia="en-GB"/>
          <w14:ligatures w14:val="none"/>
        </w:rPr>
        <w:t>Business Continuity</w:t>
      </w:r>
    </w:p>
    <w:p w14:paraId="130C655E" w14:textId="77777777" w:rsidR="00BE1AA2" w:rsidRPr="002E039B" w:rsidRDefault="00BE1AA2" w:rsidP="00BE1AA2">
      <w:pPr>
        <w:numPr>
          <w:ilvl w:val="0"/>
          <w:numId w:val="26"/>
        </w:numPr>
        <w:spacing w:after="0" w:line="240" w:lineRule="auto"/>
        <w:contextualSpacing/>
        <w:rPr>
          <w:rFonts w:ascii="Calibri" w:eastAsia="Times New Roman" w:hAnsi="Calibri" w:cs="Calibri"/>
          <w:color w:val="242424"/>
          <w:kern w:val="0"/>
          <w:bdr w:val="none" w:sz="0" w:space="0" w:color="auto" w:frame="1"/>
          <w:shd w:val="clear" w:color="auto" w:fill="FFFFFF"/>
          <w:lang w:eastAsia="en-GB"/>
          <w14:ligatures w14:val="none"/>
        </w:rPr>
      </w:pPr>
      <w:r w:rsidRPr="002E039B">
        <w:rPr>
          <w:rFonts w:ascii="Calibri" w:eastAsia="Times New Roman" w:hAnsi="Calibri" w:cs="Calibri"/>
          <w:color w:val="242424"/>
          <w:kern w:val="0"/>
          <w:bdr w:val="none" w:sz="0" w:space="0" w:color="auto" w:frame="1"/>
          <w:shd w:val="clear" w:color="auto" w:fill="FFFFFF"/>
          <w:lang w:eastAsia="en-GB"/>
          <w14:ligatures w14:val="none"/>
        </w:rPr>
        <w:t>Warning &amp; Informing</w:t>
      </w:r>
    </w:p>
    <w:p w14:paraId="5D998E8E" w14:textId="77777777" w:rsidR="00BE1AA2" w:rsidRPr="002E039B" w:rsidRDefault="00BE1AA2" w:rsidP="00BE1AA2">
      <w:pPr>
        <w:numPr>
          <w:ilvl w:val="0"/>
          <w:numId w:val="26"/>
        </w:numPr>
        <w:spacing w:after="0" w:line="240" w:lineRule="auto"/>
        <w:contextualSpacing/>
        <w:rPr>
          <w:rFonts w:ascii="Calibri" w:eastAsia="Times New Roman" w:hAnsi="Calibri" w:cs="Calibri"/>
          <w:color w:val="ED7D31" w:themeColor="accent2"/>
          <w:kern w:val="0"/>
          <w:bdr w:val="none" w:sz="0" w:space="0" w:color="auto" w:frame="1"/>
          <w:shd w:val="clear" w:color="auto" w:fill="FFFFFF"/>
          <w:lang w:eastAsia="en-GB"/>
          <w14:ligatures w14:val="none"/>
        </w:rPr>
      </w:pPr>
      <w:r w:rsidRPr="002E039B">
        <w:rPr>
          <w:rFonts w:ascii="Calibri" w:eastAsia="Times New Roman" w:hAnsi="Calibri" w:cs="Calibri"/>
          <w:color w:val="ED7D31" w:themeColor="accent2"/>
          <w:kern w:val="0"/>
          <w:bdr w:val="none" w:sz="0" w:space="0" w:color="auto" w:frame="1"/>
          <w:shd w:val="clear" w:color="auto" w:fill="FFFFFF"/>
          <w:lang w:eastAsia="en-GB"/>
          <w14:ligatures w14:val="none"/>
        </w:rPr>
        <w:t>Share Information</w:t>
      </w:r>
    </w:p>
    <w:p w14:paraId="66FEBB65" w14:textId="77777777" w:rsidR="00BE1AA2" w:rsidRPr="002E039B" w:rsidRDefault="00BE1AA2" w:rsidP="00BE1AA2">
      <w:pPr>
        <w:numPr>
          <w:ilvl w:val="0"/>
          <w:numId w:val="26"/>
        </w:numPr>
        <w:spacing w:after="0" w:line="240" w:lineRule="auto"/>
        <w:contextualSpacing/>
        <w:rPr>
          <w:rFonts w:ascii="Calibri" w:eastAsia="Times New Roman" w:hAnsi="Calibri" w:cs="Calibri"/>
          <w:color w:val="ED7D31" w:themeColor="accent2"/>
          <w:kern w:val="0"/>
          <w:bdr w:val="none" w:sz="0" w:space="0" w:color="auto" w:frame="1"/>
          <w:shd w:val="clear" w:color="auto" w:fill="FFFFFF"/>
          <w:lang w:eastAsia="en-GB"/>
          <w14:ligatures w14:val="none"/>
        </w:rPr>
      </w:pPr>
      <w:r w:rsidRPr="002E039B">
        <w:rPr>
          <w:rFonts w:ascii="Calibri" w:eastAsia="Times New Roman" w:hAnsi="Calibri" w:cs="Calibri"/>
          <w:color w:val="ED7D31" w:themeColor="accent2"/>
          <w:kern w:val="0"/>
          <w:bdr w:val="none" w:sz="0" w:space="0" w:color="auto" w:frame="1"/>
          <w:shd w:val="clear" w:color="auto" w:fill="FFFFFF"/>
          <w:lang w:eastAsia="en-GB"/>
          <w14:ligatures w14:val="none"/>
        </w:rPr>
        <w:t>Co-operation – Local Resilience Forums</w:t>
      </w:r>
    </w:p>
    <w:p w14:paraId="1124F6AA" w14:textId="720D6A8A" w:rsidR="00BE1AA2" w:rsidRPr="002E039B" w:rsidRDefault="00BE1AA2" w:rsidP="00BC6F98">
      <w:pPr>
        <w:numPr>
          <w:ilvl w:val="0"/>
          <w:numId w:val="26"/>
        </w:numPr>
        <w:spacing w:after="0" w:line="240" w:lineRule="auto"/>
        <w:contextualSpacing/>
        <w:rPr>
          <w:rFonts w:ascii="Calibri" w:eastAsia="Times New Roman" w:hAnsi="Calibri" w:cs="Calibri"/>
          <w:color w:val="242424"/>
          <w:kern w:val="0"/>
          <w:bdr w:val="none" w:sz="0" w:space="0" w:color="auto" w:frame="1"/>
          <w:shd w:val="clear" w:color="auto" w:fill="FFFFFF"/>
          <w:lang w:eastAsia="en-GB"/>
          <w14:ligatures w14:val="none"/>
        </w:rPr>
      </w:pPr>
      <w:r w:rsidRPr="002E039B">
        <w:rPr>
          <w:rFonts w:ascii="Calibri" w:eastAsia="Times New Roman" w:hAnsi="Calibri" w:cs="Calibri"/>
          <w:color w:val="242424"/>
          <w:kern w:val="0"/>
          <w:bdr w:val="none" w:sz="0" w:space="0" w:color="auto" w:frame="1"/>
          <w:shd w:val="clear" w:color="auto" w:fill="FFFFFF"/>
          <w:lang w:eastAsia="en-GB"/>
          <w14:ligatures w14:val="none"/>
        </w:rPr>
        <w:t>Promote Business Continuity (Local Authorities)</w:t>
      </w:r>
    </w:p>
    <w:p w14:paraId="5217937A" w14:textId="77777777" w:rsidR="00BE1AA2" w:rsidRPr="002E039B" w:rsidRDefault="00BE1AA2" w:rsidP="00BE1AA2">
      <w:pPr>
        <w:shd w:val="clear" w:color="auto" w:fill="FFFFFF"/>
        <w:spacing w:after="0" w:line="240" w:lineRule="auto"/>
        <w:textAlignment w:val="baseline"/>
        <w:rPr>
          <w:rFonts w:ascii="Calibri" w:eastAsia="Times New Roman" w:hAnsi="Calibri" w:cs="Calibri"/>
          <w:color w:val="242424"/>
          <w:kern w:val="0"/>
          <w:bdr w:val="none" w:sz="0" w:space="0" w:color="auto" w:frame="1"/>
          <w:shd w:val="clear" w:color="auto" w:fill="FFFFFF"/>
          <w:lang w:eastAsia="en-GB"/>
          <w14:ligatures w14:val="none"/>
        </w:rPr>
      </w:pPr>
    </w:p>
    <w:p w14:paraId="6D81803E" w14:textId="77777777" w:rsidR="00BE1AA2" w:rsidRPr="002E039B" w:rsidRDefault="00BE1AA2" w:rsidP="00BE1AA2">
      <w:pPr>
        <w:spacing w:after="120" w:line="240" w:lineRule="auto"/>
        <w:rPr>
          <w:rFonts w:ascii="Calibri" w:eastAsia="Times New Roman" w:hAnsi="Calibri" w:cs="Calibri"/>
          <w:color w:val="242424"/>
          <w:kern w:val="0"/>
          <w:bdr w:val="none" w:sz="0" w:space="0" w:color="auto" w:frame="1"/>
          <w:shd w:val="clear" w:color="auto" w:fill="FFFFFF"/>
          <w:lang w:eastAsia="en-GB"/>
          <w14:ligatures w14:val="none"/>
        </w:rPr>
      </w:pPr>
      <w:r w:rsidRPr="002E039B">
        <w:rPr>
          <w:rFonts w:ascii="Calibri" w:eastAsia="Times New Roman" w:hAnsi="Calibri" w:cs="Calibri"/>
          <w:color w:val="242424"/>
          <w:kern w:val="0"/>
          <w:bdr w:val="none" w:sz="0" w:space="0" w:color="auto" w:frame="1"/>
          <w:shd w:val="clear" w:color="auto" w:fill="FFFFFF"/>
          <w:lang w:eastAsia="en-GB"/>
          <w14:ligatures w14:val="none"/>
        </w:rPr>
        <w:t>Cat Ones = Full set of duties (1-6)</w:t>
      </w:r>
    </w:p>
    <w:p w14:paraId="7E6D1630" w14:textId="745A13FA" w:rsidR="00A36321" w:rsidRPr="002E039B" w:rsidRDefault="00BE1AA2" w:rsidP="00BC6F98">
      <w:pPr>
        <w:spacing w:after="120" w:line="240" w:lineRule="auto"/>
        <w:rPr>
          <w:rFonts w:ascii="Calibri" w:eastAsia="Times New Roman" w:hAnsi="Calibri" w:cs="Calibri"/>
          <w:color w:val="242424"/>
          <w:kern w:val="0"/>
          <w:bdr w:val="none" w:sz="0" w:space="0" w:color="auto" w:frame="1"/>
          <w:shd w:val="clear" w:color="auto" w:fill="FFFFFF"/>
          <w:lang w:eastAsia="en-GB"/>
          <w14:ligatures w14:val="none"/>
        </w:rPr>
      </w:pPr>
      <w:r w:rsidRPr="002E039B">
        <w:rPr>
          <w:rFonts w:ascii="Calibri" w:eastAsia="Times New Roman" w:hAnsi="Calibri" w:cs="Calibri"/>
          <w:color w:val="242424"/>
          <w:kern w:val="0"/>
          <w:bdr w:val="none" w:sz="0" w:space="0" w:color="auto" w:frame="1"/>
          <w:shd w:val="clear" w:color="auto" w:fill="FFFFFF"/>
          <w:lang w:eastAsia="en-GB"/>
          <w14:ligatures w14:val="none"/>
        </w:rPr>
        <w:t>Cat Twos = Limited duties (</w:t>
      </w:r>
      <w:r w:rsidRPr="002E039B">
        <w:rPr>
          <w:rFonts w:ascii="Calibri" w:eastAsia="Times New Roman" w:hAnsi="Calibri" w:cs="Calibri"/>
          <w:color w:val="ED7D31" w:themeColor="accent2"/>
          <w:kern w:val="0"/>
          <w:bdr w:val="none" w:sz="0" w:space="0" w:color="auto" w:frame="1"/>
          <w:shd w:val="clear" w:color="auto" w:fill="FFFFFF"/>
          <w:lang w:eastAsia="en-GB"/>
          <w14:ligatures w14:val="none"/>
        </w:rPr>
        <w:t>5-6</w:t>
      </w:r>
      <w:r w:rsidRPr="002E039B">
        <w:rPr>
          <w:rFonts w:ascii="Calibri" w:eastAsia="Times New Roman" w:hAnsi="Calibri" w:cs="Calibri"/>
          <w:color w:val="242424"/>
          <w:kern w:val="0"/>
          <w:bdr w:val="none" w:sz="0" w:space="0" w:color="auto" w:frame="1"/>
          <w:shd w:val="clear" w:color="auto" w:fill="FFFFFF"/>
          <w:lang w:eastAsia="en-GB"/>
          <w14:ligatures w14:val="none"/>
        </w:rPr>
        <w:t>)</w:t>
      </w:r>
    </w:p>
    <w:p w14:paraId="2A6F75E0" w14:textId="04C71775" w:rsidR="00281F57" w:rsidRPr="002E039B" w:rsidRDefault="00FE5A7C" w:rsidP="00787E17">
      <w:pPr>
        <w:rPr>
          <w:rFonts w:ascii="Calibri" w:hAnsi="Calibri" w:cs="Calibri"/>
        </w:rPr>
      </w:pPr>
      <w:r w:rsidRPr="002E039B">
        <w:rPr>
          <w:rFonts w:ascii="Calibri" w:hAnsi="Calibri" w:cs="Calibri"/>
        </w:rPr>
        <w:t xml:space="preserve">As a Category 2 responder </w:t>
      </w:r>
      <w:r w:rsidR="00E37FD0" w:rsidRPr="002E039B">
        <w:rPr>
          <w:rFonts w:ascii="Calibri" w:hAnsi="Calibri" w:cs="Calibri"/>
        </w:rPr>
        <w:t>Dwr Cymru Welsh Water (DCWW) are required to cooperate and to coordinate with front line emergency response. This includes assistance with and planning for emergencies</w:t>
      </w:r>
      <w:r w:rsidR="00DB6B10" w:rsidRPr="002E039B">
        <w:rPr>
          <w:rFonts w:ascii="Calibri" w:hAnsi="Calibri" w:cs="Calibri"/>
        </w:rPr>
        <w:t xml:space="preserve">. </w:t>
      </w:r>
      <w:r w:rsidR="00E37FD0" w:rsidRPr="002E039B">
        <w:rPr>
          <w:rFonts w:ascii="Calibri" w:hAnsi="Calibri" w:cs="Calibri"/>
        </w:rPr>
        <w:t xml:space="preserve">Examples of this are ensuring </w:t>
      </w:r>
      <w:r w:rsidR="009F60B3">
        <w:rPr>
          <w:rFonts w:ascii="Calibri" w:hAnsi="Calibri" w:cs="Calibri"/>
        </w:rPr>
        <w:t>responders</w:t>
      </w:r>
      <w:r w:rsidR="00E37FD0" w:rsidRPr="002E039B">
        <w:rPr>
          <w:rFonts w:ascii="Calibri" w:hAnsi="Calibri" w:cs="Calibri"/>
        </w:rPr>
        <w:t xml:space="preserve"> have enough water for a fire in a network at any time</w:t>
      </w:r>
      <w:r w:rsidR="00281F57" w:rsidRPr="002E039B">
        <w:rPr>
          <w:rFonts w:ascii="Calibri" w:hAnsi="Calibri" w:cs="Calibri"/>
        </w:rPr>
        <w:t xml:space="preserve">. This would be viewed as a </w:t>
      </w:r>
      <w:r w:rsidR="009F60B3" w:rsidRPr="002E039B">
        <w:rPr>
          <w:rFonts w:ascii="Calibri" w:hAnsi="Calibri" w:cs="Calibri"/>
        </w:rPr>
        <w:t>bronze</w:t>
      </w:r>
      <w:r w:rsidR="00281F57" w:rsidRPr="002E039B">
        <w:rPr>
          <w:rFonts w:ascii="Calibri" w:hAnsi="Calibri" w:cs="Calibri"/>
        </w:rPr>
        <w:t xml:space="preserve"> support role as DCWW would ensure </w:t>
      </w:r>
      <w:r w:rsidR="001A7013">
        <w:rPr>
          <w:rFonts w:ascii="Calibri" w:hAnsi="Calibri" w:cs="Calibri"/>
        </w:rPr>
        <w:t>that</w:t>
      </w:r>
      <w:r w:rsidR="00281F57" w:rsidRPr="002E039B">
        <w:rPr>
          <w:rFonts w:ascii="Calibri" w:hAnsi="Calibri" w:cs="Calibri"/>
        </w:rPr>
        <w:t xml:space="preserve"> Local Network </w:t>
      </w:r>
      <w:r w:rsidR="00612CFA" w:rsidRPr="002E039B">
        <w:rPr>
          <w:rFonts w:ascii="Calibri" w:hAnsi="Calibri" w:cs="Calibri"/>
        </w:rPr>
        <w:t>Controllers (LNC)</w:t>
      </w:r>
      <w:r w:rsidR="00281F57" w:rsidRPr="002E039B">
        <w:rPr>
          <w:rFonts w:ascii="Calibri" w:hAnsi="Calibri" w:cs="Calibri"/>
        </w:rPr>
        <w:t xml:space="preserve"> on site to assist with the flow and pressure of the water supply. </w:t>
      </w:r>
    </w:p>
    <w:p w14:paraId="4A70E5D7" w14:textId="53E71337" w:rsidR="00612CFA" w:rsidRPr="002E039B" w:rsidRDefault="00281F57" w:rsidP="00787E17">
      <w:pPr>
        <w:rPr>
          <w:rFonts w:ascii="Calibri" w:hAnsi="Calibri" w:cs="Calibri"/>
        </w:rPr>
      </w:pPr>
      <w:r w:rsidRPr="002E039B">
        <w:rPr>
          <w:rFonts w:ascii="Calibri" w:hAnsi="Calibri" w:cs="Calibri"/>
        </w:rPr>
        <w:t xml:space="preserve">As an Emergency Planning Specialist within DCWW </w:t>
      </w:r>
      <w:r w:rsidR="00612CFA" w:rsidRPr="002E039B">
        <w:rPr>
          <w:rFonts w:ascii="Calibri" w:hAnsi="Calibri" w:cs="Calibri"/>
        </w:rPr>
        <w:t xml:space="preserve">I </w:t>
      </w:r>
      <w:r w:rsidR="00E37FD0" w:rsidRPr="002E039B">
        <w:rPr>
          <w:rFonts w:ascii="Calibri" w:hAnsi="Calibri" w:cs="Calibri"/>
        </w:rPr>
        <w:t>attend</w:t>
      </w:r>
      <w:r w:rsidR="00612CFA" w:rsidRPr="002E039B">
        <w:rPr>
          <w:rFonts w:ascii="Calibri" w:hAnsi="Calibri" w:cs="Calibri"/>
        </w:rPr>
        <w:t xml:space="preserve"> </w:t>
      </w:r>
      <w:r w:rsidR="00E37FD0" w:rsidRPr="002E039B">
        <w:rPr>
          <w:rFonts w:ascii="Calibri" w:hAnsi="Calibri" w:cs="Calibri"/>
        </w:rPr>
        <w:t xml:space="preserve">Tactical Coordination Groups </w:t>
      </w:r>
      <w:r w:rsidRPr="002E039B">
        <w:rPr>
          <w:rFonts w:ascii="Calibri" w:hAnsi="Calibri" w:cs="Calibri"/>
        </w:rPr>
        <w:t xml:space="preserve">(TCG’s) </w:t>
      </w:r>
      <w:r w:rsidR="00E37FD0" w:rsidRPr="002E039B">
        <w:rPr>
          <w:rFonts w:ascii="Calibri" w:hAnsi="Calibri" w:cs="Calibri"/>
        </w:rPr>
        <w:t>or Strategic Coordination Groups</w:t>
      </w:r>
      <w:r w:rsidRPr="002E039B">
        <w:rPr>
          <w:rFonts w:ascii="Calibri" w:hAnsi="Calibri" w:cs="Calibri"/>
        </w:rPr>
        <w:t xml:space="preserve"> (SCG’s)</w:t>
      </w:r>
      <w:r w:rsidR="00612CFA" w:rsidRPr="002E039B">
        <w:rPr>
          <w:rFonts w:ascii="Calibri" w:hAnsi="Calibri" w:cs="Calibri"/>
        </w:rPr>
        <w:t xml:space="preserve">. These rolls </w:t>
      </w:r>
      <w:r w:rsidR="00894037">
        <w:rPr>
          <w:rFonts w:ascii="Calibri" w:hAnsi="Calibri" w:cs="Calibri"/>
        </w:rPr>
        <w:t>demonstrate a re</w:t>
      </w:r>
      <w:r w:rsidR="009C0ACD">
        <w:rPr>
          <w:rFonts w:ascii="Calibri" w:hAnsi="Calibri" w:cs="Calibri"/>
        </w:rPr>
        <w:t>presentation</w:t>
      </w:r>
      <w:r w:rsidR="00612CFA" w:rsidRPr="002E039B">
        <w:rPr>
          <w:rFonts w:ascii="Calibri" w:hAnsi="Calibri" w:cs="Calibri"/>
        </w:rPr>
        <w:t xml:space="preserve"> as Silver and Gold</w:t>
      </w:r>
      <w:r w:rsidR="009C0ACD">
        <w:rPr>
          <w:rFonts w:ascii="Calibri" w:hAnsi="Calibri" w:cs="Calibri"/>
        </w:rPr>
        <w:t xml:space="preserve"> by DCWW and are replicated across the other three LRFs by my colleagues. </w:t>
      </w:r>
      <w:r w:rsidR="00612CFA" w:rsidRPr="002E039B">
        <w:rPr>
          <w:rFonts w:ascii="Calibri" w:hAnsi="Calibri" w:cs="Calibri"/>
        </w:rPr>
        <w:t xml:space="preserve">To ensure the personnel that attend these meetings are qualified and experienced DCWW ensure that all personnel attending these meetings attend the Wales Gold and Silver training courses and </w:t>
      </w:r>
      <w:r w:rsidR="009C2369">
        <w:rPr>
          <w:rFonts w:ascii="Calibri" w:hAnsi="Calibri" w:cs="Calibri"/>
        </w:rPr>
        <w:t>train</w:t>
      </w:r>
      <w:r w:rsidR="00612CFA" w:rsidRPr="002E039B">
        <w:rPr>
          <w:rFonts w:ascii="Calibri" w:hAnsi="Calibri" w:cs="Calibri"/>
        </w:rPr>
        <w:t xml:space="preserve"> internally to the same standard. </w:t>
      </w:r>
    </w:p>
    <w:p w14:paraId="38588189" w14:textId="5799C532" w:rsidR="00E37FD0" w:rsidRPr="002E039B" w:rsidRDefault="00E37FD0" w:rsidP="00787E17">
      <w:pPr>
        <w:rPr>
          <w:rFonts w:ascii="Calibri" w:hAnsi="Calibri" w:cs="Calibri"/>
        </w:rPr>
      </w:pPr>
      <w:r w:rsidRPr="002E039B">
        <w:rPr>
          <w:rFonts w:ascii="Calibri" w:hAnsi="Calibri" w:cs="Calibri"/>
        </w:rPr>
        <w:t>DCWW also attend the following groups under the North Wales L</w:t>
      </w:r>
      <w:r w:rsidR="00281F57" w:rsidRPr="002E039B">
        <w:rPr>
          <w:rFonts w:ascii="Calibri" w:hAnsi="Calibri" w:cs="Calibri"/>
        </w:rPr>
        <w:t>ocal Resilience Forum (NWLRF)</w:t>
      </w:r>
      <w:r w:rsidRPr="002E039B">
        <w:rPr>
          <w:rFonts w:ascii="Calibri" w:hAnsi="Calibri" w:cs="Calibri"/>
        </w:rPr>
        <w:t xml:space="preserve">: </w:t>
      </w:r>
    </w:p>
    <w:p w14:paraId="7DE1389F" w14:textId="77777777" w:rsidR="00E37FD0" w:rsidRPr="002E039B" w:rsidRDefault="00E37FD0" w:rsidP="00DB6B10">
      <w:pPr>
        <w:pStyle w:val="ListParagraph"/>
        <w:numPr>
          <w:ilvl w:val="0"/>
          <w:numId w:val="24"/>
        </w:numPr>
        <w:rPr>
          <w:rFonts w:ascii="Calibri" w:hAnsi="Calibri" w:cs="Calibri"/>
        </w:rPr>
      </w:pPr>
      <w:r w:rsidRPr="002E039B">
        <w:rPr>
          <w:rFonts w:ascii="Calibri" w:hAnsi="Calibri" w:cs="Calibri"/>
        </w:rPr>
        <w:t>Infrastructure and Logistical Preparedness Group</w:t>
      </w:r>
    </w:p>
    <w:p w14:paraId="444629B7" w14:textId="77777777" w:rsidR="00E37FD0" w:rsidRPr="002E039B" w:rsidRDefault="00E37FD0" w:rsidP="00DB6B10">
      <w:pPr>
        <w:pStyle w:val="ListParagraph"/>
        <w:numPr>
          <w:ilvl w:val="0"/>
          <w:numId w:val="24"/>
        </w:numPr>
        <w:rPr>
          <w:rFonts w:ascii="Calibri" w:hAnsi="Calibri" w:cs="Calibri"/>
        </w:rPr>
      </w:pPr>
      <w:r w:rsidRPr="002E039B">
        <w:rPr>
          <w:rFonts w:ascii="Calibri" w:hAnsi="Calibri" w:cs="Calibri"/>
        </w:rPr>
        <w:t>Severe Weather Group</w:t>
      </w:r>
    </w:p>
    <w:p w14:paraId="52BB385B" w14:textId="77777777" w:rsidR="00E37FD0" w:rsidRPr="002E039B" w:rsidRDefault="00E37FD0" w:rsidP="00DB6B10">
      <w:pPr>
        <w:pStyle w:val="ListParagraph"/>
        <w:numPr>
          <w:ilvl w:val="0"/>
          <w:numId w:val="24"/>
        </w:numPr>
        <w:rPr>
          <w:rFonts w:ascii="Calibri" w:hAnsi="Calibri" w:cs="Calibri"/>
        </w:rPr>
      </w:pPr>
      <w:r w:rsidRPr="002E039B">
        <w:rPr>
          <w:rFonts w:ascii="Calibri" w:hAnsi="Calibri" w:cs="Calibri"/>
        </w:rPr>
        <w:t>Environment and CBRN Group</w:t>
      </w:r>
    </w:p>
    <w:p w14:paraId="68AB4BF3" w14:textId="70F44A43" w:rsidR="00217F3E" w:rsidRPr="002E039B" w:rsidRDefault="00E37FD0" w:rsidP="00787E17">
      <w:pPr>
        <w:rPr>
          <w:rFonts w:ascii="Calibri" w:hAnsi="Calibri" w:cs="Calibri"/>
        </w:rPr>
      </w:pPr>
      <w:r w:rsidRPr="002E039B">
        <w:rPr>
          <w:rFonts w:ascii="Calibri" w:hAnsi="Calibri" w:cs="Calibri"/>
        </w:rPr>
        <w:t xml:space="preserve">These groups </w:t>
      </w:r>
      <w:r w:rsidR="00164980">
        <w:rPr>
          <w:rFonts w:ascii="Calibri" w:hAnsi="Calibri" w:cs="Calibri"/>
        </w:rPr>
        <w:t>create</w:t>
      </w:r>
      <w:r w:rsidRPr="002E039B">
        <w:rPr>
          <w:rFonts w:ascii="Calibri" w:hAnsi="Calibri" w:cs="Calibri"/>
        </w:rPr>
        <w:t xml:space="preserve"> plans that can mitigate </w:t>
      </w:r>
      <w:r w:rsidR="00281F57" w:rsidRPr="002E039B">
        <w:rPr>
          <w:rFonts w:ascii="Calibri" w:hAnsi="Calibri" w:cs="Calibri"/>
        </w:rPr>
        <w:t xml:space="preserve">a risk that is </w:t>
      </w:r>
      <w:r w:rsidR="005366A5">
        <w:rPr>
          <w:rFonts w:ascii="Calibri" w:hAnsi="Calibri" w:cs="Calibri"/>
        </w:rPr>
        <w:t>recorded</w:t>
      </w:r>
      <w:r w:rsidR="00281F57" w:rsidRPr="002E039B">
        <w:rPr>
          <w:rFonts w:ascii="Calibri" w:hAnsi="Calibri" w:cs="Calibri"/>
        </w:rPr>
        <w:t xml:space="preserve"> in the National Risk Register (NRR).</w:t>
      </w:r>
      <w:r w:rsidR="00612CFA" w:rsidRPr="002E039B">
        <w:rPr>
          <w:rFonts w:ascii="Calibri" w:hAnsi="Calibri" w:cs="Calibri"/>
        </w:rPr>
        <w:t xml:space="preserve"> These risks are then scrutinised and localised by the </w:t>
      </w:r>
      <w:r w:rsidR="00217F3E" w:rsidRPr="002E039B">
        <w:rPr>
          <w:rFonts w:ascii="Calibri" w:hAnsi="Calibri" w:cs="Calibri"/>
        </w:rPr>
        <w:t xml:space="preserve">LRF </w:t>
      </w:r>
      <w:r w:rsidR="00612CFA" w:rsidRPr="002E039B">
        <w:rPr>
          <w:rFonts w:ascii="Calibri" w:hAnsi="Calibri" w:cs="Calibri"/>
        </w:rPr>
        <w:t>Risk Group to determine which are applicable to the locality for example there would not be a risk from coastal flooding in a land locked LRF area.</w:t>
      </w:r>
      <w:r w:rsidR="00217F3E" w:rsidRPr="002E039B">
        <w:rPr>
          <w:rFonts w:ascii="Calibri" w:hAnsi="Calibri" w:cs="Calibri"/>
        </w:rPr>
        <w:t xml:space="preserve"> These are collated </w:t>
      </w:r>
      <w:r w:rsidR="007D4EB8">
        <w:rPr>
          <w:rFonts w:ascii="Calibri" w:hAnsi="Calibri" w:cs="Calibri"/>
        </w:rPr>
        <w:t xml:space="preserve">by the individual groups </w:t>
      </w:r>
      <w:r w:rsidR="00217F3E" w:rsidRPr="002E039B">
        <w:rPr>
          <w:rFonts w:ascii="Calibri" w:hAnsi="Calibri" w:cs="Calibri"/>
        </w:rPr>
        <w:t xml:space="preserve">in the Community Risk Register (CRR) and plans are created to counter these risks. </w:t>
      </w:r>
    </w:p>
    <w:p w14:paraId="22096B67" w14:textId="10167C8A" w:rsidR="00947075" w:rsidRPr="002E039B" w:rsidRDefault="00250950" w:rsidP="00787E17">
      <w:pPr>
        <w:rPr>
          <w:rFonts w:ascii="Calibri" w:hAnsi="Calibri" w:cs="Calibri"/>
        </w:rPr>
      </w:pPr>
      <w:r w:rsidRPr="002E039B">
        <w:rPr>
          <w:rFonts w:ascii="Calibri" w:hAnsi="Calibri" w:cs="Calibri"/>
        </w:rPr>
        <w:lastRenderedPageBreak/>
        <w:t>The</w:t>
      </w:r>
      <w:r w:rsidR="00612CFA" w:rsidRPr="002E039B">
        <w:rPr>
          <w:rFonts w:ascii="Calibri" w:hAnsi="Calibri" w:cs="Calibri"/>
        </w:rPr>
        <w:t xml:space="preserve"> Strategic overview from </w:t>
      </w:r>
      <w:r w:rsidR="00217F3E" w:rsidRPr="002E039B">
        <w:rPr>
          <w:rFonts w:ascii="Calibri" w:hAnsi="Calibri" w:cs="Calibri"/>
        </w:rPr>
        <w:t>both the</w:t>
      </w:r>
      <w:r w:rsidR="00612CFA" w:rsidRPr="002E039B">
        <w:rPr>
          <w:rFonts w:ascii="Calibri" w:hAnsi="Calibri" w:cs="Calibri"/>
        </w:rPr>
        <w:t xml:space="preserve"> Coordination Group </w:t>
      </w:r>
      <w:r w:rsidR="00217F3E" w:rsidRPr="002E039B">
        <w:rPr>
          <w:rFonts w:ascii="Calibri" w:hAnsi="Calibri" w:cs="Calibri"/>
        </w:rPr>
        <w:t>(</w:t>
      </w:r>
      <w:r w:rsidR="00612CFA" w:rsidRPr="002E039B">
        <w:rPr>
          <w:rFonts w:ascii="Calibri" w:hAnsi="Calibri" w:cs="Calibri"/>
        </w:rPr>
        <w:t xml:space="preserve">which sits above the </w:t>
      </w:r>
      <w:r w:rsidR="00217F3E" w:rsidRPr="002E039B">
        <w:rPr>
          <w:rFonts w:ascii="Calibri" w:hAnsi="Calibri" w:cs="Calibri"/>
        </w:rPr>
        <w:t xml:space="preserve">LRF </w:t>
      </w:r>
      <w:r w:rsidR="00612CFA" w:rsidRPr="002E039B">
        <w:rPr>
          <w:rFonts w:ascii="Calibri" w:hAnsi="Calibri" w:cs="Calibri"/>
        </w:rPr>
        <w:t>Risk Group</w:t>
      </w:r>
      <w:r w:rsidR="00217F3E" w:rsidRPr="002E039B">
        <w:rPr>
          <w:rFonts w:ascii="Calibri" w:hAnsi="Calibri" w:cs="Calibri"/>
        </w:rPr>
        <w:t>)</w:t>
      </w:r>
      <w:r w:rsidR="00612CFA" w:rsidRPr="002E039B">
        <w:rPr>
          <w:rFonts w:ascii="Calibri" w:hAnsi="Calibri" w:cs="Calibri"/>
        </w:rPr>
        <w:t xml:space="preserve"> are not delivering new risks </w:t>
      </w:r>
      <w:r w:rsidR="00217F3E" w:rsidRPr="002E039B">
        <w:rPr>
          <w:rFonts w:ascii="Calibri" w:hAnsi="Calibri" w:cs="Calibri"/>
        </w:rPr>
        <w:t>to the groups listed above</w:t>
      </w:r>
      <w:r>
        <w:rPr>
          <w:rFonts w:ascii="Calibri" w:hAnsi="Calibri" w:cs="Calibri"/>
        </w:rPr>
        <w:t xml:space="preserve"> in my opinion.</w:t>
      </w:r>
    </w:p>
    <w:p w14:paraId="0820BC00" w14:textId="49B46B36" w:rsidR="00C50476" w:rsidRPr="002E039B" w:rsidRDefault="00DB6B10" w:rsidP="00787E17">
      <w:pPr>
        <w:rPr>
          <w:rFonts w:ascii="Calibri" w:hAnsi="Calibri" w:cs="Calibri"/>
        </w:rPr>
      </w:pPr>
      <w:r w:rsidRPr="002E039B">
        <w:rPr>
          <w:rFonts w:ascii="Calibri" w:hAnsi="Calibri" w:cs="Calibri"/>
        </w:rPr>
        <w:t xml:space="preserve">I </w:t>
      </w:r>
      <w:r w:rsidR="00947075" w:rsidRPr="002E039B">
        <w:rPr>
          <w:rFonts w:ascii="Calibri" w:hAnsi="Calibri" w:cs="Calibri"/>
        </w:rPr>
        <w:t xml:space="preserve">will now break down the activities that DCWW are responsible for delivering under each group. </w:t>
      </w:r>
    </w:p>
    <w:p w14:paraId="02D4FD1E" w14:textId="28A78E1C" w:rsidR="00C50476" w:rsidRPr="002E039B" w:rsidRDefault="00C50476" w:rsidP="00787E17">
      <w:pPr>
        <w:rPr>
          <w:rFonts w:ascii="Calibri" w:hAnsi="Calibri" w:cs="Calibri"/>
          <w:b/>
          <w:bCs/>
        </w:rPr>
      </w:pPr>
      <w:r w:rsidRPr="002E039B">
        <w:rPr>
          <w:rFonts w:ascii="Calibri" w:hAnsi="Calibri" w:cs="Calibri"/>
          <w:b/>
          <w:bCs/>
        </w:rPr>
        <w:t>Infrastructure and Logistical Preparedness Group</w:t>
      </w:r>
    </w:p>
    <w:p w14:paraId="3FFF0C17" w14:textId="0B3BD9B3" w:rsidR="00C50476" w:rsidRPr="002E039B" w:rsidRDefault="00C50476" w:rsidP="00787E17">
      <w:pPr>
        <w:rPr>
          <w:rFonts w:ascii="Calibri" w:hAnsi="Calibri" w:cs="Calibri"/>
        </w:rPr>
      </w:pPr>
      <w:r w:rsidRPr="002E039B">
        <w:rPr>
          <w:rFonts w:ascii="Calibri" w:hAnsi="Calibri" w:cs="Calibri"/>
        </w:rPr>
        <w:t xml:space="preserve">The main responsibility for DCWW under this group is the current NWRF Water Distribution Plan. This plan </w:t>
      </w:r>
      <w:r w:rsidR="003E6DC8">
        <w:rPr>
          <w:rFonts w:ascii="Calibri" w:hAnsi="Calibri" w:cs="Calibri"/>
        </w:rPr>
        <w:t>which is under review</w:t>
      </w:r>
      <w:r w:rsidRPr="002E039B">
        <w:rPr>
          <w:rFonts w:ascii="Calibri" w:hAnsi="Calibri" w:cs="Calibri"/>
        </w:rPr>
        <w:t xml:space="preserve"> currently and may </w:t>
      </w:r>
      <w:r w:rsidR="003E6DC8">
        <w:rPr>
          <w:rFonts w:ascii="Calibri" w:hAnsi="Calibri" w:cs="Calibri"/>
        </w:rPr>
        <w:t>will be</w:t>
      </w:r>
      <w:r w:rsidRPr="002E039B">
        <w:rPr>
          <w:rFonts w:ascii="Calibri" w:hAnsi="Calibri" w:cs="Calibri"/>
        </w:rPr>
        <w:t xml:space="preserve"> a Water Disruption Plan. This plan outlines the response that would be </w:t>
      </w:r>
      <w:r w:rsidR="002D244C">
        <w:rPr>
          <w:rFonts w:ascii="Calibri" w:hAnsi="Calibri" w:cs="Calibri"/>
        </w:rPr>
        <w:t>needed</w:t>
      </w:r>
      <w:r w:rsidR="007B5FFE">
        <w:rPr>
          <w:rFonts w:ascii="Calibri" w:hAnsi="Calibri" w:cs="Calibri"/>
        </w:rPr>
        <w:t xml:space="preserve"> by responders</w:t>
      </w:r>
      <w:r w:rsidRPr="002E039B">
        <w:rPr>
          <w:rFonts w:ascii="Calibri" w:hAnsi="Calibri" w:cs="Calibri"/>
        </w:rPr>
        <w:t xml:space="preserve"> if DCWW or Hafren Dyfrydwy (HD) suffered a “major incident” this is where </w:t>
      </w:r>
      <w:r w:rsidR="00FF68BB">
        <w:rPr>
          <w:rFonts w:ascii="Calibri" w:hAnsi="Calibri" w:cs="Calibri"/>
        </w:rPr>
        <w:t>both organisations</w:t>
      </w:r>
      <w:r w:rsidRPr="002E039B">
        <w:rPr>
          <w:rFonts w:ascii="Calibri" w:hAnsi="Calibri" w:cs="Calibri"/>
        </w:rPr>
        <w:t xml:space="preserve"> would not be able to supply a large geographical rural/semi-rural area or an urban area with a large population. The plan would </w:t>
      </w:r>
      <w:proofErr w:type="gramStart"/>
      <w:r w:rsidR="002D244C">
        <w:rPr>
          <w:rFonts w:ascii="Calibri" w:hAnsi="Calibri" w:cs="Calibri"/>
        </w:rPr>
        <w:t>is</w:t>
      </w:r>
      <w:proofErr w:type="gramEnd"/>
      <w:r w:rsidR="002D244C">
        <w:rPr>
          <w:rFonts w:ascii="Calibri" w:hAnsi="Calibri" w:cs="Calibri"/>
        </w:rPr>
        <w:t xml:space="preserve"> needed</w:t>
      </w:r>
      <w:r w:rsidRPr="002E039B">
        <w:rPr>
          <w:rFonts w:ascii="Calibri" w:hAnsi="Calibri" w:cs="Calibri"/>
        </w:rPr>
        <w:t xml:space="preserve"> if DCWW/HD as the Water Undertaker failed to provide alterative supplies under our own obligations under the Security and Emergency Measures Direction 2022 (SEMD). </w:t>
      </w:r>
    </w:p>
    <w:p w14:paraId="5F28702A" w14:textId="15860FF6" w:rsidR="00DB6B10" w:rsidRPr="002E039B" w:rsidRDefault="00C50476" w:rsidP="00787E17">
      <w:pPr>
        <w:rPr>
          <w:rFonts w:ascii="Calibri" w:hAnsi="Calibri" w:cs="Calibri"/>
        </w:rPr>
      </w:pPr>
      <w:r w:rsidRPr="002E039B">
        <w:rPr>
          <w:rFonts w:ascii="Calibri" w:hAnsi="Calibri" w:cs="Calibri"/>
        </w:rPr>
        <w:t xml:space="preserve">Under SEMD </w:t>
      </w:r>
      <w:r w:rsidR="00832C90">
        <w:rPr>
          <w:rFonts w:ascii="Calibri" w:hAnsi="Calibri" w:cs="Calibri"/>
        </w:rPr>
        <w:t>DCWW/HD</w:t>
      </w:r>
      <w:r w:rsidRPr="002E039B">
        <w:rPr>
          <w:rFonts w:ascii="Calibri" w:hAnsi="Calibri" w:cs="Calibri"/>
        </w:rPr>
        <w:t xml:space="preserve"> must plan keep under review exercise and revise plans to ensure </w:t>
      </w:r>
      <w:r w:rsidR="00AB37E9">
        <w:rPr>
          <w:rFonts w:ascii="Calibri" w:hAnsi="Calibri" w:cs="Calibri"/>
        </w:rPr>
        <w:t>that</w:t>
      </w:r>
      <w:r w:rsidRPr="002E039B">
        <w:rPr>
          <w:rFonts w:ascii="Calibri" w:hAnsi="Calibri" w:cs="Calibri"/>
        </w:rPr>
        <w:t xml:space="preserve"> a continued supply of water to customers during operational incidents national security threat and natural disasters. This includes:</w:t>
      </w:r>
    </w:p>
    <w:p w14:paraId="15E2A53C" w14:textId="3B0237EE" w:rsidR="00C50476" w:rsidRPr="002E039B" w:rsidRDefault="00C50476" w:rsidP="00DB6B10">
      <w:pPr>
        <w:pStyle w:val="ListParagraph"/>
        <w:numPr>
          <w:ilvl w:val="0"/>
          <w:numId w:val="25"/>
        </w:numPr>
        <w:rPr>
          <w:rFonts w:ascii="Calibri" w:hAnsi="Calibri" w:cs="Calibri"/>
        </w:rPr>
      </w:pPr>
      <w:r w:rsidRPr="002E039B">
        <w:rPr>
          <w:rFonts w:ascii="Calibri" w:hAnsi="Calibri" w:cs="Calibri"/>
        </w:rPr>
        <w:t>Providing an alternative drinking water supply to all affected customers over the life of an incident </w:t>
      </w:r>
    </w:p>
    <w:p w14:paraId="32E9AA37" w14:textId="3FE636F5" w:rsidR="00C50476" w:rsidRPr="002E039B" w:rsidRDefault="00C50476" w:rsidP="00DB6B10">
      <w:pPr>
        <w:pStyle w:val="ListParagraph"/>
        <w:numPr>
          <w:ilvl w:val="0"/>
          <w:numId w:val="25"/>
        </w:numPr>
        <w:rPr>
          <w:rFonts w:ascii="Calibri" w:hAnsi="Calibri" w:cs="Calibri"/>
        </w:rPr>
      </w:pPr>
      <w:r w:rsidRPr="002E039B">
        <w:rPr>
          <w:rFonts w:ascii="Calibri" w:hAnsi="Calibri" w:cs="Calibri"/>
        </w:rPr>
        <w:t>Prioritise the needs of vulnerable customers and vulnerable establishments (</w:t>
      </w:r>
      <w:r w:rsidR="004544AB" w:rsidRPr="002E039B">
        <w:rPr>
          <w:rFonts w:ascii="Calibri" w:hAnsi="Calibri" w:cs="Calibri"/>
        </w:rPr>
        <w:t>e.g.,</w:t>
      </w:r>
      <w:r w:rsidRPr="002E039B">
        <w:rPr>
          <w:rFonts w:ascii="Calibri" w:hAnsi="Calibri" w:cs="Calibri"/>
        </w:rPr>
        <w:t xml:space="preserve"> hospitals, care homes) </w:t>
      </w:r>
    </w:p>
    <w:p w14:paraId="65747C3E" w14:textId="424B64FE" w:rsidR="00C50476" w:rsidRPr="002E039B" w:rsidRDefault="00C50476" w:rsidP="00787E17">
      <w:pPr>
        <w:pStyle w:val="ListParagraph"/>
        <w:numPr>
          <w:ilvl w:val="0"/>
          <w:numId w:val="25"/>
        </w:numPr>
        <w:rPr>
          <w:rFonts w:ascii="Calibri" w:hAnsi="Calibri" w:cs="Calibri"/>
        </w:rPr>
      </w:pPr>
      <w:r w:rsidRPr="002E039B">
        <w:rPr>
          <w:rFonts w:ascii="Calibri" w:hAnsi="Calibri" w:cs="Calibri"/>
        </w:rPr>
        <w:t xml:space="preserve">Maintain appropriate communication channels to key </w:t>
      </w:r>
      <w:r w:rsidR="004544AB" w:rsidRPr="002E039B">
        <w:rPr>
          <w:rFonts w:ascii="Calibri" w:hAnsi="Calibri" w:cs="Calibri"/>
        </w:rPr>
        <w:t>stakeholders.</w:t>
      </w:r>
      <w:r w:rsidRPr="002E039B">
        <w:rPr>
          <w:rFonts w:ascii="Calibri" w:hAnsi="Calibri" w:cs="Calibri"/>
        </w:rPr>
        <w:t> </w:t>
      </w:r>
    </w:p>
    <w:p w14:paraId="6BB520F5" w14:textId="1C8C3D59" w:rsidR="00C50476" w:rsidRPr="002E039B" w:rsidRDefault="00C50476" w:rsidP="00787E17">
      <w:pPr>
        <w:rPr>
          <w:rFonts w:ascii="Calibri" w:hAnsi="Calibri" w:cs="Calibri"/>
        </w:rPr>
      </w:pPr>
      <w:r w:rsidRPr="002E039B">
        <w:rPr>
          <w:rFonts w:ascii="Calibri" w:hAnsi="Calibri" w:cs="Calibri"/>
        </w:rPr>
        <w:t xml:space="preserve">Major incidents of a significant scale may require a multi-agency response through the form of a Tactical Coordination Group (TCG) or a Strategic Coordination Group (SCG). </w:t>
      </w:r>
    </w:p>
    <w:p w14:paraId="05725175" w14:textId="5AF66048" w:rsidR="00C50476" w:rsidRPr="002E039B" w:rsidRDefault="00C50476" w:rsidP="00787E17">
      <w:pPr>
        <w:rPr>
          <w:rFonts w:ascii="Calibri" w:hAnsi="Calibri" w:cs="Calibri"/>
        </w:rPr>
      </w:pPr>
      <w:r w:rsidRPr="002E039B">
        <w:rPr>
          <w:rFonts w:ascii="Calibri" w:hAnsi="Calibri" w:cs="Calibri"/>
        </w:rPr>
        <w:t>Under SEMD 2022, for any incident where the piped water supply has significantly failed, DCWW has legal obligations to make available no less than 10 litres of drinking water per person per day to all those affected within the first 24 hours of a company becoming aware of an incident and maintain this supply until the piped supply is permanently restored.  </w:t>
      </w:r>
    </w:p>
    <w:p w14:paraId="0EB20905" w14:textId="67AAAC3A" w:rsidR="00C50476" w:rsidRPr="002E039B" w:rsidRDefault="00C50476" w:rsidP="00787E17">
      <w:pPr>
        <w:rPr>
          <w:rFonts w:ascii="Calibri" w:hAnsi="Calibri" w:cs="Calibri"/>
        </w:rPr>
      </w:pPr>
      <w:r w:rsidRPr="002E039B">
        <w:rPr>
          <w:rFonts w:ascii="Calibri" w:hAnsi="Calibri" w:cs="Calibri"/>
        </w:rPr>
        <w:t>In the event of a prolonged incident (after 120 hours of the company being aware of an incident), this increases to offering no less than 20 litres of drinking water per person per day. The increased amount is to provide customers with scope to address broader hygiene and other needs. </w:t>
      </w:r>
    </w:p>
    <w:p w14:paraId="5F10CB3F" w14:textId="77777777" w:rsidR="00C50476" w:rsidRPr="002E039B" w:rsidRDefault="00C50476" w:rsidP="00787E17">
      <w:pPr>
        <w:rPr>
          <w:rFonts w:ascii="Calibri" w:hAnsi="Calibri" w:cs="Calibri"/>
        </w:rPr>
      </w:pPr>
      <w:r w:rsidRPr="002E039B">
        <w:rPr>
          <w:rFonts w:ascii="Calibri" w:hAnsi="Calibri" w:cs="Calibri"/>
        </w:rPr>
        <w:t>DCWW /HD would not be able to physically supply all the customers in a major incident. There would need to be a multiagency response to satisfy our SEMD requirements. This would include:</w:t>
      </w:r>
    </w:p>
    <w:p w14:paraId="22522633" w14:textId="77777777" w:rsidR="00C50476" w:rsidRPr="002E039B" w:rsidRDefault="00C50476" w:rsidP="00787E17">
      <w:pPr>
        <w:rPr>
          <w:rFonts w:ascii="Calibri" w:hAnsi="Calibri" w:cs="Calibri"/>
        </w:rPr>
      </w:pPr>
    </w:p>
    <w:p w14:paraId="44904519" w14:textId="77777777" w:rsidR="00C50476" w:rsidRPr="002E039B" w:rsidRDefault="00C50476" w:rsidP="00787E17">
      <w:pPr>
        <w:rPr>
          <w:rFonts w:ascii="Calibri" w:hAnsi="Calibri" w:cs="Calibri"/>
        </w:rPr>
      </w:pPr>
      <w:r w:rsidRPr="002E039B">
        <w:rPr>
          <w:rFonts w:ascii="Calibri" w:hAnsi="Calibri" w:cs="Calibri"/>
        </w:rPr>
        <w:t>Setting up a TCG / SCG</w:t>
      </w:r>
      <w:r w:rsidRPr="002E039B">
        <w:rPr>
          <w:rFonts w:ascii="Calibri" w:hAnsi="Calibri" w:cs="Calibri"/>
        </w:rPr>
        <w:tab/>
      </w:r>
      <w:r w:rsidRPr="002E039B">
        <w:rPr>
          <w:rFonts w:ascii="Calibri" w:hAnsi="Calibri" w:cs="Calibri"/>
        </w:rPr>
        <w:tab/>
      </w:r>
      <w:r w:rsidRPr="002E039B">
        <w:rPr>
          <w:rFonts w:ascii="Calibri" w:hAnsi="Calibri" w:cs="Calibri"/>
        </w:rPr>
        <w:tab/>
      </w:r>
      <w:r w:rsidRPr="002E039B">
        <w:rPr>
          <w:rFonts w:ascii="Calibri" w:hAnsi="Calibri" w:cs="Calibri"/>
        </w:rPr>
        <w:tab/>
      </w:r>
      <w:r w:rsidRPr="002E039B">
        <w:rPr>
          <w:rFonts w:ascii="Calibri" w:hAnsi="Calibri" w:cs="Calibri"/>
        </w:rPr>
        <w:tab/>
      </w:r>
      <w:r w:rsidRPr="002E039B">
        <w:rPr>
          <w:rFonts w:ascii="Calibri" w:hAnsi="Calibri" w:cs="Calibri"/>
        </w:rPr>
        <w:tab/>
      </w:r>
      <w:r w:rsidRPr="002E039B">
        <w:rPr>
          <w:rFonts w:ascii="Calibri" w:hAnsi="Calibri" w:cs="Calibri"/>
        </w:rPr>
        <w:tab/>
        <w:t>Co-locate</w:t>
      </w:r>
      <w:r w:rsidRPr="002E039B">
        <w:rPr>
          <w:rFonts w:ascii="Calibri" w:hAnsi="Calibri" w:cs="Calibri"/>
        </w:rPr>
        <w:tab/>
      </w:r>
      <w:r w:rsidRPr="002E039B">
        <w:rPr>
          <w:rFonts w:ascii="Calibri" w:hAnsi="Calibri" w:cs="Calibri"/>
        </w:rPr>
        <w:tab/>
      </w:r>
      <w:r w:rsidRPr="002E039B">
        <w:rPr>
          <w:rFonts w:ascii="Calibri" w:hAnsi="Calibri" w:cs="Calibri"/>
        </w:rPr>
        <w:tab/>
      </w:r>
      <w:r w:rsidRPr="002E039B">
        <w:rPr>
          <w:rFonts w:ascii="Calibri" w:hAnsi="Calibri" w:cs="Calibri"/>
        </w:rPr>
        <w:tab/>
      </w:r>
    </w:p>
    <w:p w14:paraId="6DB7B05D" w14:textId="77777777" w:rsidR="00C50476" w:rsidRPr="002E039B" w:rsidRDefault="00C50476" w:rsidP="00787E17">
      <w:pPr>
        <w:rPr>
          <w:rFonts w:ascii="Calibri" w:hAnsi="Calibri" w:cs="Calibri"/>
        </w:rPr>
      </w:pPr>
      <w:r w:rsidRPr="002E039B">
        <w:rPr>
          <w:rFonts w:ascii="Calibri" w:hAnsi="Calibri" w:cs="Calibri"/>
        </w:rPr>
        <w:t>Sharing vulnerable customer data and locations of the affected area</w:t>
      </w:r>
      <w:r w:rsidRPr="002E039B">
        <w:rPr>
          <w:rFonts w:ascii="Calibri" w:hAnsi="Calibri" w:cs="Calibri"/>
        </w:rPr>
        <w:tab/>
        <w:t>Communicate</w:t>
      </w:r>
    </w:p>
    <w:p w14:paraId="3AF5C949" w14:textId="77777777" w:rsidR="00C50476" w:rsidRPr="002E039B" w:rsidRDefault="00C50476" w:rsidP="00787E17">
      <w:pPr>
        <w:rPr>
          <w:rFonts w:ascii="Calibri" w:hAnsi="Calibri" w:cs="Calibri"/>
        </w:rPr>
      </w:pPr>
    </w:p>
    <w:p w14:paraId="0237C5C6" w14:textId="77777777" w:rsidR="00C50476" w:rsidRPr="002E039B" w:rsidRDefault="00C50476" w:rsidP="00787E17">
      <w:pPr>
        <w:rPr>
          <w:rFonts w:ascii="Calibri" w:hAnsi="Calibri" w:cs="Calibri"/>
        </w:rPr>
      </w:pPr>
      <w:r w:rsidRPr="002E039B">
        <w:rPr>
          <w:rFonts w:ascii="Calibri" w:hAnsi="Calibri" w:cs="Calibri"/>
        </w:rPr>
        <w:t xml:space="preserve">Deliveries to priority customers </w:t>
      </w:r>
      <w:r w:rsidRPr="002E039B">
        <w:rPr>
          <w:rFonts w:ascii="Calibri" w:hAnsi="Calibri" w:cs="Calibri"/>
        </w:rPr>
        <w:tab/>
      </w:r>
      <w:r w:rsidRPr="002E039B">
        <w:rPr>
          <w:rFonts w:ascii="Calibri" w:hAnsi="Calibri" w:cs="Calibri"/>
        </w:rPr>
        <w:tab/>
      </w:r>
      <w:r w:rsidRPr="002E039B">
        <w:rPr>
          <w:rFonts w:ascii="Calibri" w:hAnsi="Calibri" w:cs="Calibri"/>
        </w:rPr>
        <w:tab/>
      </w:r>
      <w:r w:rsidRPr="002E039B">
        <w:rPr>
          <w:rFonts w:ascii="Calibri" w:hAnsi="Calibri" w:cs="Calibri"/>
        </w:rPr>
        <w:tab/>
      </w:r>
      <w:r w:rsidRPr="002E039B">
        <w:rPr>
          <w:rFonts w:ascii="Calibri" w:hAnsi="Calibri" w:cs="Calibri"/>
        </w:rPr>
        <w:tab/>
      </w:r>
      <w:r w:rsidRPr="002E039B">
        <w:rPr>
          <w:rFonts w:ascii="Calibri" w:hAnsi="Calibri" w:cs="Calibri"/>
        </w:rPr>
        <w:tab/>
        <w:t>Co-ordinate</w:t>
      </w:r>
    </w:p>
    <w:p w14:paraId="30AADEA6" w14:textId="77777777" w:rsidR="00C50476" w:rsidRPr="002E039B" w:rsidRDefault="00C50476" w:rsidP="00787E17">
      <w:pPr>
        <w:rPr>
          <w:rFonts w:ascii="Calibri" w:hAnsi="Calibri" w:cs="Calibri"/>
        </w:rPr>
      </w:pPr>
    </w:p>
    <w:p w14:paraId="262C561C" w14:textId="77777777" w:rsidR="00C50476" w:rsidRPr="002E039B" w:rsidRDefault="00C50476" w:rsidP="00787E17">
      <w:pPr>
        <w:rPr>
          <w:rFonts w:ascii="Calibri" w:hAnsi="Calibri" w:cs="Calibri"/>
        </w:rPr>
      </w:pPr>
      <w:r w:rsidRPr="002E039B">
        <w:rPr>
          <w:rFonts w:ascii="Calibri" w:hAnsi="Calibri" w:cs="Calibri"/>
        </w:rPr>
        <w:t>Work to supply other areas through Alternative Water Stations</w:t>
      </w:r>
      <w:r w:rsidRPr="002E039B">
        <w:rPr>
          <w:rFonts w:ascii="Calibri" w:hAnsi="Calibri" w:cs="Calibri"/>
        </w:rPr>
        <w:tab/>
      </w:r>
      <w:r w:rsidRPr="002E039B">
        <w:rPr>
          <w:rFonts w:ascii="Calibri" w:hAnsi="Calibri" w:cs="Calibri"/>
        </w:rPr>
        <w:tab/>
        <w:t>Jointly Understand Risk</w:t>
      </w:r>
    </w:p>
    <w:p w14:paraId="0DF02573" w14:textId="77777777" w:rsidR="00C50476" w:rsidRPr="002E039B" w:rsidRDefault="00C50476" w:rsidP="00787E17">
      <w:pPr>
        <w:rPr>
          <w:rFonts w:ascii="Calibri" w:hAnsi="Calibri" w:cs="Calibri"/>
        </w:rPr>
      </w:pPr>
    </w:p>
    <w:p w14:paraId="30B122B6" w14:textId="06EE0AD2" w:rsidR="00C50476" w:rsidRPr="002E039B" w:rsidRDefault="00C50476" w:rsidP="00787E17">
      <w:pPr>
        <w:rPr>
          <w:rFonts w:ascii="Calibri" w:hAnsi="Calibri" w:cs="Calibri"/>
        </w:rPr>
      </w:pPr>
      <w:r w:rsidRPr="002E039B">
        <w:rPr>
          <w:rFonts w:ascii="Calibri" w:hAnsi="Calibri" w:cs="Calibri"/>
        </w:rPr>
        <w:t>Work together to continue the response until DCWW recover                    Shared Situational Awareness</w:t>
      </w:r>
    </w:p>
    <w:p w14:paraId="49452370" w14:textId="20593188" w:rsidR="00C50476" w:rsidRPr="002E039B" w:rsidRDefault="00C50476" w:rsidP="00787E17">
      <w:pPr>
        <w:rPr>
          <w:rFonts w:ascii="Calibri" w:hAnsi="Calibri" w:cs="Calibri"/>
        </w:rPr>
      </w:pPr>
      <w:r w:rsidRPr="002E039B">
        <w:rPr>
          <w:rFonts w:ascii="Calibri" w:hAnsi="Calibri" w:cs="Calibri"/>
        </w:rPr>
        <w:t xml:space="preserve">As </w:t>
      </w:r>
      <w:r w:rsidR="00F9000A">
        <w:rPr>
          <w:rFonts w:ascii="Calibri" w:hAnsi="Calibri" w:cs="Calibri"/>
        </w:rPr>
        <w:t xml:space="preserve">established </w:t>
      </w:r>
      <w:r w:rsidRPr="002E039B">
        <w:rPr>
          <w:rFonts w:ascii="Calibri" w:hAnsi="Calibri" w:cs="Calibri"/>
        </w:rPr>
        <w:t xml:space="preserve">above DCWW would follow the principles of JESIP either formally or informally as part of the response. </w:t>
      </w:r>
    </w:p>
    <w:p w14:paraId="0C1B8A2E" w14:textId="52A08F82" w:rsidR="00C50476" w:rsidRPr="002E039B" w:rsidRDefault="00C50476" w:rsidP="00787E17">
      <w:pPr>
        <w:rPr>
          <w:rFonts w:ascii="Calibri" w:hAnsi="Calibri" w:cs="Calibri"/>
        </w:rPr>
      </w:pPr>
      <w:r w:rsidRPr="002E039B">
        <w:rPr>
          <w:rFonts w:ascii="Calibri" w:hAnsi="Calibri" w:cs="Calibri"/>
        </w:rPr>
        <w:t xml:space="preserve">DCWW are also providing a pro-active response by planning for future incidents and sharing this with Category 1 partners. An example of this is an exercise to proactively geolocate our Alternative Water Stations (AWS). </w:t>
      </w:r>
      <w:r w:rsidR="005E1DFE">
        <w:rPr>
          <w:rFonts w:ascii="Calibri" w:hAnsi="Calibri" w:cs="Calibri"/>
        </w:rPr>
        <w:t>To capture these sites</w:t>
      </w:r>
      <w:r w:rsidRPr="002E039B">
        <w:rPr>
          <w:rFonts w:ascii="Calibri" w:hAnsi="Calibri" w:cs="Calibri"/>
        </w:rPr>
        <w:t xml:space="preserve"> </w:t>
      </w:r>
      <w:r w:rsidR="001C6ADA">
        <w:rPr>
          <w:rFonts w:ascii="Calibri" w:hAnsi="Calibri" w:cs="Calibri"/>
        </w:rPr>
        <w:t xml:space="preserve">DCWW are </w:t>
      </w:r>
      <w:r w:rsidR="00DB3535" w:rsidRPr="002E039B">
        <w:rPr>
          <w:rFonts w:ascii="Calibri" w:hAnsi="Calibri" w:cs="Calibri"/>
        </w:rPr>
        <w:t>collabor</w:t>
      </w:r>
      <w:r w:rsidR="001C6ADA">
        <w:rPr>
          <w:rFonts w:ascii="Calibri" w:hAnsi="Calibri" w:cs="Calibri"/>
        </w:rPr>
        <w:t>ating</w:t>
      </w:r>
      <w:r w:rsidRPr="002E039B">
        <w:rPr>
          <w:rFonts w:ascii="Calibri" w:hAnsi="Calibri" w:cs="Calibri"/>
        </w:rPr>
        <w:t xml:space="preserve"> with Local Authorities to predetermine a location with a suitable footprint to allow a Heavy Goods Vehicle (HGV) and members of the public safe access. These locations will then be mapped on Resilience Direct (RD) and the bespoke Welsh Government mapping system JIGSO or Data Map Wales. This will allow for a fast response and a more resilient community. </w:t>
      </w:r>
    </w:p>
    <w:p w14:paraId="28C77824" w14:textId="05FF8D30" w:rsidR="00C50476" w:rsidRPr="002E039B" w:rsidRDefault="00C50476" w:rsidP="00787E17">
      <w:pPr>
        <w:rPr>
          <w:rFonts w:ascii="Calibri" w:hAnsi="Calibri" w:cs="Calibri"/>
          <w:b/>
          <w:bCs/>
        </w:rPr>
      </w:pPr>
      <w:r w:rsidRPr="002E039B">
        <w:rPr>
          <w:rFonts w:ascii="Calibri" w:hAnsi="Calibri" w:cs="Calibri"/>
          <w:b/>
          <w:bCs/>
        </w:rPr>
        <w:t>Severe Weather Group</w:t>
      </w:r>
    </w:p>
    <w:p w14:paraId="0758D413" w14:textId="77777777" w:rsidR="00C50476" w:rsidRPr="002E039B" w:rsidRDefault="00C50476" w:rsidP="00787E17">
      <w:pPr>
        <w:rPr>
          <w:rFonts w:ascii="Calibri" w:hAnsi="Calibri" w:cs="Calibri"/>
        </w:rPr>
      </w:pPr>
      <w:r w:rsidRPr="002E039B">
        <w:rPr>
          <w:rFonts w:ascii="Calibri" w:hAnsi="Calibri" w:cs="Calibri"/>
        </w:rPr>
        <w:t xml:space="preserve">DCWW were the lead on the task and finish group to update the NWRF Reservoir Emergency Plan in 2019. This involved working with Natural Resources Wales (NRW) to create a generic offsite plan. This plan looks at the offsite or downstream consequences of flooding from high-risk reservoirs. </w:t>
      </w:r>
    </w:p>
    <w:p w14:paraId="5641FC02" w14:textId="4FBC0D3B" w:rsidR="00C50476" w:rsidRPr="002E039B" w:rsidRDefault="00C50476" w:rsidP="00787E17">
      <w:pPr>
        <w:rPr>
          <w:rFonts w:ascii="Calibri" w:hAnsi="Calibri" w:cs="Calibri"/>
        </w:rPr>
      </w:pPr>
      <w:r w:rsidRPr="002E039B">
        <w:rPr>
          <w:rFonts w:ascii="Calibri" w:hAnsi="Calibri" w:cs="Calibri"/>
        </w:rPr>
        <w:t xml:space="preserve">The plan would be activated by the Undertaker or, any Category1 or 2 responders with concerns or by a member of the public notifying the Undertaker. </w:t>
      </w:r>
    </w:p>
    <w:p w14:paraId="598F5CCE" w14:textId="494839A5" w:rsidR="00C50476" w:rsidRPr="002E039B" w:rsidRDefault="00C50476" w:rsidP="00787E17">
      <w:pPr>
        <w:rPr>
          <w:rFonts w:ascii="Calibri" w:hAnsi="Calibri" w:cs="Calibri"/>
        </w:rPr>
      </w:pPr>
      <w:r w:rsidRPr="002E039B">
        <w:rPr>
          <w:rFonts w:ascii="Calibri" w:hAnsi="Calibri" w:cs="Calibri"/>
        </w:rPr>
        <w:t>Due to the risk to life with any potential incident it was decided that North Wales Police (NWP) would chair any SCG. It would also be NWP leading the TCG also. This would be supported by Category 1 partners such as NRW the Local Authority North Wales Fire and Rescue Service (NWFRS). In addition, the Undertaker would attend as a Category 2 responder to determine the risk and timing of any predicted failure.</w:t>
      </w:r>
    </w:p>
    <w:p w14:paraId="460CF8EA" w14:textId="4B115413" w:rsidR="00C50476" w:rsidRPr="002E039B" w:rsidRDefault="00C50476" w:rsidP="00787E17">
      <w:pPr>
        <w:rPr>
          <w:rFonts w:ascii="Calibri" w:hAnsi="Calibri" w:cs="Calibri"/>
          <w:b/>
          <w:bCs/>
        </w:rPr>
      </w:pPr>
      <w:r w:rsidRPr="002E039B">
        <w:rPr>
          <w:rFonts w:ascii="Calibri" w:hAnsi="Calibri" w:cs="Calibri"/>
          <w:b/>
          <w:bCs/>
        </w:rPr>
        <w:t>Environment and CBRN Group</w:t>
      </w:r>
    </w:p>
    <w:p w14:paraId="31FA2321" w14:textId="6F642734" w:rsidR="00C50476" w:rsidRPr="002E039B" w:rsidRDefault="00C50476" w:rsidP="00787E17">
      <w:pPr>
        <w:rPr>
          <w:rFonts w:ascii="Calibri" w:hAnsi="Calibri" w:cs="Calibri"/>
        </w:rPr>
      </w:pPr>
      <w:r w:rsidRPr="002E039B">
        <w:rPr>
          <w:rFonts w:ascii="Calibri" w:hAnsi="Calibri" w:cs="Calibri"/>
        </w:rPr>
        <w:t>Although DCWW attend meetings for this group there is little involvement due to the postponement of the Wylfa Newydd development. This development required an alternative supply to the new power station that would increase resilience through a back-up water supply from our Alaw Water Treatment Works and Reservoir.</w:t>
      </w:r>
    </w:p>
    <w:p w14:paraId="08A5C067" w14:textId="56D182A5" w:rsidR="00176DC2" w:rsidRPr="002E039B" w:rsidRDefault="00C50476" w:rsidP="00787E17">
      <w:pPr>
        <w:rPr>
          <w:rFonts w:ascii="Calibri" w:hAnsi="Calibri" w:cs="Calibri"/>
        </w:rPr>
      </w:pPr>
      <w:r w:rsidRPr="002E039B">
        <w:rPr>
          <w:rFonts w:ascii="Calibri" w:hAnsi="Calibri" w:cs="Calibri"/>
        </w:rPr>
        <w:t xml:space="preserve">It is important to say that all the risks </w:t>
      </w:r>
      <w:r w:rsidR="004A46AD">
        <w:rPr>
          <w:rFonts w:ascii="Calibri" w:hAnsi="Calibri" w:cs="Calibri"/>
        </w:rPr>
        <w:t>undertaken</w:t>
      </w:r>
      <w:r w:rsidRPr="002E039B">
        <w:rPr>
          <w:rFonts w:ascii="Calibri" w:hAnsi="Calibri" w:cs="Calibri"/>
        </w:rPr>
        <w:t xml:space="preserve"> as part of the Sub-Groups are determined by the Wales Risk Group. DCWW are not involved in the decision making of these risks and </w:t>
      </w:r>
      <w:r w:rsidR="00E67911" w:rsidRPr="002E039B">
        <w:rPr>
          <w:rFonts w:ascii="Calibri" w:hAnsi="Calibri" w:cs="Calibri"/>
        </w:rPr>
        <w:t>conduct</w:t>
      </w:r>
      <w:r w:rsidRPr="002E039B">
        <w:rPr>
          <w:rFonts w:ascii="Calibri" w:hAnsi="Calibri" w:cs="Calibri"/>
        </w:rPr>
        <w:t xml:space="preserve"> a reactional role to any risk that has been pre-determined. </w:t>
      </w:r>
      <w:r w:rsidR="00E67911" w:rsidRPr="002E039B">
        <w:rPr>
          <w:rFonts w:ascii="Calibri" w:hAnsi="Calibri" w:cs="Calibri"/>
        </w:rPr>
        <w:t>The</w:t>
      </w:r>
      <w:r w:rsidR="00515261" w:rsidRPr="002E039B">
        <w:rPr>
          <w:rFonts w:ascii="Calibri" w:hAnsi="Calibri" w:cs="Calibri"/>
        </w:rPr>
        <w:t xml:space="preserve"> North Wales Risk Group should be more </w:t>
      </w:r>
      <w:proofErr w:type="gramStart"/>
      <w:r w:rsidR="00515261" w:rsidRPr="002E039B">
        <w:rPr>
          <w:rFonts w:ascii="Calibri" w:hAnsi="Calibri" w:cs="Calibri"/>
        </w:rPr>
        <w:t>proactive</w:t>
      </w:r>
      <w:proofErr w:type="gramEnd"/>
      <w:r w:rsidR="00515261" w:rsidRPr="002E039B">
        <w:rPr>
          <w:rFonts w:ascii="Calibri" w:hAnsi="Calibri" w:cs="Calibri"/>
        </w:rPr>
        <w:t xml:space="preserve"> in the identification of the risks and work with the specialists in these areas</w:t>
      </w:r>
      <w:r w:rsidR="00E67911">
        <w:rPr>
          <w:rFonts w:ascii="Calibri" w:hAnsi="Calibri" w:cs="Calibri"/>
        </w:rPr>
        <w:t xml:space="preserve"> in </w:t>
      </w:r>
      <w:r w:rsidR="006E71BD">
        <w:rPr>
          <w:rFonts w:ascii="Calibri" w:hAnsi="Calibri" w:cs="Calibri"/>
        </w:rPr>
        <w:t>m</w:t>
      </w:r>
      <w:r w:rsidR="00E67911">
        <w:rPr>
          <w:rFonts w:ascii="Calibri" w:hAnsi="Calibri" w:cs="Calibri"/>
        </w:rPr>
        <w:t>y op</w:t>
      </w:r>
      <w:r w:rsidR="006E71BD">
        <w:rPr>
          <w:rFonts w:ascii="Calibri" w:hAnsi="Calibri" w:cs="Calibri"/>
        </w:rPr>
        <w:t xml:space="preserve">inion. </w:t>
      </w:r>
    </w:p>
    <w:p w14:paraId="0650F0F0" w14:textId="735F345A" w:rsidR="00787E17" w:rsidRPr="002E039B" w:rsidRDefault="000B06E4" w:rsidP="00787E17">
      <w:pPr>
        <w:rPr>
          <w:rFonts w:ascii="Calibri" w:hAnsi="Calibri" w:cs="Calibri"/>
          <w:b/>
          <w:bCs/>
        </w:rPr>
      </w:pPr>
      <w:r w:rsidRPr="002E039B">
        <w:rPr>
          <w:rFonts w:ascii="Calibri" w:hAnsi="Calibri" w:cs="Calibri"/>
          <w:b/>
          <w:bCs/>
        </w:rPr>
        <w:t>Part 2 of the Civil Contingencies Act 2004 – Emergency Powers</w:t>
      </w:r>
    </w:p>
    <w:p w14:paraId="7A3C5361" w14:textId="2CC41C9F" w:rsidR="00787E17" w:rsidRPr="002E039B" w:rsidRDefault="00787E17" w:rsidP="00787E17">
      <w:pPr>
        <w:rPr>
          <w:rFonts w:ascii="Calibri" w:hAnsi="Calibri" w:cs="Calibri"/>
        </w:rPr>
      </w:pPr>
      <w:r w:rsidRPr="002E039B">
        <w:rPr>
          <w:rFonts w:ascii="Calibri" w:hAnsi="Calibri" w:cs="Calibri"/>
        </w:rPr>
        <w:t xml:space="preserve">Part 2 of the Civil Contingencies Act 2004 addresses emergency powers. This part of the legislation provides a framework for the government to respond to serious national emergencies and threats. It outlines the authority and measures that can be implemented </w:t>
      </w:r>
      <w:r w:rsidR="006E71BD">
        <w:rPr>
          <w:rFonts w:ascii="Calibri" w:hAnsi="Calibri" w:cs="Calibri"/>
        </w:rPr>
        <w:t xml:space="preserve">by UK Government </w:t>
      </w:r>
      <w:r w:rsidRPr="002E039B">
        <w:rPr>
          <w:rFonts w:ascii="Calibri" w:hAnsi="Calibri" w:cs="Calibri"/>
        </w:rPr>
        <w:t xml:space="preserve">in exceptional circumstances to ensure the safety and well-being of the public. This is not a means to instigate martial law or banning political parties or challenging Parliament. The Act defines an emergency as an event or situation that poses a serious threat to human welfare, the environment, or the security of the country. Despite the broad authority granted during emergencies, the Act includes safeguards </w:t>
      </w:r>
      <w:r w:rsidRPr="002E039B">
        <w:rPr>
          <w:rFonts w:ascii="Calibri" w:hAnsi="Calibri" w:cs="Calibri"/>
        </w:rPr>
        <w:lastRenderedPageBreak/>
        <w:t>to ensure accountability. There are mechanisms for parliamentary scrutiny, and the use of emergency powers is subject to legal review.</w:t>
      </w:r>
    </w:p>
    <w:p w14:paraId="7757B010" w14:textId="5F0F3C29" w:rsidR="00787E17" w:rsidRPr="002E039B" w:rsidRDefault="00787E17" w:rsidP="00A76F93">
      <w:pPr>
        <w:pStyle w:val="ListParagraph"/>
        <w:numPr>
          <w:ilvl w:val="0"/>
          <w:numId w:val="15"/>
        </w:numPr>
        <w:rPr>
          <w:rFonts w:ascii="Calibri" w:hAnsi="Calibri" w:cs="Calibri"/>
        </w:rPr>
      </w:pPr>
      <w:r w:rsidRPr="002E039B">
        <w:rPr>
          <w:rFonts w:ascii="Calibri" w:hAnsi="Calibri" w:cs="Calibri"/>
        </w:rPr>
        <w:t xml:space="preserve">an emergency that threatens serious damage to human welfare, the environment or security has occurred, is occurring or is about to </w:t>
      </w:r>
      <w:r w:rsidR="004544AB" w:rsidRPr="002E039B">
        <w:rPr>
          <w:rFonts w:ascii="Calibri" w:hAnsi="Calibri" w:cs="Calibri"/>
        </w:rPr>
        <w:t>occur.</w:t>
      </w:r>
      <w:r w:rsidRPr="002E039B">
        <w:rPr>
          <w:rFonts w:ascii="Calibri" w:hAnsi="Calibri" w:cs="Calibri"/>
        </w:rPr>
        <w:t xml:space="preserve"> </w:t>
      </w:r>
    </w:p>
    <w:p w14:paraId="7A0A5184" w14:textId="77777777" w:rsidR="00787E17" w:rsidRPr="002E039B" w:rsidRDefault="00787E17" w:rsidP="00A76F93">
      <w:pPr>
        <w:pStyle w:val="ListParagraph"/>
        <w:numPr>
          <w:ilvl w:val="0"/>
          <w:numId w:val="15"/>
        </w:numPr>
        <w:rPr>
          <w:rFonts w:ascii="Calibri" w:hAnsi="Calibri" w:cs="Calibri"/>
        </w:rPr>
      </w:pPr>
      <w:r w:rsidRPr="002E039B">
        <w:rPr>
          <w:rFonts w:ascii="Calibri" w:hAnsi="Calibri" w:cs="Calibri"/>
        </w:rPr>
        <w:t xml:space="preserve">it is necessary to make provision urgently in order to resolve the emergency as existing powers are insufficient and it is not possible to bring forward a Bill in the usual way because of the need to act urgently; and </w:t>
      </w:r>
    </w:p>
    <w:p w14:paraId="71C343C9" w14:textId="71AD8C8F" w:rsidR="00787E17" w:rsidRPr="002E039B" w:rsidRDefault="00787E17" w:rsidP="00787E17">
      <w:pPr>
        <w:pStyle w:val="ListParagraph"/>
        <w:numPr>
          <w:ilvl w:val="0"/>
          <w:numId w:val="15"/>
        </w:numPr>
        <w:rPr>
          <w:rFonts w:ascii="Calibri" w:hAnsi="Calibri" w:cs="Calibri"/>
        </w:rPr>
      </w:pPr>
      <w:r w:rsidRPr="002E039B">
        <w:rPr>
          <w:rFonts w:ascii="Calibri" w:hAnsi="Calibri" w:cs="Calibri"/>
        </w:rPr>
        <w:t>emergency regulations must be proportionate to the aspect or effect of the emergency they are directed at.</w:t>
      </w:r>
      <w:r w:rsidR="00D57F2C" w:rsidRPr="002E039B">
        <w:rPr>
          <w:rFonts w:ascii="Calibri" w:hAnsi="Calibri" w:cs="Calibri"/>
        </w:rPr>
        <w:t xml:space="preserve"> (</w:t>
      </w:r>
      <w:r w:rsidRPr="002E039B">
        <w:rPr>
          <w:rFonts w:ascii="Calibri" w:hAnsi="Calibri" w:cs="Calibri"/>
        </w:rPr>
        <w:t>CCA 2004</w:t>
      </w:r>
      <w:r w:rsidR="00D57F2C" w:rsidRPr="002E039B">
        <w:rPr>
          <w:rFonts w:ascii="Calibri" w:hAnsi="Calibri" w:cs="Calibri"/>
        </w:rPr>
        <w:t>)</w:t>
      </w:r>
    </w:p>
    <w:p w14:paraId="67F2BF9F" w14:textId="77777777" w:rsidR="00FE0210" w:rsidRPr="002E039B" w:rsidRDefault="00FE0210" w:rsidP="00FE0210">
      <w:pPr>
        <w:pStyle w:val="ListParagraph"/>
        <w:rPr>
          <w:rFonts w:ascii="Calibri" w:hAnsi="Calibri" w:cs="Calibri"/>
        </w:rPr>
      </w:pPr>
    </w:p>
    <w:p w14:paraId="6B0C69C8" w14:textId="13D51592" w:rsidR="00787E17" w:rsidRPr="002E039B" w:rsidRDefault="00787E17" w:rsidP="00FE0210">
      <w:pPr>
        <w:pStyle w:val="ListParagraph"/>
        <w:rPr>
          <w:rFonts w:ascii="Calibri" w:hAnsi="Calibri" w:cs="Calibri"/>
        </w:rPr>
      </w:pPr>
      <w:r w:rsidRPr="002E039B">
        <w:rPr>
          <w:rFonts w:ascii="Calibri" w:hAnsi="Calibri" w:cs="Calibri"/>
        </w:rPr>
        <w:t xml:space="preserve">In </w:t>
      </w:r>
      <w:r w:rsidR="004544AB" w:rsidRPr="002E039B">
        <w:rPr>
          <w:rFonts w:ascii="Calibri" w:hAnsi="Calibri" w:cs="Calibri"/>
        </w:rPr>
        <w:t>addition,</w:t>
      </w:r>
      <w:r w:rsidRPr="002E039B">
        <w:rPr>
          <w:rFonts w:ascii="Calibri" w:hAnsi="Calibri" w:cs="Calibri"/>
        </w:rPr>
        <w:t xml:space="preserve"> emergency regulations: </w:t>
      </w:r>
    </w:p>
    <w:p w14:paraId="1CCDC410" w14:textId="77777777" w:rsidR="00EB7DE6" w:rsidRPr="002E039B" w:rsidRDefault="00EB7DE6" w:rsidP="00FE0210">
      <w:pPr>
        <w:pStyle w:val="ListParagraph"/>
        <w:rPr>
          <w:rFonts w:ascii="Calibri" w:hAnsi="Calibri" w:cs="Calibri"/>
        </w:rPr>
      </w:pPr>
    </w:p>
    <w:p w14:paraId="56430FEC" w14:textId="28B5C0C3" w:rsidR="00787E17" w:rsidRPr="002E039B" w:rsidRDefault="00787E17" w:rsidP="00A76F93">
      <w:pPr>
        <w:pStyle w:val="ListParagraph"/>
        <w:numPr>
          <w:ilvl w:val="0"/>
          <w:numId w:val="14"/>
        </w:numPr>
        <w:rPr>
          <w:rFonts w:ascii="Calibri" w:hAnsi="Calibri" w:cs="Calibri"/>
        </w:rPr>
      </w:pPr>
      <w:r w:rsidRPr="002E039B">
        <w:rPr>
          <w:rFonts w:ascii="Calibri" w:hAnsi="Calibri" w:cs="Calibri"/>
        </w:rPr>
        <w:t xml:space="preserve">cannot prohibit or enable the prohibition of participation in, or any activity in connection with, a strike or other industrial </w:t>
      </w:r>
      <w:r w:rsidR="004544AB" w:rsidRPr="002E039B">
        <w:rPr>
          <w:rFonts w:ascii="Calibri" w:hAnsi="Calibri" w:cs="Calibri"/>
        </w:rPr>
        <w:t>action.</w:t>
      </w:r>
      <w:r w:rsidRPr="002E039B">
        <w:rPr>
          <w:rFonts w:ascii="Calibri" w:hAnsi="Calibri" w:cs="Calibri"/>
        </w:rPr>
        <w:t xml:space="preserve"> </w:t>
      </w:r>
    </w:p>
    <w:p w14:paraId="65C6AAB9" w14:textId="1ABACF7A" w:rsidR="00787E17" w:rsidRPr="002E039B" w:rsidRDefault="00787E17" w:rsidP="00A76F93">
      <w:pPr>
        <w:pStyle w:val="ListParagraph"/>
        <w:numPr>
          <w:ilvl w:val="0"/>
          <w:numId w:val="14"/>
        </w:numPr>
        <w:rPr>
          <w:rFonts w:ascii="Calibri" w:hAnsi="Calibri" w:cs="Calibri"/>
        </w:rPr>
      </w:pPr>
      <w:r w:rsidRPr="002E039B">
        <w:rPr>
          <w:rFonts w:ascii="Calibri" w:hAnsi="Calibri" w:cs="Calibri"/>
        </w:rPr>
        <w:t xml:space="preserve">cannot instigate any form of military </w:t>
      </w:r>
      <w:r w:rsidR="004544AB" w:rsidRPr="002E039B">
        <w:rPr>
          <w:rFonts w:ascii="Calibri" w:hAnsi="Calibri" w:cs="Calibri"/>
        </w:rPr>
        <w:t>conscription.</w:t>
      </w:r>
    </w:p>
    <w:p w14:paraId="11905AD2" w14:textId="678455E6" w:rsidR="00787E17" w:rsidRPr="002E039B" w:rsidRDefault="00787E17" w:rsidP="00A76F93">
      <w:pPr>
        <w:pStyle w:val="ListParagraph"/>
        <w:numPr>
          <w:ilvl w:val="0"/>
          <w:numId w:val="14"/>
        </w:numPr>
        <w:rPr>
          <w:rFonts w:ascii="Calibri" w:hAnsi="Calibri" w:cs="Calibri"/>
        </w:rPr>
      </w:pPr>
      <w:r w:rsidRPr="002E039B">
        <w:rPr>
          <w:rFonts w:ascii="Calibri" w:hAnsi="Calibri" w:cs="Calibri"/>
        </w:rPr>
        <w:t xml:space="preserve">cannot alter any aspect of criminal </w:t>
      </w:r>
      <w:r w:rsidR="004544AB" w:rsidRPr="002E039B">
        <w:rPr>
          <w:rFonts w:ascii="Calibri" w:hAnsi="Calibri" w:cs="Calibri"/>
        </w:rPr>
        <w:t>procedures.</w:t>
      </w:r>
      <w:r w:rsidRPr="002E039B">
        <w:rPr>
          <w:rFonts w:ascii="Calibri" w:hAnsi="Calibri" w:cs="Calibri"/>
        </w:rPr>
        <w:t xml:space="preserve"> </w:t>
      </w:r>
    </w:p>
    <w:p w14:paraId="69F8D512" w14:textId="6A60EBAA" w:rsidR="00787E17" w:rsidRPr="002E039B" w:rsidRDefault="00787E17" w:rsidP="00A76F93">
      <w:pPr>
        <w:pStyle w:val="ListParagraph"/>
        <w:numPr>
          <w:ilvl w:val="0"/>
          <w:numId w:val="14"/>
        </w:numPr>
        <w:rPr>
          <w:rFonts w:ascii="Calibri" w:hAnsi="Calibri" w:cs="Calibri"/>
        </w:rPr>
      </w:pPr>
      <w:r w:rsidRPr="002E039B">
        <w:rPr>
          <w:rFonts w:ascii="Calibri" w:hAnsi="Calibri" w:cs="Calibri"/>
        </w:rPr>
        <w:t xml:space="preserve">cannot create any new offence other than breach of the regulations </w:t>
      </w:r>
      <w:r w:rsidR="004544AB" w:rsidRPr="002E039B">
        <w:rPr>
          <w:rFonts w:ascii="Calibri" w:hAnsi="Calibri" w:cs="Calibri"/>
        </w:rPr>
        <w:t>themselves.</w:t>
      </w:r>
      <w:r w:rsidRPr="002E039B">
        <w:rPr>
          <w:rFonts w:ascii="Calibri" w:hAnsi="Calibri" w:cs="Calibri"/>
        </w:rPr>
        <w:t xml:space="preserve"> </w:t>
      </w:r>
    </w:p>
    <w:p w14:paraId="0A1308E1" w14:textId="77777777" w:rsidR="00787E17" w:rsidRPr="002E039B" w:rsidRDefault="00787E17" w:rsidP="00A76F93">
      <w:pPr>
        <w:pStyle w:val="ListParagraph"/>
        <w:numPr>
          <w:ilvl w:val="0"/>
          <w:numId w:val="14"/>
        </w:numPr>
        <w:rPr>
          <w:rFonts w:ascii="Calibri" w:hAnsi="Calibri" w:cs="Calibri"/>
        </w:rPr>
      </w:pPr>
      <w:r w:rsidRPr="002E039B">
        <w:rPr>
          <w:rFonts w:ascii="Calibri" w:hAnsi="Calibri" w:cs="Calibri"/>
        </w:rPr>
        <w:t xml:space="preserve">must be compatible with the Human Rights Act and EU law; and </w:t>
      </w:r>
    </w:p>
    <w:p w14:paraId="4F4258E8" w14:textId="100664E7" w:rsidR="00787E17" w:rsidRPr="002E039B" w:rsidRDefault="00787E17" w:rsidP="00787E17">
      <w:pPr>
        <w:pStyle w:val="ListParagraph"/>
        <w:numPr>
          <w:ilvl w:val="0"/>
          <w:numId w:val="14"/>
        </w:numPr>
        <w:rPr>
          <w:rFonts w:ascii="Calibri" w:hAnsi="Calibri" w:cs="Calibri"/>
        </w:rPr>
      </w:pPr>
      <w:r w:rsidRPr="002E039B">
        <w:rPr>
          <w:rFonts w:ascii="Calibri" w:hAnsi="Calibri" w:cs="Calibri"/>
        </w:rPr>
        <w:t>are open to challenge in the courts</w:t>
      </w:r>
      <w:r w:rsidR="00D57F2C" w:rsidRPr="002E039B">
        <w:rPr>
          <w:rFonts w:ascii="Calibri" w:hAnsi="Calibri" w:cs="Calibri"/>
        </w:rPr>
        <w:t>. (</w:t>
      </w:r>
      <w:r w:rsidRPr="002E039B">
        <w:rPr>
          <w:rFonts w:ascii="Calibri" w:hAnsi="Calibri" w:cs="Calibri"/>
        </w:rPr>
        <w:t>CCA 2004</w:t>
      </w:r>
      <w:r w:rsidR="00D57F2C" w:rsidRPr="002E039B">
        <w:rPr>
          <w:rFonts w:ascii="Calibri" w:hAnsi="Calibri" w:cs="Calibri"/>
        </w:rPr>
        <w:t>)</w:t>
      </w:r>
    </w:p>
    <w:p w14:paraId="3F59A0E9" w14:textId="1BD72C55" w:rsidR="00787E17" w:rsidRPr="002E039B" w:rsidRDefault="00787E17" w:rsidP="00787E17">
      <w:pPr>
        <w:rPr>
          <w:rFonts w:ascii="Calibri" w:hAnsi="Calibri" w:cs="Calibri"/>
        </w:rPr>
      </w:pPr>
      <w:r w:rsidRPr="002E039B">
        <w:rPr>
          <w:rFonts w:ascii="Calibri" w:hAnsi="Calibri" w:cs="Calibri"/>
        </w:rPr>
        <w:t>The government has the authority to declare a state of emergency when necessary. This declaration grants specific powers to manage and mitigate the effects of the emergency. Part 2 outlines a range of emergency powers that can be activated</w:t>
      </w:r>
      <w:r w:rsidR="00055288">
        <w:rPr>
          <w:rFonts w:ascii="Calibri" w:hAnsi="Calibri" w:cs="Calibri"/>
        </w:rPr>
        <w:t xml:space="preserve"> by UK Government</w:t>
      </w:r>
      <w:r w:rsidRPr="002E039B">
        <w:rPr>
          <w:rFonts w:ascii="Calibri" w:hAnsi="Calibri" w:cs="Calibri"/>
        </w:rPr>
        <w:t xml:space="preserve"> during a declared state of emergency. These powers are designed to address the specific challenges posed by the emergency. The powers may include the ability to make regulations, allocate resources, control movement, and take other measures deemed necessary for public safety and order. The Act specifies that the emergency powers are temporary and should only be in effect for the duration of the emergency. The government must regularly review the need for these powers. </w:t>
      </w:r>
    </w:p>
    <w:p w14:paraId="6C7EE24F" w14:textId="77777777" w:rsidR="00787E17" w:rsidRPr="002E039B" w:rsidRDefault="00787E17" w:rsidP="00787E17">
      <w:pPr>
        <w:rPr>
          <w:rFonts w:ascii="Calibri" w:hAnsi="Calibri" w:cs="Calibri"/>
        </w:rPr>
      </w:pPr>
      <w:proofErr w:type="gramStart"/>
      <w:r w:rsidRPr="002E039B">
        <w:rPr>
          <w:rFonts w:ascii="Calibri" w:hAnsi="Calibri" w:cs="Calibri"/>
        </w:rPr>
        <w:t>It's</w:t>
      </w:r>
      <w:proofErr w:type="gramEnd"/>
      <w:r w:rsidRPr="002E039B">
        <w:rPr>
          <w:rFonts w:ascii="Calibri" w:hAnsi="Calibri" w:cs="Calibri"/>
        </w:rPr>
        <w:t xml:space="preserve"> crucial to note that the activation of emergency powers under Part 2 is reserved for extraordinary situations, and the use of such powers is expected to be proportionate and justifiable in the context of the emergency at hand. The overall goal is to enable an effective response to exceptional circumstances while upholding democratic principles and protecting individual rights.</w:t>
      </w:r>
    </w:p>
    <w:p w14:paraId="5ABCDE78" w14:textId="28992751" w:rsidR="00787E17" w:rsidRPr="002E039B" w:rsidRDefault="00787E17" w:rsidP="00787E17">
      <w:pPr>
        <w:rPr>
          <w:rFonts w:ascii="Calibri" w:hAnsi="Calibri" w:cs="Calibri"/>
        </w:rPr>
      </w:pPr>
      <w:r w:rsidRPr="002E039B">
        <w:rPr>
          <w:rFonts w:ascii="Calibri" w:hAnsi="Calibri" w:cs="Calibri"/>
        </w:rPr>
        <w:t xml:space="preserve">These powers can now impact Wales in </w:t>
      </w:r>
      <w:r w:rsidR="007D3F9B" w:rsidRPr="002E039B">
        <w:rPr>
          <w:rFonts w:ascii="Calibri" w:hAnsi="Calibri" w:cs="Calibri"/>
        </w:rPr>
        <w:t>a separate way</w:t>
      </w:r>
      <w:r w:rsidRPr="002E039B">
        <w:rPr>
          <w:rFonts w:ascii="Calibri" w:hAnsi="Calibri" w:cs="Calibri"/>
        </w:rPr>
        <w:t xml:space="preserve"> due to the Transfer of Powers 2018. It is now possible to use these powers regionally if it affects a discreet area of the Country.</w:t>
      </w:r>
    </w:p>
    <w:p w14:paraId="48CEE46D" w14:textId="39272213" w:rsidR="007944B7" w:rsidRPr="002E039B" w:rsidRDefault="007944B7" w:rsidP="00787E17">
      <w:pPr>
        <w:rPr>
          <w:rFonts w:ascii="Calibri" w:hAnsi="Calibri" w:cs="Calibri"/>
        </w:rPr>
      </w:pPr>
      <w:bookmarkStart w:id="0" w:name="_Hlk155791792"/>
      <w:r w:rsidRPr="002E039B">
        <w:rPr>
          <w:rFonts w:ascii="Calibri" w:hAnsi="Calibri" w:cs="Calibri"/>
        </w:rPr>
        <w:t>Part 2 of the Civil Contingencies Act 2004 addresses emergency powers. This part of the legislation provides a framework for the government to respond to serious national emergencies and threats. It outlines the authority and measures that can be implemented</w:t>
      </w:r>
      <w:r w:rsidR="00767731">
        <w:rPr>
          <w:rFonts w:ascii="Calibri" w:hAnsi="Calibri" w:cs="Calibri"/>
        </w:rPr>
        <w:t xml:space="preserve"> by UK Government</w:t>
      </w:r>
      <w:r w:rsidRPr="002E039B">
        <w:rPr>
          <w:rFonts w:ascii="Calibri" w:hAnsi="Calibri" w:cs="Calibri"/>
        </w:rPr>
        <w:t xml:space="preserve"> in exceptional circumstances to ensure the safety and well-being of the public.</w:t>
      </w:r>
    </w:p>
    <w:p w14:paraId="441E0CF4" w14:textId="77777777" w:rsidR="007944B7" w:rsidRPr="002E039B" w:rsidRDefault="007944B7" w:rsidP="00787E17">
      <w:pPr>
        <w:rPr>
          <w:rFonts w:ascii="Calibri" w:hAnsi="Calibri" w:cs="Calibri"/>
        </w:rPr>
      </w:pPr>
      <w:r w:rsidRPr="002E039B">
        <w:rPr>
          <w:rFonts w:ascii="Calibri" w:hAnsi="Calibri" w:cs="Calibri"/>
        </w:rPr>
        <w:t>Key points regarding Part 2 of the Act include:</w:t>
      </w:r>
    </w:p>
    <w:p w14:paraId="6F6D77EC" w14:textId="646BD576" w:rsidR="007944B7" w:rsidRPr="002E039B" w:rsidRDefault="007944B7" w:rsidP="00EB7DE6">
      <w:pPr>
        <w:pStyle w:val="ListParagraph"/>
        <w:numPr>
          <w:ilvl w:val="0"/>
          <w:numId w:val="27"/>
        </w:numPr>
        <w:rPr>
          <w:rFonts w:ascii="Calibri" w:hAnsi="Calibri" w:cs="Calibri"/>
        </w:rPr>
      </w:pPr>
      <w:r w:rsidRPr="002E039B">
        <w:rPr>
          <w:rFonts w:ascii="Calibri" w:hAnsi="Calibri" w:cs="Calibri"/>
        </w:rPr>
        <w:t>Definition of Emergency:</w:t>
      </w:r>
      <w:r w:rsidR="00E5243A" w:rsidRPr="002E039B">
        <w:rPr>
          <w:rFonts w:ascii="Calibri" w:hAnsi="Calibri" w:cs="Calibri"/>
        </w:rPr>
        <w:t xml:space="preserve"> </w:t>
      </w:r>
      <w:r w:rsidRPr="002E039B">
        <w:rPr>
          <w:rFonts w:ascii="Calibri" w:hAnsi="Calibri" w:cs="Calibri"/>
        </w:rPr>
        <w:t>The Act defines an emergency as an event or situation that poses a serious threat to human welfare, the environment, or the security of the country.</w:t>
      </w:r>
    </w:p>
    <w:p w14:paraId="40020513" w14:textId="7D619563" w:rsidR="007944B7" w:rsidRPr="002E039B" w:rsidRDefault="007944B7" w:rsidP="00EB7DE6">
      <w:pPr>
        <w:pStyle w:val="ListParagraph"/>
        <w:numPr>
          <w:ilvl w:val="0"/>
          <w:numId w:val="27"/>
        </w:numPr>
        <w:rPr>
          <w:rFonts w:ascii="Calibri" w:hAnsi="Calibri" w:cs="Calibri"/>
          <w:b/>
          <w:bCs/>
        </w:rPr>
      </w:pPr>
      <w:r w:rsidRPr="002E039B">
        <w:rPr>
          <w:rFonts w:ascii="Calibri" w:hAnsi="Calibri" w:cs="Calibri"/>
        </w:rPr>
        <w:t>Declaration of Emergency:</w:t>
      </w:r>
      <w:bookmarkStart w:id="1" w:name="_Hlk155793050"/>
      <w:r w:rsidR="00E5243A" w:rsidRPr="002E039B">
        <w:rPr>
          <w:rFonts w:ascii="Calibri" w:hAnsi="Calibri" w:cs="Calibri"/>
          <w:b/>
          <w:bCs/>
        </w:rPr>
        <w:t xml:space="preserve"> </w:t>
      </w:r>
      <w:r w:rsidRPr="002E039B">
        <w:rPr>
          <w:rFonts w:ascii="Calibri" w:hAnsi="Calibri" w:cs="Calibri"/>
        </w:rPr>
        <w:t>The government has the authority to declare a state of emergency when necessary. This declaration grants specific powers to manage and mitigate the effects of the emergency.</w:t>
      </w:r>
    </w:p>
    <w:bookmarkEnd w:id="1"/>
    <w:p w14:paraId="3C4E1BB1" w14:textId="0BFB6589" w:rsidR="007944B7" w:rsidRPr="002E039B" w:rsidRDefault="007944B7" w:rsidP="00EB7DE6">
      <w:pPr>
        <w:pStyle w:val="ListParagraph"/>
        <w:numPr>
          <w:ilvl w:val="0"/>
          <w:numId w:val="27"/>
        </w:numPr>
        <w:rPr>
          <w:rFonts w:ascii="Calibri" w:hAnsi="Calibri" w:cs="Calibri"/>
          <w:b/>
          <w:bCs/>
        </w:rPr>
      </w:pPr>
      <w:r w:rsidRPr="002E039B">
        <w:rPr>
          <w:rFonts w:ascii="Calibri" w:hAnsi="Calibri" w:cs="Calibri"/>
        </w:rPr>
        <w:lastRenderedPageBreak/>
        <w:t>Emergency Powers:</w:t>
      </w:r>
      <w:bookmarkStart w:id="2" w:name="_Hlk155793136"/>
      <w:r w:rsidR="00E5243A" w:rsidRPr="002E039B">
        <w:rPr>
          <w:rFonts w:ascii="Calibri" w:hAnsi="Calibri" w:cs="Calibri"/>
          <w:b/>
          <w:bCs/>
        </w:rPr>
        <w:t xml:space="preserve"> </w:t>
      </w:r>
      <w:r w:rsidRPr="002E039B">
        <w:rPr>
          <w:rFonts w:ascii="Calibri" w:hAnsi="Calibri" w:cs="Calibri"/>
        </w:rPr>
        <w:t>Part 2 outlines a range of emergency powers that can be activated during a declared state of emergency. These powers are designed to address the specific challenges posed by the emergency.</w:t>
      </w:r>
    </w:p>
    <w:bookmarkEnd w:id="2"/>
    <w:p w14:paraId="7678458D" w14:textId="5447B9C9" w:rsidR="007944B7" w:rsidRPr="002E039B" w:rsidRDefault="007944B7" w:rsidP="00EB7DE6">
      <w:pPr>
        <w:pStyle w:val="ListParagraph"/>
        <w:numPr>
          <w:ilvl w:val="0"/>
          <w:numId w:val="27"/>
        </w:numPr>
        <w:rPr>
          <w:rFonts w:ascii="Calibri" w:hAnsi="Calibri" w:cs="Calibri"/>
        </w:rPr>
      </w:pPr>
      <w:r w:rsidRPr="002E039B">
        <w:rPr>
          <w:rFonts w:ascii="Calibri" w:hAnsi="Calibri" w:cs="Calibri"/>
        </w:rPr>
        <w:t>Scope of Emergency Powers:</w:t>
      </w:r>
      <w:bookmarkStart w:id="3" w:name="_Hlk155793148"/>
      <w:r w:rsidR="00334A99" w:rsidRPr="002E039B">
        <w:rPr>
          <w:rFonts w:ascii="Calibri" w:hAnsi="Calibri" w:cs="Calibri"/>
        </w:rPr>
        <w:t xml:space="preserve"> </w:t>
      </w:r>
      <w:r w:rsidRPr="002E039B">
        <w:rPr>
          <w:rFonts w:ascii="Calibri" w:hAnsi="Calibri" w:cs="Calibri"/>
        </w:rPr>
        <w:t>The powers may include the ability to make regulations, allocate resources, control movement, and take other measures deemed necessary for public safety and order.</w:t>
      </w:r>
    </w:p>
    <w:bookmarkEnd w:id="3"/>
    <w:p w14:paraId="5243EBDC" w14:textId="70C4E49A" w:rsidR="007944B7" w:rsidRPr="002E039B" w:rsidRDefault="007944B7" w:rsidP="00EB7DE6">
      <w:pPr>
        <w:pStyle w:val="ListParagraph"/>
        <w:numPr>
          <w:ilvl w:val="0"/>
          <w:numId w:val="27"/>
        </w:numPr>
        <w:rPr>
          <w:rFonts w:ascii="Calibri" w:hAnsi="Calibri" w:cs="Calibri"/>
        </w:rPr>
      </w:pPr>
      <w:r w:rsidRPr="002E039B">
        <w:rPr>
          <w:rFonts w:ascii="Calibri" w:hAnsi="Calibri" w:cs="Calibri"/>
        </w:rPr>
        <w:t>Duration of Emergency Powers:</w:t>
      </w:r>
      <w:bookmarkStart w:id="4" w:name="_Hlk155793177"/>
      <w:r w:rsidR="00334A99" w:rsidRPr="002E039B">
        <w:rPr>
          <w:rFonts w:ascii="Calibri" w:hAnsi="Calibri" w:cs="Calibri"/>
        </w:rPr>
        <w:t xml:space="preserve"> </w:t>
      </w:r>
      <w:r w:rsidRPr="002E039B">
        <w:rPr>
          <w:rFonts w:ascii="Calibri" w:hAnsi="Calibri" w:cs="Calibri"/>
        </w:rPr>
        <w:t>The Act specifies that the emergency powers are temporary and should only be in effect for the duration of the emergency. The government must regularly review the need for these powers.</w:t>
      </w:r>
    </w:p>
    <w:bookmarkEnd w:id="4"/>
    <w:p w14:paraId="57208C19" w14:textId="789FE79F" w:rsidR="007944B7" w:rsidRPr="002E039B" w:rsidRDefault="007944B7" w:rsidP="00EB7DE6">
      <w:pPr>
        <w:pStyle w:val="ListParagraph"/>
        <w:numPr>
          <w:ilvl w:val="0"/>
          <w:numId w:val="27"/>
        </w:numPr>
        <w:rPr>
          <w:rFonts w:ascii="Calibri" w:hAnsi="Calibri" w:cs="Calibri"/>
        </w:rPr>
      </w:pPr>
      <w:r w:rsidRPr="002E039B">
        <w:rPr>
          <w:rFonts w:ascii="Calibri" w:hAnsi="Calibri" w:cs="Calibri"/>
        </w:rPr>
        <w:t>Safeguards and Accountability</w:t>
      </w:r>
      <w:r w:rsidRPr="002E039B">
        <w:rPr>
          <w:rFonts w:ascii="Calibri" w:hAnsi="Calibri" w:cs="Calibri"/>
          <w:b/>
          <w:bCs/>
        </w:rPr>
        <w:t>:</w:t>
      </w:r>
      <w:bookmarkStart w:id="5" w:name="_Hlk155793231"/>
      <w:r w:rsidR="00334A99" w:rsidRPr="002E039B">
        <w:rPr>
          <w:rFonts w:ascii="Calibri" w:hAnsi="Calibri" w:cs="Calibri"/>
        </w:rPr>
        <w:t xml:space="preserve"> </w:t>
      </w:r>
      <w:r w:rsidRPr="002E039B">
        <w:rPr>
          <w:rFonts w:ascii="Calibri" w:hAnsi="Calibri" w:cs="Calibri"/>
        </w:rPr>
        <w:t>Despite the broad authority granted during emergencies, the Act includes safeguards to ensure accountability. There are mechanisms for parliamentary scrutiny, and the use of emergency powers is subject to legal review.</w:t>
      </w:r>
    </w:p>
    <w:bookmarkEnd w:id="5"/>
    <w:p w14:paraId="4E20EBD5" w14:textId="77777777" w:rsidR="007944B7" w:rsidRPr="002E039B" w:rsidRDefault="007944B7" w:rsidP="00787E17">
      <w:pPr>
        <w:rPr>
          <w:rFonts w:ascii="Calibri" w:hAnsi="Calibri" w:cs="Calibri"/>
        </w:rPr>
      </w:pPr>
      <w:r w:rsidRPr="002E039B">
        <w:rPr>
          <w:rFonts w:ascii="Calibri" w:hAnsi="Calibri" w:cs="Calibri"/>
        </w:rPr>
        <w:t>Part 2 emphasizes the importance of consulting and communicating with the public, relevant authorities, and other stakeholders during emergency situations. Transparency and information sharing are considered vital aspects of managing emergencies effectively.</w:t>
      </w:r>
    </w:p>
    <w:p w14:paraId="0B3DC24A" w14:textId="0E4DB815" w:rsidR="00E66FF3" w:rsidRPr="002E039B" w:rsidRDefault="007944B7" w:rsidP="00787E17">
      <w:pPr>
        <w:rPr>
          <w:rFonts w:ascii="Calibri" w:hAnsi="Calibri" w:cs="Calibri"/>
        </w:rPr>
      </w:pPr>
      <w:bookmarkStart w:id="6" w:name="_Hlk155793255"/>
      <w:proofErr w:type="gramStart"/>
      <w:r w:rsidRPr="002E039B">
        <w:rPr>
          <w:rFonts w:ascii="Calibri" w:hAnsi="Calibri" w:cs="Calibri"/>
        </w:rPr>
        <w:t>It's</w:t>
      </w:r>
      <w:proofErr w:type="gramEnd"/>
      <w:r w:rsidRPr="002E039B">
        <w:rPr>
          <w:rFonts w:ascii="Calibri" w:hAnsi="Calibri" w:cs="Calibri"/>
        </w:rPr>
        <w:t xml:space="preserve"> crucial to note that the activation of emergency powers under Part 2 is reserved for extraordinary situations, and the use of such powers is expected to be proportionate and justifiable in the context of the emergency at hand. The overall goal is to enable an effective response to exceptional circumstances while upholding democratic principles and protecting individual rights.</w:t>
      </w:r>
    </w:p>
    <w:p w14:paraId="2898B73C" w14:textId="2D9EA0E3" w:rsidR="0032784E" w:rsidRPr="002E039B" w:rsidRDefault="0032784E" w:rsidP="0032784E">
      <w:pPr>
        <w:rPr>
          <w:rFonts w:ascii="Calibri" w:hAnsi="Calibri" w:cs="Calibri"/>
        </w:rPr>
      </w:pPr>
      <w:r w:rsidRPr="002E039B">
        <w:rPr>
          <w:rFonts w:ascii="Calibri" w:hAnsi="Calibri" w:cs="Calibri"/>
        </w:rPr>
        <w:t xml:space="preserve">These powers have never been used in fact they were not used in the </w:t>
      </w:r>
      <w:r w:rsidR="004544AB" w:rsidRPr="002E039B">
        <w:rPr>
          <w:rFonts w:ascii="Calibri" w:hAnsi="Calibri" w:cs="Calibri"/>
        </w:rPr>
        <w:t>Coronavirus</w:t>
      </w:r>
      <w:r w:rsidRPr="002E039B">
        <w:rPr>
          <w:rFonts w:ascii="Calibri" w:hAnsi="Calibri" w:cs="Calibri"/>
        </w:rPr>
        <w:t xml:space="preserve"> Pandemic. </w:t>
      </w:r>
      <w:r w:rsidR="00BA06E9">
        <w:rPr>
          <w:rFonts w:ascii="Calibri" w:hAnsi="Calibri" w:cs="Calibri"/>
        </w:rPr>
        <w:t>T</w:t>
      </w:r>
      <w:r w:rsidRPr="002E039B">
        <w:rPr>
          <w:rFonts w:ascii="Calibri" w:hAnsi="Calibri" w:cs="Calibri"/>
        </w:rPr>
        <w:t>he Act gives a statement</w:t>
      </w:r>
      <w:r w:rsidR="00E43023" w:rsidRPr="002E039B">
        <w:rPr>
          <w:rFonts w:ascii="Calibri" w:hAnsi="Calibri" w:cs="Calibri"/>
        </w:rPr>
        <w:t>:</w:t>
      </w:r>
    </w:p>
    <w:p w14:paraId="05BA4048" w14:textId="0CEBA4BF" w:rsidR="0032784E" w:rsidRPr="002E039B" w:rsidRDefault="00CD52DE" w:rsidP="0032784E">
      <w:pPr>
        <w:rPr>
          <w:rFonts w:ascii="Calibri" w:hAnsi="Calibri" w:cs="Calibri"/>
          <w:color w:val="2A4862"/>
          <w:shd w:val="clear" w:color="auto" w:fill="FFFFFF"/>
        </w:rPr>
      </w:pPr>
      <w:r w:rsidRPr="002E039B">
        <w:rPr>
          <w:rStyle w:val="Emphasis"/>
          <w:rFonts w:ascii="Calibri" w:hAnsi="Calibri" w:cs="Calibri"/>
          <w:color w:val="2A4862"/>
          <w:shd w:val="clear" w:color="auto" w:fill="FFFFFF"/>
        </w:rPr>
        <w:t>“</w:t>
      </w:r>
      <w:r w:rsidR="0032784E" w:rsidRPr="002E039B">
        <w:rPr>
          <w:rStyle w:val="Emphasis"/>
          <w:rFonts w:ascii="Calibri" w:hAnsi="Calibri" w:cs="Calibri"/>
          <w:color w:val="2A4862"/>
          <w:shd w:val="clear" w:color="auto" w:fill="FFFFFF"/>
        </w:rPr>
        <w:t>situation [inside or outside the UK] which threatens </w:t>
      </w:r>
      <w:r w:rsidR="0032784E" w:rsidRPr="002E039B">
        <w:rPr>
          <w:rStyle w:val="Strong"/>
          <w:rFonts w:ascii="Calibri" w:hAnsi="Calibri" w:cs="Calibri"/>
          <w:i/>
          <w:iCs/>
          <w:color w:val="2A4862"/>
          <w:shd w:val="clear" w:color="auto" w:fill="FFFFFF"/>
        </w:rPr>
        <w:t>serious damage</w:t>
      </w:r>
      <w:r w:rsidR="0032784E" w:rsidRPr="002E039B">
        <w:rPr>
          <w:rStyle w:val="Emphasis"/>
          <w:rFonts w:ascii="Calibri" w:hAnsi="Calibri" w:cs="Calibri"/>
          <w:color w:val="2A4862"/>
          <w:shd w:val="clear" w:color="auto" w:fill="FFFFFF"/>
        </w:rPr>
        <w:t> to human welfare in the United Kingdom or in a Part or region</w:t>
      </w:r>
      <w:r w:rsidR="0032784E" w:rsidRPr="002E039B">
        <w:rPr>
          <w:rFonts w:ascii="Calibri" w:hAnsi="Calibri" w:cs="Calibri"/>
          <w:color w:val="2A4862"/>
          <w:shd w:val="clear" w:color="auto" w:fill="FFFFFF"/>
        </w:rPr>
        <w:t>” (see s.19(1)(a)).</w:t>
      </w:r>
      <w:r w:rsidRPr="002E039B">
        <w:rPr>
          <w:rFonts w:ascii="Calibri" w:hAnsi="Calibri" w:cs="Calibri"/>
          <w:color w:val="2A4862"/>
          <w:shd w:val="clear" w:color="auto" w:fill="FFFFFF"/>
        </w:rPr>
        <w:t>”</w:t>
      </w:r>
      <w:r w:rsidR="0032784E" w:rsidRPr="002E039B">
        <w:rPr>
          <w:rFonts w:ascii="Calibri" w:hAnsi="Calibri" w:cs="Calibri"/>
          <w:color w:val="2A4862"/>
          <w:shd w:val="clear" w:color="auto" w:fill="FFFFFF"/>
        </w:rPr>
        <w:t xml:space="preserve"> </w:t>
      </w:r>
    </w:p>
    <w:p w14:paraId="5540C892" w14:textId="398EEE0C" w:rsidR="0032784E" w:rsidRPr="002E039B" w:rsidRDefault="0032784E" w:rsidP="0032784E">
      <w:pPr>
        <w:rPr>
          <w:rFonts w:ascii="Calibri" w:hAnsi="Calibri" w:cs="Calibri"/>
        </w:rPr>
      </w:pPr>
      <w:r w:rsidRPr="002E039B">
        <w:rPr>
          <w:rFonts w:ascii="Calibri" w:hAnsi="Calibri" w:cs="Calibri"/>
        </w:rPr>
        <w:t xml:space="preserve">This statement is hard to misunderstand and the argument from Jacob Rees Mog below does not </w:t>
      </w:r>
      <w:r w:rsidR="000F6E8A" w:rsidRPr="002E039B">
        <w:rPr>
          <w:rFonts w:ascii="Calibri" w:hAnsi="Calibri" w:cs="Calibri"/>
        </w:rPr>
        <w:t>explain</w:t>
      </w:r>
      <w:r w:rsidR="005F206A" w:rsidRPr="002E039B">
        <w:rPr>
          <w:rFonts w:ascii="Calibri" w:hAnsi="Calibri" w:cs="Calibri"/>
        </w:rPr>
        <w:t xml:space="preserve"> why </w:t>
      </w:r>
      <w:r w:rsidRPr="002E039B">
        <w:rPr>
          <w:rFonts w:ascii="Calibri" w:hAnsi="Calibri" w:cs="Calibri"/>
        </w:rPr>
        <w:t xml:space="preserve">the pandemic does qualify as an emergency. It is hard to see these powers being use if </w:t>
      </w:r>
      <w:r w:rsidR="00A862CD">
        <w:rPr>
          <w:rFonts w:ascii="Calibri" w:hAnsi="Calibri" w:cs="Calibri"/>
        </w:rPr>
        <w:t>the UK Government</w:t>
      </w:r>
      <w:r w:rsidRPr="002E039B">
        <w:rPr>
          <w:rFonts w:ascii="Calibri" w:hAnsi="Calibri" w:cs="Calibri"/>
        </w:rPr>
        <w:t xml:space="preserve"> did not use them at this time.</w:t>
      </w:r>
    </w:p>
    <w:p w14:paraId="7CF46043" w14:textId="7DF55552" w:rsidR="004B7404" w:rsidRPr="002E039B" w:rsidRDefault="0032784E" w:rsidP="0032784E">
      <w:pPr>
        <w:rPr>
          <w:rFonts w:ascii="Calibri" w:hAnsi="Calibri" w:cs="Calibri"/>
          <w:i/>
          <w:iCs/>
          <w:color w:val="2A4862"/>
          <w:shd w:val="clear" w:color="auto" w:fill="FFFFFF"/>
        </w:rPr>
      </w:pPr>
      <w:r w:rsidRPr="002E039B">
        <w:rPr>
          <w:rFonts w:ascii="Calibri" w:hAnsi="Calibri" w:cs="Calibri"/>
          <w:i/>
          <w:iCs/>
          <w:color w:val="2A4862"/>
          <w:shd w:val="clear" w:color="auto" w:fill="FFFFFF"/>
        </w:rPr>
        <w:t>“Unfortunately, the Civil Contingencies Act would not have worked in these circumstances, because </w:t>
      </w:r>
      <w:r w:rsidRPr="002E039B">
        <w:rPr>
          <w:rStyle w:val="Emphasis"/>
          <w:rFonts w:ascii="Calibri" w:hAnsi="Calibri" w:cs="Calibri"/>
          <w:b/>
          <w:bCs/>
          <w:i w:val="0"/>
          <w:iCs w:val="0"/>
          <w:color w:val="2A4862"/>
          <w:shd w:val="clear" w:color="auto" w:fill="FFFFFF"/>
        </w:rPr>
        <w:t>the problem was known about early enough for it not to qualify as an emergency under the terms of that Act</w:t>
      </w:r>
      <w:r w:rsidRPr="002E039B">
        <w:rPr>
          <w:rFonts w:ascii="Calibri" w:hAnsi="Calibri" w:cs="Calibri"/>
          <w:i/>
          <w:iCs/>
          <w:color w:val="2A4862"/>
          <w:shd w:val="clear" w:color="auto" w:fill="FFFFFF"/>
        </w:rPr>
        <w:t>. The legal experts say that if we can introduce emergency legislation, we should do so rather than using the Civil Contingencies Act, because if we have time to introduce emergency legislation, </w:t>
      </w:r>
      <w:r w:rsidRPr="002E039B">
        <w:rPr>
          <w:rStyle w:val="Emphasis"/>
          <w:rFonts w:ascii="Calibri" w:hAnsi="Calibri" w:cs="Calibri"/>
          <w:b/>
          <w:bCs/>
          <w:i w:val="0"/>
          <w:iCs w:val="0"/>
          <w:color w:val="2A4862"/>
          <w:shd w:val="clear" w:color="auto" w:fill="FFFFFF"/>
        </w:rPr>
        <w:t>we obviously knew about it long enough in advance for the Act not to apply</w:t>
      </w:r>
      <w:r w:rsidRPr="002E039B">
        <w:rPr>
          <w:rFonts w:ascii="Calibri" w:hAnsi="Calibri" w:cs="Calibri"/>
          <w:i/>
          <w:iCs/>
          <w:color w:val="2A4862"/>
          <w:shd w:val="clear" w:color="auto" w:fill="FFFFFF"/>
        </w:rPr>
        <w:t xml:space="preserve">. That is why that Act could not be used.” </w:t>
      </w:r>
    </w:p>
    <w:p w14:paraId="2470FCAD" w14:textId="235DDDF4" w:rsidR="000F6E8A" w:rsidRPr="002E039B" w:rsidRDefault="000F6E8A" w:rsidP="0032784E">
      <w:pPr>
        <w:rPr>
          <w:rFonts w:ascii="Calibri" w:hAnsi="Calibri" w:cs="Calibri"/>
        </w:rPr>
      </w:pPr>
      <w:r w:rsidRPr="002E039B">
        <w:rPr>
          <w:rFonts w:ascii="Calibri" w:hAnsi="Calibri" w:cs="Calibri"/>
        </w:rPr>
        <w:t xml:space="preserve">It may be due to political reasons that a UK Government </w:t>
      </w:r>
      <w:r w:rsidR="00566C4F" w:rsidRPr="002E039B">
        <w:rPr>
          <w:rFonts w:ascii="Calibri" w:hAnsi="Calibri" w:cs="Calibri"/>
        </w:rPr>
        <w:t xml:space="preserve">would not want to use these powers. If they did it may give the message that control has been lost </w:t>
      </w:r>
      <w:r w:rsidR="00523ACF">
        <w:rPr>
          <w:rFonts w:ascii="Calibri" w:hAnsi="Calibri" w:cs="Calibri"/>
        </w:rPr>
        <w:t xml:space="preserve">by UK Government </w:t>
      </w:r>
      <w:r w:rsidR="00566C4F" w:rsidRPr="002E039B">
        <w:rPr>
          <w:rFonts w:ascii="Calibri" w:hAnsi="Calibri" w:cs="Calibri"/>
        </w:rPr>
        <w:t xml:space="preserve">and this may lead to a loss of </w:t>
      </w:r>
      <w:r w:rsidR="00354E45">
        <w:rPr>
          <w:rFonts w:ascii="Calibri" w:hAnsi="Calibri" w:cs="Calibri"/>
        </w:rPr>
        <w:t>t</w:t>
      </w:r>
      <w:r w:rsidR="00566C4F" w:rsidRPr="002E039B">
        <w:rPr>
          <w:rFonts w:ascii="Calibri" w:hAnsi="Calibri" w:cs="Calibri"/>
        </w:rPr>
        <w:t>rust in the government</w:t>
      </w:r>
      <w:r w:rsidR="00354E45">
        <w:rPr>
          <w:rFonts w:ascii="Calibri" w:hAnsi="Calibri" w:cs="Calibri"/>
        </w:rPr>
        <w:t xml:space="preserve"> of the country</w:t>
      </w:r>
      <w:r w:rsidR="00566C4F" w:rsidRPr="002E039B">
        <w:rPr>
          <w:rFonts w:ascii="Calibri" w:hAnsi="Calibri" w:cs="Calibri"/>
        </w:rPr>
        <w:t>.</w:t>
      </w:r>
      <w:r w:rsidR="007831A5" w:rsidRPr="002E039B">
        <w:rPr>
          <w:rFonts w:ascii="Calibri" w:hAnsi="Calibri" w:cs="Calibri"/>
        </w:rPr>
        <w:t xml:space="preserve"> The political future of individuals in any government </w:t>
      </w:r>
      <w:r w:rsidR="004B001D" w:rsidRPr="002E039B">
        <w:rPr>
          <w:rFonts w:ascii="Calibri" w:hAnsi="Calibri" w:cs="Calibri"/>
        </w:rPr>
        <w:t xml:space="preserve">could affect the use of the Act which in turn would harm the </w:t>
      </w:r>
      <w:r w:rsidR="005E62BC" w:rsidRPr="002E039B">
        <w:rPr>
          <w:rFonts w:ascii="Calibri" w:hAnsi="Calibri" w:cs="Calibri"/>
        </w:rPr>
        <w:t>‘human welfare</w:t>
      </w:r>
      <w:r w:rsidR="00D2554E" w:rsidRPr="002E039B">
        <w:rPr>
          <w:rFonts w:ascii="Calibri" w:hAnsi="Calibri" w:cs="Calibri"/>
        </w:rPr>
        <w:t xml:space="preserve">’ aspect of the Act. </w:t>
      </w:r>
    </w:p>
    <w:p w14:paraId="7507C0A8" w14:textId="77777777" w:rsidR="004B7404" w:rsidRPr="002E039B" w:rsidRDefault="004B7404" w:rsidP="0032784E">
      <w:pPr>
        <w:rPr>
          <w:rFonts w:ascii="Calibri" w:hAnsi="Calibri" w:cs="Calibri"/>
          <w:i/>
          <w:iCs/>
          <w:color w:val="2A4862"/>
          <w:shd w:val="clear" w:color="auto" w:fill="FFFFFF"/>
        </w:rPr>
      </w:pPr>
    </w:p>
    <w:p w14:paraId="2047EBBE" w14:textId="77777777" w:rsidR="00855132" w:rsidRDefault="00855132" w:rsidP="0032784E">
      <w:pPr>
        <w:rPr>
          <w:rFonts w:ascii="Calibri" w:hAnsi="Calibri" w:cs="Calibri"/>
          <w:i/>
          <w:iCs/>
          <w:color w:val="2A4862"/>
          <w:sz w:val="27"/>
          <w:szCs w:val="27"/>
          <w:shd w:val="clear" w:color="auto" w:fill="FFFFFF"/>
        </w:rPr>
      </w:pPr>
    </w:p>
    <w:p w14:paraId="2DAC718A" w14:textId="77777777" w:rsidR="002E039B" w:rsidRDefault="002E039B" w:rsidP="0032784E">
      <w:pPr>
        <w:rPr>
          <w:rFonts w:ascii="Calibri" w:hAnsi="Calibri" w:cs="Calibri"/>
          <w:i/>
          <w:iCs/>
          <w:color w:val="2A4862"/>
          <w:sz w:val="27"/>
          <w:szCs w:val="27"/>
          <w:shd w:val="clear" w:color="auto" w:fill="FFFFFF"/>
        </w:rPr>
      </w:pPr>
    </w:p>
    <w:p w14:paraId="0719DE5B" w14:textId="77777777" w:rsidR="00FB1060" w:rsidRPr="002E039B" w:rsidRDefault="00FB1060" w:rsidP="0032784E">
      <w:pPr>
        <w:rPr>
          <w:rFonts w:ascii="Calibri" w:hAnsi="Calibri" w:cs="Calibri"/>
          <w:i/>
          <w:iCs/>
          <w:color w:val="2A4862"/>
          <w:sz w:val="27"/>
          <w:szCs w:val="27"/>
          <w:shd w:val="clear" w:color="auto" w:fill="FFFFFF"/>
        </w:rPr>
      </w:pPr>
    </w:p>
    <w:p w14:paraId="54054D9C" w14:textId="4B8C8CE1" w:rsidR="00CC53BC" w:rsidRPr="002E039B" w:rsidRDefault="00CC53BC" w:rsidP="00CC53BC">
      <w:pPr>
        <w:rPr>
          <w:rFonts w:ascii="Calibri" w:hAnsi="Calibri" w:cs="Calibri"/>
          <w:b/>
          <w:bCs/>
        </w:rPr>
      </w:pPr>
      <w:r w:rsidRPr="002E039B">
        <w:rPr>
          <w:rFonts w:ascii="Calibri" w:hAnsi="Calibri" w:cs="Calibri"/>
          <w:b/>
          <w:bCs/>
        </w:rPr>
        <w:lastRenderedPageBreak/>
        <w:t xml:space="preserve">Transfer of Functions to Welsh Ministers </w:t>
      </w:r>
    </w:p>
    <w:p w14:paraId="6A7F3BD3" w14:textId="77777777" w:rsidR="00CC53BC" w:rsidRPr="002E039B" w:rsidRDefault="00CC53BC" w:rsidP="00CC53BC">
      <w:pPr>
        <w:rPr>
          <w:rFonts w:ascii="Calibri" w:hAnsi="Calibri" w:cs="Calibri"/>
        </w:rPr>
      </w:pPr>
      <w:r w:rsidRPr="002E039B">
        <w:rPr>
          <w:rFonts w:ascii="Calibri" w:hAnsi="Calibri" w:cs="Calibri"/>
        </w:rPr>
        <w:t>The concept of transferring functions to Welsh Ministers under the Civil Contingencies Act 2004 (CCA 2004) refers to the delegation of certain emergency management responsibilities and powers from UK government authorities to the devolved administration in Wales.</w:t>
      </w:r>
    </w:p>
    <w:p w14:paraId="2E270BE8" w14:textId="5F420789" w:rsidR="00CC53BC" w:rsidRPr="002E039B" w:rsidRDefault="00CC53BC" w:rsidP="00CC53BC">
      <w:pPr>
        <w:rPr>
          <w:rFonts w:ascii="Calibri" w:hAnsi="Calibri" w:cs="Calibri"/>
        </w:rPr>
      </w:pPr>
      <w:r w:rsidRPr="002E039B">
        <w:rPr>
          <w:rFonts w:ascii="Calibri" w:hAnsi="Calibri" w:cs="Calibri"/>
        </w:rPr>
        <w:t>Wales was not granted the same powers as Scotland as devolution was not based on the same settlement. Scotland was granted a settlement where they could make powers in 2005. Wales was initially granted 20 devolved areas (</w:t>
      </w:r>
      <w:r w:rsidR="003122D3">
        <w:rPr>
          <w:rFonts w:ascii="Calibri" w:hAnsi="Calibri" w:cs="Calibri"/>
        </w:rPr>
        <w:t>Appendix1</w:t>
      </w:r>
      <w:r w:rsidRPr="002E039B">
        <w:rPr>
          <w:rFonts w:ascii="Calibri" w:hAnsi="Calibri" w:cs="Calibri"/>
        </w:rPr>
        <w:t>). Wales had to wait until 2018. In the time before The Welsh Ministers (Transfer of Functions) Order 2018 -Section 41 (Civil Contingencies Act 2004) Welsh Government assumed a de facto leadership role. Legislation created in Westminster had to go through a scrutiny committee and then be voted through by the Senedd. (Legislative Powers to Strengthen Wales March 2014)</w:t>
      </w:r>
    </w:p>
    <w:p w14:paraId="2B009F98" w14:textId="77777777" w:rsidR="00CC53BC" w:rsidRPr="002E039B" w:rsidRDefault="00CC53BC" w:rsidP="00CC53BC">
      <w:pPr>
        <w:rPr>
          <w:rFonts w:ascii="Calibri" w:hAnsi="Calibri" w:cs="Calibri"/>
        </w:rPr>
      </w:pPr>
      <w:r w:rsidRPr="002E039B">
        <w:rPr>
          <w:rFonts w:ascii="Calibri" w:hAnsi="Calibri" w:cs="Calibri"/>
        </w:rPr>
        <w:t xml:space="preserve">In addition to this Wales had a separate Concordat relating to emergency regulations. Although Part 2 was not transferred and was kept with the UK Government. </w:t>
      </w:r>
    </w:p>
    <w:p w14:paraId="51F75BAA" w14:textId="77777777" w:rsidR="00CC53BC" w:rsidRPr="002E039B" w:rsidRDefault="00CC53BC" w:rsidP="00CC53BC">
      <w:pPr>
        <w:rPr>
          <w:rFonts w:ascii="Calibri" w:hAnsi="Calibri" w:cs="Calibri"/>
        </w:rPr>
      </w:pPr>
      <w:r w:rsidRPr="002E039B">
        <w:rPr>
          <w:rFonts w:ascii="Calibri" w:hAnsi="Calibri" w:cs="Calibri"/>
        </w:rPr>
        <w:t>Carwyn Jones stated in a Written statement – Transfer of Executive Functions under Part 1 of the Civil Contingencies Act 2004 (19 June 2018).</w:t>
      </w:r>
    </w:p>
    <w:p w14:paraId="1984739C" w14:textId="56E940A8" w:rsidR="00CC53BC" w:rsidRPr="002E039B" w:rsidRDefault="00CC53BC" w:rsidP="00CC53BC">
      <w:pPr>
        <w:rPr>
          <w:rFonts w:ascii="Calibri" w:hAnsi="Calibri" w:cs="Calibri"/>
        </w:rPr>
      </w:pPr>
      <w:r w:rsidRPr="002E039B">
        <w:rPr>
          <w:rFonts w:ascii="Calibri" w:hAnsi="Calibri" w:cs="Calibri"/>
        </w:rPr>
        <w:t>“</w:t>
      </w:r>
      <w:r w:rsidRPr="002E039B">
        <w:rPr>
          <w:rFonts w:ascii="Calibri" w:hAnsi="Calibri" w:cs="Calibri"/>
          <w:i/>
          <w:iCs/>
          <w:color w:val="1F1F1F"/>
          <w:shd w:val="clear" w:color="auto" w:fill="FFFFFF"/>
        </w:rPr>
        <w:t xml:space="preserve">In exercising these functions, Welsh Ministers will be able to play a more influential role in setting the direction and delivery of civil contingencies in Wales. This not only includes developing </w:t>
      </w:r>
      <w:r w:rsidR="004544AB" w:rsidRPr="002E039B">
        <w:rPr>
          <w:rFonts w:ascii="Calibri" w:hAnsi="Calibri" w:cs="Calibri"/>
          <w:i/>
          <w:iCs/>
          <w:color w:val="1F1F1F"/>
          <w:shd w:val="clear" w:color="auto" w:fill="FFFFFF"/>
        </w:rPr>
        <w:t>policy,</w:t>
      </w:r>
      <w:r w:rsidRPr="002E039B">
        <w:rPr>
          <w:rFonts w:ascii="Calibri" w:hAnsi="Calibri" w:cs="Calibri"/>
          <w:i/>
          <w:iCs/>
          <w:color w:val="1F1F1F"/>
          <w:shd w:val="clear" w:color="auto" w:fill="FFFFFF"/>
        </w:rPr>
        <w:t xml:space="preserve"> which is more appropriate to Wales but also, being able to provide greater support to the devolved agencies delivering those services</w:t>
      </w:r>
      <w:proofErr w:type="gramStart"/>
      <w:r w:rsidRPr="002E039B">
        <w:rPr>
          <w:rFonts w:ascii="Calibri" w:hAnsi="Calibri" w:cs="Calibri"/>
          <w:i/>
          <w:iCs/>
          <w:color w:val="1F1F1F"/>
          <w:shd w:val="clear" w:color="auto" w:fill="FFFFFF"/>
        </w:rPr>
        <w:t>”.</w:t>
      </w:r>
      <w:proofErr w:type="gramEnd"/>
      <w:r w:rsidRPr="002E039B">
        <w:rPr>
          <w:rFonts w:ascii="Calibri" w:hAnsi="Calibri" w:cs="Calibri"/>
        </w:rPr>
        <w:tab/>
      </w:r>
      <w:r w:rsidRPr="002E039B">
        <w:rPr>
          <w:rFonts w:ascii="Calibri" w:hAnsi="Calibri" w:cs="Calibri"/>
        </w:rPr>
        <w:tab/>
      </w:r>
    </w:p>
    <w:p w14:paraId="1F90CE9E" w14:textId="23F737CF" w:rsidR="00CC53BC" w:rsidRPr="002E039B" w:rsidRDefault="00E15E03" w:rsidP="00CC53BC">
      <w:pPr>
        <w:rPr>
          <w:rFonts w:ascii="Calibri" w:hAnsi="Calibri" w:cs="Calibri"/>
        </w:rPr>
      </w:pPr>
      <w:r w:rsidRPr="002E039B">
        <w:rPr>
          <w:rFonts w:ascii="Calibri" w:hAnsi="Calibri" w:cs="Calibri"/>
        </w:rPr>
        <w:t>This</w:t>
      </w:r>
      <w:r w:rsidR="00CC53BC" w:rsidRPr="002E039B">
        <w:rPr>
          <w:rFonts w:ascii="Calibri" w:hAnsi="Calibri" w:cs="Calibri"/>
        </w:rPr>
        <w:t xml:space="preserve"> has occurred in other devolved areas such as health </w:t>
      </w:r>
      <w:r w:rsidR="00F678C4">
        <w:rPr>
          <w:rFonts w:ascii="Calibri" w:hAnsi="Calibri" w:cs="Calibri"/>
        </w:rPr>
        <w:t>an example of this</w:t>
      </w:r>
      <w:r w:rsidR="00CC53BC" w:rsidRPr="002E039B">
        <w:rPr>
          <w:rFonts w:ascii="Calibri" w:hAnsi="Calibri" w:cs="Calibri"/>
        </w:rPr>
        <w:t xml:space="preserve"> can </w:t>
      </w:r>
      <w:r w:rsidR="006C46FB">
        <w:rPr>
          <w:rFonts w:ascii="Calibri" w:hAnsi="Calibri" w:cs="Calibri"/>
        </w:rPr>
        <w:t xml:space="preserve">be </w:t>
      </w:r>
      <w:r w:rsidR="000A6FCE">
        <w:rPr>
          <w:rFonts w:ascii="Calibri" w:hAnsi="Calibri" w:cs="Calibri"/>
        </w:rPr>
        <w:t>demonstrated</w:t>
      </w:r>
      <w:r w:rsidR="00CC53BC" w:rsidRPr="002E039B">
        <w:rPr>
          <w:rFonts w:ascii="Calibri" w:hAnsi="Calibri" w:cs="Calibri"/>
        </w:rPr>
        <w:t xml:space="preserve"> with the escalation of Betsi Cadwaladr University Health Board (BCUHB) into </w:t>
      </w:r>
      <w:proofErr w:type="gramStart"/>
      <w:r w:rsidR="00CC53BC" w:rsidRPr="002E039B">
        <w:rPr>
          <w:rFonts w:ascii="Calibri" w:hAnsi="Calibri" w:cs="Calibri"/>
        </w:rPr>
        <w:t>special measures</w:t>
      </w:r>
      <w:proofErr w:type="gramEnd"/>
      <w:r w:rsidR="00CC53BC" w:rsidRPr="002E039B">
        <w:rPr>
          <w:rFonts w:ascii="Calibri" w:hAnsi="Calibri" w:cs="Calibri"/>
        </w:rPr>
        <w:t xml:space="preserve"> on the </w:t>
      </w:r>
      <w:r w:rsidR="004544AB" w:rsidRPr="002E039B">
        <w:rPr>
          <w:rFonts w:ascii="Calibri" w:hAnsi="Calibri" w:cs="Calibri"/>
        </w:rPr>
        <w:t>27</w:t>
      </w:r>
      <w:r w:rsidR="004544AB" w:rsidRPr="002E039B">
        <w:rPr>
          <w:rFonts w:ascii="Calibri" w:hAnsi="Calibri" w:cs="Calibri"/>
          <w:vertAlign w:val="superscript"/>
        </w:rPr>
        <w:t>th of</w:t>
      </w:r>
      <w:r w:rsidR="00CC53BC" w:rsidRPr="002E039B">
        <w:rPr>
          <w:rFonts w:ascii="Calibri" w:hAnsi="Calibri" w:cs="Calibri"/>
        </w:rPr>
        <w:t xml:space="preserve"> Feb 2003. This is a devolved function that was devolved in 1999. This allowed the Minister for Health and Social Services to invoke the invoke these arrangements. (</w:t>
      </w:r>
      <w:hyperlink r:id="rId5" w:history="1">
        <w:r w:rsidR="00CC53BC" w:rsidRPr="002E039B">
          <w:rPr>
            <w:rFonts w:ascii="Calibri" w:hAnsi="Calibri" w:cs="Calibri"/>
          </w:rPr>
          <w:t>National Assembly for Wales (Transfer of Functions) Order 1999</w:t>
        </w:r>
      </w:hyperlink>
      <w:r w:rsidR="00CC53BC" w:rsidRPr="002E039B">
        <w:rPr>
          <w:rFonts w:ascii="Calibri" w:hAnsi="Calibri" w:cs="Calibri"/>
        </w:rPr>
        <w:t>).</w:t>
      </w:r>
      <w:r w:rsidR="00B3503D">
        <w:br/>
      </w:r>
      <w:r w:rsidR="00B3503D" w:rsidRPr="004A77C7">
        <w:rPr>
          <w:rFonts w:ascii="Calibri" w:hAnsi="Calibri" w:cs="Calibri"/>
        </w:rPr>
        <w:t xml:space="preserve">The transfer of functions under the CCA 2004 has not occurred in Wales. This is attributed to Wales lacking the resources needed to amend the Act. However, the Act itself provided adequate governance over Category 1 and 2 responders. The future course of action remains uncertain, and it will be intriguing to observe how Wales shapes its emergency management strategies in the coming </w:t>
      </w:r>
      <w:r w:rsidR="004A77C7" w:rsidRPr="004A77C7">
        <w:rPr>
          <w:rFonts w:ascii="Calibri" w:hAnsi="Calibri" w:cs="Calibri"/>
        </w:rPr>
        <w:t>years</w:t>
      </w:r>
      <w:r w:rsidR="00B3503D" w:rsidRPr="004A77C7">
        <w:rPr>
          <w:rFonts w:ascii="Calibri" w:hAnsi="Calibri" w:cs="Calibri"/>
        </w:rPr>
        <w:t>.</w:t>
      </w:r>
      <w:r w:rsidR="00B3503D" w:rsidRPr="002E039B">
        <w:rPr>
          <w:rFonts w:ascii="Calibri" w:hAnsi="Calibri" w:cs="Calibri"/>
        </w:rPr>
        <w:t xml:space="preserve"> </w:t>
      </w:r>
      <w:r w:rsidR="00CC53BC" w:rsidRPr="002E039B">
        <w:rPr>
          <w:rFonts w:ascii="Calibri" w:hAnsi="Calibri" w:cs="Calibri"/>
        </w:rPr>
        <w:t>(</w:t>
      </w:r>
      <w:hyperlink r:id="rId6" w:history="1">
        <w:r w:rsidR="00CC53BC" w:rsidRPr="002E039B">
          <w:rPr>
            <w:rFonts w:ascii="Calibri" w:hAnsi="Calibri" w:cs="Calibri"/>
          </w:rPr>
          <w:t>National Assembly for Wales (Transfer of Functions) Order 1999</w:t>
        </w:r>
      </w:hyperlink>
      <w:r w:rsidR="00CC53BC" w:rsidRPr="002E039B">
        <w:rPr>
          <w:rFonts w:ascii="Calibri" w:hAnsi="Calibri" w:cs="Calibri"/>
        </w:rPr>
        <w:t>).</w:t>
      </w:r>
    </w:p>
    <w:p w14:paraId="0029E132" w14:textId="4449A046" w:rsidR="003C4164" w:rsidRDefault="00CC53BC" w:rsidP="00CC53BC">
      <w:pPr>
        <w:rPr>
          <w:rFonts w:ascii="Calibri" w:hAnsi="Calibri" w:cs="Calibri"/>
        </w:rPr>
      </w:pPr>
      <w:r w:rsidRPr="002E039B">
        <w:rPr>
          <w:rFonts w:ascii="Calibri" w:hAnsi="Calibri" w:cs="Calibri"/>
        </w:rPr>
        <w:t xml:space="preserve">The legislation acknowledges the diversity of emergency management needs across </w:t>
      </w:r>
      <w:r w:rsidR="00E15E03" w:rsidRPr="002E039B">
        <w:rPr>
          <w:rFonts w:ascii="Calibri" w:hAnsi="Calibri" w:cs="Calibri"/>
        </w:rPr>
        <w:t>various parts</w:t>
      </w:r>
      <w:r w:rsidRPr="002E039B">
        <w:rPr>
          <w:rFonts w:ascii="Calibri" w:hAnsi="Calibri" w:cs="Calibri"/>
        </w:rPr>
        <w:t xml:space="preserve"> of the UK by allowing the transfer of functions to Welsh Ministers. This devolutionary approach recognizes that a more localized and responsive strategy is often optimal for preparing and responding to emergencies in Wales. </w:t>
      </w:r>
    </w:p>
    <w:p w14:paraId="28DE36C7" w14:textId="77777777" w:rsidR="003C4164" w:rsidRDefault="00CC53BC" w:rsidP="00CC53BC">
      <w:pPr>
        <w:rPr>
          <w:rFonts w:ascii="Calibri" w:hAnsi="Calibri" w:cs="Calibri"/>
        </w:rPr>
      </w:pPr>
      <w:r w:rsidRPr="002E039B">
        <w:rPr>
          <w:rFonts w:ascii="Calibri" w:hAnsi="Calibri" w:cs="Calibri"/>
        </w:rPr>
        <w:t xml:space="preserve">Welsh Ministers are now empowered to issue guidance, oversee compliance with the duties outlined in the Civil Contingencies Act 2004, and enforce these duties through legal means. </w:t>
      </w:r>
    </w:p>
    <w:p w14:paraId="11535573" w14:textId="0DC3BAB4" w:rsidR="00CC53BC" w:rsidRPr="002E039B" w:rsidRDefault="00CC53BC" w:rsidP="00CC53BC">
      <w:pPr>
        <w:rPr>
          <w:rFonts w:ascii="Calibri" w:hAnsi="Calibri" w:cs="Calibri"/>
        </w:rPr>
      </w:pPr>
      <w:r w:rsidRPr="002E039B">
        <w:rPr>
          <w:rFonts w:ascii="Calibri" w:hAnsi="Calibri" w:cs="Calibri"/>
        </w:rPr>
        <w:t>This delegation aligns with the broader principles of devolution, granting devolved administrations the autonomy to tailor their approaches to civil protection and emergency preparedness in accordance with the specific needs of their communities.</w:t>
      </w:r>
    </w:p>
    <w:p w14:paraId="5FAF9710" w14:textId="77777777" w:rsidR="00054202" w:rsidRDefault="00CC53BC" w:rsidP="0085324C">
      <w:pPr>
        <w:pStyle w:val="Heading2"/>
        <w:rPr>
          <w:rFonts w:ascii="Calibri" w:eastAsiaTheme="minorHAnsi" w:hAnsi="Calibri" w:cs="Calibri"/>
          <w:color w:val="auto"/>
          <w:sz w:val="22"/>
          <w:szCs w:val="22"/>
        </w:rPr>
      </w:pPr>
      <w:r w:rsidRPr="0085324C">
        <w:rPr>
          <w:rFonts w:ascii="Calibri" w:eastAsiaTheme="minorHAnsi" w:hAnsi="Calibri" w:cs="Calibri"/>
          <w:color w:val="auto"/>
          <w:sz w:val="22"/>
          <w:szCs w:val="22"/>
        </w:rPr>
        <w:lastRenderedPageBreak/>
        <w:t xml:space="preserve">While the functions outlined above are now transferred to Welsh Ministers, collaboration and coordination with the UK government and other devolved administrations remain crucial. The goal is to ensure a seamless and integrated response to emergencies that may extend beyond regional boundaries. </w:t>
      </w:r>
    </w:p>
    <w:p w14:paraId="42975821" w14:textId="19E7763C" w:rsidR="0085324C" w:rsidRPr="0085324C" w:rsidRDefault="00CC53BC" w:rsidP="0085324C">
      <w:pPr>
        <w:pStyle w:val="Heading2"/>
        <w:rPr>
          <w:rFonts w:ascii="Calibri" w:eastAsiaTheme="minorHAnsi" w:hAnsi="Calibri" w:cs="Calibri"/>
          <w:color w:val="auto"/>
          <w:sz w:val="22"/>
          <w:szCs w:val="22"/>
        </w:rPr>
      </w:pPr>
      <w:r w:rsidRPr="0085324C">
        <w:rPr>
          <w:rFonts w:ascii="Calibri" w:eastAsiaTheme="minorHAnsi" w:hAnsi="Calibri" w:cs="Calibri"/>
          <w:color w:val="auto"/>
          <w:sz w:val="22"/>
          <w:szCs w:val="22"/>
        </w:rPr>
        <w:t>This can be evidenced in the collaboration between devolved administrations and UK Government in the Covid Pandemic</w:t>
      </w:r>
      <w:proofErr w:type="gramStart"/>
      <w:r w:rsidRPr="0085324C">
        <w:rPr>
          <w:rFonts w:ascii="Calibri" w:eastAsiaTheme="minorHAnsi" w:hAnsi="Calibri" w:cs="Calibri"/>
          <w:color w:val="auto"/>
          <w:sz w:val="22"/>
          <w:szCs w:val="22"/>
        </w:rPr>
        <w:t xml:space="preserve">.  </w:t>
      </w:r>
      <w:proofErr w:type="gramEnd"/>
      <w:r w:rsidRPr="0085324C">
        <w:rPr>
          <w:rFonts w:ascii="Calibri" w:eastAsiaTheme="minorHAnsi" w:hAnsi="Calibri" w:cs="Calibri"/>
          <w:color w:val="auto"/>
          <w:sz w:val="22"/>
          <w:szCs w:val="22"/>
        </w:rPr>
        <w:t>Evidence of this is that the UK Government did not invoke Emergency Powers in the Covid 19 Pandemic</w:t>
      </w:r>
      <w:r w:rsidR="0085324C" w:rsidRPr="0085324C">
        <w:rPr>
          <w:rFonts w:ascii="Calibri" w:eastAsiaTheme="minorHAnsi" w:hAnsi="Calibri" w:cs="Calibri"/>
          <w:color w:val="auto"/>
          <w:sz w:val="22"/>
          <w:szCs w:val="22"/>
        </w:rPr>
        <w:t xml:space="preserve"> </w:t>
      </w:r>
      <w:r w:rsidR="0085324C" w:rsidRPr="0085324C">
        <w:rPr>
          <w:rFonts w:ascii="Calibri" w:eastAsiaTheme="minorHAnsi" w:hAnsi="Calibri" w:cs="Calibri"/>
          <w:color w:val="auto"/>
          <w:sz w:val="22"/>
          <w:szCs w:val="22"/>
        </w:rPr>
        <w:t>The devolved response to the COVID-19 pandemic in the three nations of Scotland, Wales, and Northern Ireland initially mirrored that of England. However, over time, these responses diverged as each devolved administration adopted a more localized approach in terms of lockdowns and firebreaks.</w:t>
      </w:r>
    </w:p>
    <w:p w14:paraId="431CC3FA" w14:textId="39A7E435" w:rsidR="0085324C" w:rsidRPr="0085324C" w:rsidRDefault="0085324C" w:rsidP="0085324C">
      <w:pPr>
        <w:pStyle w:val="Heading2"/>
        <w:rPr>
          <w:rFonts w:ascii="Calibri" w:eastAsiaTheme="minorHAnsi" w:hAnsi="Calibri" w:cs="Calibri"/>
          <w:color w:val="auto"/>
          <w:sz w:val="22"/>
          <w:szCs w:val="22"/>
        </w:rPr>
      </w:pPr>
      <w:r w:rsidRPr="0085324C">
        <w:rPr>
          <w:rFonts w:ascii="Calibri" w:eastAsiaTheme="minorHAnsi" w:hAnsi="Calibri" w:cs="Calibri"/>
          <w:color w:val="auto"/>
          <w:sz w:val="22"/>
          <w:szCs w:val="22"/>
        </w:rPr>
        <w:t xml:space="preserve">In the </w:t>
      </w:r>
      <w:r w:rsidR="00E15E03" w:rsidRPr="0085324C">
        <w:rPr>
          <w:rFonts w:ascii="Calibri" w:eastAsiaTheme="minorHAnsi" w:hAnsi="Calibri" w:cs="Calibri"/>
          <w:color w:val="auto"/>
          <w:sz w:val="22"/>
          <w:szCs w:val="22"/>
        </w:rPr>
        <w:t>initial stages</w:t>
      </w:r>
      <w:r w:rsidRPr="0085324C">
        <w:rPr>
          <w:rFonts w:ascii="Calibri" w:eastAsiaTheme="minorHAnsi" w:hAnsi="Calibri" w:cs="Calibri"/>
          <w:color w:val="auto"/>
          <w:sz w:val="22"/>
          <w:szCs w:val="22"/>
        </w:rPr>
        <w:t xml:space="preserve"> of the pandemic, the United Kingdom, including England, implemented broad, nationwide measures to curb the spread of the virus. This included various forms of lockdowns and restrictions on movement and social interactions. The initial response from the devolved nations followed a similar trajectory, with Scotland, Wales, and Northern Ireland aligning their strategies with the broader UK approach.</w:t>
      </w:r>
    </w:p>
    <w:p w14:paraId="1E2797AC" w14:textId="2BEDB64C" w:rsidR="0085324C" w:rsidRDefault="0085324C" w:rsidP="0083578E">
      <w:pPr>
        <w:pStyle w:val="Heading2"/>
        <w:rPr>
          <w:rFonts w:ascii="Calibri" w:eastAsiaTheme="minorHAnsi" w:hAnsi="Calibri" w:cs="Calibri"/>
          <w:color w:val="auto"/>
          <w:sz w:val="22"/>
          <w:szCs w:val="22"/>
        </w:rPr>
      </w:pPr>
      <w:r w:rsidRPr="0085324C">
        <w:rPr>
          <w:rFonts w:ascii="Calibri" w:eastAsiaTheme="minorHAnsi" w:hAnsi="Calibri" w:cs="Calibri"/>
          <w:color w:val="auto"/>
          <w:sz w:val="22"/>
          <w:szCs w:val="22"/>
        </w:rPr>
        <w:t>As the pandemic evolved and the understanding of the virus deepened, the devolved administrations began to tailor their responses to the specific needs and circumstances of their respective regions. This shift towards a more localized approach was influenced by factors such as variations in infection rates, healthcare capacities, and the socio-economic landscape in each nation.</w:t>
      </w:r>
      <w:r w:rsidR="009A7C1A">
        <w:rPr>
          <w:rFonts w:ascii="Calibri" w:eastAsiaTheme="minorHAnsi" w:hAnsi="Calibri" w:cs="Calibri"/>
          <w:color w:val="auto"/>
          <w:sz w:val="22"/>
          <w:szCs w:val="22"/>
        </w:rPr>
        <w:t xml:space="preserve"> </w:t>
      </w:r>
      <w:r w:rsidRPr="0085324C">
        <w:rPr>
          <w:rFonts w:ascii="Calibri" w:eastAsiaTheme="minorHAnsi" w:hAnsi="Calibri" w:cs="Calibri"/>
          <w:color w:val="auto"/>
          <w:sz w:val="22"/>
          <w:szCs w:val="22"/>
        </w:rPr>
        <w:t>Scotland, under the Scottish Government, asserted greater autonomy in decision-making related to public</w:t>
      </w:r>
      <w:r w:rsidRPr="0085324C">
        <w:rPr>
          <w:rFonts w:ascii="Calibri" w:eastAsiaTheme="minorHAnsi" w:hAnsi="Calibri" w:cs="Calibri"/>
          <w:color w:val="auto"/>
          <w:sz w:val="22"/>
          <w:szCs w:val="22"/>
        </w:rPr>
        <w:t>.</w:t>
      </w:r>
      <w:r>
        <w:rPr>
          <w:rFonts w:ascii="Calibri" w:eastAsiaTheme="minorHAnsi" w:hAnsi="Calibri" w:cs="Calibri"/>
          <w:color w:val="auto"/>
          <w:sz w:val="22"/>
          <w:szCs w:val="22"/>
        </w:rPr>
        <w:t xml:space="preserve"> </w:t>
      </w:r>
      <w:r w:rsidR="00CC53BC" w:rsidRPr="0085324C">
        <w:rPr>
          <w:rFonts w:ascii="Calibri" w:eastAsiaTheme="minorHAnsi" w:hAnsi="Calibri" w:cs="Calibri"/>
          <w:color w:val="auto"/>
          <w:sz w:val="22"/>
          <w:szCs w:val="22"/>
        </w:rPr>
        <w:t>(Institute of Government Coronavirus and devolution 26 March 2020)</w:t>
      </w:r>
      <w:r>
        <w:rPr>
          <w:rFonts w:ascii="Calibri" w:eastAsiaTheme="minorHAnsi" w:hAnsi="Calibri" w:cs="Calibri"/>
          <w:color w:val="auto"/>
          <w:sz w:val="22"/>
          <w:szCs w:val="22"/>
        </w:rPr>
        <w:t>.</w:t>
      </w:r>
    </w:p>
    <w:p w14:paraId="5348DE63" w14:textId="5B9E509F" w:rsidR="0085324C" w:rsidRPr="000436C1" w:rsidRDefault="000A1993" w:rsidP="00CC53BC">
      <w:r>
        <w:t>T</w:t>
      </w:r>
      <w:r w:rsidR="0085324C">
        <w:t xml:space="preserve">his is an example of </w:t>
      </w:r>
      <w:r w:rsidR="0038311E">
        <w:t xml:space="preserve">the way the devolved administrations can create their own rules and regulations </w:t>
      </w:r>
      <w:r>
        <w:t xml:space="preserve">and </w:t>
      </w:r>
      <w:r w:rsidR="00E15E03">
        <w:t>is</w:t>
      </w:r>
      <w:r>
        <w:t xml:space="preserve"> a route map </w:t>
      </w:r>
      <w:r w:rsidR="000436C1">
        <w:t>to</w:t>
      </w:r>
      <w:r w:rsidR="0038311E">
        <w:t xml:space="preserve"> how the CCA</w:t>
      </w:r>
      <w:r w:rsidR="0083578E">
        <w:t xml:space="preserve"> 2004 should develop in Wales. </w:t>
      </w:r>
      <w:r w:rsidR="000436C1">
        <w:t xml:space="preserve">This can be achieved with a more robust management of the existing structure from Welsh Government through auditing and ensuring compliance. </w:t>
      </w:r>
    </w:p>
    <w:p w14:paraId="65AF03CC" w14:textId="1225E82E" w:rsidR="006C5AA5" w:rsidRPr="002E039B" w:rsidRDefault="006C5AA5" w:rsidP="00CC53BC">
      <w:pPr>
        <w:rPr>
          <w:rFonts w:ascii="Calibri" w:hAnsi="Calibri" w:cs="Calibri"/>
          <w:b/>
          <w:bCs/>
        </w:rPr>
      </w:pPr>
      <w:r w:rsidRPr="002E039B">
        <w:rPr>
          <w:rFonts w:ascii="Calibri" w:hAnsi="Calibri" w:cs="Calibri"/>
          <w:b/>
          <w:bCs/>
        </w:rPr>
        <w:t>Part 2 of the CCA 2004 and Welsh Government</w:t>
      </w:r>
    </w:p>
    <w:p w14:paraId="439584C9" w14:textId="7DB85AAE" w:rsidR="001C2C4C" w:rsidRPr="002E039B" w:rsidRDefault="006C5AA5" w:rsidP="0032784E">
      <w:pPr>
        <w:rPr>
          <w:rFonts w:ascii="Calibri" w:hAnsi="Calibri" w:cs="Calibri"/>
        </w:rPr>
      </w:pPr>
      <w:r w:rsidRPr="002E039B">
        <w:rPr>
          <w:rFonts w:ascii="Calibri" w:hAnsi="Calibri" w:cs="Calibri"/>
        </w:rPr>
        <w:t xml:space="preserve">The </w:t>
      </w:r>
      <w:r w:rsidR="00157DAD" w:rsidRPr="002E039B">
        <w:rPr>
          <w:rFonts w:ascii="Calibri" w:hAnsi="Calibri" w:cs="Calibri"/>
        </w:rPr>
        <w:t>“</w:t>
      </w:r>
      <w:r w:rsidRPr="002E039B">
        <w:rPr>
          <w:rFonts w:ascii="Calibri" w:hAnsi="Calibri" w:cs="Calibri"/>
        </w:rPr>
        <w:t>concordat</w:t>
      </w:r>
      <w:r w:rsidR="00157DAD" w:rsidRPr="002E039B">
        <w:rPr>
          <w:rFonts w:ascii="Calibri" w:hAnsi="Calibri" w:cs="Calibri"/>
        </w:rPr>
        <w:t>”</w:t>
      </w:r>
      <w:r w:rsidRPr="002E039B">
        <w:rPr>
          <w:rFonts w:ascii="Calibri" w:hAnsi="Calibri" w:cs="Calibri"/>
        </w:rPr>
        <w:t xml:space="preserve"> was created to establish a collaborative framework between the UK Government and the Welsh Assembly Government regarding Emergency Powers under Part 2 of the Civil Contingencies Act 2004.</w:t>
      </w:r>
      <w:r w:rsidR="00357213" w:rsidRPr="002E039B">
        <w:rPr>
          <w:rFonts w:ascii="Calibri" w:hAnsi="Calibri" w:cs="Calibri"/>
        </w:rPr>
        <w:br/>
        <w:t>The concordat delineates a cooperative framework between the UK Government and the Welsh Assembly Government concerning Emergency Powers outlined in Part 2 of the Civil Contingencies Act 2004. While not legally binding, there is an expectation of adherence. The concordat aims to clarify the role of the Welsh Assembly Government during emergencies in Wales and is supplementary to functions conferred by the Act. It addresses preparedness, empowering the Assembly in devolved areas, and emphasizes collaboration in emergency response. The appointment of a Wales Emergency Coordinator and dispute resolution mechanisms are outlined. Regular reviews ensure the concordat's effectiveness, emphasizing a collaborative and responsive approach to emergency management in Wales.</w:t>
      </w:r>
      <w:r w:rsidR="006D3020" w:rsidRPr="002E039B">
        <w:rPr>
          <w:rFonts w:ascii="Calibri" w:hAnsi="Calibri" w:cs="Calibri"/>
        </w:rPr>
        <w:t xml:space="preserve"> </w:t>
      </w:r>
      <w:r w:rsidR="001C2C4C" w:rsidRPr="002E039B">
        <w:rPr>
          <w:rFonts w:ascii="Calibri" w:hAnsi="Calibri" w:cs="Calibri"/>
        </w:rPr>
        <w:t>(Concordat between the UK Government and the Welsh Assembly Government1 on the Civil Contingencies Act 2004)</w:t>
      </w:r>
    </w:p>
    <w:bookmarkEnd w:id="0"/>
    <w:bookmarkEnd w:id="6"/>
    <w:p w14:paraId="13966C04" w14:textId="46FC6910" w:rsidR="002D77E8" w:rsidRPr="002E039B" w:rsidRDefault="002D77E8" w:rsidP="00787E17">
      <w:pPr>
        <w:rPr>
          <w:rFonts w:ascii="Calibri" w:hAnsi="Calibri" w:cs="Calibri"/>
          <w:b/>
          <w:bCs/>
        </w:rPr>
      </w:pPr>
      <w:r w:rsidRPr="002E039B">
        <w:rPr>
          <w:rFonts w:ascii="Calibri" w:hAnsi="Calibri" w:cs="Calibri"/>
          <w:b/>
          <w:bCs/>
        </w:rPr>
        <w:t>Ensuring Responder Agencies Compliance</w:t>
      </w:r>
    </w:p>
    <w:p w14:paraId="1ED03172" w14:textId="77777777" w:rsidR="003E1CA6" w:rsidRPr="002E039B" w:rsidRDefault="003E1CA6" w:rsidP="00787E17">
      <w:pPr>
        <w:rPr>
          <w:rFonts w:ascii="Calibri" w:hAnsi="Calibri" w:cs="Calibri"/>
        </w:rPr>
      </w:pPr>
      <w:r w:rsidRPr="002E039B">
        <w:rPr>
          <w:rFonts w:ascii="Calibri" w:hAnsi="Calibri" w:cs="Calibri"/>
        </w:rPr>
        <w:t>Ensuring responder agencies' compliance with the duties and requirements outlined in the Civil Contingencies Act 2004 (CCA 2004) involves a combination of legal obligations, monitoring mechanisms, and collaborative efforts. Here are key aspects related to ensuring compliance by responder agencies:</w:t>
      </w:r>
    </w:p>
    <w:p w14:paraId="7513A4F4" w14:textId="77777777" w:rsidR="004519DD" w:rsidRPr="002E039B" w:rsidRDefault="004519DD" w:rsidP="004519DD">
      <w:pPr>
        <w:rPr>
          <w:rFonts w:ascii="Calibri" w:hAnsi="Calibri" w:cs="Calibri"/>
        </w:rPr>
      </w:pPr>
      <w:r w:rsidRPr="002E039B">
        <w:rPr>
          <w:rFonts w:ascii="Calibri" w:hAnsi="Calibri" w:cs="Calibri"/>
        </w:rPr>
        <w:lastRenderedPageBreak/>
        <w:t>Agencies are required to conduct risk assessments and develop emergency plans to address potential threats and hazards. These plans should be regularly reviewed and updated to reflect changing circumstances.</w:t>
      </w:r>
    </w:p>
    <w:p w14:paraId="577924CC" w14:textId="77777777" w:rsidR="003E1CA6" w:rsidRPr="002E039B" w:rsidRDefault="003E1CA6" w:rsidP="00787E17">
      <w:pPr>
        <w:rPr>
          <w:rFonts w:ascii="Calibri" w:hAnsi="Calibri" w:cs="Calibri"/>
        </w:rPr>
      </w:pPr>
      <w:r w:rsidRPr="002E039B">
        <w:rPr>
          <w:rFonts w:ascii="Calibri" w:hAnsi="Calibri" w:cs="Calibri"/>
        </w:rPr>
        <w:t>The CCA 2004 establishes legal duties for various organizations and agencies identified as "Category 1" and "Category 2" responders. These legal duties include the obligation to assess and plan for emergencies, cooperate with other responders, and share information.</w:t>
      </w:r>
    </w:p>
    <w:p w14:paraId="5F1682DF" w14:textId="7871A252" w:rsidR="00D94811" w:rsidRPr="002E039B" w:rsidRDefault="003E1CA6" w:rsidP="00787E17">
      <w:pPr>
        <w:rPr>
          <w:rFonts w:ascii="Calibri" w:hAnsi="Calibri" w:cs="Calibri"/>
        </w:rPr>
      </w:pPr>
      <w:r w:rsidRPr="002E039B">
        <w:rPr>
          <w:rFonts w:ascii="Calibri" w:hAnsi="Calibri" w:cs="Calibri"/>
        </w:rPr>
        <w:t>Responder agencies are required to work collaboratively and share information with other relevant organizations to ensure a coordinated response to emergencies. This cooperative approach is essential for effective emergency management.</w:t>
      </w:r>
      <w:r w:rsidR="00960ECE" w:rsidRPr="002E039B">
        <w:rPr>
          <w:rFonts w:ascii="Calibri" w:hAnsi="Calibri" w:cs="Calibri"/>
        </w:rPr>
        <w:t xml:space="preserve"> </w:t>
      </w:r>
      <w:r w:rsidR="00290A6A" w:rsidRPr="002E039B">
        <w:rPr>
          <w:rFonts w:ascii="Calibri" w:hAnsi="Calibri" w:cs="Calibri"/>
        </w:rPr>
        <w:t xml:space="preserve">This is mostly implemented through </w:t>
      </w:r>
      <w:r w:rsidR="005A4841" w:rsidRPr="002E039B">
        <w:rPr>
          <w:rFonts w:ascii="Calibri" w:hAnsi="Calibri" w:cs="Calibri"/>
        </w:rPr>
        <w:t>Local Resilience Forums’ (LRFs)</w:t>
      </w:r>
      <w:r w:rsidR="00624CFC" w:rsidRPr="002E039B">
        <w:rPr>
          <w:rFonts w:ascii="Calibri" w:hAnsi="Calibri" w:cs="Calibri"/>
        </w:rPr>
        <w:t xml:space="preserve">. LRFs play an important </w:t>
      </w:r>
      <w:r w:rsidR="00B92EBD" w:rsidRPr="002E039B">
        <w:rPr>
          <w:rFonts w:ascii="Calibri" w:hAnsi="Calibri" w:cs="Calibri"/>
        </w:rPr>
        <w:t xml:space="preserve">part in ensuring that responder agencies </w:t>
      </w:r>
      <w:r w:rsidR="00D94811" w:rsidRPr="002E039B">
        <w:rPr>
          <w:rFonts w:ascii="Calibri" w:hAnsi="Calibri" w:cs="Calibri"/>
        </w:rPr>
        <w:t>p</w:t>
      </w:r>
      <w:r w:rsidR="00CF28FD" w:rsidRPr="002E039B">
        <w:rPr>
          <w:rFonts w:ascii="Calibri" w:hAnsi="Calibri" w:cs="Calibri"/>
        </w:rPr>
        <w:t xml:space="preserve">lan for emergencies. </w:t>
      </w:r>
    </w:p>
    <w:p w14:paraId="20051ECF" w14:textId="3B0AC25E" w:rsidR="00815A9B" w:rsidRPr="002E039B" w:rsidRDefault="00DD24F8" w:rsidP="00787E17">
      <w:pPr>
        <w:rPr>
          <w:rFonts w:ascii="Calibri" w:hAnsi="Calibri" w:cs="Calibri"/>
        </w:rPr>
      </w:pPr>
      <w:r w:rsidRPr="002E039B">
        <w:rPr>
          <w:rFonts w:ascii="Calibri" w:hAnsi="Calibri" w:cs="Calibri"/>
        </w:rPr>
        <w:t xml:space="preserve">These plans once created against </w:t>
      </w:r>
      <w:r w:rsidR="004F5A07" w:rsidRPr="002E039B">
        <w:rPr>
          <w:rFonts w:ascii="Calibri" w:hAnsi="Calibri" w:cs="Calibri"/>
        </w:rPr>
        <w:t xml:space="preserve">the CRR which I have already explained in this assignment </w:t>
      </w:r>
      <w:r w:rsidR="00915903" w:rsidRPr="002E039B">
        <w:rPr>
          <w:rFonts w:ascii="Calibri" w:hAnsi="Calibri" w:cs="Calibri"/>
        </w:rPr>
        <w:t xml:space="preserve">are then reviewed on a regular basis (three years) and </w:t>
      </w:r>
      <w:r w:rsidR="00EC58F2" w:rsidRPr="002E039B">
        <w:rPr>
          <w:rFonts w:ascii="Calibri" w:hAnsi="Calibri" w:cs="Calibri"/>
        </w:rPr>
        <w:t xml:space="preserve">are also </w:t>
      </w:r>
      <w:r w:rsidR="00232E78" w:rsidRPr="002E039B">
        <w:rPr>
          <w:rFonts w:ascii="Calibri" w:hAnsi="Calibri" w:cs="Calibri"/>
        </w:rPr>
        <w:t>evaluated</w:t>
      </w:r>
      <w:r w:rsidR="00EC58F2" w:rsidRPr="002E039B">
        <w:rPr>
          <w:rFonts w:ascii="Calibri" w:hAnsi="Calibri" w:cs="Calibri"/>
        </w:rPr>
        <w:t xml:space="preserve"> through exercises to ensure any learning is </w:t>
      </w:r>
      <w:r w:rsidR="00FF1BEC" w:rsidRPr="002E039B">
        <w:rPr>
          <w:rFonts w:ascii="Calibri" w:hAnsi="Calibri" w:cs="Calibri"/>
        </w:rPr>
        <w:t>determined. This is also the case when the plan is used in a “real life incident</w:t>
      </w:r>
      <w:proofErr w:type="gramStart"/>
      <w:r w:rsidR="00FF1BEC" w:rsidRPr="002E039B">
        <w:rPr>
          <w:rFonts w:ascii="Calibri" w:hAnsi="Calibri" w:cs="Calibri"/>
        </w:rPr>
        <w:t>”.</w:t>
      </w:r>
      <w:proofErr w:type="gramEnd"/>
      <w:r w:rsidR="00FF1BEC" w:rsidRPr="002E039B">
        <w:rPr>
          <w:rFonts w:ascii="Calibri" w:hAnsi="Calibri" w:cs="Calibri"/>
        </w:rPr>
        <w:t xml:space="preserve"> The plan will undergo a </w:t>
      </w:r>
      <w:r w:rsidR="00C37CAA" w:rsidRPr="002E039B">
        <w:rPr>
          <w:rFonts w:ascii="Calibri" w:hAnsi="Calibri" w:cs="Calibri"/>
        </w:rPr>
        <w:t xml:space="preserve">post incident review (PIR) from both exercising </w:t>
      </w:r>
      <w:r w:rsidR="005C6868" w:rsidRPr="002E039B">
        <w:rPr>
          <w:rFonts w:ascii="Calibri" w:hAnsi="Calibri" w:cs="Calibri"/>
        </w:rPr>
        <w:t>and</w:t>
      </w:r>
      <w:r w:rsidR="00C37CAA" w:rsidRPr="002E039B">
        <w:rPr>
          <w:rFonts w:ascii="Calibri" w:hAnsi="Calibri" w:cs="Calibri"/>
        </w:rPr>
        <w:t xml:space="preserve"> use. This learning is captured and delivered to the relevant groups to undertake a review and amend </w:t>
      </w:r>
      <w:r w:rsidR="00A15E9A" w:rsidRPr="002E039B">
        <w:rPr>
          <w:rFonts w:ascii="Calibri" w:hAnsi="Calibri" w:cs="Calibri"/>
        </w:rPr>
        <w:t xml:space="preserve">and reissue the plan. This is usually facilitated by a LRF Coordinator. </w:t>
      </w:r>
      <w:r w:rsidR="005C6868" w:rsidRPr="002E039B">
        <w:rPr>
          <w:rFonts w:ascii="Calibri" w:hAnsi="Calibri" w:cs="Calibri"/>
        </w:rPr>
        <w:t>It also possible that a plan that does not currently exist and is generic on the NRR and the CRR can be requested by one of the groups or the local risk team</w:t>
      </w:r>
      <w:r w:rsidR="001029FF" w:rsidRPr="002E039B">
        <w:rPr>
          <w:rFonts w:ascii="Calibri" w:hAnsi="Calibri" w:cs="Calibri"/>
        </w:rPr>
        <w:t xml:space="preserve">. </w:t>
      </w:r>
    </w:p>
    <w:p w14:paraId="25702A33" w14:textId="15FF9B76" w:rsidR="008F4B2E" w:rsidRPr="002E039B" w:rsidRDefault="001029FF" w:rsidP="00787E17">
      <w:pPr>
        <w:rPr>
          <w:rFonts w:ascii="Calibri" w:hAnsi="Calibri" w:cs="Calibri"/>
        </w:rPr>
      </w:pPr>
      <w:r w:rsidRPr="002E039B">
        <w:rPr>
          <w:rFonts w:ascii="Calibri" w:hAnsi="Calibri" w:cs="Calibri"/>
        </w:rPr>
        <w:t xml:space="preserve">An example of this is a new risk which is a fire to an electric vehicle. This is a </w:t>
      </w:r>
      <w:r w:rsidR="003774AC" w:rsidRPr="002E039B">
        <w:rPr>
          <w:rFonts w:ascii="Calibri" w:hAnsi="Calibri" w:cs="Calibri"/>
        </w:rPr>
        <w:t xml:space="preserve">risk that is currently being discussed and a plan is </w:t>
      </w:r>
      <w:r w:rsidR="00E7744C" w:rsidRPr="002E039B">
        <w:rPr>
          <w:rFonts w:ascii="Calibri" w:hAnsi="Calibri" w:cs="Calibri"/>
        </w:rPr>
        <w:t>being</w:t>
      </w:r>
      <w:r w:rsidR="003774AC" w:rsidRPr="002E039B">
        <w:rPr>
          <w:rFonts w:ascii="Calibri" w:hAnsi="Calibri" w:cs="Calibri"/>
        </w:rPr>
        <w:t xml:space="preserve"> considered as a </w:t>
      </w:r>
      <w:r w:rsidR="00232E78" w:rsidRPr="002E039B">
        <w:rPr>
          <w:rFonts w:ascii="Calibri" w:hAnsi="Calibri" w:cs="Calibri"/>
        </w:rPr>
        <w:t>mitigation</w:t>
      </w:r>
      <w:r w:rsidR="00E7744C" w:rsidRPr="002E039B">
        <w:rPr>
          <w:rFonts w:ascii="Calibri" w:hAnsi="Calibri" w:cs="Calibri"/>
        </w:rPr>
        <w:t xml:space="preserve"> to this risk. </w:t>
      </w:r>
    </w:p>
    <w:p w14:paraId="43CD6264" w14:textId="77777777" w:rsidR="00A30804" w:rsidRDefault="001607A8" w:rsidP="00787E17">
      <w:pPr>
        <w:rPr>
          <w:rFonts w:ascii="Calibri" w:hAnsi="Calibri" w:cs="Calibri"/>
        </w:rPr>
      </w:pPr>
      <w:r w:rsidRPr="002E039B">
        <w:rPr>
          <w:rFonts w:ascii="Calibri" w:hAnsi="Calibri" w:cs="Calibri"/>
        </w:rPr>
        <w:t>Organizations responsible for emergency management may implement internal audit and review processes to assess compliance with statutory duties. These processes help identify areas for improvement and ensure that legal obligations are met.</w:t>
      </w:r>
      <w:r w:rsidR="00903643">
        <w:rPr>
          <w:rFonts w:ascii="Calibri" w:hAnsi="Calibri" w:cs="Calibri"/>
        </w:rPr>
        <w:t xml:space="preserve"> </w:t>
      </w:r>
    </w:p>
    <w:p w14:paraId="3B4934D7" w14:textId="77777777" w:rsidR="002B343B" w:rsidRDefault="00903643" w:rsidP="00551F52">
      <w:pPr>
        <w:rPr>
          <w:rFonts w:ascii="Calibri" w:hAnsi="Calibri" w:cs="Calibri"/>
        </w:rPr>
      </w:pPr>
      <w:r>
        <w:rPr>
          <w:rFonts w:ascii="Calibri" w:hAnsi="Calibri" w:cs="Calibri"/>
        </w:rPr>
        <w:t xml:space="preserve">There is also </w:t>
      </w:r>
      <w:r w:rsidR="0067326B">
        <w:rPr>
          <w:rFonts w:ascii="Calibri" w:hAnsi="Calibri" w:cs="Calibri"/>
        </w:rPr>
        <w:t xml:space="preserve">a measure through LRF Resilience Standards. </w:t>
      </w:r>
      <w:r w:rsidR="00B4056A" w:rsidRPr="00B4056A">
        <w:rPr>
          <w:rFonts w:ascii="Calibri" w:hAnsi="Calibri" w:cs="Calibri"/>
        </w:rPr>
        <w:t>The National Resilience Standards for Local Resilience Forums (LRFs) have been developed with input from various stakeholders, including government departments, agencies, devolved administrations, and local emergency responders</w:t>
      </w:r>
      <w:r w:rsidR="00657479">
        <w:rPr>
          <w:rFonts w:ascii="Calibri" w:hAnsi="Calibri" w:cs="Calibri"/>
        </w:rPr>
        <w:t xml:space="preserve"> </w:t>
      </w:r>
      <w:r w:rsidR="00F67ECB">
        <w:rPr>
          <w:rFonts w:ascii="Calibri" w:hAnsi="Calibri" w:cs="Calibri"/>
        </w:rPr>
        <w:t xml:space="preserve">and the JESIP </w:t>
      </w:r>
      <w:r w:rsidR="000B52AD">
        <w:rPr>
          <w:rFonts w:ascii="Calibri" w:hAnsi="Calibri" w:cs="Calibri"/>
        </w:rPr>
        <w:t>team</w:t>
      </w:r>
      <w:r w:rsidR="00F67ECB">
        <w:rPr>
          <w:rFonts w:ascii="Calibri" w:hAnsi="Calibri" w:cs="Calibri"/>
        </w:rPr>
        <w:t>.</w:t>
      </w:r>
      <w:r w:rsidR="00B4056A" w:rsidRPr="00B4056A">
        <w:rPr>
          <w:rFonts w:ascii="Calibri" w:hAnsi="Calibri" w:cs="Calibri"/>
        </w:rPr>
        <w:t xml:space="preserve"> These standards set expectations for good practices for LRFs. Complementary to existing statutory duties, they provide a framework for self-assessment, continuous improvement, and guide organizations at three levels: mandatory requirements, good practices, and leading practices.</w:t>
      </w:r>
    </w:p>
    <w:p w14:paraId="12F416ED" w14:textId="4C4E9314" w:rsidR="00A2651D" w:rsidRPr="002E039B" w:rsidRDefault="00551F52" w:rsidP="00787E17">
      <w:pPr>
        <w:rPr>
          <w:rFonts w:ascii="Calibri" w:hAnsi="Calibri" w:cs="Calibri"/>
        </w:rPr>
      </w:pPr>
      <w:r w:rsidRPr="00890306">
        <w:rPr>
          <w:rFonts w:ascii="Calibri" w:hAnsi="Calibri" w:cs="Calibri"/>
        </w:rPr>
        <w:t xml:space="preserve">Responder agencies play a crucial role in ensuring effective emergency preparedness and response through regular training exercises. These exercises serve as a mechanism to assess the agencies' readiness, identify strengths, weaknesses, and areas for improvement. </w:t>
      </w:r>
      <w:r w:rsidR="0026727A" w:rsidRPr="002E039B">
        <w:rPr>
          <w:rFonts w:ascii="Calibri" w:hAnsi="Calibri" w:cs="Calibri"/>
        </w:rPr>
        <w:t xml:space="preserve">Establishing a culture of sharing best practices and lessons learned is essential for the continuous improvement of responder agencies under the Civil Contingencies Act 2004 (CCA 2004). These agencies can refer to statutory guidance provided by government authorities for specific compliance instructions, offering practical advice and interpreting legal requirements. Government bodies responsible for emergency management implement oversight mechanisms, such as regular assessments and inspections, to monitor agencies' adherence to statutory obligations. Responder agencies are often required to submit reports detailing preparedness measures, actions during emergencies, and outcomes achieved to ensure transparency and accountability. Ongoing training programs are crucial for informing personnel about their roles and responsibilities under the CCA 2004. Legal consequences, including penalties or sanctions, may be imposed for non-compliance, underscoring the importance </w:t>
      </w:r>
      <w:r w:rsidR="0026727A" w:rsidRPr="002E039B">
        <w:rPr>
          <w:rFonts w:ascii="Calibri" w:hAnsi="Calibri" w:cs="Calibri"/>
        </w:rPr>
        <w:lastRenderedPageBreak/>
        <w:t>of a multifaceted approach to ensure adherence to statutory duties and foster a collaborative and continuously improving emergency response environment.</w:t>
      </w:r>
    </w:p>
    <w:p w14:paraId="06582F52" w14:textId="6C4C0623" w:rsidR="00673E91" w:rsidRPr="007A6889" w:rsidRDefault="002D77E8" w:rsidP="00673E91">
      <w:pPr>
        <w:rPr>
          <w:rFonts w:ascii="Calibri" w:hAnsi="Calibri" w:cs="Calibri"/>
          <w:b/>
          <w:bCs/>
        </w:rPr>
      </w:pPr>
      <w:r w:rsidRPr="007A6889">
        <w:rPr>
          <w:rFonts w:ascii="Calibri" w:hAnsi="Calibri" w:cs="Calibri"/>
          <w:b/>
          <w:bCs/>
        </w:rPr>
        <w:t>Conclusion</w:t>
      </w:r>
      <w:r w:rsidR="00D425A1" w:rsidRPr="007A6889">
        <w:rPr>
          <w:rFonts w:ascii="Calibri" w:hAnsi="Calibri" w:cs="Calibri"/>
          <w:b/>
          <w:bCs/>
        </w:rPr>
        <w:t xml:space="preserve"> </w:t>
      </w:r>
    </w:p>
    <w:p w14:paraId="209031F6" w14:textId="0814BAC9" w:rsidR="00673E91" w:rsidRPr="002E039B" w:rsidRDefault="000D3900" w:rsidP="00673E91">
      <w:pPr>
        <w:rPr>
          <w:rFonts w:ascii="Calibri" w:hAnsi="Calibri" w:cs="Calibri"/>
        </w:rPr>
      </w:pPr>
      <w:r w:rsidRPr="000D3900">
        <w:rPr>
          <w:rFonts w:ascii="Calibri" w:hAnsi="Calibri" w:cs="Calibri"/>
        </w:rPr>
        <w:t xml:space="preserve">In conclusion, the Civil Contingencies Act 2004 (CCA 2004) is a foundational element in the United Kingdom's legal framework, providing a robust and adaptable </w:t>
      </w:r>
      <w:r w:rsidR="00386ACA" w:rsidRPr="002E039B">
        <w:rPr>
          <w:rFonts w:ascii="Calibri" w:hAnsi="Calibri" w:cs="Calibri"/>
        </w:rPr>
        <w:t xml:space="preserve">and legally binding </w:t>
      </w:r>
      <w:r w:rsidRPr="000D3900">
        <w:rPr>
          <w:rFonts w:ascii="Calibri" w:hAnsi="Calibri" w:cs="Calibri"/>
        </w:rPr>
        <w:t>system to address a diverse range of risks and emergencies</w:t>
      </w:r>
      <w:r w:rsidR="00825A6A" w:rsidRPr="002E039B">
        <w:rPr>
          <w:rFonts w:ascii="Calibri" w:hAnsi="Calibri" w:cs="Calibri"/>
        </w:rPr>
        <w:t xml:space="preserve"> in the UK</w:t>
      </w:r>
      <w:r w:rsidRPr="000D3900">
        <w:rPr>
          <w:rFonts w:ascii="Calibri" w:hAnsi="Calibri" w:cs="Calibri"/>
        </w:rPr>
        <w:t>. Developed as a replacement for outdated legislation, the CCA 2004 offers a clear structure for emergency preparedness and response, spanning from natural disasters to potential terrorist threats. The Act's significance lies in its ability to establish a comprehensive strategy for managing crises, emphasizing collaboration, and ensuring public safety.</w:t>
      </w:r>
    </w:p>
    <w:p w14:paraId="73BF1D92" w14:textId="7EC48C62" w:rsidR="00673E91" w:rsidRPr="002E039B" w:rsidRDefault="000D3900" w:rsidP="00673E91">
      <w:pPr>
        <w:rPr>
          <w:rFonts w:ascii="Calibri" w:hAnsi="Calibri" w:cs="Calibri"/>
        </w:rPr>
      </w:pPr>
      <w:r w:rsidRPr="000D3900">
        <w:rPr>
          <w:rFonts w:ascii="Calibri" w:hAnsi="Calibri" w:cs="Calibri"/>
        </w:rPr>
        <w:t>Part 1 of the CCA 2004 focuses on local arrangements for civil protection, delineating the roles and responsibilities of Category 1 and Category 2 responders. These responders, including police, fire and rescue services, local authorities, NHS bodies, and others, entrusted with specific duties such as risk assessment, emergency planning, business continuity, and cooperative response efforts. Local Resilience Forums (LRFs) serve as essential mechanisms for coordination, promoting a unified approach to emergency management that encompasses risk assessment, planning, business continuity, public communication, information sharing, and cooperation among responders.</w:t>
      </w:r>
    </w:p>
    <w:p w14:paraId="70D167FB" w14:textId="77777777" w:rsidR="007A6889" w:rsidRDefault="000D3900" w:rsidP="007A6889">
      <w:pPr>
        <w:rPr>
          <w:rFonts w:ascii="Calibri" w:hAnsi="Calibri" w:cs="Calibri"/>
        </w:rPr>
      </w:pPr>
      <w:r w:rsidRPr="000D3900">
        <w:rPr>
          <w:rFonts w:ascii="Calibri" w:hAnsi="Calibri" w:cs="Calibri"/>
        </w:rPr>
        <w:t>Part 2 of the CCA 2004 addresses emergency powers, offering a framework for the government to respond to serious national emergencies. While granting broad authority during crises, the Act incorporates safeguards, parliamentary scrutiny, and legal review to maintain accountability and protect individual rights. The Transfer of Powers in 2018 extends these emergency powers regionally, allowing for tailored responses in Wales. However, the practical application of these powers, even during the COVID-19 pandemic, raises questions about their efficacy in certain situations.</w:t>
      </w:r>
    </w:p>
    <w:p w14:paraId="02E8F641" w14:textId="77777777" w:rsidR="007A6889" w:rsidRDefault="000D3900" w:rsidP="007A6889">
      <w:pPr>
        <w:rPr>
          <w:rFonts w:ascii="Calibri" w:hAnsi="Calibri" w:cs="Calibri"/>
        </w:rPr>
      </w:pPr>
      <w:r w:rsidRPr="000D3900">
        <w:rPr>
          <w:rFonts w:ascii="Calibri" w:hAnsi="Calibri" w:cs="Calibri"/>
        </w:rPr>
        <w:t>The Transfer of Functions to Welsh Ministers under the CCA 2004 marks a significant devolutionary step, recognizing Wales' unique emergency management needs. Despite a delayed acquisition of authority compared to Scotland, Welsh Ministers gained autonomy in 2018. This transfer aligns with the principles of devolution, granting Welsh authorities the power to shape policies and support devolved agencies, tailoring emergency preparedness strategies to their communities' specific needs.</w:t>
      </w:r>
    </w:p>
    <w:p w14:paraId="188FCB01" w14:textId="77777777" w:rsidR="007A6889" w:rsidRDefault="000D3900" w:rsidP="007A6889">
      <w:pPr>
        <w:rPr>
          <w:rFonts w:ascii="Calibri" w:hAnsi="Calibri" w:cs="Calibri"/>
        </w:rPr>
      </w:pPr>
      <w:r w:rsidRPr="000D3900">
        <w:rPr>
          <w:rFonts w:ascii="Calibri" w:hAnsi="Calibri" w:cs="Calibri"/>
        </w:rPr>
        <w:t>The concordat between the UK Government and the Welsh Assembly Government further reinforces collaboration, setting expectations for adherence and clarifying roles during emergencies. While not legally binding, regular reviews ensure the concordat's effectiveness in fostering a responsive and collaborative emergency management environment. The Welsh Ministers' increased authority allows for a more localized response to potential risks, yet collaboration with the UK government and other devolved administrations remains crucial for an integrated approach that transcends regional boundaries.</w:t>
      </w:r>
    </w:p>
    <w:p w14:paraId="1687B7B5" w14:textId="3E3BD60F" w:rsidR="000D3900" w:rsidRPr="000D3900" w:rsidRDefault="000D3900" w:rsidP="007A6889">
      <w:pPr>
        <w:rPr>
          <w:rFonts w:ascii="Calibri" w:hAnsi="Calibri" w:cs="Calibri"/>
        </w:rPr>
      </w:pPr>
      <w:r w:rsidRPr="000D3900">
        <w:rPr>
          <w:rFonts w:ascii="Calibri" w:hAnsi="Calibri" w:cs="Calibri"/>
        </w:rPr>
        <w:t>In the context of compliance with the CCA 2004, responder agencies, categorized as Category 1 and Category 2, play pivotal roles in risk assessment, emergency planning, and cooperation through LRFs. Although plans are often reactive, regular testing and reviews ensure continuous improvement. A culture of sharing best practices, ongoing training, and legal consequences for non-compliance contribute to a robust and accountable emergency response environment.</w:t>
      </w:r>
    </w:p>
    <w:p w14:paraId="6F9F636F" w14:textId="0E6BEE75" w:rsidR="000D3900" w:rsidRPr="000D3900" w:rsidRDefault="00232E78" w:rsidP="000D3900">
      <w:pPr>
        <w:keepNext/>
        <w:keepLines/>
        <w:spacing w:before="240" w:after="0"/>
        <w:outlineLvl w:val="0"/>
        <w:rPr>
          <w:rFonts w:ascii="Calibri" w:hAnsi="Calibri" w:cs="Calibri"/>
        </w:rPr>
      </w:pPr>
      <w:r w:rsidRPr="000D3900">
        <w:rPr>
          <w:rFonts w:ascii="Calibri" w:hAnsi="Calibri" w:cs="Calibri"/>
        </w:rPr>
        <w:lastRenderedPageBreak/>
        <w:t>The</w:t>
      </w:r>
      <w:r w:rsidR="000D3900" w:rsidRPr="000D3900">
        <w:rPr>
          <w:rFonts w:ascii="Calibri" w:hAnsi="Calibri" w:cs="Calibri"/>
        </w:rPr>
        <w:t xml:space="preserve"> CCA 2004 provides a comprehensive legal framework for emergency preparedness and response in the UK. While certain aspects have not been extensively </w:t>
      </w:r>
      <w:r w:rsidRPr="000D3900">
        <w:rPr>
          <w:rFonts w:ascii="Calibri" w:hAnsi="Calibri" w:cs="Calibri"/>
        </w:rPr>
        <w:t>evaluated</w:t>
      </w:r>
      <w:r w:rsidR="000D3900" w:rsidRPr="000D3900">
        <w:rPr>
          <w:rFonts w:ascii="Calibri" w:hAnsi="Calibri" w:cs="Calibri"/>
        </w:rPr>
        <w:t>, the Act remains a crucial tool in safeguarding citizens and addressing a wide range of potential crises. Continuous evaluation, adaptation, and collaboration among responders will be vital to ensuring the ongoing effectiveness of the CCA 2004 in the face of evolving challenges.</w:t>
      </w:r>
    </w:p>
    <w:p w14:paraId="4ED2A8A4" w14:textId="56ED78EA" w:rsidR="0042396E" w:rsidRDefault="0042396E" w:rsidP="00002DF4">
      <w:pPr>
        <w:rPr>
          <w:rFonts w:ascii="Arial" w:hAnsi="Arial" w:cs="Arial"/>
        </w:rPr>
      </w:pPr>
      <w:r w:rsidRPr="00614539">
        <w:rPr>
          <w:rFonts w:ascii="Arial" w:hAnsi="Arial" w:cs="Arial"/>
        </w:rPr>
        <w:br/>
      </w:r>
    </w:p>
    <w:p w14:paraId="7F6A12AC" w14:textId="77777777" w:rsidR="006F196C" w:rsidRPr="00673E91" w:rsidRDefault="006F196C" w:rsidP="006F196C">
      <w:pPr>
        <w:rPr>
          <w:rFonts w:ascii="Arial" w:hAnsi="Arial" w:cs="Arial"/>
        </w:rPr>
      </w:pPr>
    </w:p>
    <w:p w14:paraId="1DC03B1C" w14:textId="77777777" w:rsidR="003E29C2" w:rsidRDefault="003E29C2" w:rsidP="006F196C"/>
    <w:p w14:paraId="79887768" w14:textId="77777777" w:rsidR="003E29C2" w:rsidRDefault="003E29C2" w:rsidP="006F196C"/>
    <w:p w14:paraId="258E1DEC" w14:textId="77777777" w:rsidR="003E29C2" w:rsidRDefault="003E29C2" w:rsidP="006F196C"/>
    <w:p w14:paraId="2BF759CC" w14:textId="77777777" w:rsidR="003E29C2" w:rsidRDefault="003E29C2" w:rsidP="006F196C"/>
    <w:p w14:paraId="6FF7932B" w14:textId="77777777" w:rsidR="003E29C2" w:rsidRDefault="003E29C2" w:rsidP="006F196C"/>
    <w:p w14:paraId="184EBF1C" w14:textId="77777777" w:rsidR="003E29C2" w:rsidRDefault="003E29C2" w:rsidP="006F196C"/>
    <w:p w14:paraId="6E43AD2F" w14:textId="77777777" w:rsidR="002E039B" w:rsidRDefault="002E039B" w:rsidP="006F196C"/>
    <w:p w14:paraId="21544937" w14:textId="77777777" w:rsidR="002E039B" w:rsidRDefault="002E039B" w:rsidP="006F196C"/>
    <w:p w14:paraId="6A3610CD" w14:textId="77777777" w:rsidR="002E039B" w:rsidRDefault="002E039B" w:rsidP="006F196C"/>
    <w:p w14:paraId="5457D7CA" w14:textId="77777777" w:rsidR="00673E91" w:rsidRDefault="00673E91" w:rsidP="006F196C"/>
    <w:p w14:paraId="7E3426B1" w14:textId="77777777" w:rsidR="007A6889" w:rsidRDefault="007A6889" w:rsidP="006F196C"/>
    <w:p w14:paraId="1F60E02E" w14:textId="77777777" w:rsidR="007A6889" w:rsidRDefault="007A6889" w:rsidP="006F196C"/>
    <w:p w14:paraId="692275F3" w14:textId="77777777" w:rsidR="004A77C7" w:rsidRDefault="004A77C7" w:rsidP="006F196C"/>
    <w:p w14:paraId="157D8A8E" w14:textId="77777777" w:rsidR="004A77C7" w:rsidRDefault="004A77C7" w:rsidP="006F196C"/>
    <w:p w14:paraId="05594948" w14:textId="77777777" w:rsidR="004A77C7" w:rsidRDefault="004A77C7" w:rsidP="006F196C"/>
    <w:p w14:paraId="05E9FF21" w14:textId="77777777" w:rsidR="004A77C7" w:rsidRDefault="004A77C7" w:rsidP="006F196C"/>
    <w:p w14:paraId="3549D72E" w14:textId="77777777" w:rsidR="004A77C7" w:rsidRDefault="004A77C7" w:rsidP="006F196C"/>
    <w:p w14:paraId="227350B1" w14:textId="77777777" w:rsidR="004A77C7" w:rsidRDefault="004A77C7" w:rsidP="006F196C"/>
    <w:p w14:paraId="2B2F154F" w14:textId="77777777" w:rsidR="004A77C7" w:rsidRDefault="004A77C7" w:rsidP="006F196C"/>
    <w:p w14:paraId="70BDC34E" w14:textId="77777777" w:rsidR="004A77C7" w:rsidRDefault="004A77C7" w:rsidP="006F196C"/>
    <w:p w14:paraId="36572017" w14:textId="77777777" w:rsidR="004A77C7" w:rsidRDefault="004A77C7" w:rsidP="006F196C"/>
    <w:p w14:paraId="3716B9EF" w14:textId="77777777" w:rsidR="004A77C7" w:rsidRDefault="004A77C7" w:rsidP="006F196C"/>
    <w:p w14:paraId="245DC844" w14:textId="77777777" w:rsidR="003122D3" w:rsidRDefault="003122D3" w:rsidP="006F196C"/>
    <w:p w14:paraId="5EAE2288" w14:textId="77777777" w:rsidR="003122D3" w:rsidRDefault="003122D3" w:rsidP="006F196C"/>
    <w:p w14:paraId="4F2ECB7D" w14:textId="77777777" w:rsidR="003E29C2" w:rsidRDefault="003E29C2" w:rsidP="006F196C"/>
    <w:p w14:paraId="64561908" w14:textId="617FF546" w:rsidR="00CD1262" w:rsidRDefault="00276D1D" w:rsidP="006F196C">
      <w:r w:rsidRPr="00276D1D">
        <w:lastRenderedPageBreak/>
        <w:t>Appendix 1</w:t>
      </w:r>
    </w:p>
    <w:p w14:paraId="5AA7ACE9" w14:textId="5815A64C" w:rsidR="008B25E8" w:rsidRPr="00276D1D" w:rsidRDefault="00D524A7" w:rsidP="006F196C">
      <w:r>
        <w:rPr>
          <w:noProof/>
        </w:rPr>
        <w:drawing>
          <wp:inline distT="0" distB="0" distL="0" distR="0" wp14:anchorId="5199A932" wp14:editId="0DEE33D2">
            <wp:extent cx="5731510" cy="3371850"/>
            <wp:effectExtent l="0" t="0" r="2540" b="0"/>
            <wp:docPr id="353203835" name="Picture 1" descr="A list of subjects in schedu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203835" name="Picture 1" descr="A list of subjects in schedule&#10;&#10;Description automatically generated"/>
                    <pic:cNvPicPr/>
                  </pic:nvPicPr>
                  <pic:blipFill>
                    <a:blip r:embed="rId7"/>
                    <a:stretch>
                      <a:fillRect/>
                    </a:stretch>
                  </pic:blipFill>
                  <pic:spPr>
                    <a:xfrm>
                      <a:off x="0" y="0"/>
                      <a:ext cx="5731510" cy="3371850"/>
                    </a:xfrm>
                    <a:prstGeom prst="rect">
                      <a:avLst/>
                    </a:prstGeom>
                  </pic:spPr>
                </pic:pic>
              </a:graphicData>
            </a:graphic>
          </wp:inline>
        </w:drawing>
      </w:r>
    </w:p>
    <w:p w14:paraId="63EAEF8F" w14:textId="3A9F9F6B" w:rsidR="005F49DE" w:rsidRDefault="005F49DE" w:rsidP="002D3451">
      <w:r>
        <w:t>Appendix 2</w:t>
      </w:r>
    </w:p>
    <w:p w14:paraId="62241C35" w14:textId="09CDB03D" w:rsidR="00103D2B" w:rsidRDefault="00276D1D" w:rsidP="002D3451">
      <w:pPr>
        <w:rPr>
          <w:rFonts w:ascii="Arial" w:hAnsi="Arial" w:cs="Arial"/>
          <w:color w:val="0D405F"/>
          <w:sz w:val="21"/>
          <w:szCs w:val="21"/>
          <w:shd w:val="clear" w:color="auto" w:fill="FFFFFF"/>
        </w:rPr>
      </w:pPr>
      <w:r>
        <w:rPr>
          <w:noProof/>
        </w:rPr>
        <w:drawing>
          <wp:inline distT="0" distB="0" distL="0" distR="0" wp14:anchorId="32EEB8A7" wp14:editId="541A5824">
            <wp:extent cx="5731510" cy="2431415"/>
            <wp:effectExtent l="0" t="0" r="2540" b="6985"/>
            <wp:docPr id="12145643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564396" name="Picture 1" descr="A screenshot of a computer&#10;&#10;Description automatically generated"/>
                    <pic:cNvPicPr/>
                  </pic:nvPicPr>
                  <pic:blipFill>
                    <a:blip r:embed="rId8"/>
                    <a:stretch>
                      <a:fillRect/>
                    </a:stretch>
                  </pic:blipFill>
                  <pic:spPr>
                    <a:xfrm>
                      <a:off x="0" y="0"/>
                      <a:ext cx="5731510" cy="2431415"/>
                    </a:xfrm>
                    <a:prstGeom prst="rect">
                      <a:avLst/>
                    </a:prstGeom>
                  </pic:spPr>
                </pic:pic>
              </a:graphicData>
            </a:graphic>
          </wp:inline>
        </w:drawing>
      </w:r>
    </w:p>
    <w:p w14:paraId="4C520886" w14:textId="77777777" w:rsidR="00276D1D" w:rsidRDefault="00276D1D" w:rsidP="002D3451">
      <w:pPr>
        <w:rPr>
          <w:rFonts w:ascii="Arial" w:hAnsi="Arial" w:cs="Arial"/>
          <w:color w:val="0D405F"/>
          <w:sz w:val="21"/>
          <w:szCs w:val="21"/>
          <w:shd w:val="clear" w:color="auto" w:fill="FFFFFF"/>
        </w:rPr>
      </w:pPr>
    </w:p>
    <w:p w14:paraId="230282AD" w14:textId="11B4489A" w:rsidR="00103D2B" w:rsidRDefault="00514CB8" w:rsidP="002D3451">
      <w:pPr>
        <w:rPr>
          <w:rFonts w:ascii="Arial" w:hAnsi="Arial" w:cs="Arial"/>
          <w:color w:val="0D405F"/>
          <w:sz w:val="21"/>
          <w:szCs w:val="21"/>
          <w:shd w:val="clear" w:color="auto" w:fill="FFFFFF"/>
        </w:rPr>
      </w:pPr>
      <w:r>
        <w:rPr>
          <w:rFonts w:ascii="Arial" w:hAnsi="Arial" w:cs="Arial"/>
          <w:color w:val="0D405F"/>
          <w:sz w:val="21"/>
          <w:szCs w:val="21"/>
          <w:shd w:val="clear" w:color="auto" w:fill="FFFFFF"/>
        </w:rPr>
        <w:t>References:</w:t>
      </w:r>
    </w:p>
    <w:p w14:paraId="59487CC6" w14:textId="77777777" w:rsidR="00514CB8" w:rsidRDefault="00514CB8" w:rsidP="002D3451">
      <w:pPr>
        <w:rPr>
          <w:rFonts w:ascii="Arial" w:hAnsi="Arial" w:cs="Arial"/>
          <w:color w:val="0D405F"/>
          <w:sz w:val="21"/>
          <w:szCs w:val="21"/>
          <w:shd w:val="clear" w:color="auto" w:fill="FFFFFF"/>
        </w:rPr>
      </w:pPr>
    </w:p>
    <w:p w14:paraId="7AD7FBE6" w14:textId="0F5FCE8F" w:rsidR="00304094" w:rsidRDefault="00B06A22" w:rsidP="00B06A22">
      <w:r>
        <w:t>Cabinet Office (201</w:t>
      </w:r>
      <w:r w:rsidR="006308F9">
        <w:t>2</w:t>
      </w:r>
      <w:r>
        <w:t xml:space="preserve">) </w:t>
      </w:r>
      <w:r w:rsidR="004F1268" w:rsidRPr="004F1268">
        <w:t xml:space="preserve">Impact assessment relating to the Civil Contingencies Act 2004 (Contingency Planning) (Amendment) Regulations </w:t>
      </w:r>
      <w:r w:rsidR="002712D0" w:rsidRPr="004F1268">
        <w:t>2012</w:t>
      </w:r>
      <w:r w:rsidR="002712D0">
        <w:t xml:space="preserve"> Available at:</w:t>
      </w:r>
    </w:p>
    <w:p w14:paraId="25C94BD7" w14:textId="28C0F812" w:rsidR="00CC7EA7" w:rsidRDefault="00304094" w:rsidP="00B06A22">
      <w:hyperlink r:id="rId9" w:history="1">
        <w:r w:rsidRPr="00961994">
          <w:rPr>
            <w:rStyle w:val="Hyperlink"/>
          </w:rPr>
          <w:t>https://www.gov.uk/government/publications/the-civil-contingencies-act-2004-contingency-planning-amendment-regulations-2012-impact-assessment</w:t>
        </w:r>
      </w:hyperlink>
      <w:r w:rsidR="00B06A22">
        <w:t xml:space="preserve"> </w:t>
      </w:r>
      <w:r w:rsidR="00CC7BFF">
        <w:t xml:space="preserve"> </w:t>
      </w:r>
      <w:r w:rsidR="0087634E" w:rsidRPr="00627007">
        <w:t xml:space="preserve">(Accessed 11th </w:t>
      </w:r>
      <w:r w:rsidR="0087634E">
        <w:t>December</w:t>
      </w:r>
      <w:r w:rsidR="0087634E" w:rsidRPr="00627007">
        <w:t xml:space="preserve"> 2023)</w:t>
      </w:r>
    </w:p>
    <w:p w14:paraId="65987B92" w14:textId="04ADE8FB" w:rsidR="00CC7EA7" w:rsidRDefault="00A35452" w:rsidP="00A35452">
      <w:r>
        <w:lastRenderedPageBreak/>
        <w:t>Cabinet Office (</w:t>
      </w:r>
      <w:r w:rsidR="0040094E">
        <w:t xml:space="preserve">October </w:t>
      </w:r>
      <w:r>
        <w:t xml:space="preserve">2011) </w:t>
      </w:r>
      <w:r w:rsidRPr="00BD5543">
        <w:rPr>
          <w:i/>
        </w:rPr>
        <w:t>Chapter 5: Emergency Planning</w:t>
      </w:r>
      <w:r>
        <w:rPr>
          <w:i/>
        </w:rPr>
        <w:t xml:space="preserve"> </w:t>
      </w:r>
      <w:r>
        <w:t xml:space="preserve"> </w:t>
      </w:r>
      <w:r w:rsidR="002712D0">
        <w:t>Available at:</w:t>
      </w:r>
      <w:r>
        <w:t xml:space="preserve"> </w:t>
      </w:r>
      <w:hyperlink r:id="rId10" w:history="1">
        <w:r w:rsidRPr="00A653D9">
          <w:rPr>
            <w:rStyle w:val="Hyperlink"/>
          </w:rPr>
          <w:t>https://www.gov.uk/government/uploa</w:t>
        </w:r>
        <w:r w:rsidRPr="00A653D9">
          <w:rPr>
            <w:rStyle w:val="Hyperlink"/>
          </w:rPr>
          <w:t>ds/system/uploads/attachment_data/file/61028/Emergency_Preparedness_chapter5_amends_21112011.pdf</w:t>
        </w:r>
      </w:hyperlink>
      <w:r>
        <w:t xml:space="preserve"> </w:t>
      </w:r>
      <w:r w:rsidR="0087634E" w:rsidRPr="00627007">
        <w:t xml:space="preserve">(Accessed 11th </w:t>
      </w:r>
      <w:r w:rsidR="0087634E">
        <w:t>December</w:t>
      </w:r>
      <w:r w:rsidR="0087634E" w:rsidRPr="00627007">
        <w:t xml:space="preserve"> 2023)</w:t>
      </w:r>
    </w:p>
    <w:p w14:paraId="3058E24C" w14:textId="77777777" w:rsidR="00A578A2" w:rsidRDefault="00A578A2" w:rsidP="00A35452"/>
    <w:p w14:paraId="05FF7A84" w14:textId="1BA7CE03" w:rsidR="008E22B8" w:rsidRDefault="00DE0CF0" w:rsidP="002D3451">
      <w:r>
        <w:t>Civil Contingencies Act (2004</w:t>
      </w:r>
      <w:r w:rsidR="00763E32">
        <w:t xml:space="preserve">) </w:t>
      </w:r>
      <w:r w:rsidR="002712D0">
        <w:t>Available at:</w:t>
      </w:r>
      <w:r>
        <w:t xml:space="preserve"> </w:t>
      </w:r>
      <w:hyperlink r:id="rId11" w:history="1">
        <w:r w:rsidRPr="00B03F5A">
          <w:rPr>
            <w:rStyle w:val="Hyperlink"/>
          </w:rPr>
          <w:t>http://www.legislation.gov.uk/ukpga/2004/36/section/1</w:t>
        </w:r>
      </w:hyperlink>
      <w:r>
        <w:t xml:space="preserve"> </w:t>
      </w:r>
      <w:r w:rsidR="009E29A3" w:rsidRPr="00627007">
        <w:t xml:space="preserve">(Accessed 11th </w:t>
      </w:r>
      <w:r w:rsidR="009E29A3">
        <w:t>December</w:t>
      </w:r>
      <w:r w:rsidR="009E29A3" w:rsidRPr="00627007">
        <w:t xml:space="preserve"> 2023)</w:t>
      </w:r>
    </w:p>
    <w:p w14:paraId="009D0AFC" w14:textId="77777777" w:rsidR="009E29A3" w:rsidRDefault="009E29A3" w:rsidP="002D3451"/>
    <w:p w14:paraId="1312E8A5" w14:textId="2EBD3457" w:rsidR="003F1AE4" w:rsidRDefault="00B10896" w:rsidP="002D3451">
      <w:r>
        <w:t xml:space="preserve">JRSIP </w:t>
      </w:r>
      <w:r w:rsidR="00A578A2">
        <w:t>(28</w:t>
      </w:r>
      <w:r w:rsidR="00A578A2" w:rsidRPr="00A578A2">
        <w:rPr>
          <w:vertAlign w:val="superscript"/>
        </w:rPr>
        <w:t>th</w:t>
      </w:r>
      <w:r w:rsidR="00A578A2">
        <w:t xml:space="preserve"> April 2022</w:t>
      </w:r>
      <w:r w:rsidR="00763E32">
        <w:t xml:space="preserve">) </w:t>
      </w:r>
      <w:r w:rsidR="002712D0">
        <w:t>Available at:</w:t>
      </w:r>
    </w:p>
    <w:p w14:paraId="6B574689" w14:textId="6C05E87B" w:rsidR="003D40DA" w:rsidRDefault="003F1AE4" w:rsidP="002D3451">
      <w:hyperlink r:id="rId12" w:history="1">
        <w:r w:rsidRPr="00961994">
          <w:rPr>
            <w:rStyle w:val="Hyperlink"/>
          </w:rPr>
          <w:t>https://ww</w:t>
        </w:r>
        <w:r w:rsidRPr="00961994">
          <w:rPr>
            <w:rStyle w:val="Hyperlink"/>
          </w:rPr>
          <w:t>w.jesip.org.uk/</w:t>
        </w:r>
      </w:hyperlink>
      <w:r w:rsidR="008E22B8">
        <w:t xml:space="preserve"> </w:t>
      </w:r>
      <w:bookmarkStart w:id="7" w:name="_Hlk155955966"/>
      <w:r w:rsidR="008E22B8" w:rsidRPr="00627007">
        <w:t xml:space="preserve">(Accessed 11th </w:t>
      </w:r>
      <w:r w:rsidR="008E22B8">
        <w:t>December</w:t>
      </w:r>
      <w:r w:rsidR="008E22B8" w:rsidRPr="00627007">
        <w:t xml:space="preserve"> 2023)</w:t>
      </w:r>
      <w:bookmarkEnd w:id="7"/>
    </w:p>
    <w:p w14:paraId="75BF63AE" w14:textId="77777777" w:rsidR="009E29A3" w:rsidRDefault="009E29A3" w:rsidP="002D3451"/>
    <w:p w14:paraId="55B41E6B" w14:textId="00E3C013" w:rsidR="009E7E4D" w:rsidRDefault="003F1AE4" w:rsidP="002D3451">
      <w:r>
        <w:t xml:space="preserve">Cabinet Office </w:t>
      </w:r>
      <w:r w:rsidR="008B0ADE">
        <w:t xml:space="preserve">(2020) </w:t>
      </w:r>
      <w:r w:rsidR="00F757E3">
        <w:t xml:space="preserve">National Resilience Standards for Local Resilience </w:t>
      </w:r>
      <w:r w:rsidR="007D6344">
        <w:t xml:space="preserve">Forums (LRFs) </w:t>
      </w:r>
      <w:r>
        <w:t>v</w:t>
      </w:r>
      <w:r w:rsidR="007A5B95">
        <w:t>3 (2020</w:t>
      </w:r>
      <w:r w:rsidR="002712D0">
        <w:t xml:space="preserve">) </w:t>
      </w:r>
      <w:r w:rsidR="002712D0" w:rsidRPr="00F311EB">
        <w:t>Available</w:t>
      </w:r>
      <w:r w:rsidR="002712D0">
        <w:t xml:space="preserve"> at:</w:t>
      </w:r>
    </w:p>
    <w:p w14:paraId="776C736A" w14:textId="287389B7" w:rsidR="00CC7EA7" w:rsidRDefault="009E7E4D" w:rsidP="002D3451">
      <w:hyperlink r:id="rId13" w:history="1">
        <w:r w:rsidRPr="00961994">
          <w:rPr>
            <w:rStyle w:val="Hyperlink"/>
          </w:rPr>
          <w:t>https://assets.p</w:t>
        </w:r>
        <w:r w:rsidRPr="00961994">
          <w:rPr>
            <w:rStyle w:val="Hyperlink"/>
          </w:rPr>
          <w:t>ublishing.service.gov.uk/media/5f4e1107e90e071c6c7d940c/NRS_for_LRFs_V3.0__Aug2020.pdf</w:t>
        </w:r>
      </w:hyperlink>
      <w:r w:rsidR="007A6889">
        <w:t xml:space="preserve"> </w:t>
      </w:r>
      <w:r w:rsidR="007D6344">
        <w:t xml:space="preserve"> </w:t>
      </w:r>
      <w:r w:rsidR="007A6889" w:rsidRPr="007D6344">
        <w:t>(Accessed 11th January 2024)</w:t>
      </w:r>
    </w:p>
    <w:p w14:paraId="61CB2F64" w14:textId="77777777" w:rsidR="009E29A3" w:rsidRPr="00DE0CF0" w:rsidRDefault="009E29A3" w:rsidP="002D3451"/>
    <w:p w14:paraId="72EACE68" w14:textId="1BD3553B" w:rsidR="00CB6845" w:rsidRPr="00F311EB" w:rsidRDefault="00B447A7" w:rsidP="002D3451">
      <w:bookmarkStart w:id="8" w:name="_Hlk155955866"/>
      <w:r>
        <w:t>Betsi Cadwalad</w:t>
      </w:r>
      <w:r w:rsidR="0094595E">
        <w:t xml:space="preserve">r University Health Board </w:t>
      </w:r>
      <w:r w:rsidR="00E90DC2">
        <w:t xml:space="preserve">(2023) </w:t>
      </w:r>
      <w:proofErr w:type="gramStart"/>
      <w:r w:rsidR="0094595E">
        <w:t>special measures</w:t>
      </w:r>
      <w:proofErr w:type="gramEnd"/>
      <w:r w:rsidR="0094595E">
        <w:t xml:space="preserve"> framework</w:t>
      </w:r>
      <w:r w:rsidR="0041407B">
        <w:t xml:space="preserve">, March to </w:t>
      </w:r>
      <w:r w:rsidR="00763E32">
        <w:t>December Available</w:t>
      </w:r>
      <w:r w:rsidR="00103D2B" w:rsidRPr="00F311EB">
        <w:t xml:space="preserve"> at:</w:t>
      </w:r>
    </w:p>
    <w:bookmarkEnd w:id="8"/>
    <w:p w14:paraId="5F28A97B" w14:textId="1B33CD1F" w:rsidR="00CC7EA7" w:rsidRDefault="00684FB8" w:rsidP="005C1F7E">
      <w:r>
        <w:rPr>
          <w:rFonts w:ascii="Segoe UI" w:hAnsi="Segoe UI" w:cs="Segoe UI"/>
          <w:color w:val="374151"/>
        </w:rPr>
        <w:fldChar w:fldCharType="begin"/>
      </w:r>
      <w:r>
        <w:rPr>
          <w:rFonts w:ascii="Segoe UI" w:hAnsi="Segoe UI" w:cs="Segoe UI"/>
          <w:color w:val="374151"/>
        </w:rPr>
        <w:instrText>HYPERLINK "</w:instrText>
      </w:r>
      <w:r w:rsidRPr="00684FB8">
        <w:rPr>
          <w:rFonts w:ascii="Segoe UI" w:hAnsi="Segoe UI" w:cs="Segoe UI"/>
          <w:color w:val="374151"/>
        </w:rPr>
        <w:instrText>https://www.gov.wales/betsi-cadwaladr-university-health-board-special-measures-framework-march-december-2023-html</w:instrText>
      </w:r>
      <w:r>
        <w:rPr>
          <w:rFonts w:ascii="Segoe UI" w:hAnsi="Segoe UI" w:cs="Segoe UI"/>
          <w:color w:val="374151"/>
        </w:rPr>
        <w:instrText>"</w:instrText>
      </w:r>
      <w:r>
        <w:rPr>
          <w:rFonts w:ascii="Segoe UI" w:hAnsi="Segoe UI" w:cs="Segoe UI"/>
          <w:color w:val="374151"/>
        </w:rPr>
        <w:fldChar w:fldCharType="separate"/>
      </w:r>
      <w:r w:rsidRPr="00961994">
        <w:rPr>
          <w:rStyle w:val="Hyperlink"/>
          <w:rFonts w:ascii="Segoe UI" w:hAnsi="Segoe UI" w:cs="Segoe UI"/>
        </w:rPr>
        <w:t>https://www.gov.wales/betsi-cadwaladr-university-health-board-special-measures-framework-march-dec</w:t>
      </w:r>
      <w:r w:rsidRPr="00961994">
        <w:rPr>
          <w:rStyle w:val="Hyperlink"/>
          <w:rFonts w:ascii="Segoe UI" w:hAnsi="Segoe UI" w:cs="Segoe UI"/>
        </w:rPr>
        <w:t>ember-2023-html</w:t>
      </w:r>
      <w:r>
        <w:rPr>
          <w:rFonts w:ascii="Segoe UI" w:hAnsi="Segoe UI" w:cs="Segoe UI"/>
          <w:color w:val="374151"/>
        </w:rPr>
        <w:fldChar w:fldCharType="end"/>
      </w:r>
      <w:r w:rsidR="00570EB7">
        <w:rPr>
          <w:rFonts w:ascii="Segoe UI" w:hAnsi="Segoe UI" w:cs="Segoe UI"/>
          <w:color w:val="374151"/>
        </w:rPr>
        <w:t xml:space="preserve"> </w:t>
      </w:r>
      <w:r w:rsidR="0035201B" w:rsidRPr="00627007">
        <w:t xml:space="preserve">(Accessed 11th </w:t>
      </w:r>
      <w:r w:rsidR="0035201B">
        <w:t>December</w:t>
      </w:r>
      <w:r w:rsidR="0035201B" w:rsidRPr="00627007">
        <w:t xml:space="preserve"> 2023)</w:t>
      </w:r>
    </w:p>
    <w:p w14:paraId="36A96093" w14:textId="77777777" w:rsidR="00A578A2" w:rsidRPr="00E23DD6" w:rsidRDefault="00A578A2" w:rsidP="005C1F7E"/>
    <w:p w14:paraId="75223783" w14:textId="7861277E" w:rsidR="005C1F7E" w:rsidRPr="00F311EB" w:rsidRDefault="005E4E5F" w:rsidP="002D3451">
      <w:r>
        <w:t xml:space="preserve">Welsh Government </w:t>
      </w:r>
      <w:r w:rsidR="008F31E5">
        <w:t xml:space="preserve">(2021) </w:t>
      </w:r>
      <w:r w:rsidR="009E7F77">
        <w:t xml:space="preserve">Law Wales Health and Health services – what is </w:t>
      </w:r>
      <w:r w:rsidR="002712D0">
        <w:t>devolved. Available</w:t>
      </w:r>
      <w:r w:rsidR="005C1F7E" w:rsidRPr="00F311EB">
        <w:t xml:space="preserve"> at:</w:t>
      </w:r>
    </w:p>
    <w:p w14:paraId="2C09ABDB" w14:textId="39E0DFF2" w:rsidR="007A6889" w:rsidRDefault="005C1F7E" w:rsidP="00E23DD6">
      <w:hyperlink r:id="rId14" w:history="1">
        <w:r w:rsidRPr="00961994">
          <w:rPr>
            <w:rStyle w:val="Hyperlink"/>
            <w:rFonts w:ascii="Segoe UI" w:hAnsi="Segoe UI" w:cs="Segoe UI"/>
          </w:rPr>
          <w:t>https://law.gov.wales/public-services/health-and-health-services/health-and-health-services-what-devolved</w:t>
        </w:r>
      </w:hyperlink>
      <w:r>
        <w:rPr>
          <w:rFonts w:ascii="Segoe UI" w:hAnsi="Segoe UI" w:cs="Segoe UI"/>
          <w:color w:val="374151"/>
        </w:rPr>
        <w:t xml:space="preserve"> </w:t>
      </w:r>
      <w:r w:rsidR="00E23DD6" w:rsidRPr="00627007">
        <w:t xml:space="preserve">(Accessed 11th </w:t>
      </w:r>
      <w:r w:rsidR="00E23DD6">
        <w:t>December</w:t>
      </w:r>
      <w:r w:rsidR="00E23DD6" w:rsidRPr="00627007">
        <w:t xml:space="preserve"> 2023)</w:t>
      </w:r>
    </w:p>
    <w:p w14:paraId="11FC4A6D" w14:textId="77777777" w:rsidR="000F531F" w:rsidRDefault="000F531F" w:rsidP="00E23DD6"/>
    <w:p w14:paraId="73D1174A" w14:textId="66C550FA" w:rsidR="001833FA" w:rsidRPr="008A3750" w:rsidRDefault="001833FA" w:rsidP="001833FA">
      <w:r>
        <w:t xml:space="preserve">Commission on Devolution in Wales </w:t>
      </w:r>
      <w:r w:rsidR="000F531F">
        <w:t xml:space="preserve">(2014) </w:t>
      </w:r>
      <w:r>
        <w:t xml:space="preserve">Legislative Powers to Strengthen </w:t>
      </w:r>
      <w:r w:rsidR="00763E32">
        <w:t xml:space="preserve">Wales </w:t>
      </w:r>
      <w:r w:rsidR="00763E32" w:rsidRPr="00F311EB">
        <w:t>Available</w:t>
      </w:r>
      <w:r w:rsidRPr="00F311EB">
        <w:t xml:space="preserve"> at:</w:t>
      </w:r>
    </w:p>
    <w:p w14:paraId="78994AE0" w14:textId="6C2E0CCA" w:rsidR="00A578A2" w:rsidRDefault="008A3750" w:rsidP="001D48BA">
      <w:hyperlink r:id="rId15" w:history="1">
        <w:r w:rsidRPr="00961994">
          <w:rPr>
            <w:rStyle w:val="Hyperlink"/>
            <w:rFonts w:ascii="Segoe UI" w:hAnsi="Segoe UI" w:cs="Segoe UI"/>
          </w:rPr>
          <w:t>https://assets.publishing.service.gov.uk/government/uploads/system/uploads/attachment_data/file/310571/CDW-Wales_Rep</w:t>
        </w:r>
        <w:r w:rsidRPr="00961994">
          <w:rPr>
            <w:rStyle w:val="Hyperlink"/>
            <w:rFonts w:ascii="Segoe UI" w:hAnsi="Segoe UI" w:cs="Segoe UI"/>
          </w:rPr>
          <w:t>o</w:t>
        </w:r>
        <w:r w:rsidRPr="00961994">
          <w:rPr>
            <w:rStyle w:val="Hyperlink"/>
            <w:rFonts w:ascii="Segoe UI" w:hAnsi="Segoe UI" w:cs="Segoe UI"/>
          </w:rPr>
          <w:t>rt-final_Full_WEB_310114.pdf</w:t>
        </w:r>
      </w:hyperlink>
      <w:r>
        <w:rPr>
          <w:rFonts w:ascii="Segoe UI" w:hAnsi="Segoe UI" w:cs="Segoe UI"/>
          <w:color w:val="374151"/>
        </w:rPr>
        <w:t xml:space="preserve"> </w:t>
      </w:r>
      <w:r w:rsidR="00E23DD6" w:rsidRPr="00627007">
        <w:t xml:space="preserve">(Accessed 11th </w:t>
      </w:r>
      <w:r w:rsidR="00E23DD6">
        <w:t>December</w:t>
      </w:r>
      <w:r w:rsidR="00E23DD6" w:rsidRPr="00627007">
        <w:t xml:space="preserve"> 2023)</w:t>
      </w:r>
    </w:p>
    <w:p w14:paraId="780C3570" w14:textId="77777777" w:rsidR="00A578A2" w:rsidRPr="009F0130" w:rsidRDefault="00A578A2" w:rsidP="002D3451">
      <w:pPr>
        <w:rPr>
          <w:i/>
          <w:iCs/>
        </w:rPr>
      </w:pPr>
    </w:p>
    <w:p w14:paraId="25147E33" w14:textId="52394496" w:rsidR="006059E2" w:rsidRPr="00D6554C" w:rsidRDefault="006059E2" w:rsidP="006059E2">
      <w:r>
        <w:t>Cabinet Office (20</w:t>
      </w:r>
      <w:r>
        <w:t>13</w:t>
      </w:r>
      <w:r>
        <w:t>) Expectations and Indicators of Good Practice Set for Category 1 and 2 Responders</w:t>
      </w:r>
      <w:r w:rsidRPr="00F311EB">
        <w:t>. Available at:</w:t>
      </w:r>
    </w:p>
    <w:p w14:paraId="3DA5FF26" w14:textId="44F124BA" w:rsidR="00D26686" w:rsidRDefault="00D26686" w:rsidP="00D26686">
      <w:pPr>
        <w:rPr>
          <w:i/>
          <w:iCs/>
        </w:rPr>
      </w:pPr>
      <w:hyperlink r:id="rId16" w:history="1">
        <w:r w:rsidRPr="00961994">
          <w:rPr>
            <w:rStyle w:val="Hyperlink"/>
            <w:rFonts w:ascii="Segoe UI" w:hAnsi="Segoe UI" w:cs="Segoe UI"/>
          </w:rPr>
          <w:t>https://assets.publishing.service.gov.uk/media/5a7c7728e5274a559005a0de/Expectation_and_Indicators_of_Goo</w:t>
        </w:r>
        <w:r w:rsidRPr="00961994">
          <w:rPr>
            <w:rStyle w:val="Hyperlink"/>
            <w:rFonts w:ascii="Segoe UI" w:hAnsi="Segoe UI" w:cs="Segoe UI"/>
          </w:rPr>
          <w:t>d</w:t>
        </w:r>
        <w:r w:rsidRPr="00961994">
          <w:rPr>
            <w:rStyle w:val="Hyperlink"/>
            <w:rFonts w:ascii="Segoe UI" w:hAnsi="Segoe UI" w:cs="Segoe UI"/>
          </w:rPr>
          <w:t>_Pra</w:t>
        </w:r>
        <w:r w:rsidRPr="00961994">
          <w:rPr>
            <w:rStyle w:val="Hyperlink"/>
            <w:rFonts w:ascii="Segoe UI" w:hAnsi="Segoe UI" w:cs="Segoe UI"/>
          </w:rPr>
          <w:t>c</w:t>
        </w:r>
        <w:r w:rsidRPr="00961994">
          <w:rPr>
            <w:rStyle w:val="Hyperlink"/>
            <w:rFonts w:ascii="Segoe UI" w:hAnsi="Segoe UI" w:cs="Segoe UI"/>
          </w:rPr>
          <w:t>tice_Set_for_category_1_2_Responders.pdf</w:t>
        </w:r>
      </w:hyperlink>
      <w:r>
        <w:rPr>
          <w:rFonts w:ascii="Segoe UI" w:hAnsi="Segoe UI" w:cs="Segoe UI"/>
          <w:color w:val="374151"/>
        </w:rPr>
        <w:t xml:space="preserve"> </w:t>
      </w:r>
      <w:r w:rsidRPr="00F311EB">
        <w:rPr>
          <w:i/>
          <w:iCs/>
        </w:rPr>
        <w:t>(Accessed 11th January 202</w:t>
      </w:r>
      <w:r w:rsidR="00E23DD6">
        <w:rPr>
          <w:i/>
          <w:iCs/>
        </w:rPr>
        <w:t>4</w:t>
      </w:r>
      <w:r w:rsidRPr="00F311EB">
        <w:rPr>
          <w:i/>
          <w:iCs/>
        </w:rPr>
        <w:t>)</w:t>
      </w:r>
    </w:p>
    <w:p w14:paraId="3D2AF2A8" w14:textId="77777777" w:rsidR="00DA28B8" w:rsidRDefault="00DA28B8" w:rsidP="00D26686">
      <w:pPr>
        <w:rPr>
          <w:i/>
          <w:iCs/>
        </w:rPr>
      </w:pPr>
    </w:p>
    <w:p w14:paraId="522EFF83" w14:textId="5F6B6799" w:rsidR="00DA28B8" w:rsidRPr="002712D0" w:rsidRDefault="002712D0" w:rsidP="002712D0">
      <w:pPr>
        <w:pStyle w:val="Heading1"/>
        <w:shd w:val="clear" w:color="auto" w:fill="FFFFFF"/>
        <w:spacing w:before="0"/>
        <w:rPr>
          <w:rFonts w:ascii="Arial" w:eastAsia="Times New Roman" w:hAnsi="Arial" w:cs="Arial"/>
          <w:color w:val="2A4862"/>
          <w:kern w:val="36"/>
          <w:sz w:val="48"/>
          <w:szCs w:val="48"/>
          <w:lang w:eastAsia="en-GB"/>
          <w14:ligatures w14:val="none"/>
        </w:rPr>
      </w:pPr>
      <w:r w:rsidRPr="002712D0">
        <w:rPr>
          <w:rFonts w:asciiTheme="minorHAnsi" w:eastAsiaTheme="minorHAnsi" w:hAnsiTheme="minorHAnsi" w:cstheme="minorBidi"/>
          <w:i/>
          <w:iCs/>
          <w:color w:val="auto"/>
          <w:sz w:val="22"/>
          <w:szCs w:val="22"/>
        </w:rPr>
        <w:lastRenderedPageBreak/>
        <w:t>Ba</w:t>
      </w:r>
      <w:r>
        <w:rPr>
          <w:rFonts w:asciiTheme="minorHAnsi" w:eastAsiaTheme="minorHAnsi" w:hAnsiTheme="minorHAnsi" w:cstheme="minorBidi"/>
          <w:i/>
          <w:iCs/>
          <w:color w:val="auto"/>
          <w:sz w:val="22"/>
          <w:szCs w:val="22"/>
        </w:rPr>
        <w:t>s</w:t>
      </w:r>
      <w:r w:rsidRPr="002712D0">
        <w:rPr>
          <w:rFonts w:asciiTheme="minorHAnsi" w:eastAsiaTheme="minorHAnsi" w:hAnsiTheme="minorHAnsi" w:cstheme="minorBidi"/>
          <w:i/>
          <w:iCs/>
          <w:color w:val="auto"/>
          <w:sz w:val="22"/>
          <w:szCs w:val="22"/>
        </w:rPr>
        <w:t>u D</w:t>
      </w:r>
      <w:r w:rsidR="00E103AB" w:rsidRPr="002712D0">
        <w:rPr>
          <w:rFonts w:asciiTheme="minorHAnsi" w:eastAsiaTheme="minorHAnsi" w:hAnsiTheme="minorHAnsi" w:cstheme="minorBidi"/>
          <w:i/>
          <w:iCs/>
          <w:color w:val="auto"/>
          <w:sz w:val="22"/>
          <w:szCs w:val="22"/>
        </w:rPr>
        <w:t xml:space="preserve"> (2020)</w:t>
      </w:r>
      <w:r w:rsidR="00E103AB">
        <w:t xml:space="preserve"> </w:t>
      </w:r>
      <w:r w:rsidRPr="002712D0">
        <w:rPr>
          <w:rFonts w:asciiTheme="minorHAnsi" w:eastAsiaTheme="minorHAnsi" w:hAnsiTheme="minorHAnsi" w:cstheme="minorBidi"/>
          <w:color w:val="auto"/>
          <w:sz w:val="22"/>
          <w:szCs w:val="22"/>
        </w:rPr>
        <w:t>Emergency Powers and the Civil Contingencies Act 2004</w:t>
      </w:r>
      <w:r>
        <w:rPr>
          <w:rFonts w:asciiTheme="minorHAnsi" w:eastAsiaTheme="minorHAnsi" w:hAnsiTheme="minorHAnsi" w:cstheme="minorBidi"/>
          <w:color w:val="auto"/>
          <w:sz w:val="22"/>
          <w:szCs w:val="22"/>
        </w:rPr>
        <w:t xml:space="preserve"> </w:t>
      </w:r>
      <w:r w:rsidR="00DA28B8" w:rsidRPr="00F311EB">
        <w:rPr>
          <w:rFonts w:asciiTheme="minorHAnsi" w:hAnsiTheme="minorHAnsi" w:cstheme="minorBidi"/>
          <w:color w:val="auto"/>
          <w:sz w:val="22"/>
          <w:szCs w:val="22"/>
        </w:rPr>
        <w:t>Available at:</w:t>
      </w:r>
    </w:p>
    <w:p w14:paraId="700D1EBA" w14:textId="77777777" w:rsidR="00DA28B8" w:rsidRDefault="00DA28B8" w:rsidP="00DA28B8">
      <w:pPr>
        <w:rPr>
          <w:rFonts w:ascii="Segoe UI" w:hAnsi="Segoe UI" w:cs="Segoe UI"/>
          <w:color w:val="374151"/>
        </w:rPr>
      </w:pPr>
      <w:hyperlink r:id="rId17" w:history="1">
        <w:r w:rsidRPr="00961994">
          <w:rPr>
            <w:rStyle w:val="Hyperlink"/>
            <w:rFonts w:ascii="Segoe UI" w:hAnsi="Segoe UI" w:cs="Segoe UI"/>
          </w:rPr>
          <w:t>https://www.ukpolicelawblog</w:t>
        </w:r>
        <w:r w:rsidRPr="00961994">
          <w:rPr>
            <w:rStyle w:val="Hyperlink"/>
            <w:rFonts w:ascii="Segoe UI" w:hAnsi="Segoe UI" w:cs="Segoe UI"/>
          </w:rPr>
          <w:t>.</w:t>
        </w:r>
        <w:r w:rsidRPr="00961994">
          <w:rPr>
            <w:rStyle w:val="Hyperlink"/>
            <w:rFonts w:ascii="Segoe UI" w:hAnsi="Segoe UI" w:cs="Segoe UI"/>
          </w:rPr>
          <w:t>co</w:t>
        </w:r>
        <w:r w:rsidRPr="00961994">
          <w:rPr>
            <w:rStyle w:val="Hyperlink"/>
            <w:rFonts w:ascii="Segoe UI" w:hAnsi="Segoe UI" w:cs="Segoe UI"/>
          </w:rPr>
          <w:t>m</w:t>
        </w:r>
        <w:r w:rsidRPr="00961994">
          <w:rPr>
            <w:rStyle w:val="Hyperlink"/>
            <w:rFonts w:ascii="Segoe UI" w:hAnsi="Segoe UI" w:cs="Segoe UI"/>
          </w:rPr>
          <w:t>/emergency-powers-and-the-civil-contingencies-act-2004/</w:t>
        </w:r>
      </w:hyperlink>
    </w:p>
    <w:p w14:paraId="4260B31E" w14:textId="77777777" w:rsidR="00DA28B8" w:rsidRPr="009F0130" w:rsidRDefault="00DA28B8" w:rsidP="00DA28B8">
      <w:r w:rsidRPr="00F311EB">
        <w:t>(Accessed 11th January 202</w:t>
      </w:r>
      <w:r>
        <w:t>4</w:t>
      </w:r>
      <w:r w:rsidRPr="00F311EB">
        <w:t>)</w:t>
      </w:r>
    </w:p>
    <w:p w14:paraId="644A8EE8" w14:textId="77777777" w:rsidR="00DA28B8" w:rsidRPr="00F311EB" w:rsidRDefault="00DA28B8" w:rsidP="00D26686">
      <w:pPr>
        <w:rPr>
          <w:i/>
          <w:iCs/>
        </w:rPr>
      </w:pPr>
    </w:p>
    <w:p w14:paraId="4072F791" w14:textId="4BC61D02" w:rsidR="002D3C88" w:rsidRPr="008A3750" w:rsidRDefault="002712D0" w:rsidP="002D3C88">
      <w:r>
        <w:t xml:space="preserve">Paun A </w:t>
      </w:r>
      <w:r w:rsidR="008E3037">
        <w:t>Sargent</w:t>
      </w:r>
      <w:r>
        <w:t xml:space="preserve"> J Shuttleworth K Nice A (2020) </w:t>
      </w:r>
      <w:r w:rsidR="009F60B3">
        <w:t>Coronavirus</w:t>
      </w:r>
      <w:r>
        <w:t xml:space="preserve"> and devolution Available at:</w:t>
      </w:r>
    </w:p>
    <w:p w14:paraId="15904507" w14:textId="77777777" w:rsidR="002D3C88" w:rsidRDefault="002D3C88" w:rsidP="002D3C88">
      <w:pPr>
        <w:rPr>
          <w:i/>
          <w:iCs/>
        </w:rPr>
      </w:pPr>
      <w:hyperlink r:id="rId18" w:history="1">
        <w:r w:rsidRPr="00961994">
          <w:rPr>
            <w:rStyle w:val="Hyperlink"/>
            <w:rFonts w:ascii="Segoe UI" w:hAnsi="Segoe UI" w:cs="Segoe UI"/>
          </w:rPr>
          <w:t>https://www.instituteforgovernment.org.uk/article/exp</w:t>
        </w:r>
        <w:r w:rsidRPr="00961994">
          <w:rPr>
            <w:rStyle w:val="Hyperlink"/>
            <w:rFonts w:ascii="Segoe UI" w:hAnsi="Segoe UI" w:cs="Segoe UI"/>
          </w:rPr>
          <w:t>l</w:t>
        </w:r>
        <w:r w:rsidRPr="00961994">
          <w:rPr>
            <w:rStyle w:val="Hyperlink"/>
            <w:rFonts w:ascii="Segoe UI" w:hAnsi="Segoe UI" w:cs="Segoe UI"/>
          </w:rPr>
          <w:t>ainer/coronavirus-and-devolution</w:t>
        </w:r>
      </w:hyperlink>
      <w:r>
        <w:rPr>
          <w:rFonts w:ascii="Segoe UI" w:hAnsi="Segoe UI" w:cs="Segoe UI"/>
          <w:color w:val="374151"/>
        </w:rPr>
        <w:t xml:space="preserve"> </w:t>
      </w:r>
      <w:bookmarkStart w:id="9" w:name="_Hlk155950358"/>
      <w:r w:rsidRPr="00F311EB">
        <w:rPr>
          <w:i/>
          <w:iCs/>
        </w:rPr>
        <w:t>(Accessed 11th January 202</w:t>
      </w:r>
      <w:r>
        <w:rPr>
          <w:i/>
          <w:iCs/>
        </w:rPr>
        <w:t>4</w:t>
      </w:r>
      <w:r w:rsidRPr="00F311EB">
        <w:rPr>
          <w:i/>
          <w:iCs/>
        </w:rPr>
        <w:t>)</w:t>
      </w:r>
      <w:bookmarkEnd w:id="9"/>
    </w:p>
    <w:p w14:paraId="3A61A2C4" w14:textId="243A3BC2" w:rsidR="00D26686" w:rsidRDefault="00D26686" w:rsidP="002D3451">
      <w:pPr>
        <w:rPr>
          <w:rFonts w:ascii="Segoe UI" w:hAnsi="Segoe UI" w:cs="Segoe UI"/>
          <w:color w:val="374151"/>
        </w:rPr>
      </w:pPr>
    </w:p>
    <w:p w14:paraId="7770A741" w14:textId="2283722C" w:rsidR="002D77E8" w:rsidRPr="00955ADB" w:rsidRDefault="002D77E8" w:rsidP="003E1CA6">
      <w:pPr>
        <w:pStyle w:val="Subtitle"/>
        <w:rPr>
          <w:rFonts w:ascii="Arial" w:hAnsi="Arial" w:cs="Arial"/>
        </w:rPr>
      </w:pPr>
    </w:p>
    <w:sectPr w:rsidR="002D77E8" w:rsidRPr="00955A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95482"/>
    <w:multiLevelType w:val="hybridMultilevel"/>
    <w:tmpl w:val="744AC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F51024"/>
    <w:multiLevelType w:val="multilevel"/>
    <w:tmpl w:val="B9E89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D223F3"/>
    <w:multiLevelType w:val="multilevel"/>
    <w:tmpl w:val="AAD63D3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3725BF"/>
    <w:multiLevelType w:val="hybridMultilevel"/>
    <w:tmpl w:val="A704E88C"/>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15:restartNumberingAfterBreak="0">
    <w:nsid w:val="06F21292"/>
    <w:multiLevelType w:val="hybridMultilevel"/>
    <w:tmpl w:val="F3665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614F5C"/>
    <w:multiLevelType w:val="hybridMultilevel"/>
    <w:tmpl w:val="7A5CB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F652BE"/>
    <w:multiLevelType w:val="hybridMultilevel"/>
    <w:tmpl w:val="EF3C8F7A"/>
    <w:lvl w:ilvl="0" w:tplc="32C04222">
      <w:numFmt w:val="bullet"/>
      <w:lvlText w:val="•"/>
      <w:lvlJc w:val="left"/>
      <w:pPr>
        <w:ind w:left="720" w:hanging="360"/>
      </w:pPr>
      <w:rPr>
        <w:rFonts w:ascii="Calibri" w:eastAsiaTheme="minorHAnsi" w:hAnsi="Calibri" w:cs="Calibri"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820F2B"/>
    <w:multiLevelType w:val="hybridMultilevel"/>
    <w:tmpl w:val="ED56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1D4535"/>
    <w:multiLevelType w:val="hybridMultilevel"/>
    <w:tmpl w:val="A08E1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435EF2"/>
    <w:multiLevelType w:val="multilevel"/>
    <w:tmpl w:val="7F94B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6005FEF"/>
    <w:multiLevelType w:val="hybridMultilevel"/>
    <w:tmpl w:val="5400E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B82D12"/>
    <w:multiLevelType w:val="hybridMultilevel"/>
    <w:tmpl w:val="684A3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FA0F73"/>
    <w:multiLevelType w:val="hybridMultilevel"/>
    <w:tmpl w:val="B700F06A"/>
    <w:lvl w:ilvl="0" w:tplc="A1A81182">
      <w:start w:val="1"/>
      <w:numFmt w:val="decimal"/>
      <w:lvlText w:val="%1."/>
      <w:lvlJc w:val="left"/>
      <w:pPr>
        <w:tabs>
          <w:tab w:val="num" w:pos="720"/>
        </w:tabs>
        <w:ind w:left="720" w:hanging="360"/>
      </w:pPr>
    </w:lvl>
    <w:lvl w:ilvl="1" w:tplc="16901988" w:tentative="1">
      <w:start w:val="1"/>
      <w:numFmt w:val="decimal"/>
      <w:lvlText w:val="%2."/>
      <w:lvlJc w:val="left"/>
      <w:pPr>
        <w:tabs>
          <w:tab w:val="num" w:pos="1440"/>
        </w:tabs>
        <w:ind w:left="1440" w:hanging="360"/>
      </w:pPr>
    </w:lvl>
    <w:lvl w:ilvl="2" w:tplc="E21CDA50" w:tentative="1">
      <w:start w:val="1"/>
      <w:numFmt w:val="decimal"/>
      <w:lvlText w:val="%3."/>
      <w:lvlJc w:val="left"/>
      <w:pPr>
        <w:tabs>
          <w:tab w:val="num" w:pos="2160"/>
        </w:tabs>
        <w:ind w:left="2160" w:hanging="360"/>
      </w:pPr>
    </w:lvl>
    <w:lvl w:ilvl="3" w:tplc="AE4E7A88" w:tentative="1">
      <w:start w:val="1"/>
      <w:numFmt w:val="decimal"/>
      <w:lvlText w:val="%4."/>
      <w:lvlJc w:val="left"/>
      <w:pPr>
        <w:tabs>
          <w:tab w:val="num" w:pos="2880"/>
        </w:tabs>
        <w:ind w:left="2880" w:hanging="360"/>
      </w:pPr>
    </w:lvl>
    <w:lvl w:ilvl="4" w:tplc="2160E044" w:tentative="1">
      <w:start w:val="1"/>
      <w:numFmt w:val="decimal"/>
      <w:lvlText w:val="%5."/>
      <w:lvlJc w:val="left"/>
      <w:pPr>
        <w:tabs>
          <w:tab w:val="num" w:pos="3600"/>
        </w:tabs>
        <w:ind w:left="3600" w:hanging="360"/>
      </w:pPr>
    </w:lvl>
    <w:lvl w:ilvl="5" w:tplc="37E49B8E" w:tentative="1">
      <w:start w:val="1"/>
      <w:numFmt w:val="decimal"/>
      <w:lvlText w:val="%6."/>
      <w:lvlJc w:val="left"/>
      <w:pPr>
        <w:tabs>
          <w:tab w:val="num" w:pos="4320"/>
        </w:tabs>
        <w:ind w:left="4320" w:hanging="360"/>
      </w:pPr>
    </w:lvl>
    <w:lvl w:ilvl="6" w:tplc="2E72472A" w:tentative="1">
      <w:start w:val="1"/>
      <w:numFmt w:val="decimal"/>
      <w:lvlText w:val="%7."/>
      <w:lvlJc w:val="left"/>
      <w:pPr>
        <w:tabs>
          <w:tab w:val="num" w:pos="5040"/>
        </w:tabs>
        <w:ind w:left="5040" w:hanging="360"/>
      </w:pPr>
    </w:lvl>
    <w:lvl w:ilvl="7" w:tplc="62BC2B4A" w:tentative="1">
      <w:start w:val="1"/>
      <w:numFmt w:val="decimal"/>
      <w:lvlText w:val="%8."/>
      <w:lvlJc w:val="left"/>
      <w:pPr>
        <w:tabs>
          <w:tab w:val="num" w:pos="5760"/>
        </w:tabs>
        <w:ind w:left="5760" w:hanging="360"/>
      </w:pPr>
    </w:lvl>
    <w:lvl w:ilvl="8" w:tplc="2056E090" w:tentative="1">
      <w:start w:val="1"/>
      <w:numFmt w:val="decimal"/>
      <w:lvlText w:val="%9."/>
      <w:lvlJc w:val="left"/>
      <w:pPr>
        <w:tabs>
          <w:tab w:val="num" w:pos="6480"/>
        </w:tabs>
        <w:ind w:left="6480" w:hanging="360"/>
      </w:pPr>
    </w:lvl>
  </w:abstractNum>
  <w:abstractNum w:abstractNumId="13" w15:restartNumberingAfterBreak="0">
    <w:nsid w:val="483012F1"/>
    <w:multiLevelType w:val="hybridMultilevel"/>
    <w:tmpl w:val="9C1C6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3F1CF2"/>
    <w:multiLevelType w:val="hybridMultilevel"/>
    <w:tmpl w:val="4B80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903613"/>
    <w:multiLevelType w:val="hybridMultilevel"/>
    <w:tmpl w:val="6A5A5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E74036"/>
    <w:multiLevelType w:val="multilevel"/>
    <w:tmpl w:val="558EA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4840438"/>
    <w:multiLevelType w:val="hybridMultilevel"/>
    <w:tmpl w:val="FA8EB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235B2A"/>
    <w:multiLevelType w:val="hybridMultilevel"/>
    <w:tmpl w:val="35A2F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1D5E9C"/>
    <w:multiLevelType w:val="multilevel"/>
    <w:tmpl w:val="98C8BE5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2093E8A"/>
    <w:multiLevelType w:val="hybridMultilevel"/>
    <w:tmpl w:val="DE16A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3271FEC"/>
    <w:multiLevelType w:val="hybridMultilevel"/>
    <w:tmpl w:val="CE56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BE167E"/>
    <w:multiLevelType w:val="hybridMultilevel"/>
    <w:tmpl w:val="E12E2502"/>
    <w:lvl w:ilvl="0" w:tplc="32C04222">
      <w:numFmt w:val="bullet"/>
      <w:lvlText w:val="•"/>
      <w:lvlJc w:val="left"/>
      <w:pPr>
        <w:ind w:left="720" w:hanging="360"/>
      </w:pPr>
      <w:rPr>
        <w:rFonts w:ascii="Calibri" w:eastAsiaTheme="minorHAnsi" w:hAnsi="Calibri" w:cs="Calibri"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147964"/>
    <w:multiLevelType w:val="hybridMultilevel"/>
    <w:tmpl w:val="8B1E5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6F54F5"/>
    <w:multiLevelType w:val="multilevel"/>
    <w:tmpl w:val="EA66F02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38176FA"/>
    <w:multiLevelType w:val="hybridMultilevel"/>
    <w:tmpl w:val="37808170"/>
    <w:lvl w:ilvl="0" w:tplc="32C04222">
      <w:numFmt w:val="bullet"/>
      <w:lvlText w:val="•"/>
      <w:lvlJc w:val="left"/>
      <w:pPr>
        <w:ind w:left="720" w:hanging="360"/>
      </w:pPr>
      <w:rPr>
        <w:rFonts w:ascii="Calibri" w:eastAsiaTheme="minorHAnsi" w:hAnsi="Calibri" w:cs="Calibri"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130DA7"/>
    <w:multiLevelType w:val="multilevel"/>
    <w:tmpl w:val="051EC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55642727">
    <w:abstractNumId w:val="5"/>
  </w:num>
  <w:num w:numId="2" w16cid:durableId="1024208642">
    <w:abstractNumId w:val="19"/>
  </w:num>
  <w:num w:numId="3" w16cid:durableId="1785147732">
    <w:abstractNumId w:val="2"/>
  </w:num>
  <w:num w:numId="4" w16cid:durableId="989018055">
    <w:abstractNumId w:val="3"/>
  </w:num>
  <w:num w:numId="5" w16cid:durableId="2034650228">
    <w:abstractNumId w:val="11"/>
  </w:num>
  <w:num w:numId="6" w16cid:durableId="572004920">
    <w:abstractNumId w:val="4"/>
  </w:num>
  <w:num w:numId="7" w16cid:durableId="1948778921">
    <w:abstractNumId w:val="21"/>
  </w:num>
  <w:num w:numId="8" w16cid:durableId="1263762702">
    <w:abstractNumId w:val="13"/>
  </w:num>
  <w:num w:numId="9" w16cid:durableId="1267077877">
    <w:abstractNumId w:val="23"/>
  </w:num>
  <w:num w:numId="10" w16cid:durableId="1308971330">
    <w:abstractNumId w:val="7"/>
  </w:num>
  <w:num w:numId="11" w16cid:durableId="1113207058">
    <w:abstractNumId w:val="24"/>
  </w:num>
  <w:num w:numId="12" w16cid:durableId="2002846841">
    <w:abstractNumId w:val="10"/>
  </w:num>
  <w:num w:numId="13" w16cid:durableId="1627003160">
    <w:abstractNumId w:val="20"/>
  </w:num>
  <w:num w:numId="14" w16cid:durableId="2032607699">
    <w:abstractNumId w:val="18"/>
  </w:num>
  <w:num w:numId="15" w16cid:durableId="1180511363">
    <w:abstractNumId w:val="14"/>
  </w:num>
  <w:num w:numId="16" w16cid:durableId="1883517204">
    <w:abstractNumId w:val="0"/>
  </w:num>
  <w:num w:numId="17" w16cid:durableId="2103718772">
    <w:abstractNumId w:val="8"/>
  </w:num>
  <w:num w:numId="18" w16cid:durableId="11032362">
    <w:abstractNumId w:val="26"/>
  </w:num>
  <w:num w:numId="19" w16cid:durableId="221990076">
    <w:abstractNumId w:val="16"/>
  </w:num>
  <w:num w:numId="20" w16cid:durableId="515388426">
    <w:abstractNumId w:val="1"/>
  </w:num>
  <w:num w:numId="21" w16cid:durableId="1026909956">
    <w:abstractNumId w:val="9"/>
  </w:num>
  <w:num w:numId="22" w16cid:durableId="441145725">
    <w:abstractNumId w:val="15"/>
  </w:num>
  <w:num w:numId="23" w16cid:durableId="38625660">
    <w:abstractNumId w:val="22"/>
  </w:num>
  <w:num w:numId="24" w16cid:durableId="396367715">
    <w:abstractNumId w:val="25"/>
  </w:num>
  <w:num w:numId="25" w16cid:durableId="756362977">
    <w:abstractNumId w:val="6"/>
  </w:num>
  <w:num w:numId="26" w16cid:durableId="974214242">
    <w:abstractNumId w:val="12"/>
  </w:num>
  <w:num w:numId="27" w16cid:durableId="1135213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930"/>
    <w:rsid w:val="00002DF4"/>
    <w:rsid w:val="00003A84"/>
    <w:rsid w:val="00006526"/>
    <w:rsid w:val="000242C0"/>
    <w:rsid w:val="000277A0"/>
    <w:rsid w:val="00037854"/>
    <w:rsid w:val="000409EF"/>
    <w:rsid w:val="00040A7A"/>
    <w:rsid w:val="000436C1"/>
    <w:rsid w:val="00054202"/>
    <w:rsid w:val="00055288"/>
    <w:rsid w:val="00064641"/>
    <w:rsid w:val="00084556"/>
    <w:rsid w:val="00090E26"/>
    <w:rsid w:val="00093374"/>
    <w:rsid w:val="00095251"/>
    <w:rsid w:val="000A1993"/>
    <w:rsid w:val="000A6FCE"/>
    <w:rsid w:val="000B06E4"/>
    <w:rsid w:val="000B52AD"/>
    <w:rsid w:val="000C326A"/>
    <w:rsid w:val="000C7FEC"/>
    <w:rsid w:val="000D3900"/>
    <w:rsid w:val="000F1BBF"/>
    <w:rsid w:val="000F531F"/>
    <w:rsid w:val="000F6E8A"/>
    <w:rsid w:val="001029FF"/>
    <w:rsid w:val="00103D2B"/>
    <w:rsid w:val="0010710D"/>
    <w:rsid w:val="001108F9"/>
    <w:rsid w:val="0012079B"/>
    <w:rsid w:val="00134BDC"/>
    <w:rsid w:val="0013752C"/>
    <w:rsid w:val="00137BB5"/>
    <w:rsid w:val="001415EE"/>
    <w:rsid w:val="001447D7"/>
    <w:rsid w:val="0015683C"/>
    <w:rsid w:val="00157DAD"/>
    <w:rsid w:val="001607A8"/>
    <w:rsid w:val="00164980"/>
    <w:rsid w:val="00171115"/>
    <w:rsid w:val="0017203A"/>
    <w:rsid w:val="0017490A"/>
    <w:rsid w:val="00176DC2"/>
    <w:rsid w:val="00177DE8"/>
    <w:rsid w:val="0018150A"/>
    <w:rsid w:val="001833FA"/>
    <w:rsid w:val="001916A8"/>
    <w:rsid w:val="001A2EDC"/>
    <w:rsid w:val="001A2F9E"/>
    <w:rsid w:val="001A5982"/>
    <w:rsid w:val="001A7013"/>
    <w:rsid w:val="001B335D"/>
    <w:rsid w:val="001B7FD6"/>
    <w:rsid w:val="001C2512"/>
    <w:rsid w:val="001C2C4C"/>
    <w:rsid w:val="001C6ADA"/>
    <w:rsid w:val="001C7CEC"/>
    <w:rsid w:val="001D48BA"/>
    <w:rsid w:val="001D5126"/>
    <w:rsid w:val="001E1B5A"/>
    <w:rsid w:val="001F6E2E"/>
    <w:rsid w:val="00204AA2"/>
    <w:rsid w:val="002125FF"/>
    <w:rsid w:val="00215EC0"/>
    <w:rsid w:val="00217F3E"/>
    <w:rsid w:val="00230205"/>
    <w:rsid w:val="00230D61"/>
    <w:rsid w:val="00232E78"/>
    <w:rsid w:val="002430B1"/>
    <w:rsid w:val="00250950"/>
    <w:rsid w:val="002613FD"/>
    <w:rsid w:val="0026727A"/>
    <w:rsid w:val="002712D0"/>
    <w:rsid w:val="00275F25"/>
    <w:rsid w:val="00276D1D"/>
    <w:rsid w:val="00281F57"/>
    <w:rsid w:val="002824D9"/>
    <w:rsid w:val="0028416C"/>
    <w:rsid w:val="00286958"/>
    <w:rsid w:val="00290A6A"/>
    <w:rsid w:val="00290B3D"/>
    <w:rsid w:val="002A14BD"/>
    <w:rsid w:val="002A4AB0"/>
    <w:rsid w:val="002B343B"/>
    <w:rsid w:val="002C1240"/>
    <w:rsid w:val="002C22BD"/>
    <w:rsid w:val="002C3446"/>
    <w:rsid w:val="002C3A7A"/>
    <w:rsid w:val="002C6E3A"/>
    <w:rsid w:val="002D244C"/>
    <w:rsid w:val="002D2639"/>
    <w:rsid w:val="002D3451"/>
    <w:rsid w:val="002D3C88"/>
    <w:rsid w:val="002D6930"/>
    <w:rsid w:val="002D77E8"/>
    <w:rsid w:val="002D7E22"/>
    <w:rsid w:val="002E039B"/>
    <w:rsid w:val="002F0D2A"/>
    <w:rsid w:val="00304094"/>
    <w:rsid w:val="00304F99"/>
    <w:rsid w:val="003122D3"/>
    <w:rsid w:val="0032259D"/>
    <w:rsid w:val="00325D61"/>
    <w:rsid w:val="0032784E"/>
    <w:rsid w:val="00334195"/>
    <w:rsid w:val="00334A99"/>
    <w:rsid w:val="00341AFD"/>
    <w:rsid w:val="00342050"/>
    <w:rsid w:val="003428FE"/>
    <w:rsid w:val="0035201B"/>
    <w:rsid w:val="00353CCD"/>
    <w:rsid w:val="00354608"/>
    <w:rsid w:val="00354E45"/>
    <w:rsid w:val="00357213"/>
    <w:rsid w:val="00357997"/>
    <w:rsid w:val="003633B1"/>
    <w:rsid w:val="00372849"/>
    <w:rsid w:val="0037476D"/>
    <w:rsid w:val="003774AC"/>
    <w:rsid w:val="00377BAD"/>
    <w:rsid w:val="00381C16"/>
    <w:rsid w:val="0038311E"/>
    <w:rsid w:val="00384F11"/>
    <w:rsid w:val="00386ACA"/>
    <w:rsid w:val="00392D0B"/>
    <w:rsid w:val="003955A3"/>
    <w:rsid w:val="00397A51"/>
    <w:rsid w:val="003B130C"/>
    <w:rsid w:val="003C2BD8"/>
    <w:rsid w:val="003C4164"/>
    <w:rsid w:val="003C7D5D"/>
    <w:rsid w:val="003D0C11"/>
    <w:rsid w:val="003D40DA"/>
    <w:rsid w:val="003D7CCC"/>
    <w:rsid w:val="003E1CA6"/>
    <w:rsid w:val="003E29C2"/>
    <w:rsid w:val="003E6DC8"/>
    <w:rsid w:val="003F1AE4"/>
    <w:rsid w:val="003F56B8"/>
    <w:rsid w:val="0040094E"/>
    <w:rsid w:val="0040152F"/>
    <w:rsid w:val="0041407B"/>
    <w:rsid w:val="004165B4"/>
    <w:rsid w:val="00422EF3"/>
    <w:rsid w:val="0042396E"/>
    <w:rsid w:val="00425378"/>
    <w:rsid w:val="00426A21"/>
    <w:rsid w:val="00446C78"/>
    <w:rsid w:val="0045162A"/>
    <w:rsid w:val="004519DD"/>
    <w:rsid w:val="004544AB"/>
    <w:rsid w:val="0047201C"/>
    <w:rsid w:val="00481D43"/>
    <w:rsid w:val="00483D7D"/>
    <w:rsid w:val="004841D2"/>
    <w:rsid w:val="004901B2"/>
    <w:rsid w:val="00494F3B"/>
    <w:rsid w:val="004A1B94"/>
    <w:rsid w:val="004A46AD"/>
    <w:rsid w:val="004A49D1"/>
    <w:rsid w:val="004A77C7"/>
    <w:rsid w:val="004B001D"/>
    <w:rsid w:val="004B7404"/>
    <w:rsid w:val="004D4124"/>
    <w:rsid w:val="004E7C22"/>
    <w:rsid w:val="004F1268"/>
    <w:rsid w:val="004F240B"/>
    <w:rsid w:val="004F28FD"/>
    <w:rsid w:val="004F5130"/>
    <w:rsid w:val="004F5A07"/>
    <w:rsid w:val="005000BA"/>
    <w:rsid w:val="005028BC"/>
    <w:rsid w:val="00503455"/>
    <w:rsid w:val="00503629"/>
    <w:rsid w:val="00514CB8"/>
    <w:rsid w:val="00515261"/>
    <w:rsid w:val="005161ED"/>
    <w:rsid w:val="00521D13"/>
    <w:rsid w:val="00523ACF"/>
    <w:rsid w:val="00525CE6"/>
    <w:rsid w:val="00527BD0"/>
    <w:rsid w:val="00530B88"/>
    <w:rsid w:val="005366A5"/>
    <w:rsid w:val="00545E3A"/>
    <w:rsid w:val="00551F52"/>
    <w:rsid w:val="00565000"/>
    <w:rsid w:val="00566C4F"/>
    <w:rsid w:val="00567252"/>
    <w:rsid w:val="00570EB7"/>
    <w:rsid w:val="00583CF0"/>
    <w:rsid w:val="005A1BFF"/>
    <w:rsid w:val="005A4841"/>
    <w:rsid w:val="005A52F6"/>
    <w:rsid w:val="005B0DB0"/>
    <w:rsid w:val="005C0613"/>
    <w:rsid w:val="005C1F7E"/>
    <w:rsid w:val="005C6868"/>
    <w:rsid w:val="005D33A4"/>
    <w:rsid w:val="005D5FEA"/>
    <w:rsid w:val="005E1A07"/>
    <w:rsid w:val="005E1DFE"/>
    <w:rsid w:val="005E4E5F"/>
    <w:rsid w:val="005E62BC"/>
    <w:rsid w:val="005F206A"/>
    <w:rsid w:val="005F49DE"/>
    <w:rsid w:val="005F6811"/>
    <w:rsid w:val="0060217B"/>
    <w:rsid w:val="006059E2"/>
    <w:rsid w:val="00606DA4"/>
    <w:rsid w:val="00612CFA"/>
    <w:rsid w:val="00614539"/>
    <w:rsid w:val="006203DD"/>
    <w:rsid w:val="00621ED7"/>
    <w:rsid w:val="00624CFC"/>
    <w:rsid w:val="00627007"/>
    <w:rsid w:val="00630298"/>
    <w:rsid w:val="006308F9"/>
    <w:rsid w:val="0063090A"/>
    <w:rsid w:val="00635E1B"/>
    <w:rsid w:val="00644CC6"/>
    <w:rsid w:val="00653461"/>
    <w:rsid w:val="00657479"/>
    <w:rsid w:val="0066318C"/>
    <w:rsid w:val="0066591F"/>
    <w:rsid w:val="00670235"/>
    <w:rsid w:val="00672BA9"/>
    <w:rsid w:val="0067326B"/>
    <w:rsid w:val="00673E91"/>
    <w:rsid w:val="00682889"/>
    <w:rsid w:val="00684318"/>
    <w:rsid w:val="00684FB8"/>
    <w:rsid w:val="006932E3"/>
    <w:rsid w:val="0069557F"/>
    <w:rsid w:val="006A25B7"/>
    <w:rsid w:val="006A3211"/>
    <w:rsid w:val="006A4796"/>
    <w:rsid w:val="006C2818"/>
    <w:rsid w:val="006C46FB"/>
    <w:rsid w:val="006C5AA5"/>
    <w:rsid w:val="006D3020"/>
    <w:rsid w:val="006D49B5"/>
    <w:rsid w:val="006D4AAE"/>
    <w:rsid w:val="006D4F5E"/>
    <w:rsid w:val="006E71BD"/>
    <w:rsid w:val="006F196C"/>
    <w:rsid w:val="006F3B88"/>
    <w:rsid w:val="00700625"/>
    <w:rsid w:val="007045CD"/>
    <w:rsid w:val="00710D13"/>
    <w:rsid w:val="007240A5"/>
    <w:rsid w:val="00726EEE"/>
    <w:rsid w:val="00736479"/>
    <w:rsid w:val="007370F0"/>
    <w:rsid w:val="00741517"/>
    <w:rsid w:val="00753589"/>
    <w:rsid w:val="00761FB3"/>
    <w:rsid w:val="00763E32"/>
    <w:rsid w:val="00767731"/>
    <w:rsid w:val="00783141"/>
    <w:rsid w:val="007831A5"/>
    <w:rsid w:val="00787E17"/>
    <w:rsid w:val="00790517"/>
    <w:rsid w:val="00791F3D"/>
    <w:rsid w:val="00793E0B"/>
    <w:rsid w:val="007944B7"/>
    <w:rsid w:val="007A54CF"/>
    <w:rsid w:val="007A5554"/>
    <w:rsid w:val="007A59D4"/>
    <w:rsid w:val="007A5B95"/>
    <w:rsid w:val="007A6889"/>
    <w:rsid w:val="007B5FFE"/>
    <w:rsid w:val="007B7190"/>
    <w:rsid w:val="007B71F5"/>
    <w:rsid w:val="007C1DD2"/>
    <w:rsid w:val="007C573B"/>
    <w:rsid w:val="007D0C4E"/>
    <w:rsid w:val="007D3F9B"/>
    <w:rsid w:val="007D4EB8"/>
    <w:rsid w:val="007D6344"/>
    <w:rsid w:val="007F1A48"/>
    <w:rsid w:val="007F61EA"/>
    <w:rsid w:val="007F6EC0"/>
    <w:rsid w:val="0080356D"/>
    <w:rsid w:val="00804E4C"/>
    <w:rsid w:val="00813CA3"/>
    <w:rsid w:val="0081424A"/>
    <w:rsid w:val="00815A9B"/>
    <w:rsid w:val="00815E72"/>
    <w:rsid w:val="00816FB9"/>
    <w:rsid w:val="00825A6A"/>
    <w:rsid w:val="00832C90"/>
    <w:rsid w:val="00832D6F"/>
    <w:rsid w:val="0083578E"/>
    <w:rsid w:val="00840AB2"/>
    <w:rsid w:val="00846344"/>
    <w:rsid w:val="008468F9"/>
    <w:rsid w:val="00847348"/>
    <w:rsid w:val="00850900"/>
    <w:rsid w:val="0085324C"/>
    <w:rsid w:val="008549DA"/>
    <w:rsid w:val="00855132"/>
    <w:rsid w:val="00855203"/>
    <w:rsid w:val="00857B94"/>
    <w:rsid w:val="008729B3"/>
    <w:rsid w:val="0087634E"/>
    <w:rsid w:val="00890306"/>
    <w:rsid w:val="00892DCF"/>
    <w:rsid w:val="00894037"/>
    <w:rsid w:val="008A0E7B"/>
    <w:rsid w:val="008A268A"/>
    <w:rsid w:val="008A2BFA"/>
    <w:rsid w:val="008A3750"/>
    <w:rsid w:val="008A6E18"/>
    <w:rsid w:val="008B0ADE"/>
    <w:rsid w:val="008B25E8"/>
    <w:rsid w:val="008B4536"/>
    <w:rsid w:val="008C4898"/>
    <w:rsid w:val="008C59BE"/>
    <w:rsid w:val="008D7FB7"/>
    <w:rsid w:val="008E1D90"/>
    <w:rsid w:val="008E22B8"/>
    <w:rsid w:val="008E3037"/>
    <w:rsid w:val="008F31E5"/>
    <w:rsid w:val="008F4B2E"/>
    <w:rsid w:val="009026B3"/>
    <w:rsid w:val="00903643"/>
    <w:rsid w:val="00915903"/>
    <w:rsid w:val="009162C5"/>
    <w:rsid w:val="009217B9"/>
    <w:rsid w:val="00931E07"/>
    <w:rsid w:val="00935B40"/>
    <w:rsid w:val="009429CE"/>
    <w:rsid w:val="00943DB6"/>
    <w:rsid w:val="0094595E"/>
    <w:rsid w:val="00946095"/>
    <w:rsid w:val="00947075"/>
    <w:rsid w:val="00947C44"/>
    <w:rsid w:val="00955ADB"/>
    <w:rsid w:val="00960704"/>
    <w:rsid w:val="00960ECE"/>
    <w:rsid w:val="00962305"/>
    <w:rsid w:val="00972BCE"/>
    <w:rsid w:val="00994A98"/>
    <w:rsid w:val="009A2134"/>
    <w:rsid w:val="009A3D3F"/>
    <w:rsid w:val="009A738F"/>
    <w:rsid w:val="009A7C1A"/>
    <w:rsid w:val="009B013A"/>
    <w:rsid w:val="009B6C92"/>
    <w:rsid w:val="009C0ACD"/>
    <w:rsid w:val="009C2369"/>
    <w:rsid w:val="009C2D53"/>
    <w:rsid w:val="009C3C56"/>
    <w:rsid w:val="009C495C"/>
    <w:rsid w:val="009E29A3"/>
    <w:rsid w:val="009E7B70"/>
    <w:rsid w:val="009E7E4D"/>
    <w:rsid w:val="009E7F77"/>
    <w:rsid w:val="009F0130"/>
    <w:rsid w:val="009F4C66"/>
    <w:rsid w:val="009F60B3"/>
    <w:rsid w:val="009F7B75"/>
    <w:rsid w:val="00A00D52"/>
    <w:rsid w:val="00A01F0C"/>
    <w:rsid w:val="00A15E9A"/>
    <w:rsid w:val="00A21FFE"/>
    <w:rsid w:val="00A2651D"/>
    <w:rsid w:val="00A30804"/>
    <w:rsid w:val="00A3532C"/>
    <w:rsid w:val="00A35452"/>
    <w:rsid w:val="00A36321"/>
    <w:rsid w:val="00A5261F"/>
    <w:rsid w:val="00A578A2"/>
    <w:rsid w:val="00A609FF"/>
    <w:rsid w:val="00A76F93"/>
    <w:rsid w:val="00A801D2"/>
    <w:rsid w:val="00A85C7A"/>
    <w:rsid w:val="00A862CD"/>
    <w:rsid w:val="00A8792B"/>
    <w:rsid w:val="00A97106"/>
    <w:rsid w:val="00AA1640"/>
    <w:rsid w:val="00AB301D"/>
    <w:rsid w:val="00AB37E9"/>
    <w:rsid w:val="00AB3BC3"/>
    <w:rsid w:val="00AB486D"/>
    <w:rsid w:val="00AC4D41"/>
    <w:rsid w:val="00AC4DA4"/>
    <w:rsid w:val="00AD6E34"/>
    <w:rsid w:val="00AE1197"/>
    <w:rsid w:val="00AF638C"/>
    <w:rsid w:val="00AF6AA2"/>
    <w:rsid w:val="00B06A22"/>
    <w:rsid w:val="00B10896"/>
    <w:rsid w:val="00B11463"/>
    <w:rsid w:val="00B12541"/>
    <w:rsid w:val="00B13749"/>
    <w:rsid w:val="00B14303"/>
    <w:rsid w:val="00B154C3"/>
    <w:rsid w:val="00B16A6A"/>
    <w:rsid w:val="00B173E6"/>
    <w:rsid w:val="00B22E7D"/>
    <w:rsid w:val="00B347E5"/>
    <w:rsid w:val="00B3503D"/>
    <w:rsid w:val="00B4056A"/>
    <w:rsid w:val="00B447A7"/>
    <w:rsid w:val="00B50C4C"/>
    <w:rsid w:val="00B57C46"/>
    <w:rsid w:val="00B60C61"/>
    <w:rsid w:val="00B60F03"/>
    <w:rsid w:val="00B71301"/>
    <w:rsid w:val="00B8116E"/>
    <w:rsid w:val="00B8569F"/>
    <w:rsid w:val="00B92EBD"/>
    <w:rsid w:val="00BA06E9"/>
    <w:rsid w:val="00BA44E6"/>
    <w:rsid w:val="00BA728A"/>
    <w:rsid w:val="00BA7A6E"/>
    <w:rsid w:val="00BB47A4"/>
    <w:rsid w:val="00BC0D48"/>
    <w:rsid w:val="00BC0F22"/>
    <w:rsid w:val="00BC4741"/>
    <w:rsid w:val="00BC6F98"/>
    <w:rsid w:val="00BD7D7E"/>
    <w:rsid w:val="00BE1AA2"/>
    <w:rsid w:val="00C05E32"/>
    <w:rsid w:val="00C1585F"/>
    <w:rsid w:val="00C37CAA"/>
    <w:rsid w:val="00C43407"/>
    <w:rsid w:val="00C47B4B"/>
    <w:rsid w:val="00C50476"/>
    <w:rsid w:val="00C56987"/>
    <w:rsid w:val="00C649D5"/>
    <w:rsid w:val="00C64AF1"/>
    <w:rsid w:val="00C7677B"/>
    <w:rsid w:val="00C77D8A"/>
    <w:rsid w:val="00C94C72"/>
    <w:rsid w:val="00CA6394"/>
    <w:rsid w:val="00CB5059"/>
    <w:rsid w:val="00CB6541"/>
    <w:rsid w:val="00CB6845"/>
    <w:rsid w:val="00CC53BC"/>
    <w:rsid w:val="00CC797E"/>
    <w:rsid w:val="00CC7BFF"/>
    <w:rsid w:val="00CC7EA7"/>
    <w:rsid w:val="00CD1262"/>
    <w:rsid w:val="00CD52DE"/>
    <w:rsid w:val="00CE19F9"/>
    <w:rsid w:val="00CF28FD"/>
    <w:rsid w:val="00D03EEA"/>
    <w:rsid w:val="00D10D0D"/>
    <w:rsid w:val="00D2554E"/>
    <w:rsid w:val="00D26686"/>
    <w:rsid w:val="00D40225"/>
    <w:rsid w:val="00D412DA"/>
    <w:rsid w:val="00D425A1"/>
    <w:rsid w:val="00D4732B"/>
    <w:rsid w:val="00D524A7"/>
    <w:rsid w:val="00D52567"/>
    <w:rsid w:val="00D57F2C"/>
    <w:rsid w:val="00D6554C"/>
    <w:rsid w:val="00D65D97"/>
    <w:rsid w:val="00D76FFC"/>
    <w:rsid w:val="00D90AE1"/>
    <w:rsid w:val="00D94811"/>
    <w:rsid w:val="00D95555"/>
    <w:rsid w:val="00D96DA9"/>
    <w:rsid w:val="00D9701A"/>
    <w:rsid w:val="00DA28B8"/>
    <w:rsid w:val="00DA6033"/>
    <w:rsid w:val="00DA656C"/>
    <w:rsid w:val="00DB3535"/>
    <w:rsid w:val="00DB6B10"/>
    <w:rsid w:val="00DC6AC3"/>
    <w:rsid w:val="00DC735C"/>
    <w:rsid w:val="00DD24F8"/>
    <w:rsid w:val="00DD4781"/>
    <w:rsid w:val="00DE0CF0"/>
    <w:rsid w:val="00DF3341"/>
    <w:rsid w:val="00DF59EF"/>
    <w:rsid w:val="00DF75A7"/>
    <w:rsid w:val="00E103AB"/>
    <w:rsid w:val="00E115A7"/>
    <w:rsid w:val="00E15DA5"/>
    <w:rsid w:val="00E15E03"/>
    <w:rsid w:val="00E22354"/>
    <w:rsid w:val="00E23DD6"/>
    <w:rsid w:val="00E31472"/>
    <w:rsid w:val="00E356D3"/>
    <w:rsid w:val="00E35E5E"/>
    <w:rsid w:val="00E37FD0"/>
    <w:rsid w:val="00E43023"/>
    <w:rsid w:val="00E45A36"/>
    <w:rsid w:val="00E473EF"/>
    <w:rsid w:val="00E52382"/>
    <w:rsid w:val="00E5243A"/>
    <w:rsid w:val="00E66FF3"/>
    <w:rsid w:val="00E67911"/>
    <w:rsid w:val="00E7744C"/>
    <w:rsid w:val="00E83480"/>
    <w:rsid w:val="00E90DC2"/>
    <w:rsid w:val="00EA5089"/>
    <w:rsid w:val="00EB55D8"/>
    <w:rsid w:val="00EB588D"/>
    <w:rsid w:val="00EB7DE6"/>
    <w:rsid w:val="00EC58F2"/>
    <w:rsid w:val="00ED2141"/>
    <w:rsid w:val="00EE6987"/>
    <w:rsid w:val="00EF0991"/>
    <w:rsid w:val="00EF76A4"/>
    <w:rsid w:val="00F0003A"/>
    <w:rsid w:val="00F12494"/>
    <w:rsid w:val="00F12F69"/>
    <w:rsid w:val="00F2254C"/>
    <w:rsid w:val="00F311EB"/>
    <w:rsid w:val="00F451A7"/>
    <w:rsid w:val="00F51F39"/>
    <w:rsid w:val="00F678C4"/>
    <w:rsid w:val="00F67ECB"/>
    <w:rsid w:val="00F73D44"/>
    <w:rsid w:val="00F757E3"/>
    <w:rsid w:val="00F80370"/>
    <w:rsid w:val="00F828D8"/>
    <w:rsid w:val="00F9000A"/>
    <w:rsid w:val="00F91579"/>
    <w:rsid w:val="00F91D12"/>
    <w:rsid w:val="00F9244D"/>
    <w:rsid w:val="00FB1060"/>
    <w:rsid w:val="00FC253F"/>
    <w:rsid w:val="00FD3F77"/>
    <w:rsid w:val="00FE0210"/>
    <w:rsid w:val="00FE3F89"/>
    <w:rsid w:val="00FE5A7C"/>
    <w:rsid w:val="00FF1BEC"/>
    <w:rsid w:val="00FF6321"/>
    <w:rsid w:val="00FF68BB"/>
    <w:rsid w:val="2F896106"/>
    <w:rsid w:val="4F2B192D"/>
    <w:rsid w:val="61081054"/>
    <w:rsid w:val="777ADB52"/>
    <w:rsid w:val="7C4932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8C0ED"/>
  <w15:chartTrackingRefBased/>
  <w15:docId w15:val="{BB62483F-DCA3-48DB-984F-7B49614E4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44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32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7BAD"/>
    <w:pPr>
      <w:ind w:left="720"/>
      <w:contextualSpacing/>
    </w:pPr>
  </w:style>
  <w:style w:type="paragraph" w:styleId="NormalWeb">
    <w:name w:val="Normal (Web)"/>
    <w:basedOn w:val="Normal"/>
    <w:uiPriority w:val="99"/>
    <w:semiHidden/>
    <w:unhideWhenUsed/>
    <w:rsid w:val="0068431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84318"/>
    <w:rPr>
      <w:b/>
      <w:bCs/>
    </w:rPr>
  </w:style>
  <w:style w:type="paragraph" w:styleId="Subtitle">
    <w:name w:val="Subtitle"/>
    <w:basedOn w:val="Normal"/>
    <w:next w:val="Normal"/>
    <w:link w:val="SubtitleChar"/>
    <w:uiPriority w:val="11"/>
    <w:qFormat/>
    <w:rsid w:val="0068431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84318"/>
    <w:rPr>
      <w:rFonts w:eastAsiaTheme="minorEastAsia"/>
      <w:color w:val="5A5A5A" w:themeColor="text1" w:themeTint="A5"/>
      <w:spacing w:val="15"/>
    </w:rPr>
  </w:style>
  <w:style w:type="paragraph" w:styleId="z-TopofForm">
    <w:name w:val="HTML Top of Form"/>
    <w:basedOn w:val="Normal"/>
    <w:next w:val="Normal"/>
    <w:link w:val="z-TopofFormChar"/>
    <w:hidden/>
    <w:uiPriority w:val="99"/>
    <w:semiHidden/>
    <w:unhideWhenUsed/>
    <w:rsid w:val="003E1CA6"/>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3E1CA6"/>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3E1CA6"/>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3E1CA6"/>
    <w:rPr>
      <w:rFonts w:ascii="Arial" w:eastAsia="Times New Roman" w:hAnsi="Arial" w:cs="Arial"/>
      <w:vanish/>
      <w:kern w:val="0"/>
      <w:sz w:val="16"/>
      <w:szCs w:val="16"/>
      <w:lang w:eastAsia="en-GB"/>
      <w14:ligatures w14:val="none"/>
    </w:rPr>
  </w:style>
  <w:style w:type="character" w:styleId="CommentReference">
    <w:name w:val="annotation reference"/>
    <w:basedOn w:val="DefaultParagraphFont"/>
    <w:uiPriority w:val="99"/>
    <w:semiHidden/>
    <w:unhideWhenUsed/>
    <w:rsid w:val="00483D7D"/>
    <w:rPr>
      <w:sz w:val="16"/>
      <w:szCs w:val="16"/>
    </w:rPr>
  </w:style>
  <w:style w:type="paragraph" w:styleId="CommentText">
    <w:name w:val="annotation text"/>
    <w:basedOn w:val="Normal"/>
    <w:link w:val="CommentTextChar"/>
    <w:uiPriority w:val="99"/>
    <w:unhideWhenUsed/>
    <w:rsid w:val="00483D7D"/>
    <w:pPr>
      <w:spacing w:line="240" w:lineRule="auto"/>
    </w:pPr>
    <w:rPr>
      <w:sz w:val="20"/>
      <w:szCs w:val="20"/>
    </w:rPr>
  </w:style>
  <w:style w:type="character" w:customStyle="1" w:styleId="CommentTextChar">
    <w:name w:val="Comment Text Char"/>
    <w:basedOn w:val="DefaultParagraphFont"/>
    <w:link w:val="CommentText"/>
    <w:uiPriority w:val="99"/>
    <w:rsid w:val="00483D7D"/>
    <w:rPr>
      <w:sz w:val="20"/>
      <w:szCs w:val="20"/>
    </w:rPr>
  </w:style>
  <w:style w:type="paragraph" w:styleId="CommentSubject">
    <w:name w:val="annotation subject"/>
    <w:basedOn w:val="CommentText"/>
    <w:next w:val="CommentText"/>
    <w:link w:val="CommentSubjectChar"/>
    <w:uiPriority w:val="99"/>
    <w:semiHidden/>
    <w:unhideWhenUsed/>
    <w:rsid w:val="00483D7D"/>
    <w:rPr>
      <w:b/>
      <w:bCs/>
    </w:rPr>
  </w:style>
  <w:style w:type="character" w:customStyle="1" w:styleId="CommentSubjectChar">
    <w:name w:val="Comment Subject Char"/>
    <w:basedOn w:val="CommentTextChar"/>
    <w:link w:val="CommentSubject"/>
    <w:uiPriority w:val="99"/>
    <w:semiHidden/>
    <w:rsid w:val="00483D7D"/>
    <w:rPr>
      <w:b/>
      <w:bCs/>
      <w:sz w:val="20"/>
      <w:szCs w:val="20"/>
    </w:rPr>
  </w:style>
  <w:style w:type="character" w:styleId="IntenseEmphasis">
    <w:name w:val="Intense Emphasis"/>
    <w:basedOn w:val="DefaultParagraphFont"/>
    <w:uiPriority w:val="21"/>
    <w:qFormat/>
    <w:rsid w:val="007944B7"/>
    <w:rPr>
      <w:i/>
      <w:iCs/>
      <w:color w:val="4472C4" w:themeColor="accent1"/>
    </w:rPr>
  </w:style>
  <w:style w:type="character" w:customStyle="1" w:styleId="Heading1Char">
    <w:name w:val="Heading 1 Char"/>
    <w:basedOn w:val="DefaultParagraphFont"/>
    <w:link w:val="Heading1"/>
    <w:uiPriority w:val="9"/>
    <w:rsid w:val="007944B7"/>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341AFD"/>
    <w:rPr>
      <w:i/>
      <w:iCs/>
    </w:rPr>
  </w:style>
  <w:style w:type="character" w:styleId="Hyperlink">
    <w:name w:val="Hyperlink"/>
    <w:basedOn w:val="DefaultParagraphFont"/>
    <w:uiPriority w:val="99"/>
    <w:unhideWhenUsed/>
    <w:rsid w:val="009F7B75"/>
    <w:rPr>
      <w:color w:val="0563C1" w:themeColor="hyperlink"/>
      <w:u w:val="single"/>
    </w:rPr>
  </w:style>
  <w:style w:type="character" w:styleId="UnresolvedMention">
    <w:name w:val="Unresolved Mention"/>
    <w:basedOn w:val="DefaultParagraphFont"/>
    <w:uiPriority w:val="99"/>
    <w:semiHidden/>
    <w:unhideWhenUsed/>
    <w:rsid w:val="009F7B75"/>
    <w:rPr>
      <w:color w:val="605E5C"/>
      <w:shd w:val="clear" w:color="auto" w:fill="E1DFDD"/>
    </w:rPr>
  </w:style>
  <w:style w:type="character" w:styleId="FollowedHyperlink">
    <w:name w:val="FollowedHyperlink"/>
    <w:basedOn w:val="DefaultParagraphFont"/>
    <w:uiPriority w:val="99"/>
    <w:semiHidden/>
    <w:unhideWhenUsed/>
    <w:rsid w:val="00084556"/>
    <w:rPr>
      <w:color w:val="954F72" w:themeColor="followedHyperlink"/>
      <w:u w:val="single"/>
    </w:rPr>
  </w:style>
  <w:style w:type="character" w:customStyle="1" w:styleId="cf01">
    <w:name w:val="cf01"/>
    <w:basedOn w:val="DefaultParagraphFont"/>
    <w:rsid w:val="00DF3341"/>
    <w:rPr>
      <w:rFonts w:ascii="Segoe UI" w:hAnsi="Segoe UI" w:cs="Segoe UI" w:hint="default"/>
      <w:sz w:val="18"/>
      <w:szCs w:val="18"/>
    </w:rPr>
  </w:style>
  <w:style w:type="character" w:customStyle="1" w:styleId="Heading2Char">
    <w:name w:val="Heading 2 Char"/>
    <w:basedOn w:val="DefaultParagraphFont"/>
    <w:link w:val="Heading2"/>
    <w:uiPriority w:val="9"/>
    <w:rsid w:val="0085324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37194">
      <w:bodyDiv w:val="1"/>
      <w:marLeft w:val="0"/>
      <w:marRight w:val="0"/>
      <w:marTop w:val="0"/>
      <w:marBottom w:val="0"/>
      <w:divBdr>
        <w:top w:val="none" w:sz="0" w:space="0" w:color="auto"/>
        <w:left w:val="none" w:sz="0" w:space="0" w:color="auto"/>
        <w:bottom w:val="none" w:sz="0" w:space="0" w:color="auto"/>
        <w:right w:val="none" w:sz="0" w:space="0" w:color="auto"/>
      </w:divBdr>
      <w:divsChild>
        <w:div w:id="703749912">
          <w:marLeft w:val="0"/>
          <w:marRight w:val="0"/>
          <w:marTop w:val="0"/>
          <w:marBottom w:val="0"/>
          <w:divBdr>
            <w:top w:val="single" w:sz="2" w:space="0" w:color="D9D9E3"/>
            <w:left w:val="single" w:sz="2" w:space="0" w:color="D9D9E3"/>
            <w:bottom w:val="single" w:sz="2" w:space="0" w:color="D9D9E3"/>
            <w:right w:val="single" w:sz="2" w:space="0" w:color="D9D9E3"/>
          </w:divBdr>
          <w:divsChild>
            <w:div w:id="1231691482">
              <w:marLeft w:val="0"/>
              <w:marRight w:val="0"/>
              <w:marTop w:val="0"/>
              <w:marBottom w:val="0"/>
              <w:divBdr>
                <w:top w:val="single" w:sz="2" w:space="0" w:color="D9D9E3"/>
                <w:left w:val="single" w:sz="2" w:space="0" w:color="D9D9E3"/>
                <w:bottom w:val="single" w:sz="2" w:space="0" w:color="D9D9E3"/>
                <w:right w:val="single" w:sz="2" w:space="0" w:color="D9D9E3"/>
              </w:divBdr>
              <w:divsChild>
                <w:div w:id="2124169">
                  <w:marLeft w:val="0"/>
                  <w:marRight w:val="0"/>
                  <w:marTop w:val="0"/>
                  <w:marBottom w:val="0"/>
                  <w:divBdr>
                    <w:top w:val="single" w:sz="2" w:space="0" w:color="D9D9E3"/>
                    <w:left w:val="single" w:sz="2" w:space="0" w:color="D9D9E3"/>
                    <w:bottom w:val="single" w:sz="2" w:space="0" w:color="D9D9E3"/>
                    <w:right w:val="single" w:sz="2" w:space="0" w:color="D9D9E3"/>
                  </w:divBdr>
                  <w:divsChild>
                    <w:div w:id="1939017292">
                      <w:marLeft w:val="0"/>
                      <w:marRight w:val="0"/>
                      <w:marTop w:val="0"/>
                      <w:marBottom w:val="0"/>
                      <w:divBdr>
                        <w:top w:val="single" w:sz="2" w:space="0" w:color="D9D9E3"/>
                        <w:left w:val="single" w:sz="2" w:space="0" w:color="D9D9E3"/>
                        <w:bottom w:val="single" w:sz="2" w:space="0" w:color="D9D9E3"/>
                        <w:right w:val="single" w:sz="2" w:space="0" w:color="D9D9E3"/>
                      </w:divBdr>
                      <w:divsChild>
                        <w:div w:id="566186253">
                          <w:marLeft w:val="0"/>
                          <w:marRight w:val="0"/>
                          <w:marTop w:val="0"/>
                          <w:marBottom w:val="0"/>
                          <w:divBdr>
                            <w:top w:val="single" w:sz="2" w:space="0" w:color="D9D9E3"/>
                            <w:left w:val="single" w:sz="2" w:space="0" w:color="D9D9E3"/>
                            <w:bottom w:val="single" w:sz="2" w:space="0" w:color="D9D9E3"/>
                            <w:right w:val="single" w:sz="2" w:space="0" w:color="D9D9E3"/>
                          </w:divBdr>
                          <w:divsChild>
                            <w:div w:id="1736316677">
                              <w:marLeft w:val="0"/>
                              <w:marRight w:val="0"/>
                              <w:marTop w:val="100"/>
                              <w:marBottom w:val="100"/>
                              <w:divBdr>
                                <w:top w:val="single" w:sz="2" w:space="0" w:color="D9D9E3"/>
                                <w:left w:val="single" w:sz="2" w:space="0" w:color="D9D9E3"/>
                                <w:bottom w:val="single" w:sz="2" w:space="0" w:color="D9D9E3"/>
                                <w:right w:val="single" w:sz="2" w:space="0" w:color="D9D9E3"/>
                              </w:divBdr>
                              <w:divsChild>
                                <w:div w:id="967398639">
                                  <w:marLeft w:val="0"/>
                                  <w:marRight w:val="0"/>
                                  <w:marTop w:val="0"/>
                                  <w:marBottom w:val="0"/>
                                  <w:divBdr>
                                    <w:top w:val="single" w:sz="2" w:space="0" w:color="D9D9E3"/>
                                    <w:left w:val="single" w:sz="2" w:space="0" w:color="D9D9E3"/>
                                    <w:bottom w:val="single" w:sz="2" w:space="0" w:color="D9D9E3"/>
                                    <w:right w:val="single" w:sz="2" w:space="0" w:color="D9D9E3"/>
                                  </w:divBdr>
                                  <w:divsChild>
                                    <w:div w:id="558053875">
                                      <w:marLeft w:val="0"/>
                                      <w:marRight w:val="0"/>
                                      <w:marTop w:val="0"/>
                                      <w:marBottom w:val="0"/>
                                      <w:divBdr>
                                        <w:top w:val="single" w:sz="2" w:space="0" w:color="D9D9E3"/>
                                        <w:left w:val="single" w:sz="2" w:space="0" w:color="D9D9E3"/>
                                        <w:bottom w:val="single" w:sz="2" w:space="0" w:color="D9D9E3"/>
                                        <w:right w:val="single" w:sz="2" w:space="0" w:color="D9D9E3"/>
                                      </w:divBdr>
                                      <w:divsChild>
                                        <w:div w:id="2031174882">
                                          <w:marLeft w:val="0"/>
                                          <w:marRight w:val="0"/>
                                          <w:marTop w:val="0"/>
                                          <w:marBottom w:val="0"/>
                                          <w:divBdr>
                                            <w:top w:val="single" w:sz="2" w:space="0" w:color="D9D9E3"/>
                                            <w:left w:val="single" w:sz="2" w:space="0" w:color="D9D9E3"/>
                                            <w:bottom w:val="single" w:sz="2" w:space="0" w:color="D9D9E3"/>
                                            <w:right w:val="single" w:sz="2" w:space="0" w:color="D9D9E3"/>
                                          </w:divBdr>
                                          <w:divsChild>
                                            <w:div w:id="481773393">
                                              <w:marLeft w:val="0"/>
                                              <w:marRight w:val="0"/>
                                              <w:marTop w:val="0"/>
                                              <w:marBottom w:val="0"/>
                                              <w:divBdr>
                                                <w:top w:val="single" w:sz="2" w:space="0" w:color="D9D9E3"/>
                                                <w:left w:val="single" w:sz="2" w:space="0" w:color="D9D9E3"/>
                                                <w:bottom w:val="single" w:sz="2" w:space="0" w:color="D9D9E3"/>
                                                <w:right w:val="single" w:sz="2" w:space="0" w:color="D9D9E3"/>
                                              </w:divBdr>
                                              <w:divsChild>
                                                <w:div w:id="258756654">
                                                  <w:marLeft w:val="0"/>
                                                  <w:marRight w:val="0"/>
                                                  <w:marTop w:val="0"/>
                                                  <w:marBottom w:val="0"/>
                                                  <w:divBdr>
                                                    <w:top w:val="single" w:sz="2" w:space="0" w:color="D9D9E3"/>
                                                    <w:left w:val="single" w:sz="2" w:space="0" w:color="D9D9E3"/>
                                                    <w:bottom w:val="single" w:sz="2" w:space="0" w:color="D9D9E3"/>
                                                    <w:right w:val="single" w:sz="2" w:space="0" w:color="D9D9E3"/>
                                                  </w:divBdr>
                                                  <w:divsChild>
                                                    <w:div w:id="19989236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02072923">
          <w:marLeft w:val="0"/>
          <w:marRight w:val="0"/>
          <w:marTop w:val="0"/>
          <w:marBottom w:val="0"/>
          <w:divBdr>
            <w:top w:val="none" w:sz="0" w:space="0" w:color="auto"/>
            <w:left w:val="none" w:sz="0" w:space="0" w:color="auto"/>
            <w:bottom w:val="none" w:sz="0" w:space="0" w:color="auto"/>
            <w:right w:val="none" w:sz="0" w:space="0" w:color="auto"/>
          </w:divBdr>
        </w:div>
      </w:divsChild>
    </w:div>
    <w:div w:id="222954745">
      <w:bodyDiv w:val="1"/>
      <w:marLeft w:val="0"/>
      <w:marRight w:val="0"/>
      <w:marTop w:val="0"/>
      <w:marBottom w:val="0"/>
      <w:divBdr>
        <w:top w:val="none" w:sz="0" w:space="0" w:color="auto"/>
        <w:left w:val="none" w:sz="0" w:space="0" w:color="auto"/>
        <w:bottom w:val="none" w:sz="0" w:space="0" w:color="auto"/>
        <w:right w:val="none" w:sz="0" w:space="0" w:color="auto"/>
      </w:divBdr>
    </w:div>
    <w:div w:id="227154939">
      <w:bodyDiv w:val="1"/>
      <w:marLeft w:val="0"/>
      <w:marRight w:val="0"/>
      <w:marTop w:val="0"/>
      <w:marBottom w:val="0"/>
      <w:divBdr>
        <w:top w:val="none" w:sz="0" w:space="0" w:color="auto"/>
        <w:left w:val="none" w:sz="0" w:space="0" w:color="auto"/>
        <w:bottom w:val="none" w:sz="0" w:space="0" w:color="auto"/>
        <w:right w:val="none" w:sz="0" w:space="0" w:color="auto"/>
      </w:divBdr>
    </w:div>
    <w:div w:id="440226353">
      <w:bodyDiv w:val="1"/>
      <w:marLeft w:val="0"/>
      <w:marRight w:val="0"/>
      <w:marTop w:val="0"/>
      <w:marBottom w:val="0"/>
      <w:divBdr>
        <w:top w:val="none" w:sz="0" w:space="0" w:color="auto"/>
        <w:left w:val="none" w:sz="0" w:space="0" w:color="auto"/>
        <w:bottom w:val="none" w:sz="0" w:space="0" w:color="auto"/>
        <w:right w:val="none" w:sz="0" w:space="0" w:color="auto"/>
      </w:divBdr>
      <w:divsChild>
        <w:div w:id="206190427">
          <w:marLeft w:val="0"/>
          <w:marRight w:val="0"/>
          <w:marTop w:val="0"/>
          <w:marBottom w:val="0"/>
          <w:divBdr>
            <w:top w:val="single" w:sz="2" w:space="0" w:color="D9D9E3"/>
            <w:left w:val="single" w:sz="2" w:space="0" w:color="D9D9E3"/>
            <w:bottom w:val="single" w:sz="2" w:space="0" w:color="D9D9E3"/>
            <w:right w:val="single" w:sz="2" w:space="0" w:color="D9D9E3"/>
          </w:divBdr>
          <w:divsChild>
            <w:div w:id="986007087">
              <w:marLeft w:val="0"/>
              <w:marRight w:val="0"/>
              <w:marTop w:val="0"/>
              <w:marBottom w:val="0"/>
              <w:divBdr>
                <w:top w:val="single" w:sz="2" w:space="0" w:color="D9D9E3"/>
                <w:left w:val="single" w:sz="2" w:space="0" w:color="D9D9E3"/>
                <w:bottom w:val="single" w:sz="2" w:space="0" w:color="D9D9E3"/>
                <w:right w:val="single" w:sz="2" w:space="0" w:color="D9D9E3"/>
              </w:divBdr>
              <w:divsChild>
                <w:div w:id="557859496">
                  <w:marLeft w:val="0"/>
                  <w:marRight w:val="0"/>
                  <w:marTop w:val="0"/>
                  <w:marBottom w:val="0"/>
                  <w:divBdr>
                    <w:top w:val="single" w:sz="2" w:space="0" w:color="D9D9E3"/>
                    <w:left w:val="single" w:sz="2" w:space="0" w:color="D9D9E3"/>
                    <w:bottom w:val="single" w:sz="2" w:space="0" w:color="D9D9E3"/>
                    <w:right w:val="single" w:sz="2" w:space="0" w:color="D9D9E3"/>
                  </w:divBdr>
                  <w:divsChild>
                    <w:div w:id="1772893298">
                      <w:marLeft w:val="0"/>
                      <w:marRight w:val="0"/>
                      <w:marTop w:val="0"/>
                      <w:marBottom w:val="0"/>
                      <w:divBdr>
                        <w:top w:val="single" w:sz="2" w:space="0" w:color="D9D9E3"/>
                        <w:left w:val="single" w:sz="2" w:space="0" w:color="D9D9E3"/>
                        <w:bottom w:val="single" w:sz="2" w:space="0" w:color="D9D9E3"/>
                        <w:right w:val="single" w:sz="2" w:space="0" w:color="D9D9E3"/>
                      </w:divBdr>
                      <w:divsChild>
                        <w:div w:id="319160870">
                          <w:marLeft w:val="0"/>
                          <w:marRight w:val="0"/>
                          <w:marTop w:val="0"/>
                          <w:marBottom w:val="0"/>
                          <w:divBdr>
                            <w:top w:val="single" w:sz="2" w:space="0" w:color="D9D9E3"/>
                            <w:left w:val="single" w:sz="2" w:space="0" w:color="D9D9E3"/>
                            <w:bottom w:val="single" w:sz="2" w:space="0" w:color="D9D9E3"/>
                            <w:right w:val="single" w:sz="2" w:space="0" w:color="D9D9E3"/>
                          </w:divBdr>
                          <w:divsChild>
                            <w:div w:id="377242049">
                              <w:marLeft w:val="0"/>
                              <w:marRight w:val="0"/>
                              <w:marTop w:val="100"/>
                              <w:marBottom w:val="100"/>
                              <w:divBdr>
                                <w:top w:val="single" w:sz="2" w:space="0" w:color="D9D9E3"/>
                                <w:left w:val="single" w:sz="2" w:space="0" w:color="D9D9E3"/>
                                <w:bottom w:val="single" w:sz="2" w:space="0" w:color="D9D9E3"/>
                                <w:right w:val="single" w:sz="2" w:space="0" w:color="D9D9E3"/>
                              </w:divBdr>
                              <w:divsChild>
                                <w:div w:id="589238597">
                                  <w:marLeft w:val="0"/>
                                  <w:marRight w:val="0"/>
                                  <w:marTop w:val="0"/>
                                  <w:marBottom w:val="0"/>
                                  <w:divBdr>
                                    <w:top w:val="single" w:sz="2" w:space="0" w:color="D9D9E3"/>
                                    <w:left w:val="single" w:sz="2" w:space="0" w:color="D9D9E3"/>
                                    <w:bottom w:val="single" w:sz="2" w:space="0" w:color="D9D9E3"/>
                                    <w:right w:val="single" w:sz="2" w:space="0" w:color="D9D9E3"/>
                                  </w:divBdr>
                                  <w:divsChild>
                                    <w:div w:id="206838783">
                                      <w:marLeft w:val="0"/>
                                      <w:marRight w:val="0"/>
                                      <w:marTop w:val="0"/>
                                      <w:marBottom w:val="0"/>
                                      <w:divBdr>
                                        <w:top w:val="single" w:sz="2" w:space="0" w:color="D9D9E3"/>
                                        <w:left w:val="single" w:sz="2" w:space="0" w:color="D9D9E3"/>
                                        <w:bottom w:val="single" w:sz="2" w:space="0" w:color="D9D9E3"/>
                                        <w:right w:val="single" w:sz="2" w:space="0" w:color="D9D9E3"/>
                                      </w:divBdr>
                                      <w:divsChild>
                                        <w:div w:id="102699106">
                                          <w:marLeft w:val="0"/>
                                          <w:marRight w:val="0"/>
                                          <w:marTop w:val="0"/>
                                          <w:marBottom w:val="0"/>
                                          <w:divBdr>
                                            <w:top w:val="single" w:sz="2" w:space="0" w:color="D9D9E3"/>
                                            <w:left w:val="single" w:sz="2" w:space="0" w:color="D9D9E3"/>
                                            <w:bottom w:val="single" w:sz="2" w:space="0" w:color="D9D9E3"/>
                                            <w:right w:val="single" w:sz="2" w:space="0" w:color="D9D9E3"/>
                                          </w:divBdr>
                                          <w:divsChild>
                                            <w:div w:id="1340278221">
                                              <w:marLeft w:val="0"/>
                                              <w:marRight w:val="0"/>
                                              <w:marTop w:val="0"/>
                                              <w:marBottom w:val="0"/>
                                              <w:divBdr>
                                                <w:top w:val="single" w:sz="2" w:space="0" w:color="D9D9E3"/>
                                                <w:left w:val="single" w:sz="2" w:space="0" w:color="D9D9E3"/>
                                                <w:bottom w:val="single" w:sz="2" w:space="0" w:color="D9D9E3"/>
                                                <w:right w:val="single" w:sz="2" w:space="0" w:color="D9D9E3"/>
                                              </w:divBdr>
                                              <w:divsChild>
                                                <w:div w:id="228662886">
                                                  <w:marLeft w:val="0"/>
                                                  <w:marRight w:val="0"/>
                                                  <w:marTop w:val="0"/>
                                                  <w:marBottom w:val="0"/>
                                                  <w:divBdr>
                                                    <w:top w:val="single" w:sz="2" w:space="0" w:color="D9D9E3"/>
                                                    <w:left w:val="single" w:sz="2" w:space="0" w:color="D9D9E3"/>
                                                    <w:bottom w:val="single" w:sz="2" w:space="0" w:color="D9D9E3"/>
                                                    <w:right w:val="single" w:sz="2" w:space="0" w:color="D9D9E3"/>
                                                  </w:divBdr>
                                                  <w:divsChild>
                                                    <w:div w:id="17027786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58513861">
          <w:marLeft w:val="0"/>
          <w:marRight w:val="0"/>
          <w:marTop w:val="0"/>
          <w:marBottom w:val="0"/>
          <w:divBdr>
            <w:top w:val="none" w:sz="0" w:space="0" w:color="auto"/>
            <w:left w:val="none" w:sz="0" w:space="0" w:color="auto"/>
            <w:bottom w:val="none" w:sz="0" w:space="0" w:color="auto"/>
            <w:right w:val="none" w:sz="0" w:space="0" w:color="auto"/>
          </w:divBdr>
          <w:divsChild>
            <w:div w:id="8589309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85523437">
      <w:bodyDiv w:val="1"/>
      <w:marLeft w:val="0"/>
      <w:marRight w:val="0"/>
      <w:marTop w:val="0"/>
      <w:marBottom w:val="0"/>
      <w:divBdr>
        <w:top w:val="none" w:sz="0" w:space="0" w:color="auto"/>
        <w:left w:val="none" w:sz="0" w:space="0" w:color="auto"/>
        <w:bottom w:val="none" w:sz="0" w:space="0" w:color="auto"/>
        <w:right w:val="none" w:sz="0" w:space="0" w:color="auto"/>
      </w:divBdr>
    </w:div>
    <w:div w:id="687751650">
      <w:bodyDiv w:val="1"/>
      <w:marLeft w:val="0"/>
      <w:marRight w:val="0"/>
      <w:marTop w:val="0"/>
      <w:marBottom w:val="0"/>
      <w:divBdr>
        <w:top w:val="none" w:sz="0" w:space="0" w:color="auto"/>
        <w:left w:val="none" w:sz="0" w:space="0" w:color="auto"/>
        <w:bottom w:val="none" w:sz="0" w:space="0" w:color="auto"/>
        <w:right w:val="none" w:sz="0" w:space="0" w:color="auto"/>
      </w:divBdr>
    </w:div>
    <w:div w:id="878591915">
      <w:bodyDiv w:val="1"/>
      <w:marLeft w:val="0"/>
      <w:marRight w:val="0"/>
      <w:marTop w:val="0"/>
      <w:marBottom w:val="0"/>
      <w:divBdr>
        <w:top w:val="none" w:sz="0" w:space="0" w:color="auto"/>
        <w:left w:val="none" w:sz="0" w:space="0" w:color="auto"/>
        <w:bottom w:val="none" w:sz="0" w:space="0" w:color="auto"/>
        <w:right w:val="none" w:sz="0" w:space="0" w:color="auto"/>
      </w:divBdr>
    </w:div>
    <w:div w:id="1119957876">
      <w:bodyDiv w:val="1"/>
      <w:marLeft w:val="0"/>
      <w:marRight w:val="0"/>
      <w:marTop w:val="0"/>
      <w:marBottom w:val="0"/>
      <w:divBdr>
        <w:top w:val="none" w:sz="0" w:space="0" w:color="auto"/>
        <w:left w:val="none" w:sz="0" w:space="0" w:color="auto"/>
        <w:bottom w:val="none" w:sz="0" w:space="0" w:color="auto"/>
        <w:right w:val="none" w:sz="0" w:space="0" w:color="auto"/>
      </w:divBdr>
    </w:div>
    <w:div w:id="1140150075">
      <w:bodyDiv w:val="1"/>
      <w:marLeft w:val="0"/>
      <w:marRight w:val="0"/>
      <w:marTop w:val="0"/>
      <w:marBottom w:val="0"/>
      <w:divBdr>
        <w:top w:val="none" w:sz="0" w:space="0" w:color="auto"/>
        <w:left w:val="none" w:sz="0" w:space="0" w:color="auto"/>
        <w:bottom w:val="none" w:sz="0" w:space="0" w:color="auto"/>
        <w:right w:val="none" w:sz="0" w:space="0" w:color="auto"/>
      </w:divBdr>
    </w:div>
    <w:div w:id="1223560810">
      <w:bodyDiv w:val="1"/>
      <w:marLeft w:val="0"/>
      <w:marRight w:val="0"/>
      <w:marTop w:val="0"/>
      <w:marBottom w:val="0"/>
      <w:divBdr>
        <w:top w:val="none" w:sz="0" w:space="0" w:color="auto"/>
        <w:left w:val="none" w:sz="0" w:space="0" w:color="auto"/>
        <w:bottom w:val="none" w:sz="0" w:space="0" w:color="auto"/>
        <w:right w:val="none" w:sz="0" w:space="0" w:color="auto"/>
      </w:divBdr>
    </w:div>
    <w:div w:id="1354528835">
      <w:bodyDiv w:val="1"/>
      <w:marLeft w:val="0"/>
      <w:marRight w:val="0"/>
      <w:marTop w:val="0"/>
      <w:marBottom w:val="0"/>
      <w:divBdr>
        <w:top w:val="none" w:sz="0" w:space="0" w:color="auto"/>
        <w:left w:val="none" w:sz="0" w:space="0" w:color="auto"/>
        <w:bottom w:val="none" w:sz="0" w:space="0" w:color="auto"/>
        <w:right w:val="none" w:sz="0" w:space="0" w:color="auto"/>
      </w:divBdr>
    </w:div>
    <w:div w:id="1448281853">
      <w:bodyDiv w:val="1"/>
      <w:marLeft w:val="0"/>
      <w:marRight w:val="0"/>
      <w:marTop w:val="0"/>
      <w:marBottom w:val="0"/>
      <w:divBdr>
        <w:top w:val="none" w:sz="0" w:space="0" w:color="auto"/>
        <w:left w:val="none" w:sz="0" w:space="0" w:color="auto"/>
        <w:bottom w:val="none" w:sz="0" w:space="0" w:color="auto"/>
        <w:right w:val="none" w:sz="0" w:space="0" w:color="auto"/>
      </w:divBdr>
      <w:divsChild>
        <w:div w:id="1045108251">
          <w:marLeft w:val="0"/>
          <w:marRight w:val="0"/>
          <w:marTop w:val="0"/>
          <w:marBottom w:val="0"/>
          <w:divBdr>
            <w:top w:val="single" w:sz="2" w:space="0" w:color="D9D9E3"/>
            <w:left w:val="single" w:sz="2" w:space="0" w:color="D9D9E3"/>
            <w:bottom w:val="single" w:sz="2" w:space="0" w:color="D9D9E3"/>
            <w:right w:val="single" w:sz="2" w:space="0" w:color="D9D9E3"/>
          </w:divBdr>
          <w:divsChild>
            <w:div w:id="146171205">
              <w:marLeft w:val="0"/>
              <w:marRight w:val="0"/>
              <w:marTop w:val="0"/>
              <w:marBottom w:val="0"/>
              <w:divBdr>
                <w:top w:val="single" w:sz="2" w:space="0" w:color="D9D9E3"/>
                <w:left w:val="single" w:sz="2" w:space="0" w:color="D9D9E3"/>
                <w:bottom w:val="single" w:sz="2" w:space="0" w:color="D9D9E3"/>
                <w:right w:val="single" w:sz="2" w:space="0" w:color="D9D9E3"/>
              </w:divBdr>
              <w:divsChild>
                <w:div w:id="325478164">
                  <w:marLeft w:val="0"/>
                  <w:marRight w:val="0"/>
                  <w:marTop w:val="0"/>
                  <w:marBottom w:val="0"/>
                  <w:divBdr>
                    <w:top w:val="single" w:sz="2" w:space="0" w:color="D9D9E3"/>
                    <w:left w:val="single" w:sz="2" w:space="0" w:color="D9D9E3"/>
                    <w:bottom w:val="single" w:sz="2" w:space="0" w:color="D9D9E3"/>
                    <w:right w:val="single" w:sz="2" w:space="0" w:color="D9D9E3"/>
                  </w:divBdr>
                  <w:divsChild>
                    <w:div w:id="869218488">
                      <w:marLeft w:val="0"/>
                      <w:marRight w:val="0"/>
                      <w:marTop w:val="0"/>
                      <w:marBottom w:val="0"/>
                      <w:divBdr>
                        <w:top w:val="single" w:sz="2" w:space="0" w:color="D9D9E3"/>
                        <w:left w:val="single" w:sz="2" w:space="0" w:color="D9D9E3"/>
                        <w:bottom w:val="single" w:sz="2" w:space="0" w:color="D9D9E3"/>
                        <w:right w:val="single" w:sz="2" w:space="0" w:color="D9D9E3"/>
                      </w:divBdr>
                      <w:divsChild>
                        <w:div w:id="2014527113">
                          <w:marLeft w:val="0"/>
                          <w:marRight w:val="0"/>
                          <w:marTop w:val="0"/>
                          <w:marBottom w:val="0"/>
                          <w:divBdr>
                            <w:top w:val="single" w:sz="2" w:space="0" w:color="D9D9E3"/>
                            <w:left w:val="single" w:sz="2" w:space="0" w:color="D9D9E3"/>
                            <w:bottom w:val="single" w:sz="2" w:space="0" w:color="D9D9E3"/>
                            <w:right w:val="single" w:sz="2" w:space="0" w:color="D9D9E3"/>
                          </w:divBdr>
                          <w:divsChild>
                            <w:div w:id="584801059">
                              <w:marLeft w:val="0"/>
                              <w:marRight w:val="0"/>
                              <w:marTop w:val="100"/>
                              <w:marBottom w:val="100"/>
                              <w:divBdr>
                                <w:top w:val="single" w:sz="2" w:space="0" w:color="D9D9E3"/>
                                <w:left w:val="single" w:sz="2" w:space="0" w:color="D9D9E3"/>
                                <w:bottom w:val="single" w:sz="2" w:space="0" w:color="D9D9E3"/>
                                <w:right w:val="single" w:sz="2" w:space="0" w:color="D9D9E3"/>
                              </w:divBdr>
                              <w:divsChild>
                                <w:div w:id="306398477">
                                  <w:marLeft w:val="0"/>
                                  <w:marRight w:val="0"/>
                                  <w:marTop w:val="0"/>
                                  <w:marBottom w:val="0"/>
                                  <w:divBdr>
                                    <w:top w:val="single" w:sz="2" w:space="0" w:color="D9D9E3"/>
                                    <w:left w:val="single" w:sz="2" w:space="0" w:color="D9D9E3"/>
                                    <w:bottom w:val="single" w:sz="2" w:space="0" w:color="D9D9E3"/>
                                    <w:right w:val="single" w:sz="2" w:space="0" w:color="D9D9E3"/>
                                  </w:divBdr>
                                  <w:divsChild>
                                    <w:div w:id="1050231139">
                                      <w:marLeft w:val="0"/>
                                      <w:marRight w:val="0"/>
                                      <w:marTop w:val="0"/>
                                      <w:marBottom w:val="0"/>
                                      <w:divBdr>
                                        <w:top w:val="single" w:sz="2" w:space="0" w:color="D9D9E3"/>
                                        <w:left w:val="single" w:sz="2" w:space="0" w:color="D9D9E3"/>
                                        <w:bottom w:val="single" w:sz="2" w:space="0" w:color="D9D9E3"/>
                                        <w:right w:val="single" w:sz="2" w:space="0" w:color="D9D9E3"/>
                                      </w:divBdr>
                                      <w:divsChild>
                                        <w:div w:id="583614473">
                                          <w:marLeft w:val="0"/>
                                          <w:marRight w:val="0"/>
                                          <w:marTop w:val="0"/>
                                          <w:marBottom w:val="0"/>
                                          <w:divBdr>
                                            <w:top w:val="single" w:sz="2" w:space="0" w:color="D9D9E3"/>
                                            <w:left w:val="single" w:sz="2" w:space="0" w:color="D9D9E3"/>
                                            <w:bottom w:val="single" w:sz="2" w:space="0" w:color="D9D9E3"/>
                                            <w:right w:val="single" w:sz="2" w:space="0" w:color="D9D9E3"/>
                                          </w:divBdr>
                                          <w:divsChild>
                                            <w:div w:id="1763917209">
                                              <w:marLeft w:val="0"/>
                                              <w:marRight w:val="0"/>
                                              <w:marTop w:val="0"/>
                                              <w:marBottom w:val="0"/>
                                              <w:divBdr>
                                                <w:top w:val="single" w:sz="2" w:space="0" w:color="D9D9E3"/>
                                                <w:left w:val="single" w:sz="2" w:space="0" w:color="D9D9E3"/>
                                                <w:bottom w:val="single" w:sz="2" w:space="0" w:color="D9D9E3"/>
                                                <w:right w:val="single" w:sz="2" w:space="0" w:color="D9D9E3"/>
                                              </w:divBdr>
                                              <w:divsChild>
                                                <w:div w:id="1167289307">
                                                  <w:marLeft w:val="0"/>
                                                  <w:marRight w:val="0"/>
                                                  <w:marTop w:val="0"/>
                                                  <w:marBottom w:val="0"/>
                                                  <w:divBdr>
                                                    <w:top w:val="single" w:sz="2" w:space="0" w:color="D9D9E3"/>
                                                    <w:left w:val="single" w:sz="2" w:space="0" w:color="D9D9E3"/>
                                                    <w:bottom w:val="single" w:sz="2" w:space="0" w:color="D9D9E3"/>
                                                    <w:right w:val="single" w:sz="2" w:space="0" w:color="D9D9E3"/>
                                                  </w:divBdr>
                                                  <w:divsChild>
                                                    <w:div w:id="2282719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69991670">
          <w:marLeft w:val="0"/>
          <w:marRight w:val="0"/>
          <w:marTop w:val="0"/>
          <w:marBottom w:val="0"/>
          <w:divBdr>
            <w:top w:val="none" w:sz="0" w:space="0" w:color="auto"/>
            <w:left w:val="none" w:sz="0" w:space="0" w:color="auto"/>
            <w:bottom w:val="none" w:sz="0" w:space="0" w:color="auto"/>
            <w:right w:val="none" w:sz="0" w:space="0" w:color="auto"/>
          </w:divBdr>
        </w:div>
      </w:divsChild>
    </w:div>
    <w:div w:id="1708990163">
      <w:bodyDiv w:val="1"/>
      <w:marLeft w:val="0"/>
      <w:marRight w:val="0"/>
      <w:marTop w:val="0"/>
      <w:marBottom w:val="0"/>
      <w:divBdr>
        <w:top w:val="none" w:sz="0" w:space="0" w:color="auto"/>
        <w:left w:val="none" w:sz="0" w:space="0" w:color="auto"/>
        <w:bottom w:val="none" w:sz="0" w:space="0" w:color="auto"/>
        <w:right w:val="none" w:sz="0" w:space="0" w:color="auto"/>
      </w:divBdr>
    </w:div>
    <w:div w:id="1781797705">
      <w:bodyDiv w:val="1"/>
      <w:marLeft w:val="0"/>
      <w:marRight w:val="0"/>
      <w:marTop w:val="0"/>
      <w:marBottom w:val="0"/>
      <w:divBdr>
        <w:top w:val="none" w:sz="0" w:space="0" w:color="auto"/>
        <w:left w:val="none" w:sz="0" w:space="0" w:color="auto"/>
        <w:bottom w:val="none" w:sz="0" w:space="0" w:color="auto"/>
        <w:right w:val="none" w:sz="0" w:space="0" w:color="auto"/>
      </w:divBdr>
    </w:div>
    <w:div w:id="1802919723">
      <w:bodyDiv w:val="1"/>
      <w:marLeft w:val="0"/>
      <w:marRight w:val="0"/>
      <w:marTop w:val="0"/>
      <w:marBottom w:val="0"/>
      <w:divBdr>
        <w:top w:val="none" w:sz="0" w:space="0" w:color="auto"/>
        <w:left w:val="none" w:sz="0" w:space="0" w:color="auto"/>
        <w:bottom w:val="none" w:sz="0" w:space="0" w:color="auto"/>
        <w:right w:val="none" w:sz="0" w:space="0" w:color="auto"/>
      </w:divBdr>
      <w:divsChild>
        <w:div w:id="289166850">
          <w:marLeft w:val="0"/>
          <w:marRight w:val="0"/>
          <w:marTop w:val="0"/>
          <w:marBottom w:val="0"/>
          <w:divBdr>
            <w:top w:val="single" w:sz="2" w:space="0" w:color="D9D9E3"/>
            <w:left w:val="single" w:sz="2" w:space="0" w:color="D9D9E3"/>
            <w:bottom w:val="single" w:sz="2" w:space="0" w:color="D9D9E3"/>
            <w:right w:val="single" w:sz="2" w:space="0" w:color="D9D9E3"/>
          </w:divBdr>
          <w:divsChild>
            <w:div w:id="1151941570">
              <w:marLeft w:val="0"/>
              <w:marRight w:val="0"/>
              <w:marTop w:val="0"/>
              <w:marBottom w:val="0"/>
              <w:divBdr>
                <w:top w:val="single" w:sz="2" w:space="0" w:color="D9D9E3"/>
                <w:left w:val="single" w:sz="2" w:space="0" w:color="D9D9E3"/>
                <w:bottom w:val="single" w:sz="2" w:space="0" w:color="D9D9E3"/>
                <w:right w:val="single" w:sz="2" w:space="0" w:color="D9D9E3"/>
              </w:divBdr>
              <w:divsChild>
                <w:div w:id="689525097">
                  <w:marLeft w:val="0"/>
                  <w:marRight w:val="0"/>
                  <w:marTop w:val="0"/>
                  <w:marBottom w:val="0"/>
                  <w:divBdr>
                    <w:top w:val="single" w:sz="2" w:space="0" w:color="D9D9E3"/>
                    <w:left w:val="single" w:sz="2" w:space="0" w:color="D9D9E3"/>
                    <w:bottom w:val="single" w:sz="2" w:space="0" w:color="D9D9E3"/>
                    <w:right w:val="single" w:sz="2" w:space="0" w:color="D9D9E3"/>
                  </w:divBdr>
                  <w:divsChild>
                    <w:div w:id="1539272566">
                      <w:marLeft w:val="0"/>
                      <w:marRight w:val="0"/>
                      <w:marTop w:val="0"/>
                      <w:marBottom w:val="0"/>
                      <w:divBdr>
                        <w:top w:val="single" w:sz="2" w:space="0" w:color="D9D9E3"/>
                        <w:left w:val="single" w:sz="2" w:space="0" w:color="D9D9E3"/>
                        <w:bottom w:val="single" w:sz="2" w:space="0" w:color="D9D9E3"/>
                        <w:right w:val="single" w:sz="2" w:space="0" w:color="D9D9E3"/>
                      </w:divBdr>
                      <w:divsChild>
                        <w:div w:id="1683899949">
                          <w:marLeft w:val="0"/>
                          <w:marRight w:val="0"/>
                          <w:marTop w:val="0"/>
                          <w:marBottom w:val="0"/>
                          <w:divBdr>
                            <w:top w:val="single" w:sz="2" w:space="0" w:color="D9D9E3"/>
                            <w:left w:val="single" w:sz="2" w:space="0" w:color="D9D9E3"/>
                            <w:bottom w:val="single" w:sz="2" w:space="0" w:color="D9D9E3"/>
                            <w:right w:val="single" w:sz="2" w:space="0" w:color="D9D9E3"/>
                          </w:divBdr>
                          <w:divsChild>
                            <w:div w:id="713963830">
                              <w:marLeft w:val="0"/>
                              <w:marRight w:val="0"/>
                              <w:marTop w:val="100"/>
                              <w:marBottom w:val="100"/>
                              <w:divBdr>
                                <w:top w:val="single" w:sz="2" w:space="0" w:color="D9D9E3"/>
                                <w:left w:val="single" w:sz="2" w:space="0" w:color="D9D9E3"/>
                                <w:bottom w:val="single" w:sz="2" w:space="0" w:color="D9D9E3"/>
                                <w:right w:val="single" w:sz="2" w:space="0" w:color="D9D9E3"/>
                              </w:divBdr>
                              <w:divsChild>
                                <w:div w:id="883982002">
                                  <w:marLeft w:val="0"/>
                                  <w:marRight w:val="0"/>
                                  <w:marTop w:val="0"/>
                                  <w:marBottom w:val="0"/>
                                  <w:divBdr>
                                    <w:top w:val="single" w:sz="2" w:space="0" w:color="D9D9E3"/>
                                    <w:left w:val="single" w:sz="2" w:space="0" w:color="D9D9E3"/>
                                    <w:bottom w:val="single" w:sz="2" w:space="0" w:color="D9D9E3"/>
                                    <w:right w:val="single" w:sz="2" w:space="0" w:color="D9D9E3"/>
                                  </w:divBdr>
                                  <w:divsChild>
                                    <w:div w:id="2066834253">
                                      <w:marLeft w:val="0"/>
                                      <w:marRight w:val="0"/>
                                      <w:marTop w:val="0"/>
                                      <w:marBottom w:val="0"/>
                                      <w:divBdr>
                                        <w:top w:val="single" w:sz="2" w:space="0" w:color="D9D9E3"/>
                                        <w:left w:val="single" w:sz="2" w:space="0" w:color="D9D9E3"/>
                                        <w:bottom w:val="single" w:sz="2" w:space="0" w:color="D9D9E3"/>
                                        <w:right w:val="single" w:sz="2" w:space="0" w:color="D9D9E3"/>
                                      </w:divBdr>
                                      <w:divsChild>
                                        <w:div w:id="8873380">
                                          <w:marLeft w:val="0"/>
                                          <w:marRight w:val="0"/>
                                          <w:marTop w:val="0"/>
                                          <w:marBottom w:val="0"/>
                                          <w:divBdr>
                                            <w:top w:val="single" w:sz="2" w:space="0" w:color="D9D9E3"/>
                                            <w:left w:val="single" w:sz="2" w:space="0" w:color="D9D9E3"/>
                                            <w:bottom w:val="single" w:sz="2" w:space="0" w:color="D9D9E3"/>
                                            <w:right w:val="single" w:sz="2" w:space="0" w:color="D9D9E3"/>
                                          </w:divBdr>
                                          <w:divsChild>
                                            <w:div w:id="590545293">
                                              <w:marLeft w:val="0"/>
                                              <w:marRight w:val="0"/>
                                              <w:marTop w:val="0"/>
                                              <w:marBottom w:val="0"/>
                                              <w:divBdr>
                                                <w:top w:val="single" w:sz="2" w:space="0" w:color="D9D9E3"/>
                                                <w:left w:val="single" w:sz="2" w:space="0" w:color="D9D9E3"/>
                                                <w:bottom w:val="single" w:sz="2" w:space="0" w:color="D9D9E3"/>
                                                <w:right w:val="single" w:sz="2" w:space="0" w:color="D9D9E3"/>
                                              </w:divBdr>
                                              <w:divsChild>
                                                <w:div w:id="2129228755">
                                                  <w:marLeft w:val="0"/>
                                                  <w:marRight w:val="0"/>
                                                  <w:marTop w:val="0"/>
                                                  <w:marBottom w:val="0"/>
                                                  <w:divBdr>
                                                    <w:top w:val="single" w:sz="2" w:space="0" w:color="D9D9E3"/>
                                                    <w:left w:val="single" w:sz="2" w:space="0" w:color="D9D9E3"/>
                                                    <w:bottom w:val="single" w:sz="2" w:space="0" w:color="D9D9E3"/>
                                                    <w:right w:val="single" w:sz="2" w:space="0" w:color="D9D9E3"/>
                                                  </w:divBdr>
                                                  <w:divsChild>
                                                    <w:div w:id="2703553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7834506">
          <w:marLeft w:val="0"/>
          <w:marRight w:val="0"/>
          <w:marTop w:val="0"/>
          <w:marBottom w:val="0"/>
          <w:divBdr>
            <w:top w:val="none" w:sz="0" w:space="0" w:color="auto"/>
            <w:left w:val="none" w:sz="0" w:space="0" w:color="auto"/>
            <w:bottom w:val="none" w:sz="0" w:space="0" w:color="auto"/>
            <w:right w:val="none" w:sz="0" w:space="0" w:color="auto"/>
          </w:divBdr>
          <w:divsChild>
            <w:div w:id="7066799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55671590">
      <w:bodyDiv w:val="1"/>
      <w:marLeft w:val="0"/>
      <w:marRight w:val="0"/>
      <w:marTop w:val="0"/>
      <w:marBottom w:val="0"/>
      <w:divBdr>
        <w:top w:val="none" w:sz="0" w:space="0" w:color="auto"/>
        <w:left w:val="none" w:sz="0" w:space="0" w:color="auto"/>
        <w:bottom w:val="none" w:sz="0" w:space="0" w:color="auto"/>
        <w:right w:val="none" w:sz="0" w:space="0" w:color="auto"/>
      </w:divBdr>
      <w:divsChild>
        <w:div w:id="169569577">
          <w:marLeft w:val="0"/>
          <w:marRight w:val="0"/>
          <w:marTop w:val="0"/>
          <w:marBottom w:val="0"/>
          <w:divBdr>
            <w:top w:val="single" w:sz="2" w:space="0" w:color="D9D9E3"/>
            <w:left w:val="single" w:sz="2" w:space="0" w:color="D9D9E3"/>
            <w:bottom w:val="single" w:sz="2" w:space="0" w:color="D9D9E3"/>
            <w:right w:val="single" w:sz="2" w:space="0" w:color="D9D9E3"/>
          </w:divBdr>
          <w:divsChild>
            <w:div w:id="1811241156">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110634">
                  <w:marLeft w:val="0"/>
                  <w:marRight w:val="0"/>
                  <w:marTop w:val="0"/>
                  <w:marBottom w:val="0"/>
                  <w:divBdr>
                    <w:top w:val="single" w:sz="2" w:space="0" w:color="D9D9E3"/>
                    <w:left w:val="single" w:sz="2" w:space="0" w:color="D9D9E3"/>
                    <w:bottom w:val="single" w:sz="2" w:space="0" w:color="D9D9E3"/>
                    <w:right w:val="single" w:sz="2" w:space="0" w:color="D9D9E3"/>
                  </w:divBdr>
                  <w:divsChild>
                    <w:div w:id="1868832575">
                      <w:marLeft w:val="0"/>
                      <w:marRight w:val="0"/>
                      <w:marTop w:val="0"/>
                      <w:marBottom w:val="0"/>
                      <w:divBdr>
                        <w:top w:val="single" w:sz="2" w:space="0" w:color="D9D9E3"/>
                        <w:left w:val="single" w:sz="2" w:space="0" w:color="D9D9E3"/>
                        <w:bottom w:val="single" w:sz="2" w:space="0" w:color="D9D9E3"/>
                        <w:right w:val="single" w:sz="2" w:space="0" w:color="D9D9E3"/>
                      </w:divBdr>
                      <w:divsChild>
                        <w:div w:id="1423718630">
                          <w:marLeft w:val="0"/>
                          <w:marRight w:val="0"/>
                          <w:marTop w:val="0"/>
                          <w:marBottom w:val="0"/>
                          <w:divBdr>
                            <w:top w:val="single" w:sz="2" w:space="0" w:color="D9D9E3"/>
                            <w:left w:val="single" w:sz="2" w:space="0" w:color="D9D9E3"/>
                            <w:bottom w:val="single" w:sz="2" w:space="0" w:color="D9D9E3"/>
                            <w:right w:val="single" w:sz="2" w:space="0" w:color="D9D9E3"/>
                          </w:divBdr>
                          <w:divsChild>
                            <w:div w:id="294601161">
                              <w:marLeft w:val="0"/>
                              <w:marRight w:val="0"/>
                              <w:marTop w:val="0"/>
                              <w:marBottom w:val="0"/>
                              <w:divBdr>
                                <w:top w:val="single" w:sz="2" w:space="0" w:color="D9D9E3"/>
                                <w:left w:val="single" w:sz="2" w:space="0" w:color="D9D9E3"/>
                                <w:bottom w:val="single" w:sz="2" w:space="0" w:color="D9D9E3"/>
                                <w:right w:val="single" w:sz="2" w:space="0" w:color="D9D9E3"/>
                              </w:divBdr>
                              <w:divsChild>
                                <w:div w:id="1363897255">
                                  <w:marLeft w:val="0"/>
                                  <w:marRight w:val="0"/>
                                  <w:marTop w:val="0"/>
                                  <w:marBottom w:val="0"/>
                                  <w:divBdr>
                                    <w:top w:val="single" w:sz="2" w:space="0" w:color="D9D9E3"/>
                                    <w:left w:val="single" w:sz="2" w:space="0" w:color="D9D9E3"/>
                                    <w:bottom w:val="single" w:sz="2" w:space="0" w:color="D9D9E3"/>
                                    <w:right w:val="single" w:sz="2" w:space="0" w:color="D9D9E3"/>
                                  </w:divBdr>
                                  <w:divsChild>
                                    <w:div w:id="5835639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ssets.publishing.service.gov.uk/media/5f4e1107e90e071c6c7d940c/NRS_for_LRFs_V3.0__Aug2020.pdf" TargetMode="External"/><Relationship Id="rId18" Type="http://schemas.openxmlformats.org/officeDocument/2006/relationships/hyperlink" Target="https://www.instituteforgovernment.org.uk/article/explainer/coronavirus-and-devolutio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jesip.org.uk/" TargetMode="External"/><Relationship Id="rId17" Type="http://schemas.openxmlformats.org/officeDocument/2006/relationships/hyperlink" Target="https://www.ukpolicelawblog.com/emergency-powers-and-the-civil-contingencies-act-2004/" TargetMode="External"/><Relationship Id="rId2" Type="http://schemas.openxmlformats.org/officeDocument/2006/relationships/styles" Target="styles.xml"/><Relationship Id="rId16" Type="http://schemas.openxmlformats.org/officeDocument/2006/relationships/hyperlink" Target="https://assets.publishing.service.gov.uk/media/5a7c7728e5274a559005a0de/Expectation_and_Indicators_of_Good_Practice_Set_for_category_1_2_Responders.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legislation.gov.uk/uksi/1999/672/contents/made?lang=en" TargetMode="External"/><Relationship Id="rId11" Type="http://schemas.openxmlformats.org/officeDocument/2006/relationships/hyperlink" Target="http://www.legislation.gov.uk/ukpga/2004/36/section/1" TargetMode="External"/><Relationship Id="rId5" Type="http://schemas.openxmlformats.org/officeDocument/2006/relationships/hyperlink" Target="https://www.legislation.gov.uk/uksi/1999/672/contents/made?lang=en" TargetMode="External"/><Relationship Id="rId15" Type="http://schemas.openxmlformats.org/officeDocument/2006/relationships/hyperlink" Target="https://assets.publishing.service.gov.uk/government/uploads/system/uploads/attachment_data/file/310571/CDW-Wales_Report-final_Full_WEB_310114.pdf" TargetMode="External"/><Relationship Id="rId10" Type="http://schemas.openxmlformats.org/officeDocument/2006/relationships/hyperlink" Target="https://www.gov.uk/government/uploads/system/uploads/attachment_data/file/61028/Emergency_Preparedness_chapter5_amends_21112011.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publications/the-civil-contingencies-act-2004-contingency-planning-amendment-regulations-2012-impact-assessment" TargetMode="External"/><Relationship Id="rId14" Type="http://schemas.openxmlformats.org/officeDocument/2006/relationships/hyperlink" Target="https://law.gov.wales/public-services/health-and-health-services/health-and-health-services-what-devolv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101</TotalTime>
  <Pages>16</Pages>
  <Words>6288</Words>
  <Characters>35848</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42052</CharactersWithSpaces>
  <SharedDoc>false</SharedDoc>
  <HLinks>
    <vt:vector size="78" baseType="variant">
      <vt:variant>
        <vt:i4>6553695</vt:i4>
      </vt:variant>
      <vt:variant>
        <vt:i4>36</vt:i4>
      </vt:variant>
      <vt:variant>
        <vt:i4>0</vt:i4>
      </vt:variant>
      <vt:variant>
        <vt:i4>5</vt:i4>
      </vt:variant>
      <vt:variant>
        <vt:lpwstr>https://assets.publishing.service.gov.uk/media/5a7c7728e5274a559005a0de/Expectation_and_Indicators_of_Good_Practice_Set_for_category_1_2_Responders.pdf</vt:lpwstr>
      </vt:variant>
      <vt:variant>
        <vt:lpwstr/>
      </vt:variant>
      <vt:variant>
        <vt:i4>2949158</vt:i4>
      </vt:variant>
      <vt:variant>
        <vt:i4>33</vt:i4>
      </vt:variant>
      <vt:variant>
        <vt:i4>0</vt:i4>
      </vt:variant>
      <vt:variant>
        <vt:i4>5</vt:i4>
      </vt:variant>
      <vt:variant>
        <vt:lpwstr>https://www.ukpolicelawblog.com/emergency-powers-and-the-civil-contingencies-act-2004/</vt:lpwstr>
      </vt:variant>
      <vt:variant>
        <vt:lpwstr/>
      </vt:variant>
      <vt:variant>
        <vt:i4>6619174</vt:i4>
      </vt:variant>
      <vt:variant>
        <vt:i4>30</vt:i4>
      </vt:variant>
      <vt:variant>
        <vt:i4>0</vt:i4>
      </vt:variant>
      <vt:variant>
        <vt:i4>5</vt:i4>
      </vt:variant>
      <vt:variant>
        <vt:lpwstr>https://www.instituteforgovernment.org.uk/article/explainer/coronavirus-and-devolution</vt:lpwstr>
      </vt:variant>
      <vt:variant>
        <vt:lpwstr/>
      </vt:variant>
      <vt:variant>
        <vt:i4>1769517</vt:i4>
      </vt:variant>
      <vt:variant>
        <vt:i4>27</vt:i4>
      </vt:variant>
      <vt:variant>
        <vt:i4>0</vt:i4>
      </vt:variant>
      <vt:variant>
        <vt:i4>5</vt:i4>
      </vt:variant>
      <vt:variant>
        <vt:lpwstr>https://assets.publishing.service.gov.uk/government/uploads/system/uploads/attachment_data/file/310571/CDW-Wales_Report-final_Full_WEB_310114.pdf</vt:lpwstr>
      </vt:variant>
      <vt:variant>
        <vt:lpwstr/>
      </vt:variant>
      <vt:variant>
        <vt:i4>917591</vt:i4>
      </vt:variant>
      <vt:variant>
        <vt:i4>24</vt:i4>
      </vt:variant>
      <vt:variant>
        <vt:i4>0</vt:i4>
      </vt:variant>
      <vt:variant>
        <vt:i4>5</vt:i4>
      </vt:variant>
      <vt:variant>
        <vt:lpwstr>https://law.gov.wales/public-services/health-and-health-services/health-and-health-services-what-devolved</vt:lpwstr>
      </vt:variant>
      <vt:variant>
        <vt:lpwstr/>
      </vt:variant>
      <vt:variant>
        <vt:i4>5046293</vt:i4>
      </vt:variant>
      <vt:variant>
        <vt:i4>21</vt:i4>
      </vt:variant>
      <vt:variant>
        <vt:i4>0</vt:i4>
      </vt:variant>
      <vt:variant>
        <vt:i4>5</vt:i4>
      </vt:variant>
      <vt:variant>
        <vt:lpwstr>https://www.gov.wales/betsi-cadwaladr-university-health-board-special-measures-framework-march-december-2023-html</vt:lpwstr>
      </vt:variant>
      <vt:variant>
        <vt:lpwstr/>
      </vt:variant>
      <vt:variant>
        <vt:i4>4391019</vt:i4>
      </vt:variant>
      <vt:variant>
        <vt:i4>18</vt:i4>
      </vt:variant>
      <vt:variant>
        <vt:i4>0</vt:i4>
      </vt:variant>
      <vt:variant>
        <vt:i4>5</vt:i4>
      </vt:variant>
      <vt:variant>
        <vt:lpwstr>https://assets.publishing.service.gov.uk/media/5f4e1107e90e071c6c7d940c/NRS_for_LRFs_V3.0__Aug2020.pdf</vt:lpwstr>
      </vt:variant>
      <vt:variant>
        <vt:lpwstr/>
      </vt:variant>
      <vt:variant>
        <vt:i4>6094932</vt:i4>
      </vt:variant>
      <vt:variant>
        <vt:i4>15</vt:i4>
      </vt:variant>
      <vt:variant>
        <vt:i4>0</vt:i4>
      </vt:variant>
      <vt:variant>
        <vt:i4>5</vt:i4>
      </vt:variant>
      <vt:variant>
        <vt:lpwstr>https://www.jesip.org.uk/</vt:lpwstr>
      </vt:variant>
      <vt:variant>
        <vt:lpwstr/>
      </vt:variant>
      <vt:variant>
        <vt:i4>1310791</vt:i4>
      </vt:variant>
      <vt:variant>
        <vt:i4>12</vt:i4>
      </vt:variant>
      <vt:variant>
        <vt:i4>0</vt:i4>
      </vt:variant>
      <vt:variant>
        <vt:i4>5</vt:i4>
      </vt:variant>
      <vt:variant>
        <vt:lpwstr>http://www.legislation.gov.uk/ukpga/2004/36/section/1</vt:lpwstr>
      </vt:variant>
      <vt:variant>
        <vt:lpwstr/>
      </vt:variant>
      <vt:variant>
        <vt:i4>1310767</vt:i4>
      </vt:variant>
      <vt:variant>
        <vt:i4>9</vt:i4>
      </vt:variant>
      <vt:variant>
        <vt:i4>0</vt:i4>
      </vt:variant>
      <vt:variant>
        <vt:i4>5</vt:i4>
      </vt:variant>
      <vt:variant>
        <vt:lpwstr>https://www.gov.uk/government/uploads/system/uploads/attachment_data/file/61028/Emergency_Preparedness_chapter5_amends_21112011.pdf</vt:lpwstr>
      </vt:variant>
      <vt:variant>
        <vt:lpwstr/>
      </vt:variant>
      <vt:variant>
        <vt:i4>1835102</vt:i4>
      </vt:variant>
      <vt:variant>
        <vt:i4>6</vt:i4>
      </vt:variant>
      <vt:variant>
        <vt:i4>0</vt:i4>
      </vt:variant>
      <vt:variant>
        <vt:i4>5</vt:i4>
      </vt:variant>
      <vt:variant>
        <vt:lpwstr>https://www.gov.uk/government/publications/the-civil-contingencies-act-2004-contingency-planning-amendment-regulations-2012-impact-assessment</vt:lpwstr>
      </vt:variant>
      <vt:variant>
        <vt:lpwstr/>
      </vt:variant>
      <vt:variant>
        <vt:i4>8126587</vt:i4>
      </vt:variant>
      <vt:variant>
        <vt:i4>3</vt:i4>
      </vt:variant>
      <vt:variant>
        <vt:i4>0</vt:i4>
      </vt:variant>
      <vt:variant>
        <vt:i4>5</vt:i4>
      </vt:variant>
      <vt:variant>
        <vt:lpwstr>https://www.legislation.gov.uk/uksi/1999/672/contents/made?lang=en</vt:lpwstr>
      </vt:variant>
      <vt:variant>
        <vt:lpwstr/>
      </vt:variant>
      <vt:variant>
        <vt:i4>8126587</vt:i4>
      </vt:variant>
      <vt:variant>
        <vt:i4>0</vt:i4>
      </vt:variant>
      <vt:variant>
        <vt:i4>0</vt:i4>
      </vt:variant>
      <vt:variant>
        <vt:i4>5</vt:i4>
      </vt:variant>
      <vt:variant>
        <vt:lpwstr>https://www.legislation.gov.uk/uksi/1999/672/contents/made?lang=en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Roy Chape</dc:creator>
  <cp:keywords/>
  <dc:description/>
  <cp:lastModifiedBy>Roy Chape</cp:lastModifiedBy>
  <cp:revision>103</cp:revision>
  <dcterms:created xsi:type="dcterms:W3CDTF">2024-01-12T16:01:00Z</dcterms:created>
  <dcterms:modified xsi:type="dcterms:W3CDTF">2024-01-12T17:40:00Z</dcterms:modified>
</cp:coreProperties>
</file>