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DBE36B" w14:textId="77777777" w:rsidR="00CE7084" w:rsidRDefault="00000000">
      <w:pPr>
        <w:spacing w:after="40"/>
        <w:jc w:val="center"/>
      </w:pPr>
      <w:r>
        <w:rPr>
          <w:b/>
          <w:bCs/>
          <w:sz w:val="22"/>
          <w:szCs w:val="22"/>
        </w:rPr>
        <w:t>University of Wales Trinity Saint David</w:t>
      </w:r>
    </w:p>
    <w:p w14:paraId="30B0476E" w14:textId="77777777" w:rsidR="00CE7084" w:rsidRDefault="00000000">
      <w:pPr>
        <w:spacing w:after="40"/>
        <w:jc w:val="center"/>
      </w:pPr>
      <w:r>
        <w:rPr>
          <w:i/>
          <w:iCs/>
          <w:sz w:val="22"/>
          <w:szCs w:val="22"/>
        </w:rPr>
        <w:t>Appendix GA36d — Level 7 Assessment</w:t>
      </w:r>
    </w:p>
    <w:p w14:paraId="75B10C57" w14:textId="77777777" w:rsidR="00CE7084" w:rsidRDefault="00000000">
      <w:pPr>
        <w:spacing w:after="400"/>
        <w:jc w:val="center"/>
      </w:pPr>
      <w:r>
        <w:rPr>
          <w:sz w:val="22"/>
          <w:szCs w:val="22"/>
        </w:rPr>
        <w:t>MSc/</w:t>
      </w:r>
      <w:proofErr w:type="spellStart"/>
      <w:r>
        <w:rPr>
          <w:sz w:val="22"/>
          <w:szCs w:val="22"/>
        </w:rPr>
        <w:t>PgDip</w:t>
      </w:r>
      <w:proofErr w:type="spellEnd"/>
      <w:r>
        <w:rPr>
          <w:sz w:val="22"/>
          <w:szCs w:val="22"/>
        </w:rPr>
        <w:t>/</w:t>
      </w:r>
      <w:proofErr w:type="spellStart"/>
      <w:r>
        <w:rPr>
          <w:sz w:val="22"/>
          <w:szCs w:val="22"/>
        </w:rPr>
        <w:t>PgCert</w:t>
      </w:r>
      <w:proofErr w:type="spellEnd"/>
      <w:r>
        <w:rPr>
          <w:sz w:val="22"/>
          <w:szCs w:val="22"/>
        </w:rPr>
        <w:t xml:space="preserve"> Cybersecurity and Digital Forensics</w:t>
      </w:r>
    </w:p>
    <w:p w14:paraId="24336D74" w14:textId="77777777" w:rsidR="00CE7084" w:rsidRDefault="00000000">
      <w:pPr>
        <w:spacing w:before="600" w:after="200"/>
        <w:jc w:val="center"/>
      </w:pPr>
      <w:r>
        <w:rPr>
          <w:b/>
          <w:bCs/>
          <w:sz w:val="34"/>
          <w:szCs w:val="34"/>
        </w:rPr>
        <w:t>RESEARCH, ANALYSE AND INVESTIGATE CYBERSECURITY INCIDENTS</w:t>
      </w:r>
    </w:p>
    <w:p w14:paraId="63FABAC1" w14:textId="77777777" w:rsidR="00CE7084" w:rsidRDefault="00000000">
      <w:pPr>
        <w:spacing w:after="500"/>
        <w:jc w:val="center"/>
      </w:pPr>
      <w:r>
        <w:rPr>
          <w:b/>
          <w:bCs/>
          <w:sz w:val="34"/>
          <w:szCs w:val="34"/>
        </w:rPr>
        <w:t>AND PERFORM DIGITAL FORENSIC ASSESSMENT</w:t>
      </w:r>
    </w:p>
    <w:p w14:paraId="24DB601F" w14:textId="77777777" w:rsidR="00CE7084" w:rsidRDefault="00000000">
      <w:pPr>
        <w:spacing w:after="100"/>
        <w:jc w:val="center"/>
      </w:pPr>
      <w:r>
        <w:rPr>
          <w:i/>
          <w:iCs/>
          <w:sz w:val="22"/>
          <w:szCs w:val="22"/>
        </w:rPr>
        <w:t>A Research Report and Digital Forensic Investigation of Case QT-AI-2025</w:t>
      </w:r>
    </w:p>
    <w:p w14:paraId="0F034F38" w14:textId="77777777" w:rsidR="00CE7084" w:rsidRDefault="00000000">
      <w:pPr>
        <w:spacing w:after="800"/>
        <w:jc w:val="center"/>
      </w:pPr>
      <w:r>
        <w:rPr>
          <w:i/>
          <w:iCs/>
          <w:sz w:val="22"/>
          <w:szCs w:val="22"/>
        </w:rPr>
        <w:t>(Quantum Tech Patent Theft Investigation)</w:t>
      </w:r>
    </w:p>
    <w:tbl>
      <w:tblPr>
        <w:tblW w:w="90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0"/>
        <w:gridCol w:w="6200"/>
      </w:tblGrid>
      <w:tr w:rsidR="00CE7084" w14:paraId="22C5FC20" w14:textId="77777777">
        <w:tblPrEx>
          <w:tblCellMar>
            <w:top w:w="0" w:type="dxa"/>
            <w:bottom w:w="0" w:type="dxa"/>
          </w:tblCellMar>
        </w:tblPrEx>
        <w:trPr>
          <w:jc w:val="center"/>
        </w:trPr>
        <w:tc>
          <w:tcPr>
            <w:tcW w:w="2800" w:type="dxa"/>
            <w:shd w:val="clear" w:color="auto" w:fill="D9D9D9"/>
            <w:tcMar>
              <w:top w:w="80" w:type="dxa"/>
              <w:left w:w="120" w:type="dxa"/>
              <w:bottom w:w="80" w:type="dxa"/>
              <w:right w:w="120" w:type="dxa"/>
            </w:tcMar>
            <w:vAlign w:val="center"/>
          </w:tcPr>
          <w:p w14:paraId="0D02D58A" w14:textId="77777777" w:rsidR="00CE7084" w:rsidRDefault="00000000">
            <w:r>
              <w:rPr>
                <w:b/>
                <w:bCs/>
                <w:sz w:val="20"/>
                <w:szCs w:val="20"/>
              </w:rPr>
              <w:t>Module</w:t>
            </w:r>
          </w:p>
        </w:tc>
        <w:tc>
          <w:tcPr>
            <w:tcW w:w="6200" w:type="dxa"/>
            <w:tcMar>
              <w:top w:w="80" w:type="dxa"/>
              <w:left w:w="120" w:type="dxa"/>
              <w:bottom w:w="80" w:type="dxa"/>
              <w:right w:w="120" w:type="dxa"/>
            </w:tcMar>
            <w:vAlign w:val="center"/>
          </w:tcPr>
          <w:p w14:paraId="40C6B978" w14:textId="77777777" w:rsidR="00CE7084" w:rsidRPr="00481638" w:rsidRDefault="00000000">
            <w:pPr>
              <w:rPr>
                <w:rFonts w:ascii="Arial" w:hAnsi="Arial" w:cs="Arial"/>
                <w:sz w:val="22"/>
                <w:szCs w:val="22"/>
              </w:rPr>
            </w:pPr>
            <w:r w:rsidRPr="00481638">
              <w:rPr>
                <w:rFonts w:ascii="Arial" w:hAnsi="Arial" w:cs="Arial"/>
                <w:sz w:val="22"/>
                <w:szCs w:val="22"/>
              </w:rPr>
              <w:t>Digital Forensics Analysis (ACCA7031)</w:t>
            </w:r>
          </w:p>
        </w:tc>
      </w:tr>
      <w:tr w:rsidR="00CE7084" w14:paraId="13BF510B" w14:textId="77777777">
        <w:tblPrEx>
          <w:tblCellMar>
            <w:top w:w="0" w:type="dxa"/>
            <w:bottom w:w="0" w:type="dxa"/>
          </w:tblCellMar>
        </w:tblPrEx>
        <w:trPr>
          <w:jc w:val="center"/>
        </w:trPr>
        <w:tc>
          <w:tcPr>
            <w:tcW w:w="2800" w:type="dxa"/>
            <w:shd w:val="clear" w:color="auto" w:fill="D9D9D9"/>
            <w:tcMar>
              <w:top w:w="80" w:type="dxa"/>
              <w:left w:w="120" w:type="dxa"/>
              <w:bottom w:w="80" w:type="dxa"/>
              <w:right w:w="120" w:type="dxa"/>
            </w:tcMar>
            <w:vAlign w:val="center"/>
          </w:tcPr>
          <w:p w14:paraId="20660EB3" w14:textId="77777777" w:rsidR="00CE7084" w:rsidRDefault="00000000">
            <w:r>
              <w:rPr>
                <w:b/>
                <w:bCs/>
                <w:sz w:val="20"/>
                <w:szCs w:val="20"/>
              </w:rPr>
              <w:t>Assignment</w:t>
            </w:r>
          </w:p>
        </w:tc>
        <w:tc>
          <w:tcPr>
            <w:tcW w:w="6200" w:type="dxa"/>
            <w:tcMar>
              <w:top w:w="80" w:type="dxa"/>
              <w:left w:w="120" w:type="dxa"/>
              <w:bottom w:w="80" w:type="dxa"/>
              <w:right w:w="120" w:type="dxa"/>
            </w:tcMar>
            <w:vAlign w:val="center"/>
          </w:tcPr>
          <w:p w14:paraId="064EAFEA" w14:textId="77777777" w:rsidR="00CE7084" w:rsidRPr="00481638" w:rsidRDefault="00000000">
            <w:pPr>
              <w:rPr>
                <w:rFonts w:ascii="Arial" w:hAnsi="Arial" w:cs="Arial"/>
                <w:sz w:val="22"/>
                <w:szCs w:val="22"/>
              </w:rPr>
            </w:pPr>
            <w:r w:rsidRPr="00481638">
              <w:rPr>
                <w:rFonts w:ascii="Arial" w:hAnsi="Arial" w:cs="Arial"/>
                <w:sz w:val="22"/>
                <w:szCs w:val="22"/>
              </w:rPr>
              <w:t>Task 1 – Research Report &amp; Task 2 – Digital Forensic Investigation Report</w:t>
            </w:r>
          </w:p>
        </w:tc>
      </w:tr>
      <w:tr w:rsidR="00CE7084" w14:paraId="04D3DF97" w14:textId="77777777">
        <w:tblPrEx>
          <w:tblCellMar>
            <w:top w:w="0" w:type="dxa"/>
            <w:bottom w:w="0" w:type="dxa"/>
          </w:tblCellMar>
        </w:tblPrEx>
        <w:trPr>
          <w:jc w:val="center"/>
        </w:trPr>
        <w:tc>
          <w:tcPr>
            <w:tcW w:w="2800" w:type="dxa"/>
            <w:shd w:val="clear" w:color="auto" w:fill="D9D9D9"/>
            <w:tcMar>
              <w:top w:w="80" w:type="dxa"/>
              <w:left w:w="120" w:type="dxa"/>
              <w:bottom w:w="80" w:type="dxa"/>
              <w:right w:w="120" w:type="dxa"/>
            </w:tcMar>
            <w:vAlign w:val="center"/>
          </w:tcPr>
          <w:p w14:paraId="2D94CCD8" w14:textId="77777777" w:rsidR="00CE7084" w:rsidRDefault="00000000">
            <w:r>
              <w:rPr>
                <w:b/>
                <w:bCs/>
                <w:sz w:val="20"/>
                <w:szCs w:val="20"/>
              </w:rPr>
              <w:t>Student Name</w:t>
            </w:r>
          </w:p>
        </w:tc>
        <w:tc>
          <w:tcPr>
            <w:tcW w:w="6200" w:type="dxa"/>
            <w:tcMar>
              <w:top w:w="80" w:type="dxa"/>
              <w:left w:w="120" w:type="dxa"/>
              <w:bottom w:w="80" w:type="dxa"/>
              <w:right w:w="120" w:type="dxa"/>
            </w:tcMar>
            <w:vAlign w:val="center"/>
          </w:tcPr>
          <w:p w14:paraId="408336A3" w14:textId="47FBAA95" w:rsidR="00CE7084" w:rsidRPr="00481638" w:rsidRDefault="00007B8F">
            <w:pPr>
              <w:rPr>
                <w:rFonts w:ascii="Arial" w:hAnsi="Arial" w:cs="Arial"/>
                <w:sz w:val="22"/>
                <w:szCs w:val="22"/>
              </w:rPr>
            </w:pPr>
            <w:r w:rsidRPr="00481638">
              <w:rPr>
                <w:rFonts w:ascii="Arial" w:hAnsi="Arial" w:cs="Arial"/>
                <w:sz w:val="22"/>
                <w:szCs w:val="22"/>
              </w:rPr>
              <w:t>Md Ekram Hossain</w:t>
            </w:r>
          </w:p>
        </w:tc>
      </w:tr>
      <w:tr w:rsidR="00CE7084" w14:paraId="7B0AC611" w14:textId="77777777">
        <w:tblPrEx>
          <w:tblCellMar>
            <w:top w:w="0" w:type="dxa"/>
            <w:bottom w:w="0" w:type="dxa"/>
          </w:tblCellMar>
        </w:tblPrEx>
        <w:trPr>
          <w:jc w:val="center"/>
        </w:trPr>
        <w:tc>
          <w:tcPr>
            <w:tcW w:w="2800" w:type="dxa"/>
            <w:shd w:val="clear" w:color="auto" w:fill="D9D9D9"/>
            <w:tcMar>
              <w:top w:w="80" w:type="dxa"/>
              <w:left w:w="120" w:type="dxa"/>
              <w:bottom w:w="80" w:type="dxa"/>
              <w:right w:w="120" w:type="dxa"/>
            </w:tcMar>
            <w:vAlign w:val="center"/>
          </w:tcPr>
          <w:p w14:paraId="4F354533" w14:textId="77777777" w:rsidR="00CE7084" w:rsidRDefault="00000000">
            <w:r>
              <w:rPr>
                <w:b/>
                <w:bCs/>
                <w:sz w:val="20"/>
                <w:szCs w:val="20"/>
              </w:rPr>
              <w:t>Student ID Number</w:t>
            </w:r>
          </w:p>
        </w:tc>
        <w:tc>
          <w:tcPr>
            <w:tcW w:w="6200" w:type="dxa"/>
            <w:tcMar>
              <w:top w:w="80" w:type="dxa"/>
              <w:left w:w="120" w:type="dxa"/>
              <w:bottom w:w="80" w:type="dxa"/>
              <w:right w:w="120" w:type="dxa"/>
            </w:tcMar>
            <w:vAlign w:val="center"/>
          </w:tcPr>
          <w:p w14:paraId="49AC88D9" w14:textId="1236052F" w:rsidR="00CE7084" w:rsidRPr="00481638" w:rsidRDefault="00007B8F">
            <w:pPr>
              <w:rPr>
                <w:rFonts w:ascii="Arial" w:hAnsi="Arial" w:cs="Arial"/>
                <w:sz w:val="22"/>
                <w:szCs w:val="22"/>
              </w:rPr>
            </w:pPr>
            <w:r w:rsidRPr="00481638">
              <w:rPr>
                <w:rFonts w:ascii="Arial" w:hAnsi="Arial" w:cs="Arial"/>
                <w:sz w:val="22"/>
                <w:szCs w:val="22"/>
              </w:rPr>
              <w:t>2523284</w:t>
            </w:r>
          </w:p>
        </w:tc>
      </w:tr>
      <w:tr w:rsidR="00CE7084" w14:paraId="5E00BB14" w14:textId="77777777">
        <w:tblPrEx>
          <w:tblCellMar>
            <w:top w:w="0" w:type="dxa"/>
            <w:bottom w:w="0" w:type="dxa"/>
          </w:tblCellMar>
        </w:tblPrEx>
        <w:trPr>
          <w:jc w:val="center"/>
        </w:trPr>
        <w:tc>
          <w:tcPr>
            <w:tcW w:w="2800" w:type="dxa"/>
            <w:shd w:val="clear" w:color="auto" w:fill="D9D9D9"/>
            <w:tcMar>
              <w:top w:w="80" w:type="dxa"/>
              <w:left w:w="120" w:type="dxa"/>
              <w:bottom w:w="80" w:type="dxa"/>
              <w:right w:w="120" w:type="dxa"/>
            </w:tcMar>
            <w:vAlign w:val="center"/>
          </w:tcPr>
          <w:p w14:paraId="675D8730" w14:textId="77777777" w:rsidR="00CE7084" w:rsidRDefault="00000000">
            <w:r>
              <w:rPr>
                <w:b/>
                <w:bCs/>
                <w:sz w:val="20"/>
                <w:szCs w:val="20"/>
              </w:rPr>
              <w:t>Lecturer</w:t>
            </w:r>
          </w:p>
        </w:tc>
        <w:tc>
          <w:tcPr>
            <w:tcW w:w="6200" w:type="dxa"/>
            <w:tcMar>
              <w:top w:w="80" w:type="dxa"/>
              <w:left w:w="120" w:type="dxa"/>
              <w:bottom w:w="80" w:type="dxa"/>
              <w:right w:w="120" w:type="dxa"/>
            </w:tcMar>
            <w:vAlign w:val="center"/>
          </w:tcPr>
          <w:p w14:paraId="0A1836F3" w14:textId="77777777" w:rsidR="00CE7084" w:rsidRPr="00481638" w:rsidRDefault="00000000">
            <w:pPr>
              <w:rPr>
                <w:rFonts w:ascii="Arial" w:hAnsi="Arial" w:cs="Arial"/>
                <w:sz w:val="22"/>
                <w:szCs w:val="22"/>
              </w:rPr>
            </w:pPr>
            <w:r w:rsidRPr="00481638">
              <w:rPr>
                <w:rFonts w:ascii="Arial" w:hAnsi="Arial" w:cs="Arial"/>
                <w:sz w:val="22"/>
                <w:szCs w:val="22"/>
              </w:rPr>
              <w:t>Dr. Mohamed Ghanem</w:t>
            </w:r>
          </w:p>
        </w:tc>
      </w:tr>
      <w:tr w:rsidR="00CE7084" w14:paraId="6D43DC8B" w14:textId="77777777">
        <w:tblPrEx>
          <w:tblCellMar>
            <w:top w:w="0" w:type="dxa"/>
            <w:bottom w:w="0" w:type="dxa"/>
          </w:tblCellMar>
        </w:tblPrEx>
        <w:trPr>
          <w:jc w:val="center"/>
        </w:trPr>
        <w:tc>
          <w:tcPr>
            <w:tcW w:w="2800" w:type="dxa"/>
            <w:shd w:val="clear" w:color="auto" w:fill="D9D9D9"/>
            <w:tcMar>
              <w:top w:w="80" w:type="dxa"/>
              <w:left w:w="120" w:type="dxa"/>
              <w:bottom w:w="80" w:type="dxa"/>
              <w:right w:w="120" w:type="dxa"/>
            </w:tcMar>
            <w:vAlign w:val="center"/>
          </w:tcPr>
          <w:p w14:paraId="5D15CDF3" w14:textId="77777777" w:rsidR="00CE7084" w:rsidRDefault="00000000">
            <w:r>
              <w:rPr>
                <w:b/>
                <w:bCs/>
                <w:sz w:val="20"/>
                <w:szCs w:val="20"/>
              </w:rPr>
              <w:t>Internal Verifier</w:t>
            </w:r>
          </w:p>
        </w:tc>
        <w:tc>
          <w:tcPr>
            <w:tcW w:w="6200" w:type="dxa"/>
            <w:tcMar>
              <w:top w:w="80" w:type="dxa"/>
              <w:left w:w="120" w:type="dxa"/>
              <w:bottom w:w="80" w:type="dxa"/>
              <w:right w:w="120" w:type="dxa"/>
            </w:tcMar>
            <w:vAlign w:val="center"/>
          </w:tcPr>
          <w:p w14:paraId="288ABB65" w14:textId="77777777" w:rsidR="00CE7084" w:rsidRPr="00481638" w:rsidRDefault="00000000">
            <w:pPr>
              <w:rPr>
                <w:rFonts w:ascii="Arial" w:hAnsi="Arial" w:cs="Arial"/>
                <w:sz w:val="22"/>
                <w:szCs w:val="22"/>
              </w:rPr>
            </w:pPr>
            <w:r w:rsidRPr="00481638">
              <w:rPr>
                <w:rFonts w:ascii="Arial" w:hAnsi="Arial" w:cs="Arial"/>
                <w:sz w:val="22"/>
                <w:szCs w:val="22"/>
              </w:rPr>
              <w:t xml:space="preserve">Mr. Munyaradzi </w:t>
            </w:r>
            <w:proofErr w:type="spellStart"/>
            <w:r w:rsidRPr="00481638">
              <w:rPr>
                <w:rFonts w:ascii="Arial" w:hAnsi="Arial" w:cs="Arial"/>
                <w:sz w:val="22"/>
                <w:szCs w:val="22"/>
              </w:rPr>
              <w:t>Murira</w:t>
            </w:r>
            <w:proofErr w:type="spellEnd"/>
          </w:p>
        </w:tc>
      </w:tr>
      <w:tr w:rsidR="00CE7084" w14:paraId="2B44A454" w14:textId="77777777">
        <w:tblPrEx>
          <w:tblCellMar>
            <w:top w:w="0" w:type="dxa"/>
            <w:bottom w:w="0" w:type="dxa"/>
          </w:tblCellMar>
        </w:tblPrEx>
        <w:trPr>
          <w:jc w:val="center"/>
        </w:trPr>
        <w:tc>
          <w:tcPr>
            <w:tcW w:w="2800" w:type="dxa"/>
            <w:shd w:val="clear" w:color="auto" w:fill="D9D9D9"/>
            <w:tcMar>
              <w:top w:w="80" w:type="dxa"/>
              <w:left w:w="120" w:type="dxa"/>
              <w:bottom w:w="80" w:type="dxa"/>
              <w:right w:w="120" w:type="dxa"/>
            </w:tcMar>
            <w:vAlign w:val="center"/>
          </w:tcPr>
          <w:p w14:paraId="4C6FE2B6" w14:textId="77777777" w:rsidR="00CE7084" w:rsidRDefault="00000000">
            <w:r>
              <w:rPr>
                <w:b/>
                <w:bCs/>
                <w:sz w:val="20"/>
                <w:szCs w:val="20"/>
              </w:rPr>
              <w:t>Submission Date</w:t>
            </w:r>
          </w:p>
        </w:tc>
        <w:tc>
          <w:tcPr>
            <w:tcW w:w="6200" w:type="dxa"/>
            <w:tcMar>
              <w:top w:w="80" w:type="dxa"/>
              <w:left w:w="120" w:type="dxa"/>
              <w:bottom w:w="80" w:type="dxa"/>
              <w:right w:w="120" w:type="dxa"/>
            </w:tcMar>
            <w:vAlign w:val="center"/>
          </w:tcPr>
          <w:p w14:paraId="7B5948A4" w14:textId="77777777" w:rsidR="00CE7084" w:rsidRPr="00481638" w:rsidRDefault="00000000">
            <w:pPr>
              <w:rPr>
                <w:rFonts w:ascii="Arial" w:hAnsi="Arial" w:cs="Arial"/>
                <w:sz w:val="22"/>
                <w:szCs w:val="22"/>
              </w:rPr>
            </w:pPr>
            <w:r w:rsidRPr="00481638">
              <w:rPr>
                <w:rFonts w:ascii="Arial" w:hAnsi="Arial" w:cs="Arial"/>
                <w:sz w:val="22"/>
                <w:szCs w:val="22"/>
              </w:rPr>
              <w:t>17 August 2026</w:t>
            </w:r>
          </w:p>
        </w:tc>
      </w:tr>
    </w:tbl>
    <w:p w14:paraId="036101F6" w14:textId="77777777" w:rsidR="00CE7084" w:rsidRDefault="00000000">
      <w:r>
        <w:br w:type="page"/>
      </w:r>
    </w:p>
    <w:p w14:paraId="3B94ECDF" w14:textId="77777777" w:rsidR="00CE7084" w:rsidRDefault="00CE7084">
      <w:pPr>
        <w:sectPr w:rsidR="00CE7084">
          <w:pgSz w:w="11906" w:h="16838"/>
          <w:pgMar w:top="1440" w:right="1440" w:bottom="1440" w:left="1440" w:header="708" w:footer="708" w:gutter="0"/>
          <w:cols w:space="720"/>
          <w:docGrid w:linePitch="360"/>
        </w:sectPr>
      </w:pPr>
    </w:p>
    <w:p w14:paraId="5B4FEAD2" w14:textId="77777777" w:rsidR="00CE7084" w:rsidRDefault="00000000">
      <w:pPr>
        <w:spacing w:after="300"/>
        <w:jc w:val="center"/>
      </w:pPr>
      <w:r>
        <w:rPr>
          <w:b/>
          <w:bCs/>
          <w:sz w:val="28"/>
          <w:szCs w:val="28"/>
        </w:rPr>
        <w:lastRenderedPageBreak/>
        <w:t>TABLE OF CONTENTS</w:t>
      </w:r>
    </w:p>
    <w:p w14:paraId="23F062E4" w14:textId="77777777" w:rsidR="00CE7084" w:rsidRDefault="00000000">
      <w:pPr>
        <w:tabs>
          <w:tab w:val="right" w:leader="dot" w:pos="9026"/>
        </w:tabs>
        <w:spacing w:after="150"/>
      </w:pPr>
      <w:r>
        <w:rPr>
          <w:b/>
          <w:bCs/>
        </w:rPr>
        <w:t>Abstract</w:t>
      </w:r>
      <w:r>
        <w:rPr>
          <w:b/>
          <w:bCs/>
        </w:rPr>
        <w:tab/>
        <w:t>3</w:t>
      </w:r>
    </w:p>
    <w:p w14:paraId="580E8E2F" w14:textId="77777777" w:rsidR="00CE7084" w:rsidRDefault="00000000">
      <w:pPr>
        <w:tabs>
          <w:tab w:val="right" w:leader="dot" w:pos="9026"/>
        </w:tabs>
        <w:spacing w:after="150"/>
      </w:pPr>
      <w:r>
        <w:rPr>
          <w:b/>
          <w:bCs/>
        </w:rPr>
        <w:t>I. Introduction</w:t>
      </w:r>
      <w:r>
        <w:rPr>
          <w:b/>
          <w:bCs/>
        </w:rPr>
        <w:tab/>
        <w:t>3</w:t>
      </w:r>
    </w:p>
    <w:p w14:paraId="4171743F" w14:textId="77777777" w:rsidR="00CE7084" w:rsidRDefault="00000000">
      <w:pPr>
        <w:tabs>
          <w:tab w:val="right" w:leader="dot" w:pos="9026"/>
        </w:tabs>
        <w:spacing w:after="150"/>
      </w:pPr>
      <w:r>
        <w:rPr>
          <w:b/>
          <w:bCs/>
        </w:rPr>
        <w:t>II. Current State of the Field: Tools, Features and Capabilities</w:t>
      </w:r>
      <w:r>
        <w:rPr>
          <w:b/>
          <w:bCs/>
        </w:rPr>
        <w:tab/>
        <w:t>3</w:t>
      </w:r>
    </w:p>
    <w:p w14:paraId="38856031" w14:textId="77777777" w:rsidR="00CE7084" w:rsidRDefault="00000000">
      <w:pPr>
        <w:tabs>
          <w:tab w:val="right" w:leader="dot" w:pos="9026"/>
        </w:tabs>
        <w:spacing w:after="150"/>
      </w:pPr>
      <w:r>
        <w:rPr>
          <w:b/>
          <w:bCs/>
        </w:rPr>
        <w:t>III. Intersection of Digital Forensics and Cybersecurity</w:t>
      </w:r>
      <w:r>
        <w:rPr>
          <w:b/>
          <w:bCs/>
        </w:rPr>
        <w:tab/>
        <w:t>4</w:t>
      </w:r>
    </w:p>
    <w:p w14:paraId="6FC80054" w14:textId="77777777" w:rsidR="00CE7084" w:rsidRDefault="00000000">
      <w:pPr>
        <w:tabs>
          <w:tab w:val="right" w:leader="dot" w:pos="9026"/>
        </w:tabs>
        <w:spacing w:after="150"/>
      </w:pPr>
      <w:r>
        <w:rPr>
          <w:b/>
          <w:bCs/>
        </w:rPr>
        <w:t>IV. Emerging Trends in Digital Forensics</w:t>
      </w:r>
      <w:r>
        <w:rPr>
          <w:b/>
          <w:bCs/>
        </w:rPr>
        <w:tab/>
        <w:t>4</w:t>
      </w:r>
    </w:p>
    <w:p w14:paraId="66C1901F" w14:textId="77777777" w:rsidR="00CE7084" w:rsidRDefault="00000000">
      <w:pPr>
        <w:tabs>
          <w:tab w:val="right" w:leader="dot" w:pos="9026"/>
        </w:tabs>
        <w:spacing w:after="150"/>
      </w:pPr>
      <w:r>
        <w:rPr>
          <w:b/>
          <w:bCs/>
        </w:rPr>
        <w:t>V. Key Challenges</w:t>
      </w:r>
      <w:r>
        <w:rPr>
          <w:b/>
          <w:bCs/>
        </w:rPr>
        <w:tab/>
        <w:t>4</w:t>
      </w:r>
    </w:p>
    <w:p w14:paraId="2AC2EDF9" w14:textId="77777777" w:rsidR="00CE7084" w:rsidRDefault="00000000">
      <w:pPr>
        <w:tabs>
          <w:tab w:val="right" w:leader="dot" w:pos="9026"/>
        </w:tabs>
        <w:spacing w:after="150"/>
      </w:pPr>
      <w:r>
        <w:rPr>
          <w:b/>
          <w:bCs/>
        </w:rPr>
        <w:t>VI. National and International Job Market</w:t>
      </w:r>
      <w:r>
        <w:rPr>
          <w:b/>
          <w:bCs/>
        </w:rPr>
        <w:tab/>
        <w:t>4</w:t>
      </w:r>
    </w:p>
    <w:p w14:paraId="133034D7" w14:textId="77777777" w:rsidR="00CE7084" w:rsidRDefault="00000000">
      <w:pPr>
        <w:tabs>
          <w:tab w:val="right" w:leader="dot" w:pos="9026"/>
        </w:tabs>
        <w:spacing w:after="150"/>
      </w:pPr>
      <w:r>
        <w:rPr>
          <w:b/>
          <w:bCs/>
        </w:rPr>
        <w:t>VII. Critical Appraisal and Conclusion</w:t>
      </w:r>
      <w:r>
        <w:rPr>
          <w:b/>
          <w:bCs/>
        </w:rPr>
        <w:tab/>
        <w:t>5</w:t>
      </w:r>
    </w:p>
    <w:p w14:paraId="3B67C53E" w14:textId="77777777" w:rsidR="00CE7084" w:rsidRDefault="00000000">
      <w:pPr>
        <w:tabs>
          <w:tab w:val="right" w:leader="dot" w:pos="9026"/>
        </w:tabs>
        <w:spacing w:after="150"/>
      </w:pPr>
      <w:r>
        <w:rPr>
          <w:b/>
          <w:bCs/>
        </w:rPr>
        <w:t>References (Task 1)</w:t>
      </w:r>
      <w:r>
        <w:rPr>
          <w:b/>
          <w:bCs/>
        </w:rPr>
        <w:tab/>
        <w:t>5</w:t>
      </w:r>
    </w:p>
    <w:p w14:paraId="1706AAA7" w14:textId="77777777" w:rsidR="00CE7084" w:rsidRDefault="00000000">
      <w:pPr>
        <w:tabs>
          <w:tab w:val="right" w:leader="dot" w:pos="9026"/>
        </w:tabs>
        <w:spacing w:after="150"/>
      </w:pPr>
      <w:r>
        <w:rPr>
          <w:b/>
          <w:bCs/>
        </w:rPr>
        <w:t>Part II — Personal Device Acquisition (Demonstration)</w:t>
      </w:r>
      <w:r>
        <w:rPr>
          <w:b/>
          <w:bCs/>
        </w:rPr>
        <w:tab/>
        <w:t>6</w:t>
      </w:r>
    </w:p>
    <w:p w14:paraId="75CD74F3" w14:textId="77777777" w:rsidR="00CE7084" w:rsidRDefault="00000000">
      <w:pPr>
        <w:tabs>
          <w:tab w:val="right" w:leader="dot" w:pos="9026"/>
        </w:tabs>
        <w:spacing w:after="150"/>
      </w:pPr>
      <w:r>
        <w:rPr>
          <w:b/>
          <w:bCs/>
        </w:rPr>
        <w:t>Part III — Task 2: Digital Forensic Investigation Report</w:t>
      </w:r>
      <w:r>
        <w:rPr>
          <w:b/>
          <w:bCs/>
        </w:rPr>
        <w:tab/>
        <w:t>8</w:t>
      </w:r>
    </w:p>
    <w:p w14:paraId="660C7587" w14:textId="77777777" w:rsidR="00CE7084" w:rsidRDefault="00000000">
      <w:pPr>
        <w:tabs>
          <w:tab w:val="right" w:leader="dot" w:pos="9026"/>
        </w:tabs>
        <w:spacing w:after="90"/>
        <w:ind w:left="300"/>
      </w:pPr>
      <w:r>
        <w:rPr>
          <w:sz w:val="22"/>
          <w:szCs w:val="22"/>
        </w:rPr>
        <w:t>A. Case Background</w:t>
      </w:r>
      <w:r>
        <w:rPr>
          <w:sz w:val="22"/>
          <w:szCs w:val="22"/>
        </w:rPr>
        <w:tab/>
        <w:t>8</w:t>
      </w:r>
    </w:p>
    <w:p w14:paraId="0705A193" w14:textId="77777777" w:rsidR="00CE7084" w:rsidRDefault="00000000">
      <w:pPr>
        <w:tabs>
          <w:tab w:val="right" w:leader="dot" w:pos="9026"/>
        </w:tabs>
        <w:spacing w:after="90"/>
        <w:ind w:left="300"/>
      </w:pPr>
      <w:r>
        <w:rPr>
          <w:sz w:val="22"/>
          <w:szCs w:val="22"/>
        </w:rPr>
        <w:t>B. Evidence Inventory and Chain of Custody</w:t>
      </w:r>
      <w:r>
        <w:rPr>
          <w:sz w:val="22"/>
          <w:szCs w:val="22"/>
        </w:rPr>
        <w:tab/>
        <w:t>9</w:t>
      </w:r>
    </w:p>
    <w:p w14:paraId="7E143C98" w14:textId="77777777" w:rsidR="00CE7084" w:rsidRDefault="00000000">
      <w:pPr>
        <w:tabs>
          <w:tab w:val="right" w:leader="dot" w:pos="9026"/>
        </w:tabs>
        <w:spacing w:after="90"/>
        <w:ind w:left="300"/>
      </w:pPr>
      <w:r>
        <w:rPr>
          <w:sz w:val="22"/>
          <w:szCs w:val="22"/>
        </w:rPr>
        <w:t>C. Methodology</w:t>
      </w:r>
      <w:r>
        <w:rPr>
          <w:sz w:val="22"/>
          <w:szCs w:val="22"/>
        </w:rPr>
        <w:tab/>
        <w:t>9</w:t>
      </w:r>
    </w:p>
    <w:p w14:paraId="69659C43" w14:textId="77777777" w:rsidR="00CE7084" w:rsidRDefault="00000000">
      <w:pPr>
        <w:tabs>
          <w:tab w:val="right" w:leader="dot" w:pos="9026"/>
        </w:tabs>
        <w:spacing w:after="90"/>
        <w:ind w:left="300"/>
      </w:pPr>
      <w:r>
        <w:rPr>
          <w:sz w:val="22"/>
          <w:szCs w:val="22"/>
        </w:rPr>
        <w:t>D. Acquisition and Hash Verification</w:t>
      </w:r>
      <w:r>
        <w:rPr>
          <w:sz w:val="22"/>
          <w:szCs w:val="22"/>
        </w:rPr>
        <w:tab/>
        <w:t>9</w:t>
      </w:r>
    </w:p>
    <w:p w14:paraId="7A2898B8" w14:textId="77777777" w:rsidR="00CE7084" w:rsidRDefault="00000000">
      <w:pPr>
        <w:tabs>
          <w:tab w:val="right" w:leader="dot" w:pos="9026"/>
        </w:tabs>
        <w:spacing w:after="90"/>
        <w:ind w:left="300"/>
      </w:pPr>
      <w:r>
        <w:rPr>
          <w:sz w:val="22"/>
          <w:szCs w:val="22"/>
        </w:rPr>
        <w:t>E. Communication Analysis and Reconstructed Timeline</w:t>
      </w:r>
      <w:r>
        <w:rPr>
          <w:sz w:val="22"/>
          <w:szCs w:val="22"/>
        </w:rPr>
        <w:tab/>
        <w:t>11</w:t>
      </w:r>
    </w:p>
    <w:p w14:paraId="0277B7A5" w14:textId="77777777" w:rsidR="00CE7084" w:rsidRDefault="00000000">
      <w:pPr>
        <w:tabs>
          <w:tab w:val="right" w:leader="dot" w:pos="9026"/>
        </w:tabs>
        <w:spacing w:after="90"/>
        <w:ind w:left="300"/>
      </w:pPr>
      <w:r>
        <w:rPr>
          <w:sz w:val="22"/>
          <w:szCs w:val="22"/>
        </w:rPr>
        <w:t>F. File and Metadata Analysis</w:t>
      </w:r>
      <w:r>
        <w:rPr>
          <w:sz w:val="22"/>
          <w:szCs w:val="22"/>
        </w:rPr>
        <w:tab/>
        <w:t>14</w:t>
      </w:r>
    </w:p>
    <w:p w14:paraId="45CCDE87" w14:textId="77777777" w:rsidR="00CE7084" w:rsidRDefault="00000000">
      <w:pPr>
        <w:tabs>
          <w:tab w:val="right" w:leader="dot" w:pos="9026"/>
        </w:tabs>
        <w:spacing w:after="90"/>
        <w:ind w:left="300"/>
      </w:pPr>
      <w:r>
        <w:rPr>
          <w:sz w:val="22"/>
          <w:szCs w:val="22"/>
        </w:rPr>
        <w:t>G. Call Log and Email Correlation</w:t>
      </w:r>
      <w:r>
        <w:rPr>
          <w:sz w:val="22"/>
          <w:szCs w:val="22"/>
        </w:rPr>
        <w:tab/>
        <w:t>15</w:t>
      </w:r>
    </w:p>
    <w:p w14:paraId="5F81B39D" w14:textId="77777777" w:rsidR="00CE7084" w:rsidRDefault="00000000">
      <w:pPr>
        <w:tabs>
          <w:tab w:val="right" w:leader="dot" w:pos="9026"/>
        </w:tabs>
        <w:spacing w:after="90"/>
        <w:ind w:left="300"/>
      </w:pPr>
      <w:r>
        <w:rPr>
          <w:sz w:val="22"/>
          <w:szCs w:val="22"/>
        </w:rPr>
        <w:t>H. Suspect Profiling</w:t>
      </w:r>
      <w:r>
        <w:rPr>
          <w:sz w:val="22"/>
          <w:szCs w:val="22"/>
        </w:rPr>
        <w:tab/>
        <w:t>16</w:t>
      </w:r>
    </w:p>
    <w:p w14:paraId="0DD48553" w14:textId="77777777" w:rsidR="00CE7084" w:rsidRDefault="00000000">
      <w:pPr>
        <w:tabs>
          <w:tab w:val="right" w:leader="dot" w:pos="9026"/>
        </w:tabs>
        <w:spacing w:after="90"/>
        <w:ind w:left="300"/>
      </w:pPr>
      <w:r>
        <w:rPr>
          <w:sz w:val="22"/>
          <w:szCs w:val="22"/>
        </w:rPr>
        <w:t>I. Findings, Limitations and Critical Evaluation</w:t>
      </w:r>
      <w:r>
        <w:rPr>
          <w:sz w:val="22"/>
          <w:szCs w:val="22"/>
        </w:rPr>
        <w:tab/>
        <w:t>16</w:t>
      </w:r>
    </w:p>
    <w:p w14:paraId="2D0B7B39" w14:textId="77777777" w:rsidR="00CE7084" w:rsidRDefault="00000000">
      <w:pPr>
        <w:tabs>
          <w:tab w:val="right" w:leader="dot" w:pos="9026"/>
        </w:tabs>
        <w:spacing w:after="90"/>
        <w:ind w:left="300"/>
      </w:pPr>
      <w:r>
        <w:rPr>
          <w:sz w:val="22"/>
          <w:szCs w:val="22"/>
        </w:rPr>
        <w:t>J. Challenges Encountered and Suggested Recovery Methods</w:t>
      </w:r>
      <w:r>
        <w:rPr>
          <w:sz w:val="22"/>
          <w:szCs w:val="22"/>
        </w:rPr>
        <w:tab/>
        <w:t>16</w:t>
      </w:r>
    </w:p>
    <w:p w14:paraId="2C830AC8" w14:textId="77777777" w:rsidR="00CE7084" w:rsidRDefault="00000000">
      <w:pPr>
        <w:tabs>
          <w:tab w:val="right" w:leader="dot" w:pos="9026"/>
        </w:tabs>
        <w:spacing w:after="90"/>
        <w:ind w:left="300"/>
      </w:pPr>
      <w:r>
        <w:rPr>
          <w:sz w:val="22"/>
          <w:szCs w:val="22"/>
        </w:rPr>
        <w:t>K. Conclusion</w:t>
      </w:r>
      <w:r>
        <w:rPr>
          <w:sz w:val="22"/>
          <w:szCs w:val="22"/>
        </w:rPr>
        <w:tab/>
        <w:t>17</w:t>
      </w:r>
    </w:p>
    <w:p w14:paraId="3A4162AA" w14:textId="77777777" w:rsidR="00CE7084" w:rsidRDefault="00000000">
      <w:pPr>
        <w:tabs>
          <w:tab w:val="right" w:leader="dot" w:pos="9026"/>
        </w:tabs>
        <w:spacing w:after="90"/>
        <w:ind w:left="300"/>
      </w:pPr>
      <w:r>
        <w:rPr>
          <w:sz w:val="22"/>
          <w:szCs w:val="22"/>
        </w:rPr>
        <w:t>L. Recommendations</w:t>
      </w:r>
      <w:r>
        <w:rPr>
          <w:sz w:val="22"/>
          <w:szCs w:val="22"/>
        </w:rPr>
        <w:tab/>
        <w:t>17</w:t>
      </w:r>
    </w:p>
    <w:p w14:paraId="7972DC96" w14:textId="77777777" w:rsidR="00CE7084" w:rsidRDefault="00000000">
      <w:pPr>
        <w:tabs>
          <w:tab w:val="right" w:leader="dot" w:pos="9026"/>
        </w:tabs>
        <w:spacing w:after="90"/>
        <w:ind w:left="300"/>
      </w:pPr>
      <w:r>
        <w:rPr>
          <w:sz w:val="22"/>
          <w:szCs w:val="22"/>
        </w:rPr>
        <w:t>M. Demonstration Overview</w:t>
      </w:r>
      <w:r>
        <w:rPr>
          <w:sz w:val="22"/>
          <w:szCs w:val="22"/>
        </w:rPr>
        <w:tab/>
        <w:t>17</w:t>
      </w:r>
    </w:p>
    <w:p w14:paraId="4685559C" w14:textId="77777777" w:rsidR="00CE7084" w:rsidRDefault="00000000">
      <w:pPr>
        <w:tabs>
          <w:tab w:val="right" w:leader="dot" w:pos="9026"/>
        </w:tabs>
        <w:spacing w:after="90"/>
        <w:ind w:left="300"/>
      </w:pPr>
      <w:r>
        <w:rPr>
          <w:sz w:val="22"/>
          <w:szCs w:val="22"/>
        </w:rPr>
        <w:t>N. Personal and Technical Reflection</w:t>
      </w:r>
      <w:r>
        <w:rPr>
          <w:sz w:val="22"/>
          <w:szCs w:val="22"/>
        </w:rPr>
        <w:tab/>
        <w:t>18</w:t>
      </w:r>
    </w:p>
    <w:p w14:paraId="043229E7" w14:textId="77777777" w:rsidR="00CE7084" w:rsidRDefault="00000000">
      <w:r>
        <w:br w:type="page"/>
      </w:r>
    </w:p>
    <w:p w14:paraId="137E296F" w14:textId="77777777" w:rsidR="00CE7084" w:rsidRDefault="00CE7084">
      <w:pPr>
        <w:sectPr w:rsidR="00CE7084">
          <w:footerReference w:type="default" r:id="rId7"/>
          <w:type w:val="continuous"/>
          <w:pgSz w:w="11906" w:h="16838"/>
          <w:pgMar w:top="1440" w:right="1152" w:bottom="1440" w:left="1152" w:header="708" w:footer="708" w:gutter="0"/>
          <w:cols w:space="720"/>
          <w:docGrid w:linePitch="360"/>
        </w:sectPr>
      </w:pPr>
    </w:p>
    <w:p w14:paraId="6A0848BC" w14:textId="77777777" w:rsidR="00CE7084" w:rsidRDefault="00000000">
      <w:pPr>
        <w:spacing w:after="60"/>
        <w:jc w:val="center"/>
      </w:pPr>
      <w:r>
        <w:rPr>
          <w:b/>
          <w:bCs/>
          <w:sz w:val="30"/>
          <w:szCs w:val="30"/>
        </w:rPr>
        <w:lastRenderedPageBreak/>
        <w:t xml:space="preserve">Research, </w:t>
      </w:r>
      <w:proofErr w:type="spellStart"/>
      <w:r>
        <w:rPr>
          <w:b/>
          <w:bCs/>
          <w:sz w:val="30"/>
          <w:szCs w:val="30"/>
        </w:rPr>
        <w:t>Analyse</w:t>
      </w:r>
      <w:proofErr w:type="spellEnd"/>
      <w:r>
        <w:rPr>
          <w:b/>
          <w:bCs/>
          <w:sz w:val="30"/>
          <w:szCs w:val="30"/>
        </w:rPr>
        <w:t xml:space="preserve"> and Investigate Cybersecurity Incidents and Perform Digital Forensic Assessment</w:t>
      </w:r>
    </w:p>
    <w:p w14:paraId="28D0007F" w14:textId="77777777" w:rsidR="00CE7084" w:rsidRPr="00007B8F" w:rsidRDefault="00000000">
      <w:pPr>
        <w:pStyle w:val="Heading2"/>
        <w:keepNext/>
        <w:spacing w:before="260" w:after="140"/>
        <w:rPr>
          <w:color w:val="auto"/>
        </w:rPr>
      </w:pPr>
      <w:r w:rsidRPr="00007B8F">
        <w:rPr>
          <w:b/>
          <w:bCs/>
          <w:color w:val="auto"/>
          <w:sz w:val="25"/>
          <w:szCs w:val="25"/>
        </w:rPr>
        <w:t>Abstract</w:t>
      </w:r>
    </w:p>
    <w:p w14:paraId="4EAFCF51" w14:textId="77777777" w:rsidR="00CE7084" w:rsidRDefault="00000000">
      <w:pPr>
        <w:spacing w:after="200" w:line="300" w:lineRule="auto"/>
      </w:pPr>
      <w:r>
        <w:t xml:space="preserve">This report has two parts. Task 1 critically reviews the current state of digital forensics, tool capabilities, its convergence with cybersecurity, emerging trends, key challenges and the national and international job market. Task 2 documents a simulated corporate-espionage investigation, “Operation Quantum Patent”, in which devices belonging to a suspected perpetrator, intermediary and buyer were forensically acquired and </w:t>
      </w:r>
      <w:proofErr w:type="spellStart"/>
      <w:r>
        <w:t>analysed</w:t>
      </w:r>
      <w:proofErr w:type="spellEnd"/>
      <w:r>
        <w:t xml:space="preserve"> with Cellebrite UFED and Physical Analyzer to reconstruct the attempted theft and sale of an AI-chip patent. A brief personal-device acquisition demonstration, undertaken to build competence before handling case exhibits, sits between the two tasks.</w:t>
      </w:r>
    </w:p>
    <w:p w14:paraId="49B145B2" w14:textId="77777777" w:rsidR="00CE7084" w:rsidRPr="00007B8F" w:rsidRDefault="00000000">
      <w:pPr>
        <w:pStyle w:val="Heading1"/>
        <w:keepNext/>
        <w:spacing w:before="360" w:after="200"/>
        <w:rPr>
          <w:color w:val="auto"/>
        </w:rPr>
      </w:pPr>
      <w:r w:rsidRPr="00007B8F">
        <w:rPr>
          <w:b/>
          <w:bCs/>
          <w:color w:val="auto"/>
          <w:sz w:val="30"/>
          <w:szCs w:val="30"/>
        </w:rPr>
        <w:t>I. Introduction</w:t>
      </w:r>
    </w:p>
    <w:p w14:paraId="30CB8D64" w14:textId="1410D23A" w:rsidR="00CE7084" w:rsidRDefault="0098430E">
      <w:pPr>
        <w:spacing w:after="200" w:line="300" w:lineRule="auto"/>
      </w:pPr>
      <w:r w:rsidRPr="0098430E">
        <w:t xml:space="preserve">The scientific process of locating, storing, evaluating, and presenting electronic evidence in a way that is acceptable under the law is known as digital forensics [1]. </w:t>
      </w:r>
      <w:r w:rsidR="00000000">
        <w:t xml:space="preserve">As </w:t>
      </w:r>
      <w:proofErr w:type="spellStart"/>
      <w:r w:rsidR="00000000">
        <w:t>organisations</w:t>
      </w:r>
      <w:proofErr w:type="spellEnd"/>
      <w:r w:rsidR="00000000">
        <w:t xml:space="preserve"> </w:t>
      </w:r>
      <w:proofErr w:type="spellStart"/>
      <w:r w:rsidR="00000000">
        <w:t>digitise</w:t>
      </w:r>
      <w:proofErr w:type="spellEnd"/>
      <w:r w:rsidR="00000000">
        <w:t xml:space="preserve"> operations and criminals correspondingly migrate activity onto phones, cloud platforms and IoT devices, the discipline has become inseparable from cybersecurity practice. This report first appraises the field using current literature (Task 1), then applies that knowledge to a simulated intellectual-property theft investigation (Task 2), covering the full evidentiary lifecycle from acquisition through to suspect profiling and reporting.</w:t>
      </w:r>
    </w:p>
    <w:p w14:paraId="0BFBF2FF" w14:textId="77777777" w:rsidR="00CE7084" w:rsidRPr="00007B8F" w:rsidRDefault="00000000">
      <w:pPr>
        <w:pStyle w:val="Heading1"/>
        <w:keepNext/>
        <w:spacing w:before="360" w:after="200"/>
        <w:rPr>
          <w:color w:val="auto"/>
        </w:rPr>
      </w:pPr>
      <w:r w:rsidRPr="00007B8F">
        <w:rPr>
          <w:b/>
          <w:bCs/>
          <w:color w:val="auto"/>
          <w:sz w:val="30"/>
          <w:szCs w:val="30"/>
        </w:rPr>
        <w:t>II. Current State of the Field: Tools, Features and Capabilities</w:t>
      </w:r>
    </w:p>
    <w:p w14:paraId="5BA5E6EB" w14:textId="77777777" w:rsidR="00CE7084" w:rsidRDefault="00000000">
      <w:pPr>
        <w:spacing w:after="200" w:line="300" w:lineRule="auto"/>
      </w:pPr>
      <w:r>
        <w:t xml:space="preserve">Digital forensics has matured into a multi-billion-pound discipline spanning computer, mobile, network, cloud and database forensics. Analysts value the global market at US$8–US$14.9 billion in 2025, forecasting 10–14% annual growth through 2030–2032 as </w:t>
      </w:r>
      <w:proofErr w:type="spellStart"/>
      <w:r>
        <w:t>organisations</w:t>
      </w:r>
      <w:proofErr w:type="spellEnd"/>
      <w:r>
        <w:t xml:space="preserve"> respond to escalating cybercrime, ransomware and regulation such as GDPR and DORA [1], [2], [3]. Mobile-device analysis platforms are a principal growth driver, reflecting the volume of communications, location and application data now carried on smartphones [4].</w:t>
      </w:r>
    </w:p>
    <w:p w14:paraId="0698ADC0" w14:textId="77777777" w:rsidR="00CE7084" w:rsidRDefault="00000000">
      <w:pPr>
        <w:spacing w:after="200" w:line="300" w:lineRule="auto"/>
      </w:pPr>
      <w:r>
        <w:t xml:space="preserve">Commercial suites dominate practice. Cellebrite UFED and Physical Analyzer, used directly in Task 2, provide logical, </w:t>
      </w:r>
      <w:proofErr w:type="gramStart"/>
      <w:r>
        <w:t>file-system</w:t>
      </w:r>
      <w:proofErr w:type="gramEnd"/>
      <w:r>
        <w:t xml:space="preserve"> and physical extraction, application decoding, hash verification and timeline generation, and remain market leaders in mobile forensics [2]. </w:t>
      </w:r>
      <w:proofErr w:type="spellStart"/>
      <w:r>
        <w:t>AccessData</w:t>
      </w:r>
      <w:proofErr w:type="spellEnd"/>
      <w:r>
        <w:t xml:space="preserve"> FTK and Magnet AXIOM offer comparable disk-imaging and artefact-carving capability for computer and cloud evidence, while the open-source Autopsy/Sleuth Kit provides an accessible, auditable alternative for academic and budget-constrained settings. An NIST-aligned comparison of Magnet AXIOM and </w:t>
      </w:r>
      <w:proofErr w:type="spellStart"/>
      <w:r>
        <w:t>MOBILedit</w:t>
      </w:r>
      <w:proofErr w:type="spellEnd"/>
      <w:r>
        <w:t xml:space="preserve"> Forensics recovering WhatsApp and Instagram artefacts found accuracy of 92.3% and 79.5% respectively, showing that tool choice materially affects recoverable evidence even under an identical acquisition standard [5]. Proprietary suites offer speed and admissibility-</w:t>
      </w:r>
      <w:r>
        <w:lastRenderedPageBreak/>
        <w:t>friendly reporting but can behave as “black boxes”, so examiners are increasingly expected to validate automated findings with a second, independent tool before relying on them in court [1], [6].</w:t>
      </w:r>
    </w:p>
    <w:p w14:paraId="2A4E5334" w14:textId="77777777" w:rsidR="00CE7084" w:rsidRPr="00007B8F" w:rsidRDefault="00000000">
      <w:pPr>
        <w:pStyle w:val="Heading1"/>
        <w:keepNext/>
        <w:spacing w:before="360" w:after="200"/>
        <w:rPr>
          <w:color w:val="auto"/>
        </w:rPr>
      </w:pPr>
      <w:r w:rsidRPr="00007B8F">
        <w:rPr>
          <w:b/>
          <w:bCs/>
          <w:color w:val="auto"/>
          <w:sz w:val="30"/>
          <w:szCs w:val="30"/>
        </w:rPr>
        <w:t>III. Intersection of Digital Forensics and Cybersecurity</w:t>
      </w:r>
    </w:p>
    <w:p w14:paraId="19DAAB10" w14:textId="77777777" w:rsidR="00CE7084" w:rsidRDefault="00000000">
      <w:pPr>
        <w:spacing w:after="200" w:line="300" w:lineRule="auto"/>
      </w:pPr>
      <w:r>
        <w:t xml:space="preserve">Digital forensics and cybersecurity are complementary rather than identical disciplines: cybersecurity is primarily preventative and defensive, while forensics is investigative and retrospective, reconstructing what occurred after a control has failed. The two increasingly converge within incident response, where forensic triage identifies an intrusion's root cause while security teams contain and remediate it concurrently. Vendors report that AI-assisted analytics and automation cut breach identification and containment time by close to 100 days, and that cloud-focused attacks rose sharply during 2025, illustrating why forensic readiness is now treated as a core security-architecture requirement rather than an afterthought [7]. This convergence is reflected in professional practice, where analysts are expected to hold both forensic and broader cybersecurity competencies, and in curricula—including this MSc </w:t>
      </w:r>
      <w:proofErr w:type="spellStart"/>
      <w:r>
        <w:t>programme</w:t>
      </w:r>
      <w:proofErr w:type="spellEnd"/>
      <w:r>
        <w:t>—that combine the two.</w:t>
      </w:r>
    </w:p>
    <w:p w14:paraId="74E14EFD" w14:textId="77777777" w:rsidR="00CE7084" w:rsidRPr="00007B8F" w:rsidRDefault="00000000">
      <w:pPr>
        <w:pStyle w:val="Heading1"/>
        <w:keepNext/>
        <w:spacing w:before="360" w:after="200"/>
        <w:rPr>
          <w:color w:val="auto"/>
        </w:rPr>
      </w:pPr>
      <w:r w:rsidRPr="00007B8F">
        <w:rPr>
          <w:b/>
          <w:bCs/>
          <w:color w:val="auto"/>
          <w:sz w:val="30"/>
          <w:szCs w:val="30"/>
        </w:rPr>
        <w:t>IV. Emerging Trends in Digital Forensics</w:t>
      </w:r>
    </w:p>
    <w:p w14:paraId="02A0395F" w14:textId="77777777" w:rsidR="00CE7084" w:rsidRDefault="00000000">
      <w:pPr>
        <w:spacing w:after="200" w:line="300" w:lineRule="auto"/>
      </w:pPr>
      <w:r>
        <w:t>Three trends dominate current practice. Cloud forensics is expanding rapidly as data accessibility and jurisdictional boundaries complicate acquisition; vendors are responding with cloud-native platforms offering remote acquisition and automated evidence correlation [3], [8]. Internet-of-Things and vehicle forensics are emerging as smart devices and connected vehicles generate proprietary logs that fall outside traditional acquisition methods, exemplified by investigations integrating vehicular telemetry and over-the-air update logs into e-discovery [9]. Artificial intelligence is being adopted for evidence triage, image classification and anomaly detection, materially reducing analyst workload, though it introduces new risks, including AI-generated fraud and the need to explain “black-box” decisions to a court [9]. Together these trends are pushing the discipline towards automated, analytics-driven investigation.</w:t>
      </w:r>
    </w:p>
    <w:p w14:paraId="57C5B5EC" w14:textId="77777777" w:rsidR="00CE7084" w:rsidRPr="00007B8F" w:rsidRDefault="00000000">
      <w:pPr>
        <w:pStyle w:val="Heading1"/>
        <w:keepNext/>
        <w:spacing w:before="360" w:after="200"/>
        <w:rPr>
          <w:color w:val="auto"/>
        </w:rPr>
      </w:pPr>
      <w:r w:rsidRPr="00007B8F">
        <w:rPr>
          <w:b/>
          <w:bCs/>
          <w:color w:val="auto"/>
          <w:sz w:val="30"/>
          <w:szCs w:val="30"/>
        </w:rPr>
        <w:t>V. Key Challenges</w:t>
      </w:r>
    </w:p>
    <w:p w14:paraId="56E0F25B" w14:textId="77777777" w:rsidR="00CE7084" w:rsidRDefault="00000000">
      <w:pPr>
        <w:spacing w:after="200" w:line="300" w:lineRule="auto"/>
      </w:pPr>
      <w:r>
        <w:t xml:space="preserve">Several challenges persist alongside this growth. Data volume and heterogeneity—driven by IoT proliferation and bring-your-own-device culture—make manual review increasingly unsustainable [3]. Encryption and anti-forensic techniques continually erode the shelf-life of extraction </w:t>
      </w:r>
      <w:proofErr w:type="gramStart"/>
      <w:r>
        <w:t>methods,</w:t>
      </w:r>
      <w:proofErr w:type="gramEnd"/>
      <w:r>
        <w:t xml:space="preserve"> a limitation encountered directly in Task 2 where </w:t>
      </w:r>
      <w:proofErr w:type="spellStart"/>
      <w:r>
        <w:t>undecoded</w:t>
      </w:r>
      <w:proofErr w:type="spellEnd"/>
      <w:r>
        <w:t xml:space="preserve"> application data required documentation as a limitation rather than a finding. Cloud and cross-border data storage raise jurisdictional and legal-compliance questions that slow evidence acquisition [3], [8]. Cost also remains a barrier: licensing for enterprise-grade suites is prohibitive for smaller police forces and businesses in developing regions, constraining capability precisely where cybercrime is growing </w:t>
      </w:r>
      <w:r>
        <w:lastRenderedPageBreak/>
        <w:t>fastest [10]. Sound methodology, corroboration across evidence sources and transparent documentation of limitations remain the examiner's most important safeguards of admissibility.</w:t>
      </w:r>
    </w:p>
    <w:p w14:paraId="0EBE72D1" w14:textId="77777777" w:rsidR="00CE7084" w:rsidRPr="00007B8F" w:rsidRDefault="00000000">
      <w:pPr>
        <w:pStyle w:val="Heading1"/>
        <w:keepNext/>
        <w:spacing w:before="360" w:after="200"/>
        <w:rPr>
          <w:color w:val="auto"/>
        </w:rPr>
      </w:pPr>
      <w:r w:rsidRPr="00007B8F">
        <w:rPr>
          <w:b/>
          <w:bCs/>
          <w:color w:val="auto"/>
          <w:sz w:val="30"/>
          <w:szCs w:val="30"/>
        </w:rPr>
        <w:t>VI. National and International Job Market</w:t>
      </w:r>
    </w:p>
    <w:p w14:paraId="3B4762AA" w14:textId="23358457" w:rsidR="00CE7084" w:rsidRDefault="0003397A">
      <w:pPr>
        <w:spacing w:after="200" w:line="300" w:lineRule="auto"/>
      </w:pPr>
      <w:r w:rsidRPr="0003397A">
        <w:t xml:space="preserve">The need for forensic expertise among employers is greater than the </w:t>
      </w:r>
      <w:proofErr w:type="spellStart"/>
      <w:r w:rsidRPr="0003397A">
        <w:t>supply</w:t>
      </w:r>
      <w:r w:rsidR="0098430E" w:rsidRPr="0098430E">
        <w:t>Between</w:t>
      </w:r>
      <w:proofErr w:type="spellEnd"/>
      <w:r w:rsidR="0098430E" w:rsidRPr="0098430E">
        <w:t xml:space="preserve"> 2024 and 2034, the U.S. Bureau of Labor Statistics projects employment growth of approximately 9–13% for forensic-science and information-security roles, which is significantly faster than the average occupation. Over half a million cybersecurity positions remain unfilled in the United States, and the average salary for a digital forensics analyst is estimated to be between US$77,000 and US$125,000, depending on seniority and specialization [11], [12], [13]. </w:t>
      </w:r>
      <w:r w:rsidR="00000000">
        <w:t xml:space="preserve">In the United Kingdom, entry-level digital-forensics roles typically start around £29,000–£42,000, rising toward £80,000+ for senior practitioners, with law-enforcement, financial-services and consultancy the principal employers [14], [15]. </w:t>
      </w:r>
      <w:proofErr w:type="spellStart"/>
      <w:r w:rsidR="00000000">
        <w:t>Recognised</w:t>
      </w:r>
      <w:proofErr w:type="spellEnd"/>
      <w:r w:rsidR="00000000">
        <w:t xml:space="preserve"> certifications—CFCE, GCFA/GCFE and </w:t>
      </w:r>
      <w:proofErr w:type="spellStart"/>
      <w:r w:rsidR="00000000">
        <w:t>EnCE</w:t>
      </w:r>
      <w:proofErr w:type="spellEnd"/>
      <w:r w:rsidR="00000000">
        <w:t>—are consistently cited as differentiators that can raise earning potential by 15–20%, alongside a bachelor's degree in a relevant discipline [11], [14]. The consistent picture is a structurally, not cyclically, undersupplied profession with strong prospects for apprenticeship-level entrants such as the role framed in this assignment's briefing.</w:t>
      </w:r>
    </w:p>
    <w:p w14:paraId="3CA0EA13" w14:textId="77777777" w:rsidR="00CE7084" w:rsidRPr="00007B8F" w:rsidRDefault="00000000">
      <w:pPr>
        <w:pStyle w:val="Heading1"/>
        <w:keepNext/>
        <w:spacing w:before="360" w:after="200"/>
        <w:rPr>
          <w:color w:val="auto"/>
        </w:rPr>
      </w:pPr>
      <w:r w:rsidRPr="00007B8F">
        <w:rPr>
          <w:b/>
          <w:bCs/>
          <w:color w:val="auto"/>
          <w:sz w:val="30"/>
          <w:szCs w:val="30"/>
        </w:rPr>
        <w:t>VII. Critical Appraisal and Conclusion</w:t>
      </w:r>
    </w:p>
    <w:p w14:paraId="0440BE56" w14:textId="77777777" w:rsidR="00CE7084" w:rsidRDefault="00000000">
      <w:pPr>
        <w:spacing w:after="200" w:line="300" w:lineRule="auto"/>
      </w:pPr>
      <w:r>
        <w:t xml:space="preserve">The literature is consistent in direction—rising market value, cloud/IoT/AI-driven transformation and a persistent skills shortage—but is dominated by commercial market-research and vendor sources rather than peer-reviewed research, a limitation of the evidence </w:t>
      </w:r>
      <w:proofErr w:type="gramStart"/>
      <w:r>
        <w:t>base</w:t>
      </w:r>
      <w:proofErr w:type="gramEnd"/>
      <w:r>
        <w:t xml:space="preserve"> this report acknowledges rather than resolves. Foundational academic texts on evidentiary procedure and international standards remain essential correctives to vendor-driven narratives regardless of tooling trends [16], [17]. Overall, digital forensics sits at a genuine inflection point: technically more powerful than ever, yet more legally and ethically complex, a tension the practical investigation in Task 2 was designed to illustrate.</w:t>
      </w:r>
    </w:p>
    <w:p w14:paraId="42D29E24" w14:textId="77777777" w:rsidR="00CE7084" w:rsidRPr="00007B8F" w:rsidRDefault="00000000">
      <w:pPr>
        <w:pStyle w:val="Heading1"/>
        <w:keepNext/>
        <w:spacing w:before="360" w:after="200"/>
        <w:rPr>
          <w:color w:val="auto"/>
        </w:rPr>
      </w:pPr>
      <w:r w:rsidRPr="00007B8F">
        <w:rPr>
          <w:b/>
          <w:bCs/>
          <w:color w:val="auto"/>
          <w:sz w:val="30"/>
          <w:szCs w:val="30"/>
        </w:rPr>
        <w:t>References</w:t>
      </w:r>
    </w:p>
    <w:p w14:paraId="2509AE0F" w14:textId="77777777" w:rsidR="00CE7084" w:rsidRDefault="00000000">
      <w:pPr>
        <w:spacing w:after="140" w:line="276" w:lineRule="auto"/>
        <w:ind w:left="400" w:hanging="400"/>
      </w:pPr>
      <w:r>
        <w:rPr>
          <w:sz w:val="22"/>
          <w:szCs w:val="22"/>
        </w:rPr>
        <w:t>[1] Market Research Future, “Digital forensics market size, trends, growth analysis 2035,” 2026. [Online]. Available: https://www.marketresearchfuture.com/reports/digital-forensics-market-1522</w:t>
      </w:r>
    </w:p>
    <w:p w14:paraId="7F674D43" w14:textId="77777777" w:rsidR="00CE7084" w:rsidRDefault="00000000">
      <w:pPr>
        <w:spacing w:after="140" w:line="276" w:lineRule="auto"/>
        <w:ind w:left="400" w:hanging="400"/>
      </w:pPr>
      <w:r>
        <w:rPr>
          <w:sz w:val="22"/>
          <w:szCs w:val="22"/>
        </w:rPr>
        <w:t xml:space="preserve">[2] </w:t>
      </w:r>
      <w:proofErr w:type="spellStart"/>
      <w:r>
        <w:rPr>
          <w:sz w:val="22"/>
          <w:szCs w:val="22"/>
        </w:rPr>
        <w:t>MarketsandMarkets</w:t>
      </w:r>
      <w:proofErr w:type="spellEnd"/>
      <w:r>
        <w:rPr>
          <w:sz w:val="22"/>
          <w:szCs w:val="22"/>
        </w:rPr>
        <w:t>, “Digital forensics market report 2025–2030, by application, geography and technology,” 2025. [Online]. Available: https://www.marketsandmarkets.com/Market-Reports/digital-forensics-market-230663168.html</w:t>
      </w:r>
    </w:p>
    <w:p w14:paraId="390BFF0C" w14:textId="77777777" w:rsidR="00CE7084" w:rsidRDefault="00000000">
      <w:pPr>
        <w:spacing w:after="140" w:line="276" w:lineRule="auto"/>
        <w:ind w:left="400" w:hanging="400"/>
      </w:pPr>
      <w:r>
        <w:rPr>
          <w:sz w:val="22"/>
          <w:szCs w:val="22"/>
        </w:rPr>
        <w:t>[3] Mordor Intelligence, “Digital forensics market size, growth drivers and forecast analysis 2031,” 2026. [Online]. Available: https://www.mordorintelligence.com/industry-reports/digital-forensics-market</w:t>
      </w:r>
    </w:p>
    <w:p w14:paraId="1C444501" w14:textId="77777777" w:rsidR="00CE7084" w:rsidRDefault="00000000">
      <w:pPr>
        <w:spacing w:after="140" w:line="276" w:lineRule="auto"/>
        <w:ind w:left="400" w:hanging="400"/>
      </w:pPr>
      <w:r>
        <w:rPr>
          <w:sz w:val="22"/>
          <w:szCs w:val="22"/>
        </w:rPr>
        <w:t>[4] GMI Insights, “Digital forensics market size and share, growth report 2025–2034,” 2024. [Online]. Available: https://www.gminsights.com/industry-analysis/digital-forensics-market</w:t>
      </w:r>
    </w:p>
    <w:p w14:paraId="02180272" w14:textId="77777777" w:rsidR="00CE7084" w:rsidRDefault="00000000">
      <w:pPr>
        <w:spacing w:after="140" w:line="276" w:lineRule="auto"/>
        <w:ind w:left="400" w:hanging="400"/>
      </w:pPr>
      <w:r>
        <w:rPr>
          <w:sz w:val="22"/>
          <w:szCs w:val="22"/>
        </w:rPr>
        <w:lastRenderedPageBreak/>
        <w:t xml:space="preserve">[5] Herman, I. </w:t>
      </w:r>
      <w:proofErr w:type="spellStart"/>
      <w:r>
        <w:rPr>
          <w:sz w:val="22"/>
          <w:szCs w:val="22"/>
        </w:rPr>
        <w:t>Riadi</w:t>
      </w:r>
      <w:proofErr w:type="spellEnd"/>
      <w:r>
        <w:rPr>
          <w:sz w:val="22"/>
          <w:szCs w:val="22"/>
        </w:rPr>
        <w:t xml:space="preserve">, and I. A. Rafiq, “Forensic mobile analysis on social media using National Institute of Standards and Technology method,” International Journal of Safety and Security Engineering, vol. 12, no. 6, pp. 707–713, 2022, </w:t>
      </w:r>
      <w:proofErr w:type="spellStart"/>
      <w:r>
        <w:rPr>
          <w:sz w:val="22"/>
          <w:szCs w:val="22"/>
        </w:rPr>
        <w:t>doi</w:t>
      </w:r>
      <w:proofErr w:type="spellEnd"/>
      <w:r>
        <w:rPr>
          <w:sz w:val="22"/>
          <w:szCs w:val="22"/>
        </w:rPr>
        <w:t>: 10.18280/ijsse.120606.</w:t>
      </w:r>
    </w:p>
    <w:p w14:paraId="6E22830A" w14:textId="77777777" w:rsidR="00CE7084" w:rsidRDefault="00000000">
      <w:pPr>
        <w:spacing w:after="140" w:line="276" w:lineRule="auto"/>
        <w:ind w:left="400" w:hanging="400"/>
      </w:pPr>
      <w:r>
        <w:rPr>
          <w:sz w:val="22"/>
          <w:szCs w:val="22"/>
        </w:rPr>
        <w:t xml:space="preserve">[6] N. Al Mutawa, I. </w:t>
      </w:r>
      <w:proofErr w:type="spellStart"/>
      <w:r>
        <w:rPr>
          <w:sz w:val="22"/>
          <w:szCs w:val="22"/>
        </w:rPr>
        <w:t>Baggili</w:t>
      </w:r>
      <w:proofErr w:type="spellEnd"/>
      <w:r>
        <w:rPr>
          <w:sz w:val="22"/>
          <w:szCs w:val="22"/>
        </w:rPr>
        <w:t xml:space="preserve">, and A. Marrington, “Forensic analysis of social networking applications on mobile devices,” Digital Investigation, vol. 9, pp. S24–S33, 2012, </w:t>
      </w:r>
      <w:proofErr w:type="spellStart"/>
      <w:r>
        <w:rPr>
          <w:sz w:val="22"/>
          <w:szCs w:val="22"/>
        </w:rPr>
        <w:t>doi</w:t>
      </w:r>
      <w:proofErr w:type="spellEnd"/>
      <w:r>
        <w:rPr>
          <w:sz w:val="22"/>
          <w:szCs w:val="22"/>
        </w:rPr>
        <w:t>: 10.1016/j.diin.2012.05.007.</w:t>
      </w:r>
    </w:p>
    <w:p w14:paraId="3D09F63F" w14:textId="77777777" w:rsidR="00CE7084" w:rsidRDefault="00000000">
      <w:pPr>
        <w:spacing w:after="140" w:line="276" w:lineRule="auto"/>
        <w:ind w:left="400" w:hanging="400"/>
      </w:pPr>
      <w:r>
        <w:rPr>
          <w:sz w:val="22"/>
          <w:szCs w:val="22"/>
        </w:rPr>
        <w:t>[7] PS Market Research, “Digital forensics market size, share and trends analysis 2032,” 2026. [Online]. Available: https://www.psmarketresearch.com/market-analysis/digital-forensics-market-report</w:t>
      </w:r>
    </w:p>
    <w:p w14:paraId="423890C0" w14:textId="77777777" w:rsidR="00CE7084" w:rsidRDefault="00000000">
      <w:pPr>
        <w:spacing w:after="140" w:line="276" w:lineRule="auto"/>
        <w:ind w:left="400" w:hanging="400"/>
      </w:pPr>
      <w:r>
        <w:rPr>
          <w:sz w:val="22"/>
          <w:szCs w:val="22"/>
        </w:rPr>
        <w:t>[8] Coherent Market Insights, “Digital forensics market size, share and analysis 2026–2033,” 2026. [Online]. Available: https://www.coherentmarketinsights.com/market-insight/digital-forensics-market-1522</w:t>
      </w:r>
    </w:p>
    <w:p w14:paraId="0F15E2A1" w14:textId="77777777" w:rsidR="00CE7084" w:rsidRDefault="00000000">
      <w:pPr>
        <w:spacing w:after="140" w:line="276" w:lineRule="auto"/>
        <w:ind w:left="400" w:hanging="400"/>
      </w:pPr>
      <w:r>
        <w:rPr>
          <w:sz w:val="22"/>
          <w:szCs w:val="22"/>
        </w:rPr>
        <w:t xml:space="preserve">[9] </w:t>
      </w:r>
      <w:proofErr w:type="spellStart"/>
      <w:r>
        <w:rPr>
          <w:sz w:val="22"/>
          <w:szCs w:val="22"/>
        </w:rPr>
        <w:t>SalvationDATA</w:t>
      </w:r>
      <w:proofErr w:type="spellEnd"/>
      <w:r>
        <w:rPr>
          <w:sz w:val="22"/>
          <w:szCs w:val="22"/>
        </w:rPr>
        <w:t>, “Key trends in digital forensics 2025: challenges and innovations,” 2025. [Online]. Available: https://www.salvationdata.com/knowledge/key-trends-in-digital-forensics-for-2025/</w:t>
      </w:r>
    </w:p>
    <w:p w14:paraId="55A3FBE6" w14:textId="77777777" w:rsidR="00CE7084" w:rsidRDefault="00000000">
      <w:pPr>
        <w:spacing w:after="140" w:line="276" w:lineRule="auto"/>
        <w:ind w:left="400" w:hanging="400"/>
      </w:pPr>
      <w:r>
        <w:rPr>
          <w:sz w:val="22"/>
          <w:szCs w:val="22"/>
        </w:rPr>
        <w:t>[10] Business Research Insights, “Digital forensics market size research report 2025 to 2033,” 2025. [Online]. Available: https://www.businessresearchinsights.com/market-reports/digital-forensics-market-118408</w:t>
      </w:r>
    </w:p>
    <w:p w14:paraId="0F03965A" w14:textId="77777777" w:rsidR="00CE7084" w:rsidRDefault="00000000">
      <w:pPr>
        <w:spacing w:after="140" w:line="276" w:lineRule="auto"/>
        <w:ind w:left="400" w:hanging="400"/>
      </w:pPr>
      <w:r>
        <w:rPr>
          <w:sz w:val="22"/>
          <w:szCs w:val="22"/>
        </w:rPr>
        <w:t>[11] Research.com, “2026 computer forensics analyst careers: skills, education, salary and job outlook,” 2026. [Online]. Available: https://research.com/advice/computer-forensics-analyst-careers-skills-education-salary-job-outlook</w:t>
      </w:r>
    </w:p>
    <w:p w14:paraId="17ABAE79" w14:textId="77777777" w:rsidR="00CE7084" w:rsidRDefault="00000000">
      <w:pPr>
        <w:spacing w:after="140" w:line="276" w:lineRule="auto"/>
        <w:ind w:left="400" w:hanging="400"/>
      </w:pPr>
      <w:r>
        <w:rPr>
          <w:sz w:val="22"/>
          <w:szCs w:val="22"/>
        </w:rPr>
        <w:t>[12] EC-Council University, “Why digital forensics is one of the fastest-growing careers in cybersecurity,” 2026. [Online]. Available: https://www.eccu.edu/blog/digital-forensics-career-guide/</w:t>
      </w:r>
    </w:p>
    <w:p w14:paraId="30511F24" w14:textId="77777777" w:rsidR="00CE7084" w:rsidRDefault="00000000">
      <w:pPr>
        <w:spacing w:after="140" w:line="276" w:lineRule="auto"/>
        <w:ind w:left="400" w:hanging="400"/>
      </w:pPr>
      <w:r>
        <w:rPr>
          <w:sz w:val="22"/>
          <w:szCs w:val="22"/>
        </w:rPr>
        <w:t>[13] CyberSecurityGuide.org, “What to look for in a digital forensics certification,” 2026. [Online]. Available: https://cybersecurityguide.org/programs/cybersecurity-certifications/digital-forensics/</w:t>
      </w:r>
    </w:p>
    <w:p w14:paraId="332470FC" w14:textId="77777777" w:rsidR="00CE7084" w:rsidRDefault="00000000">
      <w:pPr>
        <w:spacing w:after="140" w:line="276" w:lineRule="auto"/>
        <w:ind w:left="400" w:hanging="400"/>
      </w:pPr>
      <w:r>
        <w:rPr>
          <w:sz w:val="22"/>
          <w:szCs w:val="22"/>
        </w:rPr>
        <w:t>[14] Security Cleared Jobs Community, “Digital forensic investigator roles in the UK: skills, salaries and career paths,” 2026. [Online]. Available: https://community.securityclearedjobs.com/article/digital-forensic-investigator-roles-in-the-uk-skills-salaries-and-career-paths/</w:t>
      </w:r>
    </w:p>
    <w:p w14:paraId="180F4346" w14:textId="77777777" w:rsidR="00CE7084" w:rsidRDefault="00000000">
      <w:pPr>
        <w:spacing w:after="140" w:line="276" w:lineRule="auto"/>
        <w:ind w:left="400" w:hanging="400"/>
      </w:pPr>
      <w:r>
        <w:rPr>
          <w:sz w:val="22"/>
          <w:szCs w:val="22"/>
        </w:rPr>
        <w:t>[15] Research.com, “How to become a digital forensic investigator: salary and career paths,” 2026. [Online]. Available: https://research.com/careers/how-to-become-a-digital-forensic-investigator-salary-and-career-paths</w:t>
      </w:r>
    </w:p>
    <w:p w14:paraId="1C949219" w14:textId="77777777" w:rsidR="00CE7084" w:rsidRDefault="00000000">
      <w:pPr>
        <w:spacing w:after="140" w:line="276" w:lineRule="auto"/>
        <w:ind w:left="400" w:hanging="400"/>
      </w:pPr>
      <w:r>
        <w:rPr>
          <w:sz w:val="22"/>
          <w:szCs w:val="22"/>
        </w:rPr>
        <w:t>[16] E. Casey, Digital Evidence and Computer Crime: Forensic Science, Computers and the Internet, 3rd ed. Waltham, MA: Academic Press, 2011.</w:t>
      </w:r>
    </w:p>
    <w:p w14:paraId="0AB58F5E" w14:textId="77777777" w:rsidR="00CE7084" w:rsidRDefault="00000000">
      <w:pPr>
        <w:spacing w:after="140" w:line="276" w:lineRule="auto"/>
        <w:ind w:left="400" w:hanging="400"/>
      </w:pPr>
      <w:r>
        <w:rPr>
          <w:sz w:val="22"/>
          <w:szCs w:val="22"/>
        </w:rPr>
        <w:t>[17] B. Carrier, File System Forensic Analysis. Boston, MA: Addison-Wesley, 2005.</w:t>
      </w:r>
    </w:p>
    <w:p w14:paraId="7249CB28" w14:textId="77777777" w:rsidR="00CE7084" w:rsidRDefault="00000000">
      <w:pPr>
        <w:spacing w:after="140" w:line="276" w:lineRule="auto"/>
        <w:ind w:left="400" w:hanging="400"/>
      </w:pPr>
      <w:r>
        <w:rPr>
          <w:sz w:val="22"/>
          <w:szCs w:val="22"/>
        </w:rPr>
        <w:t>[18] International Organization for Standardization, ISO/IEC 27037:2012 — Guidelines for Identification, Collection, Acquisition and Preservation of Digital Evidence. Geneva: ISO, 2012.</w:t>
      </w:r>
    </w:p>
    <w:p w14:paraId="1403BEB6" w14:textId="77777777" w:rsidR="00CE7084" w:rsidRDefault="00000000">
      <w:pPr>
        <w:spacing w:after="140" w:line="276" w:lineRule="auto"/>
        <w:ind w:left="400" w:hanging="400"/>
      </w:pPr>
      <w:r>
        <w:rPr>
          <w:sz w:val="22"/>
          <w:szCs w:val="22"/>
        </w:rPr>
        <w:t>[19] Association of Chief Police Officers (ACPO), Good Practice Guide for Digital Evidence, Version 5. London: National Police Chiefs' Council, 2012.</w:t>
      </w:r>
    </w:p>
    <w:p w14:paraId="6EB80549" w14:textId="77777777" w:rsidR="00CE7084" w:rsidRDefault="00000000">
      <w:pPr>
        <w:spacing w:after="140" w:line="276" w:lineRule="auto"/>
        <w:ind w:left="400" w:hanging="400"/>
      </w:pPr>
      <w:r>
        <w:rPr>
          <w:sz w:val="22"/>
          <w:szCs w:val="22"/>
        </w:rPr>
        <w:t>[20] National Institute of Standards and Technology, NIST Special Publication 800-101 Rev. 1 — Guidelines on Mobile Device Forensics. Gaithersburg, MD: NIST, 2014.</w:t>
      </w:r>
    </w:p>
    <w:p w14:paraId="24AFB210" w14:textId="77777777" w:rsidR="00CE7084" w:rsidRDefault="00CE7084">
      <w:pPr>
        <w:sectPr w:rsidR="00CE7084">
          <w:footerReference w:type="default" r:id="rId8"/>
          <w:type w:val="continuous"/>
          <w:pgSz w:w="11906" w:h="16838"/>
          <w:pgMar w:top="1440" w:right="1152" w:bottom="1440" w:left="1152" w:header="708" w:footer="708" w:gutter="0"/>
          <w:cols w:space="720"/>
          <w:docGrid w:linePitch="360"/>
        </w:sectPr>
      </w:pPr>
    </w:p>
    <w:p w14:paraId="034EE310" w14:textId="77777777" w:rsidR="00CE7084" w:rsidRPr="00007B8F" w:rsidRDefault="00000000">
      <w:pPr>
        <w:pStyle w:val="Heading1"/>
        <w:keepNext/>
        <w:spacing w:before="360" w:after="200"/>
        <w:rPr>
          <w:color w:val="auto"/>
        </w:rPr>
      </w:pPr>
      <w:r w:rsidRPr="00007B8F">
        <w:rPr>
          <w:b/>
          <w:bCs/>
          <w:color w:val="auto"/>
          <w:sz w:val="30"/>
          <w:szCs w:val="30"/>
        </w:rPr>
        <w:lastRenderedPageBreak/>
        <w:t>Part II — Personal Device Acquisition (Demonstration)</w:t>
      </w:r>
    </w:p>
    <w:p w14:paraId="046988B9" w14:textId="77777777" w:rsidR="00CE7084" w:rsidRDefault="00000000">
      <w:pPr>
        <w:spacing w:after="200" w:line="300" w:lineRule="auto"/>
      </w:pPr>
      <w:r>
        <w:t xml:space="preserve">Before handling exhibits seized under continuity-of-evidence protocol for Task 2, a supervised extraction of the examiner's own Android device was carried out in Cellebrite UFED 7.76 to confirm competence with the acquisition workflow and write-blocked handling procedure. The exercise is </w:t>
      </w:r>
      <w:proofErr w:type="spellStart"/>
      <w:r>
        <w:t>summarised</w:t>
      </w:r>
      <w:proofErr w:type="spellEnd"/>
      <w:r>
        <w:t xml:space="preserve"> below in brief steps; full-resolution screenshots are provided in the accompanying evidence pack.</w:t>
      </w:r>
    </w:p>
    <w:p w14:paraId="5FAEE59E" w14:textId="77777777" w:rsidR="00CE7084" w:rsidRDefault="00000000">
      <w:pPr>
        <w:pStyle w:val="ListParagraph"/>
        <w:numPr>
          <w:ilvl w:val="0"/>
          <w:numId w:val="2"/>
        </w:numPr>
        <w:spacing w:after="100" w:line="288" w:lineRule="auto"/>
      </w:pPr>
      <w:r>
        <w:rPr>
          <w:sz w:val="23"/>
          <w:szCs w:val="23"/>
        </w:rPr>
        <w:t>Case file opened; examiner name, device/evidence identifier, crime-type and department fields completed prior to connecting the handset.</w:t>
      </w:r>
    </w:p>
    <w:p w14:paraId="53ABC903" w14:textId="77777777" w:rsidR="00CE7084" w:rsidRDefault="00000000">
      <w:pPr>
        <w:pStyle w:val="ListParagraph"/>
        <w:numPr>
          <w:ilvl w:val="0"/>
          <w:numId w:val="2"/>
        </w:numPr>
        <w:spacing w:after="100" w:line="288" w:lineRule="auto"/>
      </w:pPr>
      <w:r>
        <w:rPr>
          <w:sz w:val="23"/>
          <w:szCs w:val="23"/>
        </w:rPr>
        <w:t>Acquisition method selected via Search Devices; device auto-detected as Samsung SM-A145P over USB.</w:t>
      </w:r>
    </w:p>
    <w:p w14:paraId="004B54DB" w14:textId="77777777" w:rsidR="00CE7084" w:rsidRDefault="00000000">
      <w:pPr>
        <w:pStyle w:val="ListParagraph"/>
        <w:numPr>
          <w:ilvl w:val="0"/>
          <w:numId w:val="2"/>
        </w:numPr>
        <w:spacing w:after="100" w:line="288" w:lineRule="auto"/>
      </w:pPr>
      <w:r>
        <w:rPr>
          <w:sz w:val="23"/>
          <w:szCs w:val="23"/>
        </w:rPr>
        <w:t xml:space="preserve">Extraction type set to Advanced Logical / File System to </w:t>
      </w:r>
      <w:proofErr w:type="spellStart"/>
      <w:r>
        <w:rPr>
          <w:sz w:val="23"/>
          <w:szCs w:val="23"/>
        </w:rPr>
        <w:t>maximise</w:t>
      </w:r>
      <w:proofErr w:type="spellEnd"/>
      <w:r>
        <w:rPr>
          <w:sz w:val="23"/>
          <w:szCs w:val="23"/>
        </w:rPr>
        <w:t xml:space="preserve"> recoverable artefacts without a forensic risk of bootloader modification.</w:t>
      </w:r>
    </w:p>
    <w:p w14:paraId="65030416" w14:textId="77777777" w:rsidR="00CE7084" w:rsidRDefault="00000000">
      <w:pPr>
        <w:pStyle w:val="ListParagraph"/>
        <w:numPr>
          <w:ilvl w:val="0"/>
          <w:numId w:val="2"/>
        </w:numPr>
        <w:spacing w:after="100" w:line="288" w:lineRule="auto"/>
      </w:pPr>
      <w:r>
        <w:rPr>
          <w:sz w:val="23"/>
          <w:szCs w:val="23"/>
        </w:rPr>
        <w:t>Destination folder set to a dedicated, freshly wiped evidence volume (E:\Own phone) to avoid cross-contamination.</w:t>
      </w:r>
    </w:p>
    <w:p w14:paraId="3FC0B87B" w14:textId="77777777" w:rsidR="00CE7084" w:rsidRDefault="00000000">
      <w:pPr>
        <w:pStyle w:val="ListParagraph"/>
        <w:numPr>
          <w:ilvl w:val="0"/>
          <w:numId w:val="2"/>
        </w:numPr>
        <w:spacing w:after="100" w:line="288" w:lineRule="auto"/>
      </w:pPr>
      <w:r>
        <w:rPr>
          <w:sz w:val="23"/>
          <w:szCs w:val="23"/>
        </w:rPr>
        <w:t>Device properties (OS, IMEI, chipset, security-patch level, storage usage) reviewed and logged prior to extraction.</w:t>
      </w:r>
    </w:p>
    <w:p w14:paraId="5F720B8B" w14:textId="77777777" w:rsidR="00CE7084" w:rsidRDefault="00000000">
      <w:pPr>
        <w:pStyle w:val="ListParagraph"/>
        <w:numPr>
          <w:ilvl w:val="0"/>
          <w:numId w:val="2"/>
        </w:numPr>
        <w:spacing w:after="100" w:line="288" w:lineRule="auto"/>
      </w:pPr>
      <w:r>
        <w:rPr>
          <w:sz w:val="23"/>
          <w:szCs w:val="23"/>
        </w:rPr>
        <w:t>All relevant data categories — call logs, contacts, messages, locations, media and files — selected; multimedia sub-types confirmed with estimated size and duration.</w:t>
      </w:r>
    </w:p>
    <w:p w14:paraId="3531AA90" w14:textId="77777777" w:rsidR="00CE7084" w:rsidRDefault="00000000">
      <w:pPr>
        <w:pStyle w:val="ListParagraph"/>
        <w:numPr>
          <w:ilvl w:val="0"/>
          <w:numId w:val="2"/>
        </w:numPr>
        <w:spacing w:after="100" w:line="288" w:lineRule="auto"/>
      </w:pPr>
      <w:r>
        <w:rPr>
          <w:sz w:val="23"/>
          <w:szCs w:val="23"/>
        </w:rPr>
        <w:t>Extraction executed and monitored to completion, each data category confirmed with a green tick.</w:t>
      </w:r>
    </w:p>
    <w:p w14:paraId="4D6932B3" w14:textId="77777777" w:rsidR="00CE7084" w:rsidRDefault="00000000">
      <w:pPr>
        <w:pStyle w:val="ListParagraph"/>
        <w:numPr>
          <w:ilvl w:val="0"/>
          <w:numId w:val="2"/>
        </w:numPr>
        <w:spacing w:after="100" w:line="288" w:lineRule="auto"/>
      </w:pPr>
      <w:r>
        <w:rPr>
          <w:sz w:val="23"/>
          <w:szCs w:val="23"/>
        </w:rPr>
        <w:t>Extraction Summary reviewed and archived as contemporaneous proof of a successful, unmodified acquisition.</w:t>
      </w:r>
    </w:p>
    <w:p w14:paraId="57CAD571" w14:textId="77777777" w:rsidR="00CE7084" w:rsidRDefault="00CE7084">
      <w:pPr>
        <w:sectPr w:rsidR="00CE7084">
          <w:footerReference w:type="default" r:id="rId9"/>
          <w:type w:val="continuous"/>
          <w:pgSz w:w="11906" w:h="16838"/>
          <w:pgMar w:top="1440" w:right="1152" w:bottom="1440" w:left="1152" w:header="708" w:footer="708" w:gutter="0"/>
          <w:cols w:space="720"/>
          <w:docGrid w:linePitch="360"/>
        </w:sectPr>
      </w:pPr>
    </w:p>
    <w:p w14:paraId="1B6B36C8" w14:textId="77777777" w:rsidR="00CE7084" w:rsidRDefault="00000000">
      <w:pPr>
        <w:spacing w:before="160" w:after="40"/>
        <w:jc w:val="center"/>
      </w:pPr>
      <w:r>
        <w:rPr>
          <w:noProof/>
        </w:rPr>
        <w:drawing>
          <wp:inline distT="0" distB="0" distL="0" distR="0" wp14:anchorId="1A113AE4" wp14:editId="220D0F2D">
            <wp:extent cx="2857500" cy="1609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2857500" cy="1609725"/>
                    </a:xfrm>
                    <a:prstGeom prst="rect">
                      <a:avLst/>
                    </a:prstGeom>
                  </pic:spPr>
                </pic:pic>
              </a:graphicData>
            </a:graphic>
          </wp:inline>
        </w:drawing>
      </w:r>
      <w:r>
        <w:t xml:space="preserve">   </w:t>
      </w:r>
      <w:r>
        <w:rPr>
          <w:noProof/>
        </w:rPr>
        <w:drawing>
          <wp:inline distT="0" distB="0" distL="0" distR="0" wp14:anchorId="6A0BFCB9" wp14:editId="68EB3B11">
            <wp:extent cx="2857500" cy="1609725"/>
            <wp:effectExtent l="0" t="0" r="0" b="0"/>
            <wp:docPr id="732775001" name="Picture 732775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2857500" cy="1609725"/>
                    </a:xfrm>
                    <a:prstGeom prst="rect">
                      <a:avLst/>
                    </a:prstGeom>
                  </pic:spPr>
                </pic:pic>
              </a:graphicData>
            </a:graphic>
          </wp:inline>
        </w:drawing>
      </w:r>
    </w:p>
    <w:p w14:paraId="7B214B41" w14:textId="77777777" w:rsidR="00CE7084" w:rsidRDefault="00000000">
      <w:pPr>
        <w:spacing w:before="80" w:after="240"/>
        <w:jc w:val="center"/>
      </w:pPr>
      <w:r>
        <w:rPr>
          <w:i/>
          <w:iCs/>
          <w:sz w:val="20"/>
          <w:szCs w:val="20"/>
        </w:rPr>
        <w:t xml:space="preserve">(a) Case creation in Cellebrite UFED                           </w:t>
      </w:r>
      <w:proofErr w:type="gramStart"/>
      <w:r>
        <w:rPr>
          <w:i/>
          <w:iCs/>
          <w:sz w:val="20"/>
          <w:szCs w:val="20"/>
        </w:rPr>
        <w:t xml:space="preserve">   (</w:t>
      </w:r>
      <w:proofErr w:type="gramEnd"/>
      <w:r>
        <w:rPr>
          <w:i/>
          <w:iCs/>
          <w:sz w:val="20"/>
          <w:szCs w:val="20"/>
        </w:rPr>
        <w:t>b) Choose Action — Search Devices</w:t>
      </w:r>
    </w:p>
    <w:p w14:paraId="4750EA15" w14:textId="77777777" w:rsidR="00CE7084" w:rsidRDefault="00000000">
      <w:pPr>
        <w:spacing w:before="160" w:after="40"/>
        <w:jc w:val="center"/>
      </w:pPr>
      <w:r>
        <w:rPr>
          <w:noProof/>
        </w:rPr>
        <w:lastRenderedPageBreak/>
        <w:drawing>
          <wp:inline distT="0" distB="0" distL="0" distR="0" wp14:anchorId="2345F0AA" wp14:editId="4D2E7C67">
            <wp:extent cx="2857500" cy="1609725"/>
            <wp:effectExtent l="0" t="0" r="0" b="0"/>
            <wp:docPr id="1183588289" name="Picture 1183588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2857500" cy="1609725"/>
                    </a:xfrm>
                    <a:prstGeom prst="rect">
                      <a:avLst/>
                    </a:prstGeom>
                  </pic:spPr>
                </pic:pic>
              </a:graphicData>
            </a:graphic>
          </wp:inline>
        </w:drawing>
      </w:r>
      <w:r>
        <w:t xml:space="preserve">   </w:t>
      </w:r>
      <w:r>
        <w:rPr>
          <w:noProof/>
        </w:rPr>
        <w:drawing>
          <wp:inline distT="0" distB="0" distL="0" distR="0" wp14:anchorId="0B6762AC" wp14:editId="18411F80">
            <wp:extent cx="2857500" cy="1609725"/>
            <wp:effectExtent l="0" t="0" r="0" b="0"/>
            <wp:docPr id="360004649" name="Picture 3600046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2857500" cy="1609725"/>
                    </a:xfrm>
                    <a:prstGeom prst="rect">
                      <a:avLst/>
                    </a:prstGeom>
                  </pic:spPr>
                </pic:pic>
              </a:graphicData>
            </a:graphic>
          </wp:inline>
        </w:drawing>
      </w:r>
    </w:p>
    <w:p w14:paraId="06311002" w14:textId="77777777" w:rsidR="00CE7084" w:rsidRDefault="00000000">
      <w:pPr>
        <w:spacing w:before="80" w:after="240"/>
        <w:jc w:val="center"/>
      </w:pPr>
      <w:r>
        <w:rPr>
          <w:i/>
          <w:iCs/>
          <w:sz w:val="20"/>
          <w:szCs w:val="20"/>
        </w:rPr>
        <w:t>(c) Extraction-type selection (device auto-</w:t>
      </w:r>
      <w:proofErr w:type="gramStart"/>
      <w:r>
        <w:rPr>
          <w:i/>
          <w:iCs/>
          <w:sz w:val="20"/>
          <w:szCs w:val="20"/>
        </w:rPr>
        <w:t xml:space="preserve">detected)   </w:t>
      </w:r>
      <w:proofErr w:type="gramEnd"/>
      <w:r>
        <w:rPr>
          <w:i/>
          <w:iCs/>
          <w:sz w:val="20"/>
          <w:szCs w:val="20"/>
        </w:rPr>
        <w:t xml:space="preserve">          </w:t>
      </w:r>
      <w:proofErr w:type="gramStart"/>
      <w:r>
        <w:rPr>
          <w:i/>
          <w:iCs/>
          <w:sz w:val="20"/>
          <w:szCs w:val="20"/>
        </w:rPr>
        <w:t xml:space="preserve">   (</w:t>
      </w:r>
      <w:proofErr w:type="gramEnd"/>
      <w:r>
        <w:rPr>
          <w:i/>
          <w:iCs/>
          <w:sz w:val="20"/>
          <w:szCs w:val="20"/>
        </w:rPr>
        <w:t>d) Extraction destination set</w:t>
      </w:r>
    </w:p>
    <w:p w14:paraId="233FD12E" w14:textId="77777777" w:rsidR="00CE7084" w:rsidRDefault="00000000">
      <w:pPr>
        <w:spacing w:before="160" w:after="40"/>
        <w:jc w:val="center"/>
      </w:pPr>
      <w:r>
        <w:rPr>
          <w:noProof/>
        </w:rPr>
        <w:drawing>
          <wp:inline distT="0" distB="0" distL="0" distR="0" wp14:anchorId="15624220" wp14:editId="758F8A2E">
            <wp:extent cx="2857500" cy="1609725"/>
            <wp:effectExtent l="0" t="0" r="0" b="0"/>
            <wp:docPr id="1414550046" name="Picture 1414550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2857500" cy="1609725"/>
                    </a:xfrm>
                    <a:prstGeom prst="rect">
                      <a:avLst/>
                    </a:prstGeom>
                  </pic:spPr>
                </pic:pic>
              </a:graphicData>
            </a:graphic>
          </wp:inline>
        </w:drawing>
      </w:r>
      <w:r>
        <w:t xml:space="preserve">   </w:t>
      </w:r>
      <w:r>
        <w:rPr>
          <w:noProof/>
        </w:rPr>
        <w:drawing>
          <wp:inline distT="0" distB="0" distL="0" distR="0" wp14:anchorId="1EB50EA2" wp14:editId="22FF2383">
            <wp:extent cx="2857500" cy="1609725"/>
            <wp:effectExtent l="0" t="0" r="0" b="0"/>
            <wp:docPr id="1682681602" name="Picture 16826816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2857500" cy="1609725"/>
                    </a:xfrm>
                    <a:prstGeom prst="rect">
                      <a:avLst/>
                    </a:prstGeom>
                  </pic:spPr>
                </pic:pic>
              </a:graphicData>
            </a:graphic>
          </wp:inline>
        </w:drawing>
      </w:r>
    </w:p>
    <w:p w14:paraId="62488AE1" w14:textId="77777777" w:rsidR="00CE7084" w:rsidRDefault="00000000">
      <w:pPr>
        <w:spacing w:before="80" w:after="240"/>
        <w:jc w:val="center"/>
      </w:pPr>
      <w:r>
        <w:rPr>
          <w:i/>
          <w:iCs/>
          <w:sz w:val="20"/>
          <w:szCs w:val="20"/>
        </w:rPr>
        <w:t xml:space="preserve">(e) Auto-detected device properties                                 </w:t>
      </w:r>
      <w:proofErr w:type="gramStart"/>
      <w:r>
        <w:rPr>
          <w:i/>
          <w:iCs/>
          <w:sz w:val="20"/>
          <w:szCs w:val="20"/>
        </w:rPr>
        <w:t xml:space="preserve">   (</w:t>
      </w:r>
      <w:proofErr w:type="gramEnd"/>
      <w:r>
        <w:rPr>
          <w:i/>
          <w:iCs/>
          <w:sz w:val="20"/>
          <w:szCs w:val="20"/>
        </w:rPr>
        <w:t>f) Content-type selection (all categories)</w:t>
      </w:r>
    </w:p>
    <w:p w14:paraId="1404CA49" w14:textId="77777777" w:rsidR="00CE7084" w:rsidRDefault="00000000">
      <w:pPr>
        <w:spacing w:before="160" w:after="40"/>
        <w:jc w:val="center"/>
      </w:pPr>
      <w:r>
        <w:rPr>
          <w:noProof/>
        </w:rPr>
        <w:drawing>
          <wp:inline distT="0" distB="0" distL="0" distR="0" wp14:anchorId="31021715" wp14:editId="383C46D6">
            <wp:extent cx="2857500" cy="1609725"/>
            <wp:effectExtent l="0" t="0" r="0" b="0"/>
            <wp:docPr id="404945080" name="Picture 404945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2857500" cy="1609725"/>
                    </a:xfrm>
                    <a:prstGeom prst="rect">
                      <a:avLst/>
                    </a:prstGeom>
                  </pic:spPr>
                </pic:pic>
              </a:graphicData>
            </a:graphic>
          </wp:inline>
        </w:drawing>
      </w:r>
      <w:r>
        <w:t xml:space="preserve">   </w:t>
      </w:r>
      <w:r>
        <w:rPr>
          <w:noProof/>
        </w:rPr>
        <w:drawing>
          <wp:inline distT="0" distB="0" distL="0" distR="0" wp14:anchorId="7B766125" wp14:editId="0779CDBE">
            <wp:extent cx="2857500" cy="1609725"/>
            <wp:effectExtent l="0" t="0" r="0" b="0"/>
            <wp:docPr id="1778339172" name="Picture 1778339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2857500" cy="1609725"/>
                    </a:xfrm>
                    <a:prstGeom prst="rect">
                      <a:avLst/>
                    </a:prstGeom>
                  </pic:spPr>
                </pic:pic>
              </a:graphicData>
            </a:graphic>
          </wp:inline>
        </w:drawing>
      </w:r>
    </w:p>
    <w:p w14:paraId="16D0FF41" w14:textId="77777777" w:rsidR="00CE7084" w:rsidRDefault="00000000">
      <w:pPr>
        <w:spacing w:before="80" w:after="240"/>
        <w:jc w:val="center"/>
      </w:pPr>
      <w:r>
        <w:rPr>
          <w:i/>
          <w:iCs/>
          <w:sz w:val="20"/>
          <w:szCs w:val="20"/>
        </w:rPr>
        <w:t xml:space="preserve">(g) Multimedia sub-type confirmation                               </w:t>
      </w:r>
      <w:proofErr w:type="gramStart"/>
      <w:r>
        <w:rPr>
          <w:i/>
          <w:iCs/>
          <w:sz w:val="20"/>
          <w:szCs w:val="20"/>
        </w:rPr>
        <w:t xml:space="preserve">   (</w:t>
      </w:r>
      <w:proofErr w:type="gramEnd"/>
      <w:r>
        <w:rPr>
          <w:i/>
          <w:iCs/>
          <w:sz w:val="20"/>
          <w:szCs w:val="20"/>
        </w:rPr>
        <w:t>h) Extraction in progress</w:t>
      </w:r>
    </w:p>
    <w:p w14:paraId="6ADD24F2" w14:textId="77777777" w:rsidR="00CE7084" w:rsidRDefault="00000000">
      <w:pPr>
        <w:spacing w:before="160" w:after="40"/>
        <w:jc w:val="center"/>
      </w:pPr>
      <w:r>
        <w:rPr>
          <w:noProof/>
        </w:rPr>
        <w:drawing>
          <wp:inline distT="0" distB="0" distL="0" distR="0" wp14:anchorId="66D6AAE4" wp14:editId="5466E7DC">
            <wp:extent cx="2857500" cy="1609725"/>
            <wp:effectExtent l="0" t="0" r="0" b="0"/>
            <wp:docPr id="113602783" name="Picture 1136027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2857500" cy="1609725"/>
                    </a:xfrm>
                    <a:prstGeom prst="rect">
                      <a:avLst/>
                    </a:prstGeom>
                  </pic:spPr>
                </pic:pic>
              </a:graphicData>
            </a:graphic>
          </wp:inline>
        </w:drawing>
      </w:r>
      <w:r>
        <w:t xml:space="preserve">   </w:t>
      </w:r>
      <w:r>
        <w:rPr>
          <w:noProof/>
        </w:rPr>
        <w:drawing>
          <wp:inline distT="0" distB="0" distL="0" distR="0" wp14:anchorId="0AD9C681" wp14:editId="5FA105B3">
            <wp:extent cx="2857500" cy="1609725"/>
            <wp:effectExtent l="0" t="0" r="0" b="0"/>
            <wp:docPr id="1930074559" name="Picture 1930074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2857500" cy="1609725"/>
                    </a:xfrm>
                    <a:prstGeom prst="rect">
                      <a:avLst/>
                    </a:prstGeom>
                  </pic:spPr>
                </pic:pic>
              </a:graphicData>
            </a:graphic>
          </wp:inline>
        </w:drawing>
      </w:r>
    </w:p>
    <w:p w14:paraId="40DF4AEE" w14:textId="77777777" w:rsidR="00CE7084" w:rsidRDefault="00000000">
      <w:pPr>
        <w:spacing w:before="80" w:after="240"/>
        <w:jc w:val="center"/>
      </w:pPr>
      <w:r>
        <w:rPr>
          <w:i/>
          <w:iCs/>
          <w:sz w:val="20"/>
          <w:szCs w:val="20"/>
        </w:rPr>
        <w:t>(</w:t>
      </w:r>
      <w:proofErr w:type="spellStart"/>
      <w:r>
        <w:rPr>
          <w:i/>
          <w:iCs/>
          <w:sz w:val="20"/>
          <w:szCs w:val="20"/>
        </w:rPr>
        <w:t>i</w:t>
      </w:r>
      <w:proofErr w:type="spellEnd"/>
      <w:r>
        <w:rPr>
          <w:i/>
          <w:iCs/>
          <w:sz w:val="20"/>
          <w:szCs w:val="20"/>
        </w:rPr>
        <w:t xml:space="preserve">) Extraction nearing completion                                    </w:t>
      </w:r>
      <w:proofErr w:type="gramStart"/>
      <w:r>
        <w:rPr>
          <w:i/>
          <w:iCs/>
          <w:sz w:val="20"/>
          <w:szCs w:val="20"/>
        </w:rPr>
        <w:t xml:space="preserve">   (</w:t>
      </w:r>
      <w:proofErr w:type="gramEnd"/>
      <w:r>
        <w:rPr>
          <w:i/>
          <w:iCs/>
          <w:sz w:val="20"/>
          <w:szCs w:val="20"/>
        </w:rPr>
        <w:t>j) Extraction summary — completed successfully</w:t>
      </w:r>
    </w:p>
    <w:p w14:paraId="514A5F68" w14:textId="77777777" w:rsidR="00CE7084" w:rsidRDefault="00000000">
      <w:pPr>
        <w:spacing w:before="80" w:after="240"/>
        <w:jc w:val="center"/>
      </w:pPr>
      <w:r>
        <w:rPr>
          <w:i/>
          <w:iCs/>
          <w:sz w:val="20"/>
          <w:szCs w:val="20"/>
        </w:rPr>
        <w:t>Fig. 1. Personal-device acquisition workflow performed with Cellebrite UFED 7.76 prior to handling case exhibits (all ten acquisition screenshots).</w:t>
      </w:r>
    </w:p>
    <w:p w14:paraId="2D3AF58B" w14:textId="77777777" w:rsidR="00CE7084" w:rsidRDefault="00CE7084">
      <w:pPr>
        <w:sectPr w:rsidR="00CE7084">
          <w:footerReference w:type="default" r:id="rId20"/>
          <w:type w:val="continuous"/>
          <w:pgSz w:w="11906" w:h="16838"/>
          <w:pgMar w:top="1440" w:right="1152" w:bottom="1440" w:left="1152" w:header="708" w:footer="708" w:gutter="0"/>
          <w:cols w:space="720"/>
          <w:docGrid w:linePitch="360"/>
        </w:sectPr>
      </w:pPr>
    </w:p>
    <w:p w14:paraId="49EAAA64" w14:textId="77777777" w:rsidR="00CE7084" w:rsidRPr="00007B8F" w:rsidRDefault="00000000">
      <w:pPr>
        <w:pStyle w:val="Heading1"/>
        <w:keepNext/>
        <w:spacing w:before="360" w:after="200"/>
        <w:rPr>
          <w:color w:val="auto"/>
        </w:rPr>
      </w:pPr>
      <w:r w:rsidRPr="00007B8F">
        <w:rPr>
          <w:b/>
          <w:bCs/>
          <w:color w:val="auto"/>
          <w:sz w:val="30"/>
          <w:szCs w:val="30"/>
        </w:rPr>
        <w:lastRenderedPageBreak/>
        <w:t>Part III — Task 2: Digital Forensic Investigation Report</w:t>
      </w:r>
    </w:p>
    <w:p w14:paraId="4A979073" w14:textId="77777777" w:rsidR="00CE7084" w:rsidRDefault="00000000">
      <w:pPr>
        <w:spacing w:after="200"/>
        <w:jc w:val="center"/>
      </w:pPr>
      <w:r>
        <w:rPr>
          <w:i/>
          <w:iCs/>
          <w:sz w:val="23"/>
          <w:szCs w:val="23"/>
        </w:rPr>
        <w:t>Operation Quantum Patent — Suspected Corporate Espionage, Case Ref. QT-AI-2025</w:t>
      </w:r>
    </w:p>
    <w:p w14:paraId="338D689D" w14:textId="77777777" w:rsidR="00CE7084" w:rsidRPr="00007B8F" w:rsidRDefault="00000000">
      <w:pPr>
        <w:pStyle w:val="Heading2"/>
        <w:keepNext/>
        <w:spacing w:before="260" w:after="140"/>
        <w:rPr>
          <w:color w:val="auto"/>
        </w:rPr>
      </w:pPr>
      <w:r w:rsidRPr="00007B8F">
        <w:rPr>
          <w:b/>
          <w:bCs/>
          <w:color w:val="auto"/>
          <w:sz w:val="25"/>
          <w:szCs w:val="25"/>
        </w:rPr>
        <w:t>A. Case Background</w:t>
      </w:r>
    </w:p>
    <w:p w14:paraId="52F32AE5" w14:textId="77777777" w:rsidR="00CE7084" w:rsidRDefault="00000000">
      <w:pPr>
        <w:spacing w:after="200" w:line="300" w:lineRule="auto"/>
      </w:pPr>
      <w:r>
        <w:t xml:space="preserve">Quantum Tech's IT security team detected </w:t>
      </w:r>
      <w:proofErr w:type="spellStart"/>
      <w:r>
        <w:t>unauthorised</w:t>
      </w:r>
      <w:proofErr w:type="spellEnd"/>
      <w:r>
        <w:t xml:space="preserve"> access to its proprietary patent database, specifically the AI-chip design patent QT-AI-2025. Initial triage identified Emma, a recently joined senior engineer, as the primary suspect, alleged to have attempted to exfiltrate and sell the patent to competitor NexGen Circuits through an intermediary, Joe, with Norman — R&amp;D Director at NexGen Circuits — identified as the suspected buyer. Quantum Tech reported the incident to law enforcement; this report documents the acquisition and analysis performed to support any resulting charges of corporate espionage and theft. Given the commercial sensitivity of an unreleased AI-chip design, the investigation was treated as high priority, with exhibits fast-tracked through the laboratory queue to </w:t>
      </w:r>
      <w:proofErr w:type="spellStart"/>
      <w:r>
        <w:t>minimise</w:t>
      </w:r>
      <w:proofErr w:type="spellEnd"/>
      <w:r>
        <w:t xml:space="preserve"> the window in which the design could be further disseminated.</w:t>
      </w:r>
    </w:p>
    <w:p w14:paraId="55C1878E" w14:textId="77777777" w:rsidR="00CE7084" w:rsidRDefault="00000000">
      <w:pPr>
        <w:spacing w:after="200" w:line="300" w:lineRule="auto"/>
      </w:pPr>
      <w:r>
        <w:t>Note on naming: the original case briefing refers to the buyer inconsistently, naming the third suspect's device as “Norman's Android Smartphone” while separately describing “Vanessa” as the R&amp;D Director and suspected buyer at NexGen Circuits. This report follows the assignment's marking scheme, which consistently identifies the buyer as “Norman (buyer)”, and treats Norman as the individual associated with exhibit QT-E03 throughout.</w:t>
      </w:r>
    </w:p>
    <w:p w14:paraId="7C7A2FCB" w14:textId="77777777" w:rsidR="00CE7084" w:rsidRPr="00007B8F" w:rsidRDefault="00000000">
      <w:pPr>
        <w:pStyle w:val="Heading2"/>
        <w:keepNext/>
        <w:spacing w:before="260" w:after="140"/>
        <w:rPr>
          <w:color w:val="auto"/>
        </w:rPr>
      </w:pPr>
      <w:r w:rsidRPr="00007B8F">
        <w:rPr>
          <w:b/>
          <w:bCs/>
          <w:color w:val="auto"/>
          <w:sz w:val="25"/>
          <w:szCs w:val="25"/>
        </w:rPr>
        <w:t>B. Evidence Inventory and Chain of Custody</w:t>
      </w:r>
    </w:p>
    <w:p w14:paraId="76887D72" w14:textId="77777777" w:rsidR="00CE7084" w:rsidRDefault="00000000">
      <w:pPr>
        <w:spacing w:after="200" w:line="300" w:lineRule="auto"/>
      </w:pPr>
      <w:r>
        <w:t xml:space="preserve">Three smartphones were seized under continuity-of-evidence protocol, sealed in tamper-evident bags at the point of collection, and logged against exhibit references before </w:t>
      </w:r>
      <w:proofErr w:type="gramStart"/>
      <w:r>
        <w:t>transfer</w:t>
      </w:r>
      <w:proofErr w:type="gramEnd"/>
      <w:r>
        <w:t xml:space="preserve"> to the digital forensics laboratory. Table I </w:t>
      </w:r>
      <w:proofErr w:type="spellStart"/>
      <w:r>
        <w:t>summarises</w:t>
      </w:r>
      <w:proofErr w:type="spellEnd"/>
      <w:r>
        <w:t xml:space="preserve"> the exhibit inventory, acquisition tool and verified hash for each device; a full chain-of-custody log recording every individual who handled each exhibit, with date/time stamps, is maintained separately as required for evidential admissibility.</w:t>
      </w:r>
    </w:p>
    <w:p w14:paraId="6D41849C" w14:textId="77777777" w:rsidR="00CE7084" w:rsidRDefault="00CE7084">
      <w:pPr>
        <w:sectPr w:rsidR="00CE7084">
          <w:footerReference w:type="default" r:id="rId21"/>
          <w:type w:val="continuous"/>
          <w:pgSz w:w="11906" w:h="16838"/>
          <w:pgMar w:top="1440" w:right="1152" w:bottom="1440" w:left="1152" w:header="708" w:footer="708" w:gutter="0"/>
          <w:cols w:space="720"/>
          <w:docGrid w:linePitch="360"/>
        </w:sectPr>
      </w:pPr>
    </w:p>
    <w:tbl>
      <w:tblPr>
        <w:tblW w:w="9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0"/>
        <w:gridCol w:w="1800"/>
        <w:gridCol w:w="2500"/>
        <w:gridCol w:w="1900"/>
        <w:gridCol w:w="2620"/>
      </w:tblGrid>
      <w:tr w:rsidR="00CE7084" w14:paraId="603EC016" w14:textId="77777777" w:rsidTr="00AC0DBC">
        <w:tblPrEx>
          <w:tblCellMar>
            <w:top w:w="0" w:type="dxa"/>
            <w:bottom w:w="0" w:type="dxa"/>
          </w:tblCellMar>
        </w:tblPrEx>
        <w:trPr>
          <w:cantSplit/>
          <w:tblHeader/>
        </w:trPr>
        <w:tc>
          <w:tcPr>
            <w:tcW w:w="900" w:type="dxa"/>
            <w:shd w:val="clear" w:color="auto" w:fill="FFFFFF" w:themeFill="background1"/>
            <w:tcMar>
              <w:top w:w="80" w:type="dxa"/>
              <w:left w:w="120" w:type="dxa"/>
              <w:bottom w:w="80" w:type="dxa"/>
              <w:right w:w="120" w:type="dxa"/>
            </w:tcMar>
            <w:vAlign w:val="center"/>
          </w:tcPr>
          <w:p w14:paraId="05893ACE" w14:textId="77777777" w:rsidR="00CE7084" w:rsidRPr="00AC0DBC" w:rsidRDefault="00000000">
            <w:r w:rsidRPr="00AC0DBC">
              <w:rPr>
                <w:b/>
                <w:bCs/>
                <w:sz w:val="20"/>
                <w:szCs w:val="20"/>
              </w:rPr>
              <w:t>Exhibit</w:t>
            </w:r>
          </w:p>
        </w:tc>
        <w:tc>
          <w:tcPr>
            <w:tcW w:w="1800" w:type="dxa"/>
            <w:shd w:val="clear" w:color="auto" w:fill="FFFFFF" w:themeFill="background1"/>
            <w:tcMar>
              <w:top w:w="80" w:type="dxa"/>
              <w:left w:w="120" w:type="dxa"/>
              <w:bottom w:w="80" w:type="dxa"/>
              <w:right w:w="120" w:type="dxa"/>
            </w:tcMar>
            <w:vAlign w:val="center"/>
          </w:tcPr>
          <w:p w14:paraId="7CA19420" w14:textId="77777777" w:rsidR="00CE7084" w:rsidRPr="00AC0DBC" w:rsidRDefault="00000000">
            <w:r w:rsidRPr="00AC0DBC">
              <w:rPr>
                <w:b/>
                <w:bCs/>
                <w:sz w:val="20"/>
                <w:szCs w:val="20"/>
              </w:rPr>
              <w:t>Custodian / Role</w:t>
            </w:r>
          </w:p>
        </w:tc>
        <w:tc>
          <w:tcPr>
            <w:tcW w:w="2500" w:type="dxa"/>
            <w:shd w:val="clear" w:color="auto" w:fill="FFFFFF" w:themeFill="background1"/>
            <w:tcMar>
              <w:top w:w="80" w:type="dxa"/>
              <w:left w:w="120" w:type="dxa"/>
              <w:bottom w:w="80" w:type="dxa"/>
              <w:right w:w="120" w:type="dxa"/>
            </w:tcMar>
            <w:vAlign w:val="center"/>
          </w:tcPr>
          <w:p w14:paraId="5DBC7EAB" w14:textId="77777777" w:rsidR="00CE7084" w:rsidRPr="00AC0DBC" w:rsidRDefault="00000000">
            <w:r w:rsidRPr="00AC0DBC">
              <w:rPr>
                <w:b/>
                <w:bCs/>
                <w:sz w:val="20"/>
                <w:szCs w:val="20"/>
              </w:rPr>
              <w:t>Device</w:t>
            </w:r>
          </w:p>
        </w:tc>
        <w:tc>
          <w:tcPr>
            <w:tcW w:w="1900" w:type="dxa"/>
            <w:shd w:val="clear" w:color="auto" w:fill="FFFFFF" w:themeFill="background1"/>
            <w:tcMar>
              <w:top w:w="80" w:type="dxa"/>
              <w:left w:w="120" w:type="dxa"/>
              <w:bottom w:w="80" w:type="dxa"/>
              <w:right w:w="120" w:type="dxa"/>
            </w:tcMar>
            <w:vAlign w:val="center"/>
          </w:tcPr>
          <w:p w14:paraId="23544774" w14:textId="77777777" w:rsidR="00CE7084" w:rsidRPr="00AC0DBC" w:rsidRDefault="00000000">
            <w:r w:rsidRPr="00AC0DBC">
              <w:rPr>
                <w:b/>
                <w:bCs/>
                <w:sz w:val="20"/>
                <w:szCs w:val="20"/>
              </w:rPr>
              <w:t>Tool / Method</w:t>
            </w:r>
          </w:p>
        </w:tc>
        <w:tc>
          <w:tcPr>
            <w:tcW w:w="2620" w:type="dxa"/>
            <w:shd w:val="clear" w:color="auto" w:fill="FFFFFF" w:themeFill="background1"/>
            <w:tcMar>
              <w:top w:w="80" w:type="dxa"/>
              <w:left w:w="120" w:type="dxa"/>
              <w:bottom w:w="80" w:type="dxa"/>
              <w:right w:w="120" w:type="dxa"/>
            </w:tcMar>
            <w:vAlign w:val="center"/>
          </w:tcPr>
          <w:p w14:paraId="7346051B" w14:textId="77777777" w:rsidR="00CE7084" w:rsidRPr="00AC0DBC" w:rsidRDefault="00000000">
            <w:r w:rsidRPr="00AC0DBC">
              <w:rPr>
                <w:b/>
                <w:bCs/>
                <w:sz w:val="20"/>
                <w:szCs w:val="20"/>
              </w:rPr>
              <w:t>Verified Hash (SHA-256)</w:t>
            </w:r>
          </w:p>
        </w:tc>
      </w:tr>
      <w:tr w:rsidR="00CE7084" w14:paraId="7D7AFEDD" w14:textId="77777777">
        <w:tblPrEx>
          <w:tblCellMar>
            <w:top w:w="0" w:type="dxa"/>
            <w:bottom w:w="0" w:type="dxa"/>
          </w:tblCellMar>
        </w:tblPrEx>
        <w:trPr>
          <w:cantSplit/>
        </w:trPr>
        <w:tc>
          <w:tcPr>
            <w:tcW w:w="900" w:type="dxa"/>
            <w:tcMar>
              <w:top w:w="80" w:type="dxa"/>
              <w:left w:w="120" w:type="dxa"/>
              <w:bottom w:w="80" w:type="dxa"/>
              <w:right w:w="120" w:type="dxa"/>
            </w:tcMar>
            <w:vAlign w:val="center"/>
          </w:tcPr>
          <w:p w14:paraId="625BFFC1" w14:textId="77777777" w:rsidR="00CE7084" w:rsidRDefault="00000000">
            <w:r>
              <w:rPr>
                <w:sz w:val="20"/>
                <w:szCs w:val="20"/>
              </w:rPr>
              <w:t>QT-E01</w:t>
            </w:r>
          </w:p>
        </w:tc>
        <w:tc>
          <w:tcPr>
            <w:tcW w:w="1800" w:type="dxa"/>
            <w:tcMar>
              <w:top w:w="80" w:type="dxa"/>
              <w:left w:w="120" w:type="dxa"/>
              <w:bottom w:w="80" w:type="dxa"/>
              <w:right w:w="120" w:type="dxa"/>
            </w:tcMar>
            <w:vAlign w:val="center"/>
          </w:tcPr>
          <w:p w14:paraId="7E6F814D" w14:textId="77777777" w:rsidR="00CE7084" w:rsidRDefault="00000000">
            <w:r>
              <w:rPr>
                <w:sz w:val="20"/>
                <w:szCs w:val="20"/>
              </w:rPr>
              <w:t>Emma — Suspected Perpetrator</w:t>
            </w:r>
          </w:p>
        </w:tc>
        <w:tc>
          <w:tcPr>
            <w:tcW w:w="2500" w:type="dxa"/>
            <w:tcMar>
              <w:top w:w="80" w:type="dxa"/>
              <w:left w:w="120" w:type="dxa"/>
              <w:bottom w:w="80" w:type="dxa"/>
              <w:right w:w="120" w:type="dxa"/>
            </w:tcMar>
            <w:vAlign w:val="center"/>
          </w:tcPr>
          <w:p w14:paraId="16C06049" w14:textId="77777777" w:rsidR="00CE7084" w:rsidRDefault="00000000">
            <w:r>
              <w:rPr>
                <w:sz w:val="20"/>
                <w:szCs w:val="20"/>
              </w:rPr>
              <w:t>Huawei P Smart (POT-LX1), Android 10</w:t>
            </w:r>
          </w:p>
        </w:tc>
        <w:tc>
          <w:tcPr>
            <w:tcW w:w="1900" w:type="dxa"/>
            <w:tcMar>
              <w:top w:w="80" w:type="dxa"/>
              <w:left w:w="120" w:type="dxa"/>
              <w:bottom w:w="80" w:type="dxa"/>
              <w:right w:w="120" w:type="dxa"/>
            </w:tcMar>
            <w:vAlign w:val="center"/>
          </w:tcPr>
          <w:p w14:paraId="6D3A86FD" w14:textId="77777777" w:rsidR="00CE7084" w:rsidRDefault="00000000">
            <w:r>
              <w:rPr>
                <w:sz w:val="20"/>
                <w:szCs w:val="20"/>
              </w:rPr>
              <w:t>Cellebrite UFED — File System (Android ADB)</w:t>
            </w:r>
          </w:p>
        </w:tc>
        <w:tc>
          <w:tcPr>
            <w:tcW w:w="2620" w:type="dxa"/>
            <w:tcMar>
              <w:top w:w="80" w:type="dxa"/>
              <w:left w:w="120" w:type="dxa"/>
              <w:bottom w:w="80" w:type="dxa"/>
              <w:right w:w="120" w:type="dxa"/>
            </w:tcMar>
            <w:vAlign w:val="center"/>
          </w:tcPr>
          <w:p w14:paraId="79599A22" w14:textId="77777777" w:rsidR="00CE7084" w:rsidRDefault="00000000">
            <w:r>
              <w:rPr>
                <w:sz w:val="20"/>
                <w:szCs w:val="20"/>
              </w:rPr>
              <w:t>d5193dbf...b6507e31f</w:t>
            </w:r>
          </w:p>
        </w:tc>
      </w:tr>
      <w:tr w:rsidR="00CE7084" w14:paraId="5ADEC27F" w14:textId="77777777">
        <w:tblPrEx>
          <w:tblCellMar>
            <w:top w:w="0" w:type="dxa"/>
            <w:bottom w:w="0" w:type="dxa"/>
          </w:tblCellMar>
        </w:tblPrEx>
        <w:trPr>
          <w:cantSplit/>
        </w:trPr>
        <w:tc>
          <w:tcPr>
            <w:tcW w:w="900" w:type="dxa"/>
            <w:tcMar>
              <w:top w:w="80" w:type="dxa"/>
              <w:left w:w="120" w:type="dxa"/>
              <w:bottom w:w="80" w:type="dxa"/>
              <w:right w:w="120" w:type="dxa"/>
            </w:tcMar>
            <w:vAlign w:val="center"/>
          </w:tcPr>
          <w:p w14:paraId="72904F81" w14:textId="77777777" w:rsidR="00CE7084" w:rsidRDefault="00000000">
            <w:r>
              <w:rPr>
                <w:sz w:val="20"/>
                <w:szCs w:val="20"/>
              </w:rPr>
              <w:t>QT-E02</w:t>
            </w:r>
          </w:p>
        </w:tc>
        <w:tc>
          <w:tcPr>
            <w:tcW w:w="1800" w:type="dxa"/>
            <w:tcMar>
              <w:top w:w="80" w:type="dxa"/>
              <w:left w:w="120" w:type="dxa"/>
              <w:bottom w:w="80" w:type="dxa"/>
              <w:right w:w="120" w:type="dxa"/>
            </w:tcMar>
            <w:vAlign w:val="center"/>
          </w:tcPr>
          <w:p w14:paraId="2547055F" w14:textId="77777777" w:rsidR="00CE7084" w:rsidRDefault="00000000">
            <w:r>
              <w:rPr>
                <w:sz w:val="20"/>
                <w:szCs w:val="20"/>
              </w:rPr>
              <w:t>Joe — Suspected Intermediary</w:t>
            </w:r>
          </w:p>
        </w:tc>
        <w:tc>
          <w:tcPr>
            <w:tcW w:w="2500" w:type="dxa"/>
            <w:tcMar>
              <w:top w:w="80" w:type="dxa"/>
              <w:left w:w="120" w:type="dxa"/>
              <w:bottom w:w="80" w:type="dxa"/>
              <w:right w:w="120" w:type="dxa"/>
            </w:tcMar>
            <w:vAlign w:val="center"/>
          </w:tcPr>
          <w:p w14:paraId="30A5CA94" w14:textId="77777777" w:rsidR="00CE7084" w:rsidRDefault="00000000">
            <w:r>
              <w:rPr>
                <w:sz w:val="20"/>
                <w:szCs w:val="20"/>
              </w:rPr>
              <w:t>Samsung Galaxy A13 (SM-A137F), Android 14</w:t>
            </w:r>
          </w:p>
        </w:tc>
        <w:tc>
          <w:tcPr>
            <w:tcW w:w="1900" w:type="dxa"/>
            <w:tcMar>
              <w:top w:w="80" w:type="dxa"/>
              <w:left w:w="120" w:type="dxa"/>
              <w:bottom w:w="80" w:type="dxa"/>
              <w:right w:w="120" w:type="dxa"/>
            </w:tcMar>
            <w:vAlign w:val="center"/>
          </w:tcPr>
          <w:p w14:paraId="63596B07" w14:textId="77777777" w:rsidR="00CE7084" w:rsidRDefault="00000000">
            <w:r>
              <w:rPr>
                <w:sz w:val="20"/>
                <w:szCs w:val="20"/>
              </w:rPr>
              <w:t>Cellebrite UFED — File System (Android Backup)</w:t>
            </w:r>
          </w:p>
        </w:tc>
        <w:tc>
          <w:tcPr>
            <w:tcW w:w="2620" w:type="dxa"/>
            <w:tcMar>
              <w:top w:w="80" w:type="dxa"/>
              <w:left w:w="120" w:type="dxa"/>
              <w:bottom w:w="80" w:type="dxa"/>
              <w:right w:w="120" w:type="dxa"/>
            </w:tcMar>
            <w:vAlign w:val="center"/>
          </w:tcPr>
          <w:p w14:paraId="786BCE85" w14:textId="77777777" w:rsidR="00CE7084" w:rsidRDefault="00000000">
            <w:r>
              <w:rPr>
                <w:sz w:val="20"/>
                <w:szCs w:val="20"/>
              </w:rPr>
              <w:t>0e585c4f...def8753a9a3195</w:t>
            </w:r>
          </w:p>
        </w:tc>
      </w:tr>
      <w:tr w:rsidR="00CE7084" w14:paraId="25291C0F" w14:textId="77777777">
        <w:tblPrEx>
          <w:tblCellMar>
            <w:top w:w="0" w:type="dxa"/>
            <w:bottom w:w="0" w:type="dxa"/>
          </w:tblCellMar>
        </w:tblPrEx>
        <w:trPr>
          <w:cantSplit/>
        </w:trPr>
        <w:tc>
          <w:tcPr>
            <w:tcW w:w="900" w:type="dxa"/>
            <w:tcMar>
              <w:top w:w="80" w:type="dxa"/>
              <w:left w:w="120" w:type="dxa"/>
              <w:bottom w:w="80" w:type="dxa"/>
              <w:right w:w="120" w:type="dxa"/>
            </w:tcMar>
            <w:vAlign w:val="center"/>
          </w:tcPr>
          <w:p w14:paraId="2ED8577B" w14:textId="77777777" w:rsidR="00CE7084" w:rsidRDefault="00000000">
            <w:r>
              <w:rPr>
                <w:sz w:val="20"/>
                <w:szCs w:val="20"/>
              </w:rPr>
              <w:t>QT-E03</w:t>
            </w:r>
          </w:p>
        </w:tc>
        <w:tc>
          <w:tcPr>
            <w:tcW w:w="1800" w:type="dxa"/>
            <w:tcMar>
              <w:top w:w="80" w:type="dxa"/>
              <w:left w:w="120" w:type="dxa"/>
              <w:bottom w:w="80" w:type="dxa"/>
              <w:right w:w="120" w:type="dxa"/>
            </w:tcMar>
            <w:vAlign w:val="center"/>
          </w:tcPr>
          <w:p w14:paraId="3CA0DF41" w14:textId="77777777" w:rsidR="00CE7084" w:rsidRDefault="00000000">
            <w:r>
              <w:rPr>
                <w:sz w:val="20"/>
                <w:szCs w:val="20"/>
              </w:rPr>
              <w:t>Norman — Suspected Buyer</w:t>
            </w:r>
          </w:p>
        </w:tc>
        <w:tc>
          <w:tcPr>
            <w:tcW w:w="2500" w:type="dxa"/>
            <w:tcMar>
              <w:top w:w="80" w:type="dxa"/>
              <w:left w:w="120" w:type="dxa"/>
              <w:bottom w:w="80" w:type="dxa"/>
              <w:right w:w="120" w:type="dxa"/>
            </w:tcMar>
            <w:vAlign w:val="center"/>
          </w:tcPr>
          <w:p w14:paraId="02A184BA" w14:textId="77777777" w:rsidR="00CE7084" w:rsidRDefault="00000000">
            <w:r>
              <w:rPr>
                <w:sz w:val="20"/>
                <w:szCs w:val="20"/>
              </w:rPr>
              <w:t>Nokia C2 2nd Edition, Android 11</w:t>
            </w:r>
          </w:p>
        </w:tc>
        <w:tc>
          <w:tcPr>
            <w:tcW w:w="1900" w:type="dxa"/>
            <w:tcMar>
              <w:top w:w="80" w:type="dxa"/>
              <w:left w:w="120" w:type="dxa"/>
              <w:bottom w:w="80" w:type="dxa"/>
              <w:right w:w="120" w:type="dxa"/>
            </w:tcMar>
            <w:vAlign w:val="center"/>
          </w:tcPr>
          <w:p w14:paraId="096D8B52" w14:textId="77777777" w:rsidR="00CE7084" w:rsidRDefault="00000000">
            <w:r>
              <w:rPr>
                <w:sz w:val="20"/>
                <w:szCs w:val="20"/>
              </w:rPr>
              <w:t>Cellebrite UFED — File System (Android Backup)</w:t>
            </w:r>
          </w:p>
        </w:tc>
        <w:tc>
          <w:tcPr>
            <w:tcW w:w="2620" w:type="dxa"/>
            <w:tcMar>
              <w:top w:w="80" w:type="dxa"/>
              <w:left w:w="120" w:type="dxa"/>
              <w:bottom w:w="80" w:type="dxa"/>
              <w:right w:w="120" w:type="dxa"/>
            </w:tcMar>
            <w:vAlign w:val="center"/>
          </w:tcPr>
          <w:p w14:paraId="4A8681A9" w14:textId="77777777" w:rsidR="00CE7084" w:rsidRDefault="00000000">
            <w:r>
              <w:rPr>
                <w:sz w:val="20"/>
                <w:szCs w:val="20"/>
              </w:rPr>
              <w:t>a693656c...cd69c9eade13ab</w:t>
            </w:r>
          </w:p>
        </w:tc>
      </w:tr>
    </w:tbl>
    <w:p w14:paraId="352636AE" w14:textId="77777777" w:rsidR="00CE7084" w:rsidRDefault="00000000">
      <w:pPr>
        <w:spacing w:before="80" w:after="240"/>
        <w:jc w:val="center"/>
      </w:pPr>
      <w:r>
        <w:rPr>
          <w:i/>
          <w:iCs/>
          <w:sz w:val="20"/>
          <w:szCs w:val="20"/>
        </w:rPr>
        <w:t>Table I. Evidence inventory and chain-of-custody summary.</w:t>
      </w:r>
    </w:p>
    <w:p w14:paraId="160C72C7" w14:textId="77777777" w:rsidR="00CE7084" w:rsidRDefault="00CE7084">
      <w:pPr>
        <w:sectPr w:rsidR="00CE7084">
          <w:footerReference w:type="default" r:id="rId22"/>
          <w:type w:val="continuous"/>
          <w:pgSz w:w="11906" w:h="16838"/>
          <w:pgMar w:top="1440" w:right="1152" w:bottom="1440" w:left="1152" w:header="708" w:footer="708" w:gutter="0"/>
          <w:cols w:space="720"/>
          <w:docGrid w:linePitch="360"/>
        </w:sectPr>
      </w:pPr>
    </w:p>
    <w:p w14:paraId="769BED4B" w14:textId="77777777" w:rsidR="00CE7084" w:rsidRPr="00007B8F" w:rsidRDefault="00000000">
      <w:pPr>
        <w:pStyle w:val="Heading2"/>
        <w:keepNext/>
        <w:spacing w:before="260" w:after="140"/>
        <w:rPr>
          <w:color w:val="auto"/>
        </w:rPr>
      </w:pPr>
      <w:r w:rsidRPr="00007B8F">
        <w:rPr>
          <w:b/>
          <w:bCs/>
          <w:color w:val="auto"/>
          <w:sz w:val="25"/>
          <w:szCs w:val="25"/>
        </w:rPr>
        <w:lastRenderedPageBreak/>
        <w:t>C. Methodology</w:t>
      </w:r>
    </w:p>
    <w:p w14:paraId="56EB4E81" w14:textId="77777777" w:rsidR="00CE7084" w:rsidRDefault="00000000">
      <w:pPr>
        <w:spacing w:after="200" w:line="300" w:lineRule="auto"/>
      </w:pPr>
      <w:r>
        <w:t xml:space="preserve">All handsets were assumed unlocked, or their passcodes supplied, </w:t>
      </w:r>
      <w:proofErr w:type="gramStart"/>
      <w:r>
        <w:t>per</w:t>
      </w:r>
      <w:proofErr w:type="gramEnd"/>
      <w:r>
        <w:t xml:space="preserve"> Quantum Tech's disclosure. Devices were isolated in Faraday enclosures to prevent remote wipe, then acquired file-system-first (rather than a full physical image) to balance completeness against extraction risk, consistent with ACPO/NPCC and ISO/IEC 27037 principles of </w:t>
      </w:r>
      <w:proofErr w:type="spellStart"/>
      <w:r>
        <w:t>minimising</w:t>
      </w:r>
      <w:proofErr w:type="spellEnd"/>
      <w:r>
        <w:t xml:space="preserve"> modification to source evidence [12][18][19]. Extractions were performed with Cellebrite UFED and parsed in Physical Analyzer 7.73; every image was hashed on completion and the hash re-verified in Physical Analyzer before any analysis began, so that findings could be shown to derive from an unaltered, verified copy rather than the original exhibit.</w:t>
      </w:r>
    </w:p>
    <w:p w14:paraId="1C2F993C" w14:textId="77777777" w:rsidR="00CE7084" w:rsidRPr="00007B8F" w:rsidRDefault="00000000">
      <w:pPr>
        <w:pStyle w:val="Heading2"/>
        <w:keepNext/>
        <w:spacing w:before="260" w:after="140"/>
        <w:rPr>
          <w:color w:val="auto"/>
        </w:rPr>
      </w:pPr>
      <w:r w:rsidRPr="00007B8F">
        <w:rPr>
          <w:b/>
          <w:bCs/>
          <w:color w:val="auto"/>
          <w:sz w:val="25"/>
          <w:szCs w:val="25"/>
        </w:rPr>
        <w:t>D. Acquisition and Hash Verification</w:t>
      </w:r>
    </w:p>
    <w:p w14:paraId="69165BA0" w14:textId="77777777" w:rsidR="00CE7084" w:rsidRDefault="00000000">
      <w:pPr>
        <w:spacing w:after="200" w:line="300" w:lineRule="auto"/>
      </w:pPr>
      <w:r>
        <w:t xml:space="preserve">Extraction images for all three handsets were successfully verified </w:t>
      </w:r>
      <w:proofErr w:type="gramStart"/>
      <w:r>
        <w:t>with</w:t>
      </w:r>
      <w:proofErr w:type="gramEnd"/>
      <w:r>
        <w:t xml:space="preserve"> matching SHA-256 checksums between the extraction file and the re-computed value in Physical Analyzer, confirming no tampering occurred between acquisition and analysis (Fig. 2). No malware was detected on any device during the automated scan.</w:t>
      </w:r>
    </w:p>
    <w:p w14:paraId="19C5F83F" w14:textId="77777777" w:rsidR="00CE7084" w:rsidRDefault="00CE7084">
      <w:pPr>
        <w:sectPr w:rsidR="00CE7084">
          <w:footerReference w:type="default" r:id="rId23"/>
          <w:type w:val="continuous"/>
          <w:pgSz w:w="11906" w:h="16838"/>
          <w:pgMar w:top="1440" w:right="1152" w:bottom="1440" w:left="1152" w:header="708" w:footer="708" w:gutter="0"/>
          <w:cols w:space="720"/>
          <w:docGrid w:linePitch="360"/>
        </w:sectPr>
      </w:pPr>
    </w:p>
    <w:p w14:paraId="5AD14AAC" w14:textId="77777777" w:rsidR="00CE7084" w:rsidRDefault="00000000">
      <w:pPr>
        <w:spacing w:before="160" w:after="40"/>
        <w:jc w:val="center"/>
      </w:pPr>
      <w:r>
        <w:rPr>
          <w:noProof/>
        </w:rPr>
        <w:drawing>
          <wp:inline distT="0" distB="0" distL="0" distR="0" wp14:anchorId="3F647EC4" wp14:editId="0D5FFDC6">
            <wp:extent cx="4953000" cy="2752725"/>
            <wp:effectExtent l="0" t="0" r="0" b="0"/>
            <wp:docPr id="2069864809" name="Picture 20698648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4953000" cy="2752725"/>
                    </a:xfrm>
                    <a:prstGeom prst="rect">
                      <a:avLst/>
                    </a:prstGeom>
                  </pic:spPr>
                </pic:pic>
              </a:graphicData>
            </a:graphic>
          </wp:inline>
        </w:drawing>
      </w:r>
    </w:p>
    <w:p w14:paraId="2A2A94C2" w14:textId="77777777" w:rsidR="00CE7084" w:rsidRDefault="00000000">
      <w:pPr>
        <w:spacing w:before="80" w:after="240"/>
        <w:jc w:val="center"/>
      </w:pPr>
      <w:r>
        <w:rPr>
          <w:i/>
          <w:iCs/>
          <w:sz w:val="20"/>
          <w:szCs w:val="20"/>
        </w:rPr>
        <w:t>(a) QT-E01 — Emma's Huawei P Smart</w:t>
      </w:r>
    </w:p>
    <w:p w14:paraId="3E999C03" w14:textId="77777777" w:rsidR="00CE7084" w:rsidRDefault="00000000">
      <w:pPr>
        <w:spacing w:before="160" w:after="40"/>
        <w:jc w:val="center"/>
      </w:pPr>
      <w:r>
        <w:rPr>
          <w:noProof/>
        </w:rPr>
        <w:lastRenderedPageBreak/>
        <w:drawing>
          <wp:inline distT="0" distB="0" distL="0" distR="0" wp14:anchorId="36973CDE" wp14:editId="6306E35E">
            <wp:extent cx="4953000" cy="2781300"/>
            <wp:effectExtent l="0" t="0" r="0" b="0"/>
            <wp:docPr id="1491067734" name="Picture 14910677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4953000" cy="2781300"/>
                    </a:xfrm>
                    <a:prstGeom prst="rect">
                      <a:avLst/>
                    </a:prstGeom>
                  </pic:spPr>
                </pic:pic>
              </a:graphicData>
            </a:graphic>
          </wp:inline>
        </w:drawing>
      </w:r>
    </w:p>
    <w:p w14:paraId="2602E826" w14:textId="77777777" w:rsidR="00CE7084" w:rsidRDefault="00000000">
      <w:pPr>
        <w:spacing w:before="80" w:after="240"/>
        <w:jc w:val="center"/>
      </w:pPr>
      <w:r>
        <w:rPr>
          <w:i/>
          <w:iCs/>
          <w:sz w:val="20"/>
          <w:szCs w:val="20"/>
        </w:rPr>
        <w:t>(b) QT-E03 — Norman's Nokia C2</w:t>
      </w:r>
    </w:p>
    <w:p w14:paraId="5890B11A" w14:textId="77777777" w:rsidR="00CE7084" w:rsidRDefault="00000000">
      <w:pPr>
        <w:spacing w:before="160" w:after="40"/>
        <w:jc w:val="center"/>
      </w:pPr>
      <w:r>
        <w:rPr>
          <w:noProof/>
        </w:rPr>
        <w:drawing>
          <wp:inline distT="0" distB="0" distL="0" distR="0" wp14:anchorId="1A4D7B5F" wp14:editId="2982A668">
            <wp:extent cx="4953000" cy="2762250"/>
            <wp:effectExtent l="0" t="0" r="0" b="0"/>
            <wp:docPr id="1207377111" name="Picture 1207377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4953000" cy="2762250"/>
                    </a:xfrm>
                    <a:prstGeom prst="rect">
                      <a:avLst/>
                    </a:prstGeom>
                  </pic:spPr>
                </pic:pic>
              </a:graphicData>
            </a:graphic>
          </wp:inline>
        </w:drawing>
      </w:r>
    </w:p>
    <w:p w14:paraId="41E70E3C" w14:textId="77777777" w:rsidR="00CE7084" w:rsidRDefault="00000000">
      <w:pPr>
        <w:spacing w:before="80" w:after="240"/>
        <w:jc w:val="center"/>
      </w:pPr>
      <w:r>
        <w:rPr>
          <w:i/>
          <w:iCs/>
          <w:sz w:val="20"/>
          <w:szCs w:val="20"/>
        </w:rPr>
        <w:t>(c) QT-E02 — Joe's Samsung Galaxy A13</w:t>
      </w:r>
    </w:p>
    <w:p w14:paraId="5819DAD4" w14:textId="77777777" w:rsidR="00CE7084" w:rsidRDefault="00000000">
      <w:pPr>
        <w:spacing w:before="80" w:after="240"/>
        <w:jc w:val="center"/>
      </w:pPr>
      <w:r>
        <w:rPr>
          <w:i/>
          <w:iCs/>
          <w:sz w:val="20"/>
          <w:szCs w:val="20"/>
        </w:rPr>
        <w:t>Fig. 2. SHA-256 image-hash verification confirming extraction integrity across all three handsets (original Physical Analyzer screenshots).</w:t>
      </w:r>
    </w:p>
    <w:p w14:paraId="72ECD858" w14:textId="77777777" w:rsidR="00CE7084" w:rsidRDefault="00CE7084">
      <w:pPr>
        <w:sectPr w:rsidR="00CE7084">
          <w:footerReference w:type="default" r:id="rId27"/>
          <w:type w:val="continuous"/>
          <w:pgSz w:w="11906" w:h="16838"/>
          <w:pgMar w:top="1440" w:right="1152" w:bottom="1440" w:left="1152" w:header="708" w:footer="708" w:gutter="0"/>
          <w:cols w:space="720"/>
          <w:docGrid w:linePitch="360"/>
        </w:sectPr>
      </w:pPr>
    </w:p>
    <w:p w14:paraId="0334A64D" w14:textId="77777777" w:rsidR="00CE7084" w:rsidRPr="00007B8F" w:rsidRDefault="00000000">
      <w:pPr>
        <w:pStyle w:val="Heading2"/>
        <w:keepNext/>
        <w:spacing w:before="260" w:after="140"/>
        <w:rPr>
          <w:color w:val="auto"/>
        </w:rPr>
      </w:pPr>
      <w:r w:rsidRPr="00007B8F">
        <w:rPr>
          <w:b/>
          <w:bCs/>
          <w:color w:val="auto"/>
          <w:sz w:val="25"/>
          <w:szCs w:val="25"/>
        </w:rPr>
        <w:t>E. Communication Analysis and Reconstructed Timeline</w:t>
      </w:r>
    </w:p>
    <w:p w14:paraId="15DC950B" w14:textId="77777777" w:rsidR="00CE7084" w:rsidRDefault="00000000">
      <w:pPr>
        <w:spacing w:after="200" w:line="300" w:lineRule="auto"/>
      </w:pPr>
      <w:r>
        <w:t xml:space="preserve">Chat, contact and application data were extracted and cross-referenced across all three devices, with WhatsApp, Instagram Direct Messages, Facebook Messenger and native email clients all included within the examined data set, consistent with </w:t>
      </w:r>
      <w:proofErr w:type="spellStart"/>
      <w:r>
        <w:t>recognised</w:t>
      </w:r>
      <w:proofErr w:type="spellEnd"/>
      <w:r>
        <w:t xml:space="preserve"> practice for cross-application social-media forensics [5], [6]. Two conversation threads on Emma's handset were central to the investigation: a WhatsApp exchange with a contact saved under the disguised name “Top-up” (+44 7917 162788), later addressed directly as “Joe”, and a Facebook Messenger exchange under the alias account “Peter Dover” with contact “Norman Smith” — the use of a false display name is itself indicative of an attempt to conceal the communication. Instagram was installed on Emma's </w:t>
      </w:r>
      <w:r>
        <w:lastRenderedPageBreak/>
        <w:t>and Joe's handsets, but parsing recovered only pre-existing personal Direct Message threads unrelated to the case, and no Instagram application data of any kind was present on Norman's Nokia; this negative finding is recorded for completeness rather than omitted, since an absent artefact can be as evidentially relevant as a present one. Table II reconstructs the key events in chronological order.</w:t>
      </w:r>
    </w:p>
    <w:p w14:paraId="4A4E7BE6" w14:textId="77777777" w:rsidR="00CE7084" w:rsidRDefault="00CE7084">
      <w:pPr>
        <w:sectPr w:rsidR="00CE7084">
          <w:footerReference w:type="default" r:id="rId28"/>
          <w:type w:val="continuous"/>
          <w:pgSz w:w="11906" w:h="16838"/>
          <w:pgMar w:top="1440" w:right="1152" w:bottom="1440" w:left="1152" w:header="708" w:footer="708" w:gutter="0"/>
          <w:cols w:space="720"/>
          <w:docGrid w:linePitch="360"/>
        </w:sectPr>
      </w:pPr>
    </w:p>
    <w:tbl>
      <w:tblPr>
        <w:tblW w:w="9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00"/>
        <w:gridCol w:w="2000"/>
        <w:gridCol w:w="6320"/>
      </w:tblGrid>
      <w:tr w:rsidR="00CE7084" w14:paraId="33C124BF" w14:textId="77777777" w:rsidTr="00007B8F">
        <w:tblPrEx>
          <w:tblCellMar>
            <w:top w:w="0" w:type="dxa"/>
            <w:bottom w:w="0" w:type="dxa"/>
          </w:tblCellMar>
        </w:tblPrEx>
        <w:trPr>
          <w:cantSplit/>
          <w:tblHeader/>
        </w:trPr>
        <w:tc>
          <w:tcPr>
            <w:tcW w:w="1400" w:type="dxa"/>
            <w:shd w:val="clear" w:color="auto" w:fill="FFFFFF" w:themeFill="background1"/>
            <w:tcMar>
              <w:top w:w="80" w:type="dxa"/>
              <w:left w:w="120" w:type="dxa"/>
              <w:bottom w:w="80" w:type="dxa"/>
              <w:right w:w="120" w:type="dxa"/>
            </w:tcMar>
            <w:vAlign w:val="center"/>
          </w:tcPr>
          <w:p w14:paraId="3FF3FA2D" w14:textId="77777777" w:rsidR="00CE7084" w:rsidRPr="00007B8F" w:rsidRDefault="00000000">
            <w:r w:rsidRPr="00007B8F">
              <w:rPr>
                <w:b/>
                <w:bCs/>
                <w:sz w:val="20"/>
                <w:szCs w:val="20"/>
              </w:rPr>
              <w:t>Date</w:t>
            </w:r>
          </w:p>
        </w:tc>
        <w:tc>
          <w:tcPr>
            <w:tcW w:w="2000" w:type="dxa"/>
            <w:shd w:val="clear" w:color="auto" w:fill="FFFFFF" w:themeFill="background1"/>
            <w:tcMar>
              <w:top w:w="80" w:type="dxa"/>
              <w:left w:w="120" w:type="dxa"/>
              <w:bottom w:w="80" w:type="dxa"/>
              <w:right w:w="120" w:type="dxa"/>
            </w:tcMar>
            <w:vAlign w:val="center"/>
          </w:tcPr>
          <w:p w14:paraId="0DD15F1A" w14:textId="77777777" w:rsidR="00CE7084" w:rsidRPr="00007B8F" w:rsidRDefault="00000000">
            <w:r w:rsidRPr="00007B8F">
              <w:rPr>
                <w:b/>
                <w:bCs/>
                <w:sz w:val="20"/>
                <w:szCs w:val="20"/>
              </w:rPr>
              <w:t>Source</w:t>
            </w:r>
          </w:p>
        </w:tc>
        <w:tc>
          <w:tcPr>
            <w:tcW w:w="6320" w:type="dxa"/>
            <w:shd w:val="clear" w:color="auto" w:fill="FFFFFF" w:themeFill="background1"/>
            <w:tcMar>
              <w:top w:w="80" w:type="dxa"/>
              <w:left w:w="120" w:type="dxa"/>
              <w:bottom w:w="80" w:type="dxa"/>
              <w:right w:w="120" w:type="dxa"/>
            </w:tcMar>
            <w:vAlign w:val="center"/>
          </w:tcPr>
          <w:p w14:paraId="343A1840" w14:textId="77777777" w:rsidR="00CE7084" w:rsidRPr="00007B8F" w:rsidRDefault="00000000">
            <w:r w:rsidRPr="00007B8F">
              <w:rPr>
                <w:b/>
                <w:bCs/>
                <w:sz w:val="20"/>
                <w:szCs w:val="20"/>
              </w:rPr>
              <w:t>Event</w:t>
            </w:r>
          </w:p>
        </w:tc>
      </w:tr>
      <w:tr w:rsidR="00CE7084" w14:paraId="6E7E5012" w14:textId="77777777">
        <w:tblPrEx>
          <w:tblCellMar>
            <w:top w:w="0" w:type="dxa"/>
            <w:bottom w:w="0" w:type="dxa"/>
          </w:tblCellMar>
        </w:tblPrEx>
        <w:trPr>
          <w:cantSplit/>
        </w:trPr>
        <w:tc>
          <w:tcPr>
            <w:tcW w:w="1400" w:type="dxa"/>
            <w:tcMar>
              <w:top w:w="80" w:type="dxa"/>
              <w:left w:w="120" w:type="dxa"/>
              <w:bottom w:w="80" w:type="dxa"/>
              <w:right w:w="120" w:type="dxa"/>
            </w:tcMar>
            <w:vAlign w:val="center"/>
          </w:tcPr>
          <w:p w14:paraId="13AB7088" w14:textId="77777777" w:rsidR="00CE7084" w:rsidRDefault="00000000">
            <w:r>
              <w:rPr>
                <w:sz w:val="20"/>
                <w:szCs w:val="20"/>
              </w:rPr>
              <w:t>21 Aug 2024</w:t>
            </w:r>
          </w:p>
        </w:tc>
        <w:tc>
          <w:tcPr>
            <w:tcW w:w="2000" w:type="dxa"/>
            <w:tcMar>
              <w:top w:w="80" w:type="dxa"/>
              <w:left w:w="120" w:type="dxa"/>
              <w:bottom w:w="80" w:type="dxa"/>
              <w:right w:w="120" w:type="dxa"/>
            </w:tcMar>
            <w:vAlign w:val="center"/>
          </w:tcPr>
          <w:p w14:paraId="3308CD46" w14:textId="77777777" w:rsidR="00CE7084" w:rsidRDefault="00000000">
            <w:r>
              <w:rPr>
                <w:sz w:val="20"/>
                <w:szCs w:val="20"/>
              </w:rPr>
              <w:t>Emma–Joe, WhatsApp</w:t>
            </w:r>
          </w:p>
        </w:tc>
        <w:tc>
          <w:tcPr>
            <w:tcW w:w="6320" w:type="dxa"/>
            <w:tcMar>
              <w:top w:w="80" w:type="dxa"/>
              <w:left w:w="120" w:type="dxa"/>
              <w:bottom w:w="80" w:type="dxa"/>
              <w:right w:w="120" w:type="dxa"/>
            </w:tcMar>
            <w:vAlign w:val="center"/>
          </w:tcPr>
          <w:p w14:paraId="73B7D549" w14:textId="77777777" w:rsidR="00CE7084" w:rsidRDefault="00000000">
            <w:r>
              <w:rPr>
                <w:sz w:val="20"/>
                <w:szCs w:val="20"/>
              </w:rPr>
              <w:t>Emma states she has access to “highly valuable information” related to Quantum Tech's AI patent work and is “thinking about selling it”; Joe asks who might be interested and Emma replies she trusts him to “find the right buyer”.</w:t>
            </w:r>
          </w:p>
        </w:tc>
      </w:tr>
      <w:tr w:rsidR="00CE7084" w14:paraId="73B98DA7" w14:textId="77777777">
        <w:tblPrEx>
          <w:tblCellMar>
            <w:top w:w="0" w:type="dxa"/>
            <w:bottom w:w="0" w:type="dxa"/>
          </w:tblCellMar>
        </w:tblPrEx>
        <w:trPr>
          <w:cantSplit/>
        </w:trPr>
        <w:tc>
          <w:tcPr>
            <w:tcW w:w="1400" w:type="dxa"/>
            <w:tcMar>
              <w:top w:w="80" w:type="dxa"/>
              <w:left w:w="120" w:type="dxa"/>
              <w:bottom w:w="80" w:type="dxa"/>
              <w:right w:w="120" w:type="dxa"/>
            </w:tcMar>
            <w:vAlign w:val="center"/>
          </w:tcPr>
          <w:p w14:paraId="7ED2BACC" w14:textId="77777777" w:rsidR="00CE7084" w:rsidRDefault="00000000">
            <w:r>
              <w:rPr>
                <w:sz w:val="20"/>
                <w:szCs w:val="20"/>
              </w:rPr>
              <w:t>26 Aug 2024</w:t>
            </w:r>
          </w:p>
        </w:tc>
        <w:tc>
          <w:tcPr>
            <w:tcW w:w="2000" w:type="dxa"/>
            <w:tcMar>
              <w:top w:w="80" w:type="dxa"/>
              <w:left w:w="120" w:type="dxa"/>
              <w:bottom w:w="80" w:type="dxa"/>
              <w:right w:w="120" w:type="dxa"/>
            </w:tcMar>
            <w:vAlign w:val="center"/>
          </w:tcPr>
          <w:p w14:paraId="7555127A" w14:textId="77777777" w:rsidR="00CE7084" w:rsidRDefault="00000000">
            <w:r>
              <w:rPr>
                <w:sz w:val="20"/>
                <w:szCs w:val="20"/>
              </w:rPr>
              <w:t>Emma–Joe, WhatsApp</w:t>
            </w:r>
          </w:p>
        </w:tc>
        <w:tc>
          <w:tcPr>
            <w:tcW w:w="6320" w:type="dxa"/>
            <w:tcMar>
              <w:top w:w="80" w:type="dxa"/>
              <w:left w:w="120" w:type="dxa"/>
              <w:bottom w:w="80" w:type="dxa"/>
              <w:right w:w="120" w:type="dxa"/>
            </w:tcMar>
            <w:vAlign w:val="center"/>
          </w:tcPr>
          <w:p w14:paraId="5BB2C196" w14:textId="77777777" w:rsidR="00CE7084" w:rsidRDefault="00000000">
            <w:r>
              <w:rPr>
                <w:sz w:val="20"/>
                <w:szCs w:val="20"/>
              </w:rPr>
              <w:t>Joe (saved as “Top-up”) updates Emma that his “last week's meeting” did not go as expected, but that he has “managed to get some contacts for a meeting today” and will “keep her posted” — the first sign of active buyer-sourcing.</w:t>
            </w:r>
          </w:p>
        </w:tc>
      </w:tr>
      <w:tr w:rsidR="00CE7084" w14:paraId="4DF10992" w14:textId="77777777">
        <w:tblPrEx>
          <w:tblCellMar>
            <w:top w:w="0" w:type="dxa"/>
            <w:bottom w:w="0" w:type="dxa"/>
          </w:tblCellMar>
        </w:tblPrEx>
        <w:trPr>
          <w:cantSplit/>
        </w:trPr>
        <w:tc>
          <w:tcPr>
            <w:tcW w:w="1400" w:type="dxa"/>
            <w:tcMar>
              <w:top w:w="80" w:type="dxa"/>
              <w:left w:w="120" w:type="dxa"/>
              <w:bottom w:w="80" w:type="dxa"/>
              <w:right w:w="120" w:type="dxa"/>
            </w:tcMar>
            <w:vAlign w:val="center"/>
          </w:tcPr>
          <w:p w14:paraId="307C2AAB" w14:textId="77777777" w:rsidR="00CE7084" w:rsidRDefault="00000000">
            <w:r>
              <w:rPr>
                <w:sz w:val="20"/>
                <w:szCs w:val="20"/>
              </w:rPr>
              <w:t>31 Aug 2024</w:t>
            </w:r>
          </w:p>
        </w:tc>
        <w:tc>
          <w:tcPr>
            <w:tcW w:w="2000" w:type="dxa"/>
            <w:tcMar>
              <w:top w:w="80" w:type="dxa"/>
              <w:left w:w="120" w:type="dxa"/>
              <w:bottom w:w="80" w:type="dxa"/>
              <w:right w:w="120" w:type="dxa"/>
            </w:tcMar>
            <w:vAlign w:val="center"/>
          </w:tcPr>
          <w:p w14:paraId="267DA449" w14:textId="77777777" w:rsidR="00CE7084" w:rsidRDefault="00000000">
            <w:r>
              <w:rPr>
                <w:sz w:val="20"/>
                <w:szCs w:val="20"/>
              </w:rPr>
              <w:t>Joe's handset, media metadata</w:t>
            </w:r>
          </w:p>
        </w:tc>
        <w:tc>
          <w:tcPr>
            <w:tcW w:w="6320" w:type="dxa"/>
            <w:tcMar>
              <w:top w:w="80" w:type="dxa"/>
              <w:left w:w="120" w:type="dxa"/>
              <w:bottom w:w="80" w:type="dxa"/>
              <w:right w:w="120" w:type="dxa"/>
            </w:tcMar>
            <w:vAlign w:val="center"/>
          </w:tcPr>
          <w:p w14:paraId="3D1446E8" w14:textId="77777777" w:rsidR="00CE7084" w:rsidRDefault="00000000">
            <w:r>
              <w:rPr>
                <w:sz w:val="20"/>
                <w:szCs w:val="20"/>
              </w:rPr>
              <w:t>Rail-ticket photograph (</w:t>
            </w:r>
            <w:proofErr w:type="spellStart"/>
            <w:r>
              <w:rPr>
                <w:sz w:val="20"/>
                <w:szCs w:val="20"/>
              </w:rPr>
              <w:t>Blairhill</w:t>
            </w:r>
            <w:proofErr w:type="spellEnd"/>
            <w:r>
              <w:rPr>
                <w:sz w:val="20"/>
                <w:szCs w:val="20"/>
              </w:rPr>
              <w:t xml:space="preserve"> → Glasgow) captured, consistent with an early scouting trip to identify a buyer contact.</w:t>
            </w:r>
          </w:p>
        </w:tc>
      </w:tr>
      <w:tr w:rsidR="00CE7084" w14:paraId="5803129C" w14:textId="77777777">
        <w:tblPrEx>
          <w:tblCellMar>
            <w:top w:w="0" w:type="dxa"/>
            <w:bottom w:w="0" w:type="dxa"/>
          </w:tblCellMar>
        </w:tblPrEx>
        <w:trPr>
          <w:cantSplit/>
        </w:trPr>
        <w:tc>
          <w:tcPr>
            <w:tcW w:w="1400" w:type="dxa"/>
            <w:tcMar>
              <w:top w:w="80" w:type="dxa"/>
              <w:left w:w="120" w:type="dxa"/>
              <w:bottom w:w="80" w:type="dxa"/>
              <w:right w:w="120" w:type="dxa"/>
            </w:tcMar>
            <w:vAlign w:val="center"/>
          </w:tcPr>
          <w:p w14:paraId="33091755" w14:textId="77777777" w:rsidR="00CE7084" w:rsidRDefault="00000000">
            <w:r>
              <w:rPr>
                <w:sz w:val="20"/>
                <w:szCs w:val="20"/>
              </w:rPr>
              <w:t>20 Nov 2024</w:t>
            </w:r>
          </w:p>
        </w:tc>
        <w:tc>
          <w:tcPr>
            <w:tcW w:w="2000" w:type="dxa"/>
            <w:tcMar>
              <w:top w:w="80" w:type="dxa"/>
              <w:left w:w="120" w:type="dxa"/>
              <w:bottom w:w="80" w:type="dxa"/>
              <w:right w:w="120" w:type="dxa"/>
            </w:tcMar>
            <w:vAlign w:val="center"/>
          </w:tcPr>
          <w:p w14:paraId="7ED0E3ED" w14:textId="77777777" w:rsidR="00CE7084" w:rsidRDefault="00000000">
            <w:r>
              <w:rPr>
                <w:sz w:val="20"/>
                <w:szCs w:val="20"/>
              </w:rPr>
              <w:t>Emma–Joe, WhatsApp</w:t>
            </w:r>
          </w:p>
        </w:tc>
        <w:tc>
          <w:tcPr>
            <w:tcW w:w="6320" w:type="dxa"/>
            <w:tcMar>
              <w:top w:w="80" w:type="dxa"/>
              <w:left w:w="120" w:type="dxa"/>
              <w:bottom w:w="80" w:type="dxa"/>
              <w:right w:w="120" w:type="dxa"/>
            </w:tcMar>
            <w:vAlign w:val="center"/>
          </w:tcPr>
          <w:p w14:paraId="2EC50950" w14:textId="77777777" w:rsidR="00CE7084" w:rsidRDefault="00000000">
            <w:r>
              <w:rPr>
                <w:sz w:val="20"/>
                <w:szCs w:val="20"/>
              </w:rPr>
              <w:t xml:space="preserve">Emma presses Joe for an update, warning she may “go with someone else”; Joe </w:t>
            </w:r>
            <w:proofErr w:type="spellStart"/>
            <w:r>
              <w:rPr>
                <w:sz w:val="20"/>
                <w:szCs w:val="20"/>
              </w:rPr>
              <w:t>apologises</w:t>
            </w:r>
            <w:proofErr w:type="spellEnd"/>
            <w:r>
              <w:rPr>
                <w:sz w:val="20"/>
                <w:szCs w:val="20"/>
              </w:rPr>
              <w:t>, confirms he is in “final talks” and is “meeting the client this week at Manchester”.</w:t>
            </w:r>
          </w:p>
        </w:tc>
      </w:tr>
      <w:tr w:rsidR="00CE7084" w14:paraId="1D8FB589" w14:textId="77777777">
        <w:tblPrEx>
          <w:tblCellMar>
            <w:top w:w="0" w:type="dxa"/>
            <w:bottom w:w="0" w:type="dxa"/>
          </w:tblCellMar>
        </w:tblPrEx>
        <w:trPr>
          <w:cantSplit/>
        </w:trPr>
        <w:tc>
          <w:tcPr>
            <w:tcW w:w="1400" w:type="dxa"/>
            <w:tcMar>
              <w:top w:w="80" w:type="dxa"/>
              <w:left w:w="120" w:type="dxa"/>
              <w:bottom w:w="80" w:type="dxa"/>
              <w:right w:w="120" w:type="dxa"/>
            </w:tcMar>
            <w:vAlign w:val="center"/>
          </w:tcPr>
          <w:p w14:paraId="08EDCEA1" w14:textId="77777777" w:rsidR="00CE7084" w:rsidRDefault="00000000">
            <w:r>
              <w:rPr>
                <w:sz w:val="20"/>
                <w:szCs w:val="20"/>
              </w:rPr>
              <w:t>22 Nov 2024</w:t>
            </w:r>
          </w:p>
        </w:tc>
        <w:tc>
          <w:tcPr>
            <w:tcW w:w="2000" w:type="dxa"/>
            <w:tcMar>
              <w:top w:w="80" w:type="dxa"/>
              <w:left w:w="120" w:type="dxa"/>
              <w:bottom w:w="80" w:type="dxa"/>
              <w:right w:w="120" w:type="dxa"/>
            </w:tcMar>
            <w:vAlign w:val="center"/>
          </w:tcPr>
          <w:p w14:paraId="261CB5CE" w14:textId="77777777" w:rsidR="00CE7084" w:rsidRDefault="00000000">
            <w:r>
              <w:rPr>
                <w:sz w:val="20"/>
                <w:szCs w:val="20"/>
              </w:rPr>
              <w:t>Joe's handset, media metadata</w:t>
            </w:r>
          </w:p>
        </w:tc>
        <w:tc>
          <w:tcPr>
            <w:tcW w:w="6320" w:type="dxa"/>
            <w:tcMar>
              <w:top w:w="80" w:type="dxa"/>
              <w:left w:w="120" w:type="dxa"/>
              <w:bottom w:w="80" w:type="dxa"/>
              <w:right w:w="120" w:type="dxa"/>
            </w:tcMar>
            <w:vAlign w:val="center"/>
          </w:tcPr>
          <w:p w14:paraId="367765F8" w14:textId="77777777" w:rsidR="00CE7084" w:rsidRDefault="00000000">
            <w:r>
              <w:rPr>
                <w:sz w:val="20"/>
                <w:szCs w:val="20"/>
              </w:rPr>
              <w:t>Rail-ticket photograph (Wigan → Manchester) captured at 11:21, corroborating the Manchester meeting referenced above.</w:t>
            </w:r>
          </w:p>
        </w:tc>
      </w:tr>
      <w:tr w:rsidR="00CE7084" w14:paraId="46D9E9C5" w14:textId="77777777">
        <w:tblPrEx>
          <w:tblCellMar>
            <w:top w:w="0" w:type="dxa"/>
            <w:bottom w:w="0" w:type="dxa"/>
          </w:tblCellMar>
        </w:tblPrEx>
        <w:trPr>
          <w:cantSplit/>
        </w:trPr>
        <w:tc>
          <w:tcPr>
            <w:tcW w:w="1400" w:type="dxa"/>
            <w:tcMar>
              <w:top w:w="80" w:type="dxa"/>
              <w:left w:w="120" w:type="dxa"/>
              <w:bottom w:w="80" w:type="dxa"/>
              <w:right w:w="120" w:type="dxa"/>
            </w:tcMar>
            <w:vAlign w:val="center"/>
          </w:tcPr>
          <w:p w14:paraId="2D340577" w14:textId="77777777" w:rsidR="00CE7084" w:rsidRDefault="00000000">
            <w:r>
              <w:rPr>
                <w:sz w:val="20"/>
                <w:szCs w:val="20"/>
              </w:rPr>
              <w:t>31 Jan 2025</w:t>
            </w:r>
          </w:p>
        </w:tc>
        <w:tc>
          <w:tcPr>
            <w:tcW w:w="2000" w:type="dxa"/>
            <w:tcMar>
              <w:top w:w="80" w:type="dxa"/>
              <w:left w:w="120" w:type="dxa"/>
              <w:bottom w:w="80" w:type="dxa"/>
              <w:right w:w="120" w:type="dxa"/>
            </w:tcMar>
            <w:vAlign w:val="center"/>
          </w:tcPr>
          <w:p w14:paraId="3FC25EA7" w14:textId="77777777" w:rsidR="00CE7084" w:rsidRDefault="00000000">
            <w:r>
              <w:rPr>
                <w:sz w:val="20"/>
                <w:szCs w:val="20"/>
              </w:rPr>
              <w:t>Emma (“Peter Dover”)–Norman Smith, Facebook</w:t>
            </w:r>
          </w:p>
        </w:tc>
        <w:tc>
          <w:tcPr>
            <w:tcW w:w="6320" w:type="dxa"/>
            <w:tcMar>
              <w:top w:w="80" w:type="dxa"/>
              <w:left w:w="120" w:type="dxa"/>
              <w:bottom w:w="80" w:type="dxa"/>
              <w:right w:w="120" w:type="dxa"/>
            </w:tcMar>
            <w:vAlign w:val="center"/>
          </w:tcPr>
          <w:p w14:paraId="1EB5FDE5" w14:textId="77777777" w:rsidR="00CE7084" w:rsidRDefault="00000000">
            <w:r>
              <w:rPr>
                <w:sz w:val="20"/>
                <w:szCs w:val="20"/>
              </w:rPr>
              <w:t xml:space="preserve">Buyer proposes releasing the patent “in chunks” for security; Emma agrees to start with “just the head”; buyer confirms “first part releases, and 5M offshore reflects”; Emma replies to “watch </w:t>
            </w:r>
            <w:proofErr w:type="spellStart"/>
            <w:r>
              <w:rPr>
                <w:sz w:val="20"/>
                <w:szCs w:val="20"/>
              </w:rPr>
              <w:t>ur</w:t>
            </w:r>
            <w:proofErr w:type="spellEnd"/>
            <w:r>
              <w:rPr>
                <w:sz w:val="20"/>
                <w:szCs w:val="20"/>
              </w:rPr>
              <w:t xml:space="preserve"> inbox in 48 </w:t>
            </w:r>
            <w:proofErr w:type="spellStart"/>
            <w:r>
              <w:rPr>
                <w:sz w:val="20"/>
                <w:szCs w:val="20"/>
              </w:rPr>
              <w:t>hrs</w:t>
            </w:r>
            <w:proofErr w:type="spellEnd"/>
            <w:r>
              <w:rPr>
                <w:sz w:val="20"/>
                <w:szCs w:val="20"/>
              </w:rPr>
              <w:t xml:space="preserve"> — after that we are ghosts.”</w:t>
            </w:r>
          </w:p>
        </w:tc>
      </w:tr>
    </w:tbl>
    <w:p w14:paraId="30EA1185" w14:textId="77777777" w:rsidR="00CE7084" w:rsidRDefault="00000000">
      <w:pPr>
        <w:spacing w:before="80" w:after="240"/>
        <w:jc w:val="center"/>
      </w:pPr>
      <w:r>
        <w:rPr>
          <w:i/>
          <w:iCs/>
          <w:sz w:val="20"/>
          <w:szCs w:val="20"/>
        </w:rPr>
        <w:t>Table II. Reconstructed communication timeline, 21 Aug 2024 – 31 Jan 2025.</w:t>
      </w:r>
    </w:p>
    <w:p w14:paraId="1EAEE4D3" w14:textId="77777777" w:rsidR="00CE7084" w:rsidRDefault="00CE7084">
      <w:pPr>
        <w:sectPr w:rsidR="00CE7084">
          <w:footerReference w:type="default" r:id="rId29"/>
          <w:type w:val="continuous"/>
          <w:pgSz w:w="11906" w:h="16838"/>
          <w:pgMar w:top="1440" w:right="1152" w:bottom="1440" w:left="1152" w:header="708" w:footer="708" w:gutter="0"/>
          <w:cols w:space="720"/>
          <w:docGrid w:linePitch="360"/>
        </w:sectPr>
      </w:pPr>
    </w:p>
    <w:p w14:paraId="368D2D66" w14:textId="77777777" w:rsidR="00CE7084" w:rsidRDefault="00000000">
      <w:pPr>
        <w:spacing w:after="200" w:line="300" w:lineRule="auto"/>
      </w:pPr>
      <w:r>
        <w:t xml:space="preserve">The 31 January exchange is the strongest evidence recovered: it fixes a proposed payment of five million units of currency routed “offshore” in return for a staged transfer of patent material, and the closing message </w:t>
      </w:r>
      <w:proofErr w:type="gramStart"/>
      <w:r>
        <w:t>evidences</w:t>
      </w:r>
      <w:proofErr w:type="gramEnd"/>
      <w:r>
        <w:t xml:space="preserve"> a deliberate plan to destroy the communication channel (“we are ghosts”) within 48 hours — </w:t>
      </w:r>
      <w:proofErr w:type="spellStart"/>
      <w:r>
        <w:t>behaviour</w:t>
      </w:r>
      <w:proofErr w:type="spellEnd"/>
      <w:r>
        <w:t xml:space="preserve"> consistent with anti-forensic intent that should be highlighted to instructing counsel.</w:t>
      </w:r>
    </w:p>
    <w:p w14:paraId="6113651D" w14:textId="77777777" w:rsidR="00CE7084" w:rsidRDefault="00CE7084">
      <w:pPr>
        <w:sectPr w:rsidR="00CE7084">
          <w:footerReference w:type="default" r:id="rId30"/>
          <w:type w:val="continuous"/>
          <w:pgSz w:w="11906" w:h="16838"/>
          <w:pgMar w:top="1440" w:right="1152" w:bottom="1440" w:left="1152" w:header="708" w:footer="708" w:gutter="0"/>
          <w:cols w:space="720"/>
          <w:docGrid w:linePitch="360"/>
        </w:sectPr>
      </w:pPr>
    </w:p>
    <w:p w14:paraId="401AF92E" w14:textId="77777777" w:rsidR="00CE7084" w:rsidRDefault="00000000">
      <w:pPr>
        <w:spacing w:before="160" w:after="40"/>
        <w:jc w:val="center"/>
      </w:pPr>
      <w:r>
        <w:rPr>
          <w:noProof/>
        </w:rPr>
        <w:lastRenderedPageBreak/>
        <w:drawing>
          <wp:inline distT="0" distB="0" distL="0" distR="0" wp14:anchorId="1436B4C8" wp14:editId="11C21DB2">
            <wp:extent cx="4572000" cy="2571750"/>
            <wp:effectExtent l="0" t="0" r="0" b="0"/>
            <wp:docPr id="942640303" name="Picture 942640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1"/>
                    <a:srcRect/>
                    <a:stretch>
                      <a:fillRect/>
                    </a:stretch>
                  </pic:blipFill>
                  <pic:spPr bwMode="auto">
                    <a:xfrm>
                      <a:off x="0" y="0"/>
                      <a:ext cx="4572000" cy="2571750"/>
                    </a:xfrm>
                    <a:prstGeom prst="rect">
                      <a:avLst/>
                    </a:prstGeom>
                  </pic:spPr>
                </pic:pic>
              </a:graphicData>
            </a:graphic>
          </wp:inline>
        </w:drawing>
      </w:r>
    </w:p>
    <w:p w14:paraId="65D625E9" w14:textId="77777777" w:rsidR="00CE7084" w:rsidRDefault="00000000">
      <w:pPr>
        <w:spacing w:before="80" w:after="240"/>
        <w:jc w:val="center"/>
      </w:pPr>
      <w:r>
        <w:rPr>
          <w:i/>
          <w:iCs/>
          <w:sz w:val="20"/>
          <w:szCs w:val="20"/>
        </w:rPr>
        <w:t>(a) Emma–Joe WhatsApp (contact saved as “Top-up”), 26 Aug 2024 — update on the meeting</w:t>
      </w:r>
    </w:p>
    <w:p w14:paraId="6379516E" w14:textId="77777777" w:rsidR="00CE7084" w:rsidRDefault="00000000">
      <w:pPr>
        <w:spacing w:before="160" w:after="40"/>
        <w:jc w:val="center"/>
      </w:pPr>
      <w:r>
        <w:rPr>
          <w:noProof/>
        </w:rPr>
        <w:drawing>
          <wp:inline distT="0" distB="0" distL="0" distR="0" wp14:anchorId="5EFA029D" wp14:editId="38432FC8">
            <wp:extent cx="4572000" cy="2571750"/>
            <wp:effectExtent l="0" t="0" r="0" b="0"/>
            <wp:docPr id="33653247" name="Picture 33653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2"/>
                    <a:srcRect/>
                    <a:stretch>
                      <a:fillRect/>
                    </a:stretch>
                  </pic:blipFill>
                  <pic:spPr bwMode="auto">
                    <a:xfrm>
                      <a:off x="0" y="0"/>
                      <a:ext cx="4572000" cy="2571750"/>
                    </a:xfrm>
                    <a:prstGeom prst="rect">
                      <a:avLst/>
                    </a:prstGeom>
                  </pic:spPr>
                </pic:pic>
              </a:graphicData>
            </a:graphic>
          </wp:inline>
        </w:drawing>
      </w:r>
    </w:p>
    <w:p w14:paraId="4035D77B" w14:textId="77777777" w:rsidR="00CE7084" w:rsidRDefault="00000000">
      <w:pPr>
        <w:spacing w:before="80" w:after="240"/>
        <w:jc w:val="center"/>
      </w:pPr>
      <w:r>
        <w:rPr>
          <w:i/>
          <w:iCs/>
          <w:sz w:val="20"/>
          <w:szCs w:val="20"/>
        </w:rPr>
        <w:t>(b) Emma–Joe WhatsApp, 21 Aug 2024 — initial offer of patent material</w:t>
      </w:r>
    </w:p>
    <w:p w14:paraId="6C986073" w14:textId="77777777" w:rsidR="00CE7084" w:rsidRDefault="00000000">
      <w:pPr>
        <w:spacing w:before="160" w:after="40"/>
        <w:jc w:val="center"/>
      </w:pPr>
      <w:r>
        <w:rPr>
          <w:noProof/>
        </w:rPr>
        <w:drawing>
          <wp:inline distT="0" distB="0" distL="0" distR="0" wp14:anchorId="048CD0F8" wp14:editId="29396E3F">
            <wp:extent cx="4572000" cy="2571750"/>
            <wp:effectExtent l="0" t="0" r="0" b="0"/>
            <wp:docPr id="1791839156" name="Picture 1791839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3"/>
                    <a:srcRect/>
                    <a:stretch>
                      <a:fillRect/>
                    </a:stretch>
                  </pic:blipFill>
                  <pic:spPr bwMode="auto">
                    <a:xfrm>
                      <a:off x="0" y="0"/>
                      <a:ext cx="4572000" cy="2571750"/>
                    </a:xfrm>
                    <a:prstGeom prst="rect">
                      <a:avLst/>
                    </a:prstGeom>
                  </pic:spPr>
                </pic:pic>
              </a:graphicData>
            </a:graphic>
          </wp:inline>
        </w:drawing>
      </w:r>
    </w:p>
    <w:p w14:paraId="2CB902A8" w14:textId="77777777" w:rsidR="00CE7084" w:rsidRDefault="00000000">
      <w:pPr>
        <w:spacing w:before="80" w:after="240"/>
        <w:jc w:val="center"/>
      </w:pPr>
      <w:r>
        <w:rPr>
          <w:i/>
          <w:iCs/>
          <w:sz w:val="20"/>
          <w:szCs w:val="20"/>
        </w:rPr>
        <w:t>(c) Emma–Joe WhatsApp, 20 Nov 2024 — chasing an update, Manchester meeting referenced</w:t>
      </w:r>
    </w:p>
    <w:p w14:paraId="50A7A9A4" w14:textId="77777777" w:rsidR="00CE7084" w:rsidRDefault="00000000">
      <w:pPr>
        <w:spacing w:before="160" w:after="40"/>
        <w:jc w:val="center"/>
      </w:pPr>
      <w:r>
        <w:rPr>
          <w:noProof/>
        </w:rPr>
        <w:lastRenderedPageBreak/>
        <w:drawing>
          <wp:inline distT="0" distB="0" distL="0" distR="0" wp14:anchorId="1B472A8D" wp14:editId="14381787">
            <wp:extent cx="4572000" cy="2571750"/>
            <wp:effectExtent l="0" t="0" r="0" b="0"/>
            <wp:docPr id="1435257056" name="Picture 1435257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4"/>
                    <a:srcRect/>
                    <a:stretch>
                      <a:fillRect/>
                    </a:stretch>
                  </pic:blipFill>
                  <pic:spPr bwMode="auto">
                    <a:xfrm>
                      <a:off x="0" y="0"/>
                      <a:ext cx="4572000" cy="2571750"/>
                    </a:xfrm>
                    <a:prstGeom prst="rect">
                      <a:avLst/>
                    </a:prstGeom>
                  </pic:spPr>
                </pic:pic>
              </a:graphicData>
            </a:graphic>
          </wp:inline>
        </w:drawing>
      </w:r>
    </w:p>
    <w:p w14:paraId="4B23E4C6" w14:textId="77777777" w:rsidR="00CE7084" w:rsidRDefault="00000000">
      <w:pPr>
        <w:spacing w:before="80" w:after="240"/>
        <w:jc w:val="center"/>
      </w:pPr>
      <w:r>
        <w:rPr>
          <w:i/>
          <w:iCs/>
          <w:sz w:val="20"/>
          <w:szCs w:val="20"/>
        </w:rPr>
        <w:t>(d) “Peter Dover”–Norman Smith Facebook Messenger, 31 Jan 2025 — staged transfer agreed</w:t>
      </w:r>
    </w:p>
    <w:p w14:paraId="3B0C64DC" w14:textId="77777777" w:rsidR="00CE7084" w:rsidRDefault="00000000">
      <w:pPr>
        <w:spacing w:before="160" w:after="40"/>
        <w:jc w:val="center"/>
      </w:pPr>
      <w:r>
        <w:rPr>
          <w:noProof/>
        </w:rPr>
        <w:drawing>
          <wp:inline distT="0" distB="0" distL="0" distR="0" wp14:anchorId="46EB4147" wp14:editId="4A341337">
            <wp:extent cx="4572000" cy="2571750"/>
            <wp:effectExtent l="0" t="0" r="0" b="0"/>
            <wp:docPr id="1996764619" name="Picture 19967646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5"/>
                    <a:srcRect/>
                    <a:stretch>
                      <a:fillRect/>
                    </a:stretch>
                  </pic:blipFill>
                  <pic:spPr bwMode="auto">
                    <a:xfrm>
                      <a:off x="0" y="0"/>
                      <a:ext cx="4572000" cy="2571750"/>
                    </a:xfrm>
                    <a:prstGeom prst="rect">
                      <a:avLst/>
                    </a:prstGeom>
                  </pic:spPr>
                </pic:pic>
              </a:graphicData>
            </a:graphic>
          </wp:inline>
        </w:drawing>
      </w:r>
    </w:p>
    <w:p w14:paraId="65861919" w14:textId="77777777" w:rsidR="00CE7084" w:rsidRDefault="00000000">
      <w:pPr>
        <w:spacing w:before="80" w:after="240"/>
        <w:jc w:val="center"/>
      </w:pPr>
      <w:r>
        <w:rPr>
          <w:i/>
          <w:iCs/>
          <w:sz w:val="20"/>
          <w:szCs w:val="20"/>
        </w:rPr>
        <w:t>(e) “Peter Dover”–Norman Smith Facebook Messenger, 31 Jan 2025 — payment and hand-off terms confirmed</w:t>
      </w:r>
    </w:p>
    <w:p w14:paraId="647DB15E" w14:textId="77777777" w:rsidR="00CE7084" w:rsidRDefault="00000000">
      <w:pPr>
        <w:spacing w:before="80" w:after="240"/>
        <w:jc w:val="center"/>
      </w:pPr>
      <w:r>
        <w:rPr>
          <w:i/>
          <w:iCs/>
          <w:sz w:val="20"/>
          <w:szCs w:val="20"/>
        </w:rPr>
        <w:t>Fig. 3. Recovered chat evidence from Emma's Huawei handset (QT-E01), Cellebrite Physical Analyzer (original screenshots).</w:t>
      </w:r>
    </w:p>
    <w:p w14:paraId="450A4275" w14:textId="77777777" w:rsidR="00CE7084" w:rsidRDefault="00CE7084">
      <w:pPr>
        <w:sectPr w:rsidR="00CE7084">
          <w:footerReference w:type="default" r:id="rId36"/>
          <w:type w:val="continuous"/>
          <w:pgSz w:w="11906" w:h="16838"/>
          <w:pgMar w:top="1440" w:right="1152" w:bottom="1440" w:left="1152" w:header="708" w:footer="708" w:gutter="0"/>
          <w:cols w:space="720"/>
          <w:docGrid w:linePitch="360"/>
        </w:sectPr>
      </w:pPr>
    </w:p>
    <w:p w14:paraId="35A45E24" w14:textId="77777777" w:rsidR="00CE7084" w:rsidRPr="00007B8F" w:rsidRDefault="00000000">
      <w:pPr>
        <w:pStyle w:val="Heading2"/>
        <w:keepNext/>
        <w:spacing w:before="260" w:after="140"/>
        <w:rPr>
          <w:color w:val="auto"/>
        </w:rPr>
      </w:pPr>
      <w:r w:rsidRPr="00007B8F">
        <w:rPr>
          <w:b/>
          <w:bCs/>
          <w:color w:val="auto"/>
          <w:sz w:val="25"/>
          <w:szCs w:val="25"/>
        </w:rPr>
        <w:t>F. File and Metadata Analysis</w:t>
      </w:r>
    </w:p>
    <w:p w14:paraId="7DBC6A89" w14:textId="77777777" w:rsidR="00CE7084" w:rsidRDefault="00000000">
      <w:pPr>
        <w:spacing w:after="200" w:line="300" w:lineRule="auto"/>
      </w:pPr>
      <w:r>
        <w:t>Image and file metadata across the handsets were reviewed for creation, modification and capture timestamps to corroborate the chat timeline independently of the message content itself. Camera EXIF data recovered from Joe's Samsung Galaxy A13 (Fig. 4) confirmed the two rail-ticket photographs were captured on-device on 31 August 2024 and 22 November 2024 respectively, at locations consistent with travel between Scotland and Manchester, and were not imported or manipulated (MD5 hashes recorded against each file).</w:t>
      </w:r>
    </w:p>
    <w:p w14:paraId="404FF358" w14:textId="77777777" w:rsidR="00CE7084" w:rsidRDefault="00000000">
      <w:pPr>
        <w:spacing w:after="200" w:line="300" w:lineRule="auto"/>
      </w:pPr>
      <w:r>
        <w:t xml:space="preserve">The file systems of all three handsets were also reviewed for additional evidence beyond the chat and media artefacts described above. Emma's Huawei handset stored a small number of documents within its file system, including exported PDF files bearing internal naming conventions consistent </w:t>
      </w:r>
      <w:r>
        <w:lastRenderedPageBreak/>
        <w:t xml:space="preserve">with the QT-AI-2025 project; their modification timestamps fell outside Emma's </w:t>
      </w:r>
      <w:proofErr w:type="spellStart"/>
      <w:r>
        <w:t>authorised</w:t>
      </w:r>
      <w:proofErr w:type="spellEnd"/>
      <w:r>
        <w:t xml:space="preserve"> Quantum Tech working hours, an anomaly treated as circumstantial supporting evidence rather than conclusive proof, since flexible or remote working could offer an innocent explanation that has not yet been ruled out. No illegal or otherwise unrelated contraband material was identified on any of the three handsets during this review.</w:t>
      </w:r>
    </w:p>
    <w:p w14:paraId="56374E42" w14:textId="77777777" w:rsidR="00CE7084" w:rsidRDefault="00000000">
      <w:pPr>
        <w:spacing w:after="200" w:line="300" w:lineRule="auto"/>
      </w:pPr>
      <w:r>
        <w:t>The full acquisition images for all three handsets, together with the associated hash log, form the separate Forensic Images deliverable submitted alongside this report, consistent with the assignment's evidence-submission requirement.</w:t>
      </w:r>
    </w:p>
    <w:p w14:paraId="22C22B45" w14:textId="77777777" w:rsidR="00CE7084" w:rsidRDefault="00CE7084">
      <w:pPr>
        <w:sectPr w:rsidR="00CE7084">
          <w:footerReference w:type="default" r:id="rId37"/>
          <w:type w:val="continuous"/>
          <w:pgSz w:w="11906" w:h="16838"/>
          <w:pgMar w:top="1440" w:right="1152" w:bottom="1440" w:left="1152" w:header="708" w:footer="708" w:gutter="0"/>
          <w:cols w:space="720"/>
          <w:docGrid w:linePitch="360"/>
        </w:sectPr>
      </w:pPr>
    </w:p>
    <w:p w14:paraId="0E02C21F" w14:textId="77777777" w:rsidR="00CE7084" w:rsidRDefault="00000000">
      <w:pPr>
        <w:spacing w:before="160" w:after="40"/>
        <w:jc w:val="center"/>
      </w:pPr>
      <w:r>
        <w:rPr>
          <w:noProof/>
        </w:rPr>
        <w:drawing>
          <wp:inline distT="0" distB="0" distL="0" distR="0" wp14:anchorId="4AD1F754" wp14:editId="740A1CE4">
            <wp:extent cx="2857500" cy="1609725"/>
            <wp:effectExtent l="0" t="0" r="0" b="0"/>
            <wp:docPr id="1148338850" name="Picture 1148338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8"/>
                    <a:srcRect/>
                    <a:stretch>
                      <a:fillRect/>
                    </a:stretch>
                  </pic:blipFill>
                  <pic:spPr bwMode="auto">
                    <a:xfrm>
                      <a:off x="0" y="0"/>
                      <a:ext cx="2857500" cy="1609725"/>
                    </a:xfrm>
                    <a:prstGeom prst="rect">
                      <a:avLst/>
                    </a:prstGeom>
                  </pic:spPr>
                </pic:pic>
              </a:graphicData>
            </a:graphic>
          </wp:inline>
        </w:drawing>
      </w:r>
      <w:r>
        <w:t xml:space="preserve">  </w:t>
      </w:r>
      <w:r>
        <w:rPr>
          <w:noProof/>
        </w:rPr>
        <w:drawing>
          <wp:inline distT="0" distB="0" distL="0" distR="0" wp14:anchorId="43034CB1" wp14:editId="70A1F17F">
            <wp:extent cx="2857500" cy="1609725"/>
            <wp:effectExtent l="0" t="0" r="0" b="0"/>
            <wp:docPr id="1761122179" name="Picture 1761122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9"/>
                    <a:srcRect/>
                    <a:stretch>
                      <a:fillRect/>
                    </a:stretch>
                  </pic:blipFill>
                  <pic:spPr bwMode="auto">
                    <a:xfrm>
                      <a:off x="0" y="0"/>
                      <a:ext cx="2857500" cy="1609725"/>
                    </a:xfrm>
                    <a:prstGeom prst="rect">
                      <a:avLst/>
                    </a:prstGeom>
                  </pic:spPr>
                </pic:pic>
              </a:graphicData>
            </a:graphic>
          </wp:inline>
        </w:drawing>
      </w:r>
    </w:p>
    <w:p w14:paraId="1ADDE0C0" w14:textId="77777777" w:rsidR="00CE7084" w:rsidRDefault="00000000">
      <w:pPr>
        <w:spacing w:before="80" w:after="240"/>
        <w:jc w:val="center"/>
      </w:pPr>
      <w:r>
        <w:rPr>
          <w:i/>
          <w:iCs/>
          <w:sz w:val="20"/>
          <w:szCs w:val="20"/>
        </w:rPr>
        <w:t xml:space="preserve">(a) </w:t>
      </w:r>
      <w:proofErr w:type="spellStart"/>
      <w:r>
        <w:rPr>
          <w:i/>
          <w:iCs/>
          <w:sz w:val="20"/>
          <w:szCs w:val="20"/>
        </w:rPr>
        <w:t>Wigan→Manchester</w:t>
      </w:r>
      <w:proofErr w:type="spellEnd"/>
      <w:r>
        <w:rPr>
          <w:i/>
          <w:iCs/>
          <w:sz w:val="20"/>
          <w:szCs w:val="20"/>
        </w:rPr>
        <w:t xml:space="preserve"> ticket, 22 Nov 2024             </w:t>
      </w:r>
      <w:proofErr w:type="gramStart"/>
      <w:r>
        <w:rPr>
          <w:i/>
          <w:iCs/>
          <w:sz w:val="20"/>
          <w:szCs w:val="20"/>
        </w:rPr>
        <w:t xml:space="preserve">   (</w:t>
      </w:r>
      <w:proofErr w:type="gramEnd"/>
      <w:r>
        <w:rPr>
          <w:i/>
          <w:iCs/>
          <w:sz w:val="20"/>
          <w:szCs w:val="20"/>
        </w:rPr>
        <w:t>b) Glasgow rail ticket, 31 Aug 2024</w:t>
      </w:r>
    </w:p>
    <w:p w14:paraId="4D03F626" w14:textId="77777777" w:rsidR="00CE7084" w:rsidRDefault="00000000">
      <w:pPr>
        <w:spacing w:before="160" w:after="40"/>
        <w:jc w:val="center"/>
      </w:pPr>
      <w:r>
        <w:rPr>
          <w:noProof/>
        </w:rPr>
        <w:drawing>
          <wp:inline distT="0" distB="0" distL="0" distR="0" wp14:anchorId="0FBA951E" wp14:editId="03F75CAB">
            <wp:extent cx="4381500" cy="2466975"/>
            <wp:effectExtent l="0" t="0" r="0" b="0"/>
            <wp:docPr id="1403444562" name="Picture 1403444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0"/>
                    <a:srcRect/>
                    <a:stretch>
                      <a:fillRect/>
                    </a:stretch>
                  </pic:blipFill>
                  <pic:spPr bwMode="auto">
                    <a:xfrm>
                      <a:off x="0" y="0"/>
                      <a:ext cx="4381500" cy="2466975"/>
                    </a:xfrm>
                    <a:prstGeom prst="rect">
                      <a:avLst/>
                    </a:prstGeom>
                  </pic:spPr>
                </pic:pic>
              </a:graphicData>
            </a:graphic>
          </wp:inline>
        </w:drawing>
      </w:r>
    </w:p>
    <w:p w14:paraId="2C06E5D3" w14:textId="77777777" w:rsidR="00CE7084" w:rsidRDefault="00000000">
      <w:pPr>
        <w:spacing w:before="80" w:after="240"/>
        <w:jc w:val="center"/>
      </w:pPr>
      <w:r>
        <w:rPr>
          <w:i/>
          <w:iCs/>
          <w:sz w:val="20"/>
          <w:szCs w:val="20"/>
        </w:rPr>
        <w:t>(c) Capture-time metadata and MD5 hash for recovered image, Joe's Samsung Galaxy A13</w:t>
      </w:r>
    </w:p>
    <w:p w14:paraId="1FAB9736" w14:textId="77777777" w:rsidR="00CE7084" w:rsidRDefault="00000000">
      <w:pPr>
        <w:spacing w:before="80" w:after="240"/>
        <w:jc w:val="center"/>
      </w:pPr>
      <w:r>
        <w:rPr>
          <w:i/>
          <w:iCs/>
          <w:sz w:val="20"/>
          <w:szCs w:val="20"/>
        </w:rPr>
        <w:t>Fig. 4. File and metadata analysis corroborating the communication timeline (Table II).</w:t>
      </w:r>
    </w:p>
    <w:p w14:paraId="14D4B801" w14:textId="77777777" w:rsidR="00CE7084" w:rsidRDefault="00CE7084">
      <w:pPr>
        <w:sectPr w:rsidR="00CE7084">
          <w:footerReference w:type="default" r:id="rId41"/>
          <w:type w:val="continuous"/>
          <w:pgSz w:w="11906" w:h="16838"/>
          <w:pgMar w:top="1440" w:right="1152" w:bottom="1440" w:left="1152" w:header="708" w:footer="708" w:gutter="0"/>
          <w:cols w:space="720"/>
          <w:docGrid w:linePitch="360"/>
        </w:sectPr>
      </w:pPr>
    </w:p>
    <w:p w14:paraId="3FA3B97B" w14:textId="77777777" w:rsidR="00CE7084" w:rsidRPr="00007B8F" w:rsidRDefault="00000000">
      <w:pPr>
        <w:pStyle w:val="Heading2"/>
        <w:keepNext/>
        <w:spacing w:before="260" w:after="140"/>
        <w:rPr>
          <w:color w:val="auto"/>
        </w:rPr>
      </w:pPr>
      <w:r w:rsidRPr="00007B8F">
        <w:rPr>
          <w:b/>
          <w:bCs/>
          <w:color w:val="auto"/>
          <w:sz w:val="25"/>
          <w:szCs w:val="25"/>
        </w:rPr>
        <w:t>G. Call Log and Email Correlation</w:t>
      </w:r>
    </w:p>
    <w:p w14:paraId="070F8997" w14:textId="77777777" w:rsidR="00CE7084" w:rsidRDefault="00000000">
      <w:pPr>
        <w:spacing w:after="200" w:line="300" w:lineRule="auto"/>
      </w:pPr>
      <w:r>
        <w:t xml:space="preserve">Call-log extraction across all three handsets was cross-referenced by timestamp and counterpart number to identify shared communication events rather than relying on any single device's record in isolation. A short call was logged between Emma and Joe's numbers within minutes of the 20 November WhatsApp exchange, consistent with the pair moving a sensitive discussion off text after Joe's delay; a further, longer call linking Joe's and Norman's numbers was logged in the window </w:t>
      </w:r>
      <w:r>
        <w:lastRenderedPageBreak/>
        <w:t xml:space="preserve">immediately preceding the Manchester meeting inferred from the rail-ticket metadata, indicating Joe briefed the buyer by voice ahead of the in-person meeting. This pattern — brief, precisely timed calls bracketing the higher-risk written exchanges — is itself a </w:t>
      </w:r>
      <w:proofErr w:type="spellStart"/>
      <w:r>
        <w:t>recognised</w:t>
      </w:r>
      <w:proofErr w:type="spellEnd"/>
      <w:r>
        <w:t xml:space="preserve"> anti-forensic </w:t>
      </w:r>
      <w:proofErr w:type="spellStart"/>
      <w:r>
        <w:t>behaviour</w:t>
      </w:r>
      <w:proofErr w:type="spellEnd"/>
      <w:r>
        <w:t>, since voice communication left no textual record for investigators to recover and was likely chosen deliberately for that reason. No corresponding email traffic referencing patent sample transfers was recovered on any of the three handsets, suggesting the parties deliberately avoided the more easily monitored medium; this absence is itself recorded as a negative finding rather than omitted from the report. Quantum Tech's own corporate email server logs are recommended as a supplementary line of enquiry, since a corporate account may retain metadata (send/receive times, IP addresses) even where message content was deleted client-side.</w:t>
      </w:r>
    </w:p>
    <w:p w14:paraId="7A1E1A87" w14:textId="77777777" w:rsidR="00CE7084" w:rsidRPr="00007B8F" w:rsidRDefault="00000000">
      <w:pPr>
        <w:pStyle w:val="Heading2"/>
        <w:keepNext/>
        <w:spacing w:before="260" w:after="140"/>
        <w:rPr>
          <w:color w:val="auto"/>
        </w:rPr>
      </w:pPr>
      <w:r w:rsidRPr="00007B8F">
        <w:rPr>
          <w:b/>
          <w:bCs/>
          <w:color w:val="auto"/>
          <w:sz w:val="25"/>
          <w:szCs w:val="25"/>
        </w:rPr>
        <w:t>H. Suspect Profiling</w:t>
      </w:r>
    </w:p>
    <w:p w14:paraId="6FECA17B" w14:textId="77777777" w:rsidR="00CE7084" w:rsidRDefault="00000000">
      <w:pPr>
        <w:spacing w:after="200" w:line="300" w:lineRule="auto"/>
      </w:pPr>
      <w:r>
        <w:t xml:space="preserve">Drawing together the communication, travel, metadata and call-log evidence set out above, </w:t>
      </w:r>
      <w:proofErr w:type="gramStart"/>
      <w:r>
        <w:t>each individual's</w:t>
      </w:r>
      <w:proofErr w:type="gramEnd"/>
      <w:r>
        <w:t xml:space="preserve"> role, motive and degree of culpability can be </w:t>
      </w:r>
      <w:proofErr w:type="spellStart"/>
      <w:r>
        <w:t>characterised</w:t>
      </w:r>
      <w:proofErr w:type="spellEnd"/>
      <w:r>
        <w:t xml:space="preserve"> with reasonable confidence, </w:t>
      </w:r>
      <w:proofErr w:type="spellStart"/>
      <w:r>
        <w:t>summarised</w:t>
      </w:r>
      <w:proofErr w:type="spellEnd"/>
      <w:r>
        <w:t xml:space="preserve"> in Table III below.</w:t>
      </w:r>
    </w:p>
    <w:p w14:paraId="63FBD003" w14:textId="77777777" w:rsidR="00CE7084" w:rsidRDefault="00CE7084">
      <w:pPr>
        <w:sectPr w:rsidR="00CE7084">
          <w:footerReference w:type="default" r:id="rId42"/>
          <w:type w:val="continuous"/>
          <w:pgSz w:w="11906" w:h="16838"/>
          <w:pgMar w:top="1440" w:right="1152" w:bottom="1440" w:left="1152" w:header="708" w:footer="708" w:gutter="0"/>
          <w:cols w:space="720"/>
          <w:docGrid w:linePitch="360"/>
        </w:sectPr>
      </w:pPr>
    </w:p>
    <w:tbl>
      <w:tblPr>
        <w:tblW w:w="9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1600"/>
        <w:gridCol w:w="6620"/>
      </w:tblGrid>
      <w:tr w:rsidR="00CE7084" w14:paraId="345B92F6" w14:textId="77777777" w:rsidTr="00007B8F">
        <w:tblPrEx>
          <w:tblCellMar>
            <w:top w:w="0" w:type="dxa"/>
            <w:bottom w:w="0" w:type="dxa"/>
          </w:tblCellMar>
        </w:tblPrEx>
        <w:trPr>
          <w:cantSplit/>
          <w:tblHeader/>
        </w:trPr>
        <w:tc>
          <w:tcPr>
            <w:tcW w:w="1500" w:type="dxa"/>
            <w:shd w:val="clear" w:color="auto" w:fill="FFFFFF" w:themeFill="background1"/>
            <w:tcMar>
              <w:top w:w="80" w:type="dxa"/>
              <w:left w:w="120" w:type="dxa"/>
              <w:bottom w:w="80" w:type="dxa"/>
              <w:right w:w="120" w:type="dxa"/>
            </w:tcMar>
            <w:vAlign w:val="center"/>
          </w:tcPr>
          <w:p w14:paraId="4E67E552" w14:textId="77777777" w:rsidR="00CE7084" w:rsidRPr="00007B8F" w:rsidRDefault="00000000">
            <w:r w:rsidRPr="00007B8F">
              <w:rPr>
                <w:b/>
                <w:bCs/>
                <w:sz w:val="20"/>
                <w:szCs w:val="20"/>
              </w:rPr>
              <w:t>Individual</w:t>
            </w:r>
          </w:p>
        </w:tc>
        <w:tc>
          <w:tcPr>
            <w:tcW w:w="1600" w:type="dxa"/>
            <w:shd w:val="clear" w:color="auto" w:fill="FFFFFF" w:themeFill="background1"/>
            <w:tcMar>
              <w:top w:w="80" w:type="dxa"/>
              <w:left w:w="120" w:type="dxa"/>
              <w:bottom w:w="80" w:type="dxa"/>
              <w:right w:w="120" w:type="dxa"/>
            </w:tcMar>
            <w:vAlign w:val="center"/>
          </w:tcPr>
          <w:p w14:paraId="02D559A7" w14:textId="77777777" w:rsidR="00CE7084" w:rsidRPr="00007B8F" w:rsidRDefault="00000000">
            <w:r w:rsidRPr="00007B8F">
              <w:rPr>
                <w:b/>
                <w:bCs/>
                <w:sz w:val="20"/>
                <w:szCs w:val="20"/>
              </w:rPr>
              <w:t>Role</w:t>
            </w:r>
          </w:p>
        </w:tc>
        <w:tc>
          <w:tcPr>
            <w:tcW w:w="6620" w:type="dxa"/>
            <w:shd w:val="clear" w:color="auto" w:fill="FFFFFF" w:themeFill="background1"/>
            <w:tcMar>
              <w:top w:w="80" w:type="dxa"/>
              <w:left w:w="120" w:type="dxa"/>
              <w:bottom w:w="80" w:type="dxa"/>
              <w:right w:w="120" w:type="dxa"/>
            </w:tcMar>
            <w:vAlign w:val="center"/>
          </w:tcPr>
          <w:p w14:paraId="4DDD0D7F" w14:textId="77777777" w:rsidR="00CE7084" w:rsidRPr="00007B8F" w:rsidRDefault="00000000">
            <w:r w:rsidRPr="00007B8F">
              <w:rPr>
                <w:b/>
                <w:bCs/>
                <w:sz w:val="20"/>
                <w:szCs w:val="20"/>
              </w:rPr>
              <w:t>Key Evidence</w:t>
            </w:r>
          </w:p>
        </w:tc>
      </w:tr>
      <w:tr w:rsidR="00CE7084" w14:paraId="36029492" w14:textId="77777777">
        <w:tblPrEx>
          <w:tblCellMar>
            <w:top w:w="0" w:type="dxa"/>
            <w:bottom w:w="0" w:type="dxa"/>
          </w:tblCellMar>
        </w:tblPrEx>
        <w:trPr>
          <w:cantSplit/>
        </w:trPr>
        <w:tc>
          <w:tcPr>
            <w:tcW w:w="1500" w:type="dxa"/>
            <w:tcMar>
              <w:top w:w="80" w:type="dxa"/>
              <w:left w:w="120" w:type="dxa"/>
              <w:bottom w:w="80" w:type="dxa"/>
              <w:right w:w="120" w:type="dxa"/>
            </w:tcMar>
            <w:vAlign w:val="center"/>
          </w:tcPr>
          <w:p w14:paraId="3821BF55" w14:textId="77777777" w:rsidR="00CE7084" w:rsidRDefault="00000000">
            <w:r>
              <w:rPr>
                <w:b/>
                <w:bCs/>
                <w:sz w:val="20"/>
                <w:szCs w:val="20"/>
              </w:rPr>
              <w:t>Emma</w:t>
            </w:r>
          </w:p>
        </w:tc>
        <w:tc>
          <w:tcPr>
            <w:tcW w:w="1600" w:type="dxa"/>
            <w:tcMar>
              <w:top w:w="80" w:type="dxa"/>
              <w:left w:w="120" w:type="dxa"/>
              <w:bottom w:w="80" w:type="dxa"/>
              <w:right w:w="120" w:type="dxa"/>
            </w:tcMar>
            <w:vAlign w:val="center"/>
          </w:tcPr>
          <w:p w14:paraId="01B6032A" w14:textId="77777777" w:rsidR="00CE7084" w:rsidRDefault="00000000">
            <w:r>
              <w:rPr>
                <w:sz w:val="20"/>
                <w:szCs w:val="20"/>
              </w:rPr>
              <w:t>Perpetrator</w:t>
            </w:r>
          </w:p>
        </w:tc>
        <w:tc>
          <w:tcPr>
            <w:tcW w:w="6620" w:type="dxa"/>
            <w:tcMar>
              <w:top w:w="80" w:type="dxa"/>
              <w:left w:w="120" w:type="dxa"/>
              <w:bottom w:w="80" w:type="dxa"/>
              <w:right w:w="120" w:type="dxa"/>
            </w:tcMar>
            <w:vAlign w:val="center"/>
          </w:tcPr>
          <w:p w14:paraId="3EA40939" w14:textId="77777777" w:rsidR="00CE7084" w:rsidRDefault="00000000">
            <w:r>
              <w:rPr>
                <w:sz w:val="20"/>
                <w:szCs w:val="20"/>
              </w:rPr>
              <w:t xml:space="preserve">Initiates the offer of patent material on WhatsApp; negotiates payment and staged transfer under the alias “Peter Dover”; file-system review of her handset shows patent-related documents with timestamps requiring cross-check against </w:t>
            </w:r>
            <w:proofErr w:type="spellStart"/>
            <w:r>
              <w:rPr>
                <w:sz w:val="20"/>
                <w:szCs w:val="20"/>
              </w:rPr>
              <w:t>authorised</w:t>
            </w:r>
            <w:proofErr w:type="spellEnd"/>
            <w:r>
              <w:rPr>
                <w:sz w:val="20"/>
                <w:szCs w:val="20"/>
              </w:rPr>
              <w:t xml:space="preserve"> access hours.</w:t>
            </w:r>
          </w:p>
        </w:tc>
      </w:tr>
      <w:tr w:rsidR="00CE7084" w14:paraId="16D0ACEE" w14:textId="77777777">
        <w:tblPrEx>
          <w:tblCellMar>
            <w:top w:w="0" w:type="dxa"/>
            <w:bottom w:w="0" w:type="dxa"/>
          </w:tblCellMar>
        </w:tblPrEx>
        <w:trPr>
          <w:cantSplit/>
        </w:trPr>
        <w:tc>
          <w:tcPr>
            <w:tcW w:w="1500" w:type="dxa"/>
            <w:tcMar>
              <w:top w:w="80" w:type="dxa"/>
              <w:left w:w="120" w:type="dxa"/>
              <w:bottom w:w="80" w:type="dxa"/>
              <w:right w:w="120" w:type="dxa"/>
            </w:tcMar>
            <w:vAlign w:val="center"/>
          </w:tcPr>
          <w:p w14:paraId="1C0A6CBF" w14:textId="77777777" w:rsidR="00CE7084" w:rsidRDefault="00000000">
            <w:r>
              <w:rPr>
                <w:b/>
                <w:bCs/>
                <w:sz w:val="20"/>
                <w:szCs w:val="20"/>
              </w:rPr>
              <w:t>Joe</w:t>
            </w:r>
          </w:p>
        </w:tc>
        <w:tc>
          <w:tcPr>
            <w:tcW w:w="1600" w:type="dxa"/>
            <w:tcMar>
              <w:top w:w="80" w:type="dxa"/>
              <w:left w:w="120" w:type="dxa"/>
              <w:bottom w:w="80" w:type="dxa"/>
              <w:right w:w="120" w:type="dxa"/>
            </w:tcMar>
            <w:vAlign w:val="center"/>
          </w:tcPr>
          <w:p w14:paraId="56FAAEB5" w14:textId="77777777" w:rsidR="00CE7084" w:rsidRDefault="00000000">
            <w:r>
              <w:rPr>
                <w:sz w:val="20"/>
                <w:szCs w:val="20"/>
              </w:rPr>
              <w:t>Intermediary</w:t>
            </w:r>
          </w:p>
        </w:tc>
        <w:tc>
          <w:tcPr>
            <w:tcW w:w="6620" w:type="dxa"/>
            <w:tcMar>
              <w:top w:w="80" w:type="dxa"/>
              <w:left w:w="120" w:type="dxa"/>
              <w:bottom w:w="80" w:type="dxa"/>
              <w:right w:w="120" w:type="dxa"/>
            </w:tcMar>
            <w:vAlign w:val="center"/>
          </w:tcPr>
          <w:p w14:paraId="6A0D2EFE" w14:textId="77777777" w:rsidR="00CE7084" w:rsidRDefault="00000000">
            <w:r>
              <w:rPr>
                <w:sz w:val="20"/>
                <w:szCs w:val="20"/>
              </w:rPr>
              <w:t>Saved under a disguised WhatsApp contact name; travels to Glasgow and Manchester in the window matching buyer-sourcing and hand-off negotiations; brokers introduction between Emma and Norman.</w:t>
            </w:r>
          </w:p>
        </w:tc>
      </w:tr>
      <w:tr w:rsidR="00CE7084" w14:paraId="68A28D8B" w14:textId="77777777">
        <w:tblPrEx>
          <w:tblCellMar>
            <w:top w:w="0" w:type="dxa"/>
            <w:bottom w:w="0" w:type="dxa"/>
          </w:tblCellMar>
        </w:tblPrEx>
        <w:trPr>
          <w:cantSplit/>
        </w:trPr>
        <w:tc>
          <w:tcPr>
            <w:tcW w:w="1500" w:type="dxa"/>
            <w:tcMar>
              <w:top w:w="80" w:type="dxa"/>
              <w:left w:w="120" w:type="dxa"/>
              <w:bottom w:w="80" w:type="dxa"/>
              <w:right w:w="120" w:type="dxa"/>
            </w:tcMar>
            <w:vAlign w:val="center"/>
          </w:tcPr>
          <w:p w14:paraId="5E86D417" w14:textId="77777777" w:rsidR="00CE7084" w:rsidRDefault="00000000">
            <w:r>
              <w:rPr>
                <w:b/>
                <w:bCs/>
                <w:sz w:val="20"/>
                <w:szCs w:val="20"/>
              </w:rPr>
              <w:t>Norman</w:t>
            </w:r>
          </w:p>
        </w:tc>
        <w:tc>
          <w:tcPr>
            <w:tcW w:w="1600" w:type="dxa"/>
            <w:tcMar>
              <w:top w:w="80" w:type="dxa"/>
              <w:left w:w="120" w:type="dxa"/>
              <w:bottom w:w="80" w:type="dxa"/>
              <w:right w:w="120" w:type="dxa"/>
            </w:tcMar>
            <w:vAlign w:val="center"/>
          </w:tcPr>
          <w:p w14:paraId="758367F2" w14:textId="77777777" w:rsidR="00CE7084" w:rsidRDefault="00000000">
            <w:r>
              <w:rPr>
                <w:sz w:val="20"/>
                <w:szCs w:val="20"/>
              </w:rPr>
              <w:t>Buyer</w:t>
            </w:r>
          </w:p>
        </w:tc>
        <w:tc>
          <w:tcPr>
            <w:tcW w:w="6620" w:type="dxa"/>
            <w:tcMar>
              <w:top w:w="80" w:type="dxa"/>
              <w:left w:w="120" w:type="dxa"/>
              <w:bottom w:w="80" w:type="dxa"/>
              <w:right w:w="120" w:type="dxa"/>
            </w:tcMar>
            <w:vAlign w:val="center"/>
          </w:tcPr>
          <w:p w14:paraId="4D3796D7" w14:textId="77777777" w:rsidR="00CE7084" w:rsidRDefault="00000000">
            <w:r>
              <w:rPr>
                <w:sz w:val="20"/>
                <w:szCs w:val="20"/>
              </w:rPr>
              <w:t>R&amp;D Director at NexGen Circuits; communicates directly with Emma via a Facebook alias account; proposes the staged “head-first” transfer and confirms the offshore payment term.</w:t>
            </w:r>
          </w:p>
        </w:tc>
      </w:tr>
    </w:tbl>
    <w:p w14:paraId="3F1D0CBA" w14:textId="77777777" w:rsidR="00CE7084" w:rsidRDefault="00000000">
      <w:pPr>
        <w:spacing w:before="80" w:after="240"/>
        <w:jc w:val="center"/>
      </w:pPr>
      <w:r>
        <w:rPr>
          <w:i/>
          <w:iCs/>
          <w:sz w:val="20"/>
          <w:szCs w:val="20"/>
        </w:rPr>
        <w:t>Table III. Suspect roles and corresponding evidence summary.</w:t>
      </w:r>
    </w:p>
    <w:p w14:paraId="587DFF61" w14:textId="77777777" w:rsidR="00CE7084" w:rsidRDefault="00CE7084">
      <w:pPr>
        <w:sectPr w:rsidR="00CE7084">
          <w:footerReference w:type="default" r:id="rId43"/>
          <w:type w:val="continuous"/>
          <w:pgSz w:w="11906" w:h="16838"/>
          <w:pgMar w:top="1440" w:right="1152" w:bottom="1440" w:left="1152" w:header="708" w:footer="708" w:gutter="0"/>
          <w:cols w:space="720"/>
          <w:docGrid w:linePitch="360"/>
        </w:sectPr>
      </w:pPr>
    </w:p>
    <w:p w14:paraId="74BB14D6" w14:textId="77777777" w:rsidR="00CE7084" w:rsidRPr="00007B8F" w:rsidRDefault="00000000">
      <w:pPr>
        <w:pStyle w:val="Heading2"/>
        <w:keepNext/>
        <w:spacing w:before="260" w:after="140"/>
        <w:rPr>
          <w:color w:val="auto"/>
        </w:rPr>
      </w:pPr>
      <w:r w:rsidRPr="00007B8F">
        <w:rPr>
          <w:b/>
          <w:bCs/>
          <w:color w:val="auto"/>
          <w:sz w:val="25"/>
          <w:szCs w:val="25"/>
        </w:rPr>
        <w:t>I. Findings, Limitations and Critical Evaluation</w:t>
      </w:r>
    </w:p>
    <w:p w14:paraId="481B4576" w14:textId="77777777" w:rsidR="00CE7084" w:rsidRDefault="00000000">
      <w:pPr>
        <w:spacing w:after="200" w:line="300" w:lineRule="auto"/>
      </w:pPr>
      <w:r>
        <w:t xml:space="preserve">The combined communication, metadata and call-log evidence is internally consistent and corroborative: independent data sources (chat content, EXIF timestamps, and call correlation) converge on the same sequence of events without relying on any single artefact. This triangulation is significant because it reduces the evidential weight placed on any one device, mitigating the risk that a challenge to a single exhibit's provenance could undermine the </w:t>
      </w:r>
      <w:proofErr w:type="gramStart"/>
      <w:r>
        <w:t>case as a whole</w:t>
      </w:r>
      <w:proofErr w:type="gramEnd"/>
      <w:r>
        <w:t>. Limitations remain: no email evidence was recovered, several application databases on Norman's Nokia were not fully decoded by the automated parser and required manual SQLite review, and two anomalous GPS coordinates recovered from Norman's device could not be conclusively attributed and are flagged for further inquiry rather than interpreted. In accordance with the assignment brief, the presence of any illegal material identified during review was logged and reported to the instructing party without further access or distribution.</w:t>
      </w:r>
    </w:p>
    <w:p w14:paraId="5944931C" w14:textId="77777777" w:rsidR="00CE7084" w:rsidRPr="00007B8F" w:rsidRDefault="00000000">
      <w:pPr>
        <w:pStyle w:val="Heading2"/>
        <w:keepNext/>
        <w:spacing w:before="260" w:after="140"/>
        <w:rPr>
          <w:color w:val="auto"/>
        </w:rPr>
      </w:pPr>
      <w:r w:rsidRPr="00007B8F">
        <w:rPr>
          <w:b/>
          <w:bCs/>
          <w:color w:val="auto"/>
          <w:sz w:val="25"/>
          <w:szCs w:val="25"/>
        </w:rPr>
        <w:lastRenderedPageBreak/>
        <w:t>J. Challenges Encountered and Suggested Recovery Methods</w:t>
      </w:r>
    </w:p>
    <w:p w14:paraId="36CC91CF" w14:textId="77777777" w:rsidR="00CE7084" w:rsidRDefault="00000000">
      <w:pPr>
        <w:spacing w:after="200" w:line="300" w:lineRule="auto"/>
      </w:pPr>
      <w:r>
        <w:t xml:space="preserve">Two practical obstacles were encountered during analysis. First, a subset of WhatsApp and Facebook database files on Norman's Nokia handset used an OS-level encryption scheme that the automated Physical Analyzer parser could not fully decode; a manual export of the SQLite/crypt files followed by offline decryption with the vendor's key-derivation utility, or a request to the application provider under a production order, is recommended to recover the remaining content. Second, several message threads on Joe's Samsung handset showed evidence of local deletion (orphaned database records with no corresponding UI entry); as the underlying flash storage had not been overwritten, a physical (rather than </w:t>
      </w:r>
      <w:proofErr w:type="gramStart"/>
      <w:r>
        <w:t>file-system</w:t>
      </w:r>
      <w:proofErr w:type="gramEnd"/>
      <w:r>
        <w:t>) extraction followed by carving of unallocated space is recommended as a follow-up step, since this may recover the deleted message bodies that the initial file-system acquisition could not present. Both limitations, and the corresponding recovery recommendations, have been logged in the case file so that a subsequent examiner can pick up the analysis without repeating the initial acquisition.</w:t>
      </w:r>
    </w:p>
    <w:p w14:paraId="6102769B" w14:textId="77777777" w:rsidR="00CE7084" w:rsidRPr="00007B8F" w:rsidRDefault="00000000">
      <w:pPr>
        <w:pStyle w:val="Heading2"/>
        <w:keepNext/>
        <w:spacing w:before="260" w:after="140"/>
        <w:rPr>
          <w:color w:val="auto"/>
        </w:rPr>
      </w:pPr>
      <w:r w:rsidRPr="00007B8F">
        <w:rPr>
          <w:b/>
          <w:bCs/>
          <w:color w:val="auto"/>
          <w:sz w:val="25"/>
          <w:szCs w:val="25"/>
        </w:rPr>
        <w:t>K. Conclusion</w:t>
      </w:r>
    </w:p>
    <w:p w14:paraId="368D124B" w14:textId="77777777" w:rsidR="00CE7084" w:rsidRDefault="00000000">
      <w:pPr>
        <w:spacing w:after="200" w:line="300" w:lineRule="auto"/>
      </w:pPr>
      <w:r>
        <w:t>The forensic examination of the three handsets produced a coherent, hash-verified body of evidence indicating a coordinated attempt by Emma, facilitated by Joe, to sell the QT-AI-2025 patent design to Norman on behalf of NexGen Circuits, including an agreed staged transfer and an offshore payment of a significant sum. No illegal or otherwise unrelated contraband material was identified on any of the three examined exhibits during this investigation. The evidence supports, on the material examined, a reasonable basis to proceed with charges of attempted corporate espionage and theft of trade secrets, subject to further legal review.</w:t>
      </w:r>
    </w:p>
    <w:p w14:paraId="5D0395FF" w14:textId="77777777" w:rsidR="00CE7084" w:rsidRPr="00007B8F" w:rsidRDefault="00000000">
      <w:pPr>
        <w:pStyle w:val="Heading2"/>
        <w:keepNext/>
        <w:spacing w:before="260" w:after="140"/>
        <w:rPr>
          <w:color w:val="auto"/>
        </w:rPr>
      </w:pPr>
      <w:r w:rsidRPr="00007B8F">
        <w:rPr>
          <w:b/>
          <w:bCs/>
          <w:color w:val="auto"/>
          <w:sz w:val="25"/>
          <w:szCs w:val="25"/>
        </w:rPr>
        <w:t>L. Recommendations</w:t>
      </w:r>
    </w:p>
    <w:p w14:paraId="6D9E2DCD" w14:textId="77777777" w:rsidR="00CE7084" w:rsidRDefault="00000000">
      <w:pPr>
        <w:pStyle w:val="ListParagraph"/>
        <w:numPr>
          <w:ilvl w:val="0"/>
          <w:numId w:val="2"/>
        </w:numPr>
        <w:spacing w:after="100" w:line="288" w:lineRule="auto"/>
      </w:pPr>
      <w:r>
        <w:rPr>
          <w:sz w:val="23"/>
          <w:szCs w:val="23"/>
        </w:rPr>
        <w:t>Quantum Tech should suspend Emma's system access immediately (if not already actioned) and conduct an internal audit of all recent patent-database access logs, not limited to QT-AI-2025.</w:t>
      </w:r>
    </w:p>
    <w:p w14:paraId="68500D54" w14:textId="77777777" w:rsidR="00CE7084" w:rsidRDefault="00000000">
      <w:pPr>
        <w:pStyle w:val="ListParagraph"/>
        <w:numPr>
          <w:ilvl w:val="0"/>
          <w:numId w:val="2"/>
        </w:numPr>
        <w:spacing w:after="100" w:line="288" w:lineRule="auto"/>
      </w:pPr>
      <w:r>
        <w:rPr>
          <w:sz w:val="23"/>
          <w:szCs w:val="23"/>
        </w:rPr>
        <w:t>Law enforcement should seek production orders for Joe's and Norman's cloud-</w:t>
      </w:r>
      <w:proofErr w:type="gramStart"/>
      <w:r>
        <w:rPr>
          <w:sz w:val="23"/>
          <w:szCs w:val="23"/>
        </w:rPr>
        <w:t>backed</w:t>
      </w:r>
      <w:proofErr w:type="gramEnd"/>
      <w:r>
        <w:rPr>
          <w:sz w:val="23"/>
          <w:szCs w:val="23"/>
        </w:rPr>
        <w:t xml:space="preserve"> messaging accounts to recover any content not present in the local on-device extraction.</w:t>
      </w:r>
    </w:p>
    <w:p w14:paraId="621C3318" w14:textId="77777777" w:rsidR="00CE7084" w:rsidRDefault="00000000">
      <w:pPr>
        <w:pStyle w:val="ListParagraph"/>
        <w:numPr>
          <w:ilvl w:val="0"/>
          <w:numId w:val="2"/>
        </w:numPr>
        <w:spacing w:after="100" w:line="288" w:lineRule="auto"/>
      </w:pPr>
      <w:r>
        <w:rPr>
          <w:sz w:val="23"/>
          <w:szCs w:val="23"/>
        </w:rPr>
        <w:t xml:space="preserve">The unresolved GPS anomaly on Norman's device and the </w:t>
      </w:r>
      <w:proofErr w:type="spellStart"/>
      <w:r>
        <w:rPr>
          <w:sz w:val="23"/>
          <w:szCs w:val="23"/>
        </w:rPr>
        <w:t>undecoded</w:t>
      </w:r>
      <w:proofErr w:type="spellEnd"/>
      <w:r>
        <w:rPr>
          <w:sz w:val="23"/>
          <w:szCs w:val="23"/>
        </w:rPr>
        <w:t xml:space="preserve"> application databases should be referred for advanced/manual forensic review before the case proceeds to charge.</w:t>
      </w:r>
    </w:p>
    <w:p w14:paraId="6EE108EA" w14:textId="77777777" w:rsidR="00CE7084" w:rsidRDefault="00000000">
      <w:pPr>
        <w:pStyle w:val="ListParagraph"/>
        <w:numPr>
          <w:ilvl w:val="0"/>
          <w:numId w:val="2"/>
        </w:numPr>
        <w:spacing w:after="100" w:line="288" w:lineRule="auto"/>
      </w:pPr>
      <w:r>
        <w:rPr>
          <w:sz w:val="23"/>
          <w:szCs w:val="23"/>
        </w:rPr>
        <w:t>All three verified hash values and the chain-of-custody log should accompany the exhibits to court to pre-empt any evidential-integrity challenge.</w:t>
      </w:r>
    </w:p>
    <w:p w14:paraId="4A1FFA1C" w14:textId="77777777" w:rsidR="00CE7084" w:rsidRDefault="00000000">
      <w:pPr>
        <w:pStyle w:val="ListParagraph"/>
        <w:numPr>
          <w:ilvl w:val="0"/>
          <w:numId w:val="2"/>
        </w:numPr>
        <w:spacing w:after="100" w:line="288" w:lineRule="auto"/>
      </w:pPr>
      <w:r>
        <w:rPr>
          <w:sz w:val="23"/>
          <w:szCs w:val="23"/>
        </w:rPr>
        <w:t>As no illegal content was identified on any exhibit examined, no additional charge relating to possession of illegal material is recommended at this time; this position should be revisited if further exhibits (e.g., cloud or server-side data) return different results.</w:t>
      </w:r>
    </w:p>
    <w:p w14:paraId="47CADCD0" w14:textId="77777777" w:rsidR="00CE7084" w:rsidRDefault="00CE7084">
      <w:pPr>
        <w:sectPr w:rsidR="00CE7084">
          <w:footerReference w:type="default" r:id="rId44"/>
          <w:type w:val="continuous"/>
          <w:pgSz w:w="11906" w:h="16838"/>
          <w:pgMar w:top="1440" w:right="1152" w:bottom="1440" w:left="1152" w:header="708" w:footer="708" w:gutter="0"/>
          <w:cols w:space="720"/>
          <w:docGrid w:linePitch="360"/>
        </w:sectPr>
      </w:pPr>
    </w:p>
    <w:p w14:paraId="4C85ECD5" w14:textId="77777777" w:rsidR="00CE7084" w:rsidRDefault="00000000">
      <w:pPr>
        <w:pBdr>
          <w:top w:val="single" w:sz="6" w:space="4" w:color="888888"/>
        </w:pBdr>
        <w:spacing w:before="240" w:after="160"/>
      </w:pPr>
      <w:r>
        <w:rPr>
          <w:i/>
          <w:iCs/>
          <w:sz w:val="21"/>
          <w:szCs w:val="21"/>
        </w:rPr>
        <w:t>Note: Sections M and N below cover the live demonstration and personal reflection components of Task 2 (assessed separately under Transferable Skills) and are not included within the 2,000-word Digital Forensic Report limit.</w:t>
      </w:r>
    </w:p>
    <w:p w14:paraId="48DB75FA" w14:textId="77777777" w:rsidR="00CE7084" w:rsidRPr="00007B8F" w:rsidRDefault="00000000">
      <w:pPr>
        <w:pStyle w:val="Heading2"/>
        <w:keepNext/>
        <w:spacing w:before="260" w:after="140"/>
        <w:rPr>
          <w:color w:val="auto"/>
        </w:rPr>
      </w:pPr>
      <w:r w:rsidRPr="00007B8F">
        <w:rPr>
          <w:b/>
          <w:bCs/>
          <w:color w:val="auto"/>
          <w:sz w:val="25"/>
          <w:szCs w:val="25"/>
        </w:rPr>
        <w:lastRenderedPageBreak/>
        <w:t>M. Demonstration Overview</w:t>
      </w:r>
    </w:p>
    <w:p w14:paraId="2649E66B" w14:textId="77777777" w:rsidR="00CE7084" w:rsidRDefault="00000000">
      <w:pPr>
        <w:spacing w:after="200" w:line="300" w:lineRule="auto"/>
      </w:pPr>
      <w:r>
        <w:t>The investigation will be presented live during the Week 10 demonstration slot as a screen-shared walkthrough of Cellebrite Physical Analyzer, structured to take a specialist and non-specialist audience through the same evidentiary logic set out in this report.</w:t>
      </w:r>
    </w:p>
    <w:p w14:paraId="7C194E3D" w14:textId="77777777" w:rsidR="00CE7084" w:rsidRDefault="00000000">
      <w:pPr>
        <w:pStyle w:val="ListParagraph"/>
        <w:numPr>
          <w:ilvl w:val="0"/>
          <w:numId w:val="2"/>
        </w:numPr>
        <w:spacing w:after="100" w:line="288" w:lineRule="auto"/>
      </w:pPr>
      <w:r>
        <w:rPr>
          <w:sz w:val="23"/>
          <w:szCs w:val="23"/>
        </w:rPr>
        <w:t>Open on the exhibit inventory and hash-verification screens (Fig. 2) to establish integrity before any findings are shown.</w:t>
      </w:r>
    </w:p>
    <w:p w14:paraId="71DB8347" w14:textId="77777777" w:rsidR="00CE7084" w:rsidRDefault="00000000">
      <w:pPr>
        <w:pStyle w:val="ListParagraph"/>
        <w:numPr>
          <w:ilvl w:val="0"/>
          <w:numId w:val="2"/>
        </w:numPr>
        <w:spacing w:after="100" w:line="288" w:lineRule="auto"/>
      </w:pPr>
      <w:r>
        <w:rPr>
          <w:sz w:val="23"/>
          <w:szCs w:val="23"/>
        </w:rPr>
        <w:t>Walk through the reconstructed timeline (Table II), pulling up the live chat threads on Emma's Huawei handset in Physical Analyzer as each entry is discussed.</w:t>
      </w:r>
    </w:p>
    <w:p w14:paraId="0D482438" w14:textId="77777777" w:rsidR="00CE7084" w:rsidRDefault="00000000">
      <w:pPr>
        <w:pStyle w:val="ListParagraph"/>
        <w:numPr>
          <w:ilvl w:val="0"/>
          <w:numId w:val="2"/>
        </w:numPr>
        <w:spacing w:after="100" w:line="288" w:lineRule="auto"/>
      </w:pPr>
      <w:r>
        <w:rPr>
          <w:sz w:val="23"/>
          <w:szCs w:val="23"/>
        </w:rPr>
        <w:t>Cross to Joe's Samsung handset to show the rail-ticket metadata and MD5 hash corroborating the Manchester meeting.</w:t>
      </w:r>
    </w:p>
    <w:p w14:paraId="23A241B3" w14:textId="77777777" w:rsidR="00CE7084" w:rsidRDefault="00000000">
      <w:pPr>
        <w:pStyle w:val="ListParagraph"/>
        <w:numPr>
          <w:ilvl w:val="0"/>
          <w:numId w:val="2"/>
        </w:numPr>
        <w:spacing w:after="100" w:line="288" w:lineRule="auto"/>
      </w:pPr>
      <w:r>
        <w:rPr>
          <w:sz w:val="23"/>
          <w:szCs w:val="23"/>
        </w:rPr>
        <w:t>Close on the suspect-profiling summary (Table III) and the recommendations, inviting questions from the panel.</w:t>
      </w:r>
    </w:p>
    <w:p w14:paraId="22BF4333" w14:textId="77777777" w:rsidR="00CE7084" w:rsidRDefault="00000000">
      <w:pPr>
        <w:pStyle w:val="ListParagraph"/>
        <w:numPr>
          <w:ilvl w:val="0"/>
          <w:numId w:val="2"/>
        </w:numPr>
        <w:spacing w:after="100" w:line="288" w:lineRule="auto"/>
      </w:pPr>
      <w:r>
        <w:rPr>
          <w:sz w:val="23"/>
          <w:szCs w:val="23"/>
        </w:rPr>
        <w:t>Supporting materials available at the demonstration: this report, the acquired forensic images/hash log for all three exhibits, and the personal-device acquisition evidence from Part II.</w:t>
      </w:r>
    </w:p>
    <w:p w14:paraId="1E81C6D5" w14:textId="77777777" w:rsidR="00CE7084" w:rsidRPr="00007B8F" w:rsidRDefault="00000000">
      <w:pPr>
        <w:pStyle w:val="Heading2"/>
        <w:keepNext/>
        <w:spacing w:before="260" w:after="140"/>
        <w:rPr>
          <w:color w:val="auto"/>
        </w:rPr>
      </w:pPr>
      <w:r w:rsidRPr="00007B8F">
        <w:rPr>
          <w:b/>
          <w:bCs/>
          <w:color w:val="auto"/>
          <w:sz w:val="25"/>
          <w:szCs w:val="25"/>
        </w:rPr>
        <w:t>N. Personal and Technical Reflection</w:t>
      </w:r>
    </w:p>
    <w:p w14:paraId="73B5A1E8" w14:textId="77777777" w:rsidR="00CE7084" w:rsidRDefault="00000000">
      <w:pPr>
        <w:spacing w:after="200" w:line="300" w:lineRule="auto"/>
      </w:pPr>
      <w:r>
        <w:t xml:space="preserve">Undertaking this investigation end-to-end — from the supervised personal-device acquisition in Part II through to the three-exhibit case examination in Task 2 — was valuable in converting the theoretical chain-of-custody and hashing principles reviewed in Task 1 into working habits. The most technically demanding aspect was reconciling evidence presented differently across three separate Cellebrite case files; maintaining a single exhibit-referenced spreadsheet alongside Physical Analyzer proved essential to avoid cross-contaminating findings between devices. The encrypted application databases on Norman's handset were a useful reminder that automated parsers cannot be trusted uncritically, reinforcing </w:t>
      </w:r>
      <w:proofErr w:type="gramStart"/>
      <w:r>
        <w:t>the Task</w:t>
      </w:r>
      <w:proofErr w:type="gramEnd"/>
      <w:r>
        <w:t xml:space="preserve"> 1 finding that a second, independent validation step is good practice rather than an optional extra. Areas identified for further development include SQLite-level manual database review and deleted-data carving, both flagged in Section J as skills to build ahead of handling similarly encrypted exhibits in a professional apprenticeship setting.</w:t>
      </w:r>
    </w:p>
    <w:sectPr w:rsidR="00CE7084">
      <w:footerReference w:type="default" r:id="rId45"/>
      <w:type w:val="continuous"/>
      <w:pgSz w:w="11906" w:h="16838"/>
      <w:pgMar w:top="1440" w:right="1152" w:bottom="1440" w:left="1152"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8E457F" w14:textId="77777777" w:rsidR="00A33807" w:rsidRDefault="00A33807">
      <w:r>
        <w:separator/>
      </w:r>
    </w:p>
  </w:endnote>
  <w:endnote w:type="continuationSeparator" w:id="0">
    <w:p w14:paraId="4E0B01F1" w14:textId="77777777" w:rsidR="00A33807" w:rsidRDefault="00A338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C466C6" w14:textId="77777777"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71533" w14:textId="742464B9"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3</w:t>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92E046" w14:textId="3339022C"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7</w:t>
    </w:r>
    <w:r>
      <w:rPr>
        <w:sz w:val="20"/>
        <w:szCs w:val="20"/>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255B26" w14:textId="2D151A4B"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8</w:t>
    </w:r>
    <w:r>
      <w:rPr>
        <w:sz w:val="20"/>
        <w:szCs w:val="20"/>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C3033F" w14:textId="1D9E6D97"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9</w:t>
    </w:r>
    <w:r>
      <w:rPr>
        <w:sz w:val="20"/>
        <w:szCs w:val="20"/>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FEFDD2" w14:textId="77777777" w:rsidR="00CE7084" w:rsidRDefault="00000000">
    <w:pPr>
      <w:jc w:val="center"/>
    </w:pPr>
    <w:r>
      <w:rPr>
        <w:sz w:val="20"/>
        <w:szCs w:val="20"/>
      </w:rPr>
      <w:fldChar w:fldCharType="begin"/>
    </w:r>
    <w:r>
      <w:rPr>
        <w:sz w:val="20"/>
        <w:szCs w:val="20"/>
      </w:rPr>
      <w:instrText>PAGE</w:instrText>
    </w:r>
    <w:r>
      <w:rPr>
        <w:sz w:val="20"/>
        <w:szCs w:val="20"/>
      </w:rPr>
      <w:fldChar w:fldCharType="separate"/>
    </w:r>
    <w:r>
      <w:rPr>
        <w:sz w:val="20"/>
        <w:szCs w:val="20"/>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951DDB" w14:textId="61DEF220"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10</w:t>
    </w:r>
    <w:r>
      <w:rPr>
        <w:sz w:val="20"/>
        <w:szCs w:val="20"/>
      </w:rPr>
      <w:fldChar w:fldCharType="end"/>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CE8785" w14:textId="40FB9F46"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11</w:t>
    </w:r>
    <w:r>
      <w:rPr>
        <w:sz w:val="20"/>
        <w:szCs w:val="20"/>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2DA3CE" w14:textId="101A1E9E"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12</w:t>
    </w:r>
    <w:r>
      <w:rPr>
        <w:sz w:val="20"/>
        <w:szCs w:val="20"/>
      </w:rPr>
      <w:fldChar w:fldCharType="end"/>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CC99CC" w14:textId="77777777" w:rsidR="00CE7084" w:rsidRDefault="00000000">
    <w:pPr>
      <w:jc w:val="center"/>
    </w:pPr>
    <w:r>
      <w:rPr>
        <w:sz w:val="20"/>
        <w:szCs w:val="20"/>
      </w:rPr>
      <w:fldChar w:fldCharType="begin"/>
    </w:r>
    <w:r>
      <w:rPr>
        <w:sz w:val="20"/>
        <w:szCs w:val="20"/>
      </w:rPr>
      <w:instrText>PAGE</w:instrText>
    </w:r>
    <w:r>
      <w:rPr>
        <w:sz w:val="20"/>
        <w:szCs w:val="20"/>
      </w:rPr>
      <w:fldChar w:fldCharType="separate"/>
    </w:r>
    <w:r>
      <w:rPr>
        <w:sz w:val="20"/>
        <w:szCs w:val="20"/>
      </w:rPr>
      <w:fldChar w:fldCharType="end"/>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A90500" w14:textId="77777777" w:rsidR="00CE7084" w:rsidRDefault="00000000">
    <w:pPr>
      <w:jc w:val="center"/>
    </w:pPr>
    <w:r>
      <w:rPr>
        <w:sz w:val="20"/>
        <w:szCs w:val="20"/>
      </w:rPr>
      <w:fldChar w:fldCharType="begin"/>
    </w:r>
    <w:r>
      <w:rPr>
        <w:sz w:val="20"/>
        <w:szCs w:val="20"/>
      </w:rPr>
      <w:instrText>PAGE</w:instrText>
    </w:r>
    <w:r>
      <w:rPr>
        <w:sz w:val="20"/>
        <w:szCs w:val="20"/>
      </w:rPr>
      <w:fldChar w:fldCharType="separate"/>
    </w:r>
    <w:r>
      <w:rPr>
        <w:sz w:val="20"/>
        <w:szCs w:val="20"/>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5F2A27" w14:textId="5515533D"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13</w:t>
    </w:r>
    <w:r>
      <w:rPr>
        <w:sz w:val="20"/>
        <w:szCs w:val="20"/>
      </w:rPr>
      <w:fldChar w:fldCharType="end"/>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53FE85" w14:textId="2E271BB6"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15</w:t>
    </w:r>
    <w:r>
      <w:rPr>
        <w:sz w:val="20"/>
        <w:szCs w:val="20"/>
      </w:rPr>
      <w:fldChar w:fldCharType="end"/>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CAF5B9" w14:textId="77777777" w:rsidR="00CE7084" w:rsidRDefault="00000000">
    <w:pPr>
      <w:jc w:val="center"/>
    </w:pPr>
    <w:r>
      <w:rPr>
        <w:sz w:val="20"/>
        <w:szCs w:val="20"/>
      </w:rPr>
      <w:fldChar w:fldCharType="begin"/>
    </w:r>
    <w:r>
      <w:rPr>
        <w:sz w:val="20"/>
        <w:szCs w:val="20"/>
      </w:rPr>
      <w:instrText>PAGE</w:instrText>
    </w:r>
    <w:r>
      <w:rPr>
        <w:sz w:val="20"/>
        <w:szCs w:val="20"/>
      </w:rPr>
      <w:fldChar w:fldCharType="separate"/>
    </w:r>
    <w:r>
      <w:rPr>
        <w:sz w:val="20"/>
        <w:szCs w:val="20"/>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CE9CA" w14:textId="2D5ED2B6"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16</w:t>
    </w:r>
    <w:r>
      <w:rPr>
        <w:sz w:val="20"/>
        <w:szCs w:val="20"/>
      </w:rPr>
      <w:fldChar w:fldCharType="end"/>
    </w: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1FB3AB" w14:textId="77777777" w:rsidR="00CE7084" w:rsidRDefault="00000000">
    <w:pPr>
      <w:jc w:val="center"/>
    </w:pPr>
    <w:r>
      <w:rPr>
        <w:sz w:val="20"/>
        <w:szCs w:val="20"/>
      </w:rPr>
      <w:fldChar w:fldCharType="begin"/>
    </w:r>
    <w:r>
      <w:rPr>
        <w:sz w:val="20"/>
        <w:szCs w:val="20"/>
      </w:rPr>
      <w:instrText>PAGE</w:instrText>
    </w:r>
    <w:r>
      <w:rPr>
        <w:sz w:val="20"/>
        <w:szCs w:val="20"/>
      </w:rPr>
      <w:fldChar w:fldCharType="separate"/>
    </w:r>
    <w:r>
      <w:rPr>
        <w:sz w:val="20"/>
        <w:szCs w:val="20"/>
      </w:rPr>
      <w:fldChar w:fldCharType="end"/>
    </w: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FB25BA" w14:textId="29C64F6F"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17</w:t>
    </w:r>
    <w:r>
      <w:rPr>
        <w:sz w:val="20"/>
        <w:szCs w:val="20"/>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5A3EBF" w14:textId="37E21B75" w:rsidR="00CE7084" w:rsidRDefault="00000000">
    <w:pPr>
      <w:jc w:val="center"/>
    </w:pPr>
    <w:r>
      <w:rPr>
        <w:sz w:val="20"/>
        <w:szCs w:val="20"/>
      </w:rPr>
      <w:fldChar w:fldCharType="begin"/>
    </w:r>
    <w:r>
      <w:rPr>
        <w:sz w:val="20"/>
        <w:szCs w:val="20"/>
      </w:rPr>
      <w:instrText>PAGE</w:instrText>
    </w:r>
    <w:r>
      <w:rPr>
        <w:sz w:val="20"/>
        <w:szCs w:val="20"/>
      </w:rPr>
      <w:fldChar w:fldCharType="separate"/>
    </w:r>
    <w:r w:rsidR="00007B8F">
      <w:rPr>
        <w:noProof/>
        <w:sz w:val="20"/>
        <w:szCs w:val="20"/>
      </w:rPr>
      <w:t>18</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CA5ABB" w14:textId="77777777" w:rsidR="00A33807" w:rsidRDefault="00A33807">
      <w:r>
        <w:separator/>
      </w:r>
    </w:p>
  </w:footnote>
  <w:footnote w:type="continuationSeparator" w:id="0">
    <w:p w14:paraId="3BD8287A" w14:textId="77777777" w:rsidR="00A33807" w:rsidRDefault="00A338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4C22ED"/>
    <w:multiLevelType w:val="hybridMultilevel"/>
    <w:tmpl w:val="28A4A492"/>
    <w:lvl w:ilvl="0" w:tplc="25DCEEF2">
      <w:start w:val="1"/>
      <w:numFmt w:val="bullet"/>
      <w:lvlText w:val="•"/>
      <w:lvlJc w:val="left"/>
      <w:pPr>
        <w:ind w:left="380" w:hanging="220"/>
      </w:pPr>
    </w:lvl>
    <w:lvl w:ilvl="1" w:tplc="6382E834">
      <w:numFmt w:val="decimal"/>
      <w:lvlText w:val=""/>
      <w:lvlJc w:val="left"/>
    </w:lvl>
    <w:lvl w:ilvl="2" w:tplc="A224DE40">
      <w:numFmt w:val="decimal"/>
      <w:lvlText w:val=""/>
      <w:lvlJc w:val="left"/>
    </w:lvl>
    <w:lvl w:ilvl="3" w:tplc="C34E02BA">
      <w:numFmt w:val="decimal"/>
      <w:lvlText w:val=""/>
      <w:lvlJc w:val="left"/>
    </w:lvl>
    <w:lvl w:ilvl="4" w:tplc="10644024">
      <w:numFmt w:val="decimal"/>
      <w:lvlText w:val=""/>
      <w:lvlJc w:val="left"/>
    </w:lvl>
    <w:lvl w:ilvl="5" w:tplc="37926D9C">
      <w:numFmt w:val="decimal"/>
      <w:lvlText w:val=""/>
      <w:lvlJc w:val="left"/>
    </w:lvl>
    <w:lvl w:ilvl="6" w:tplc="85DA6E94">
      <w:numFmt w:val="decimal"/>
      <w:lvlText w:val=""/>
      <w:lvlJc w:val="left"/>
    </w:lvl>
    <w:lvl w:ilvl="7" w:tplc="8DDA9052">
      <w:numFmt w:val="decimal"/>
      <w:lvlText w:val=""/>
      <w:lvlJc w:val="left"/>
    </w:lvl>
    <w:lvl w:ilvl="8" w:tplc="2ACC36D4">
      <w:numFmt w:val="decimal"/>
      <w:lvlText w:val=""/>
      <w:lvlJc w:val="left"/>
    </w:lvl>
  </w:abstractNum>
  <w:abstractNum w:abstractNumId="1" w15:restartNumberingAfterBreak="0">
    <w:nsid w:val="6D971A74"/>
    <w:multiLevelType w:val="hybridMultilevel"/>
    <w:tmpl w:val="F9B8A5C8"/>
    <w:lvl w:ilvl="0" w:tplc="6B147B2E">
      <w:start w:val="1"/>
      <w:numFmt w:val="bullet"/>
      <w:lvlText w:val="●"/>
      <w:lvlJc w:val="left"/>
      <w:pPr>
        <w:ind w:left="720" w:hanging="360"/>
      </w:pPr>
    </w:lvl>
    <w:lvl w:ilvl="1" w:tplc="3B48C2A2">
      <w:start w:val="1"/>
      <w:numFmt w:val="bullet"/>
      <w:lvlText w:val="○"/>
      <w:lvlJc w:val="left"/>
      <w:pPr>
        <w:ind w:left="1440" w:hanging="360"/>
      </w:pPr>
    </w:lvl>
    <w:lvl w:ilvl="2" w:tplc="74183414">
      <w:start w:val="1"/>
      <w:numFmt w:val="bullet"/>
      <w:lvlText w:val="■"/>
      <w:lvlJc w:val="left"/>
      <w:pPr>
        <w:ind w:left="2160" w:hanging="360"/>
      </w:pPr>
    </w:lvl>
    <w:lvl w:ilvl="3" w:tplc="71BA7040">
      <w:start w:val="1"/>
      <w:numFmt w:val="bullet"/>
      <w:lvlText w:val="●"/>
      <w:lvlJc w:val="left"/>
      <w:pPr>
        <w:ind w:left="2880" w:hanging="360"/>
      </w:pPr>
    </w:lvl>
    <w:lvl w:ilvl="4" w:tplc="AC326DAE">
      <w:start w:val="1"/>
      <w:numFmt w:val="bullet"/>
      <w:lvlText w:val="○"/>
      <w:lvlJc w:val="left"/>
      <w:pPr>
        <w:ind w:left="3600" w:hanging="360"/>
      </w:pPr>
    </w:lvl>
    <w:lvl w:ilvl="5" w:tplc="1534CBB4">
      <w:start w:val="1"/>
      <w:numFmt w:val="bullet"/>
      <w:lvlText w:val="■"/>
      <w:lvlJc w:val="left"/>
      <w:pPr>
        <w:ind w:left="4320" w:hanging="360"/>
      </w:pPr>
    </w:lvl>
    <w:lvl w:ilvl="6" w:tplc="77E2B38E">
      <w:start w:val="1"/>
      <w:numFmt w:val="bullet"/>
      <w:lvlText w:val="●"/>
      <w:lvlJc w:val="left"/>
      <w:pPr>
        <w:ind w:left="5040" w:hanging="360"/>
      </w:pPr>
    </w:lvl>
    <w:lvl w:ilvl="7" w:tplc="D188D8D6">
      <w:start w:val="1"/>
      <w:numFmt w:val="bullet"/>
      <w:lvlText w:val="●"/>
      <w:lvlJc w:val="left"/>
      <w:pPr>
        <w:ind w:left="5760" w:hanging="360"/>
      </w:pPr>
    </w:lvl>
    <w:lvl w:ilvl="8" w:tplc="38BCFD82">
      <w:start w:val="1"/>
      <w:numFmt w:val="bullet"/>
      <w:lvlText w:val="●"/>
      <w:lvlJc w:val="left"/>
      <w:pPr>
        <w:ind w:left="6480" w:hanging="360"/>
      </w:pPr>
    </w:lvl>
  </w:abstractNum>
  <w:num w:numId="1" w16cid:durableId="130221581">
    <w:abstractNumId w:val="1"/>
    <w:lvlOverride w:ilvl="0">
      <w:startOverride w:val="1"/>
    </w:lvlOverride>
  </w:num>
  <w:num w:numId="2" w16cid:durableId="145779564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7084"/>
    <w:rsid w:val="00007B8F"/>
    <w:rsid w:val="0003397A"/>
    <w:rsid w:val="001055D3"/>
    <w:rsid w:val="00481638"/>
    <w:rsid w:val="00506512"/>
    <w:rsid w:val="00545DED"/>
    <w:rsid w:val="006E0DE6"/>
    <w:rsid w:val="006F154A"/>
    <w:rsid w:val="0098430E"/>
    <w:rsid w:val="00A33807"/>
    <w:rsid w:val="00AC0DBC"/>
    <w:rsid w:val="00C81D3C"/>
    <w:rsid w:val="00C90458"/>
    <w:rsid w:val="00CE7084"/>
    <w:rsid w:val="00F84E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07444"/>
  <w15:docId w15:val="{B63D80B0-CEA7-4A9A-AA2A-B96521465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1055D3"/>
    <w:pPr>
      <w:tabs>
        <w:tab w:val="center" w:pos="4680"/>
        <w:tab w:val="right" w:pos="9360"/>
      </w:tabs>
    </w:pPr>
  </w:style>
  <w:style w:type="character" w:customStyle="1" w:styleId="HeaderChar">
    <w:name w:val="Header Char"/>
    <w:basedOn w:val="DefaultParagraphFont"/>
    <w:link w:val="Header"/>
    <w:uiPriority w:val="99"/>
    <w:rsid w:val="001055D3"/>
  </w:style>
  <w:style w:type="paragraph" w:styleId="Footer">
    <w:name w:val="footer"/>
    <w:basedOn w:val="Normal"/>
    <w:link w:val="FooterChar"/>
    <w:uiPriority w:val="99"/>
    <w:unhideWhenUsed/>
    <w:rsid w:val="001055D3"/>
    <w:pPr>
      <w:tabs>
        <w:tab w:val="center" w:pos="4680"/>
        <w:tab w:val="right" w:pos="9360"/>
      </w:tabs>
    </w:pPr>
  </w:style>
  <w:style w:type="character" w:customStyle="1" w:styleId="FooterChar">
    <w:name w:val="Footer Char"/>
    <w:basedOn w:val="DefaultParagraphFont"/>
    <w:link w:val="Footer"/>
    <w:uiPriority w:val="99"/>
    <w:rsid w:val="001055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3.png"/><Relationship Id="rId39" Type="http://schemas.openxmlformats.org/officeDocument/2006/relationships/image" Target="media/image20.png"/><Relationship Id="rId21" Type="http://schemas.openxmlformats.org/officeDocument/2006/relationships/footer" Target="footer5.xml"/><Relationship Id="rId34" Type="http://schemas.openxmlformats.org/officeDocument/2006/relationships/image" Target="media/image17.png"/><Relationship Id="rId42" Type="http://schemas.openxmlformats.org/officeDocument/2006/relationships/footer" Target="footer15.xml"/><Relationship Id="rId47" Type="http://schemas.openxmlformats.org/officeDocument/2006/relationships/theme" Target="theme/theme1.xml"/><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footer" Target="footer10.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image" Target="media/image11.png"/><Relationship Id="rId32" Type="http://schemas.openxmlformats.org/officeDocument/2006/relationships/image" Target="media/image15.png"/><Relationship Id="rId37" Type="http://schemas.openxmlformats.org/officeDocument/2006/relationships/footer" Target="footer13.xml"/><Relationship Id="rId40" Type="http://schemas.openxmlformats.org/officeDocument/2006/relationships/image" Target="media/image21.png"/><Relationship Id="rId45" Type="http://schemas.openxmlformats.org/officeDocument/2006/relationships/footer" Target="footer18.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footer" Target="footer7.xml"/><Relationship Id="rId28" Type="http://schemas.openxmlformats.org/officeDocument/2006/relationships/footer" Target="footer9.xml"/><Relationship Id="rId36" Type="http://schemas.openxmlformats.org/officeDocument/2006/relationships/footer" Target="footer12.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14.png"/><Relationship Id="rId44" Type="http://schemas.openxmlformats.org/officeDocument/2006/relationships/footer" Target="footer17.xm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image" Target="media/image5.png"/><Relationship Id="rId22" Type="http://schemas.openxmlformats.org/officeDocument/2006/relationships/footer" Target="footer6.xml"/><Relationship Id="rId27" Type="http://schemas.openxmlformats.org/officeDocument/2006/relationships/footer" Target="footer8.xml"/><Relationship Id="rId30" Type="http://schemas.openxmlformats.org/officeDocument/2006/relationships/footer" Target="footer11.xml"/><Relationship Id="rId35" Type="http://schemas.openxmlformats.org/officeDocument/2006/relationships/image" Target="media/image18.png"/><Relationship Id="rId43" Type="http://schemas.openxmlformats.org/officeDocument/2006/relationships/footer" Target="footer16.xml"/><Relationship Id="rId8"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2.png"/><Relationship Id="rId33" Type="http://schemas.openxmlformats.org/officeDocument/2006/relationships/image" Target="media/image16.png"/><Relationship Id="rId38" Type="http://schemas.openxmlformats.org/officeDocument/2006/relationships/image" Target="media/image19.png"/><Relationship Id="rId46" Type="http://schemas.openxmlformats.org/officeDocument/2006/relationships/fontTable" Target="fontTable.xml"/><Relationship Id="rId20" Type="http://schemas.openxmlformats.org/officeDocument/2006/relationships/footer" Target="footer4.xml"/><Relationship Id="rId41" Type="http://schemas.openxmlformats.org/officeDocument/2006/relationships/footer" Target="footer1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64</TotalTime>
  <Pages>18</Pages>
  <Words>5015</Words>
  <Characters>28591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Research, Analyse and Investigate Cybersecurity Incidents and Perform Digital Forensic Assessment</vt:lpstr>
    </vt:vector>
  </TitlesOfParts>
  <Company/>
  <LinksUpToDate>false</LinksUpToDate>
  <CharactersWithSpaces>33539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Analyse and Investigate Cybersecurity Incidents and Perform Digital Forensic Assessment</dc:title>
  <dc:creator>Student</dc:creator>
  <cp:lastModifiedBy>ekram hossain</cp:lastModifiedBy>
  <cp:revision>14</cp:revision>
  <dcterms:created xsi:type="dcterms:W3CDTF">2026-08-15T20:07:00Z</dcterms:created>
  <dcterms:modified xsi:type="dcterms:W3CDTF">2026-08-17T08:50:00Z</dcterms:modified>
</cp:coreProperties>
</file>