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CC8078" wp14:paraId="5CDB11D0" wp14:textId="22D7308C">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PROJECT MANAGEMENT PLAN</w:t>
      </w:r>
    </w:p>
    <w:p xmlns:wp14="http://schemas.microsoft.com/office/word/2010/wordml" w:rsidP="7ECC8078" wp14:paraId="03A17937" wp14:textId="65264FF8">
      <w:pPr>
        <w:pStyle w:val="Heading2"/>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 xml:space="preserve">Central Transport Hub Redevelopment </w:t>
      </w:r>
      <w:r w:rsidRPr="7ECC8078" w:rsidR="046CB010">
        <w:rPr>
          <w:rFonts w:ascii="Calibri" w:hAnsi="Calibri" w:eastAsia="Calibri" w:cs="Calibri"/>
          <w:b w:val="1"/>
          <w:bCs w:val="1"/>
          <w:noProof w:val="0"/>
          <w:color w:val="0D0D0D" w:themeColor="text1" w:themeTint="F2" w:themeShade="FF"/>
          <w:sz w:val="24"/>
          <w:szCs w:val="24"/>
          <w:lang w:val="en-GB"/>
        </w:rPr>
        <w:t>Project</w:t>
      </w:r>
      <w:r w:rsidRPr="7ECC8078" w:rsidR="63B6CA08">
        <w:rPr>
          <w:rFonts w:ascii="Calibri" w:hAnsi="Calibri" w:eastAsia="Calibri" w:cs="Calibri"/>
          <w:b w:val="1"/>
          <w:bCs w:val="1"/>
          <w:noProof w:val="0"/>
          <w:color w:val="0D0D0D" w:themeColor="text1" w:themeTint="F2" w:themeShade="FF"/>
          <w:sz w:val="24"/>
          <w:szCs w:val="24"/>
          <w:lang w:val="en-GB"/>
        </w:rPr>
        <w:t xml:space="preserve"> Page</w:t>
      </w:r>
    </w:p>
    <w:p xmlns:wp14="http://schemas.microsoft.com/office/word/2010/wordml" w:rsidP="7ECC8078" wp14:paraId="11F382BB" wp14:textId="70284BA5">
      <w:pPr>
        <w:spacing w:before="240" w:beforeAutospacing="off" w:after="240" w:afterAutospacing="off"/>
        <w:rPr>
          <w:rFonts w:ascii="Calibri" w:hAnsi="Calibri" w:eastAsia="Calibri" w:cs="Calibri"/>
          <w:noProof w:val="0"/>
          <w:color w:val="000000" w:themeColor="text1" w:themeTint="FF"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Module Code:</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77F41E61">
        <w:rPr>
          <w:rFonts w:ascii="Calibri" w:hAnsi="Calibri" w:eastAsia="Calibri" w:cs="Calibri"/>
          <w:b w:val="1"/>
          <w:bCs w:val="1"/>
          <w:noProof w:val="0"/>
          <w:color w:val="000000" w:themeColor="text1" w:themeTint="FF" w:themeShade="FF"/>
          <w:sz w:val="24"/>
          <w:szCs w:val="24"/>
          <w:lang w:val="en-GB"/>
        </w:rPr>
        <w:t>LCLM5003</w:t>
      </w:r>
      <w:r w:rsidRPr="7ECC8078" w:rsidR="77F41E61">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7ECC8078" wp14:paraId="3818560F" wp14:textId="49CB767F">
      <w:pPr>
        <w:spacing w:before="165" w:beforeAutospacing="off" w:after="165"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Module Title:</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205FEFA0">
        <w:rPr>
          <w:rFonts w:ascii="Calibri" w:hAnsi="Calibri" w:eastAsia="Calibri" w:cs="Calibri"/>
          <w:b w:val="1"/>
          <w:bCs w:val="1"/>
          <w:noProof w:val="0"/>
          <w:color w:val="000000" w:themeColor="text1" w:themeTint="FF" w:themeShade="FF"/>
          <w:sz w:val="24"/>
          <w:szCs w:val="24"/>
          <w:lang w:val="en-GB"/>
        </w:rPr>
        <w:t>Project</w:t>
      </w:r>
      <w:r w:rsidRPr="7ECC8078" w:rsidR="2C56FE41">
        <w:rPr>
          <w:rFonts w:ascii="Calibri" w:hAnsi="Calibri" w:eastAsia="Calibri" w:cs="Calibri"/>
          <w:b w:val="1"/>
          <w:bCs w:val="1"/>
          <w:noProof w:val="0"/>
          <w:color w:val="000000" w:themeColor="text1" w:themeTint="FF" w:themeShade="FF"/>
          <w:sz w:val="24"/>
          <w:szCs w:val="24"/>
          <w:lang w:val="en-GB"/>
        </w:rPr>
        <w:t xml:space="preserve"> Management</w:t>
      </w:r>
    </w:p>
    <w:p xmlns:wp14="http://schemas.microsoft.com/office/word/2010/wordml" w:rsidP="7ECC8078" wp14:paraId="35D4C5DC" wp14:textId="1A6FEAD8">
      <w:pPr>
        <w:spacing w:before="165" w:beforeAutospacing="off" w:after="165" w:afterAutospacing="off"/>
        <w:rPr>
          <w:rFonts w:ascii="Calibri" w:hAnsi="Calibri" w:eastAsia="Calibri" w:cs="Calibri"/>
          <w:b w:val="1"/>
          <w:bCs w:val="1"/>
          <w:noProof w:val="0"/>
          <w:color w:val="000000" w:themeColor="text1" w:themeTint="FF"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Student Name:</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07BED1CB">
        <w:rPr>
          <w:rFonts w:ascii="Calibri" w:hAnsi="Calibri" w:eastAsia="Calibri" w:cs="Calibri"/>
          <w:noProof w:val="0"/>
          <w:color w:val="0D0D0D" w:themeColor="text1" w:themeTint="F2" w:themeShade="FF"/>
          <w:sz w:val="24"/>
          <w:szCs w:val="24"/>
          <w:lang w:val="en-GB"/>
        </w:rPr>
        <w:t>Marvynn Mendes</w:t>
      </w:r>
      <w:r>
        <w:br/>
      </w:r>
      <w:r w:rsidRPr="7ECC8078" w:rsidR="63B6CA08">
        <w:rPr>
          <w:rFonts w:ascii="Calibri" w:hAnsi="Calibri" w:eastAsia="Calibri" w:cs="Calibri"/>
          <w:b w:val="1"/>
          <w:bCs w:val="1"/>
          <w:noProof w:val="0"/>
          <w:color w:val="0D0D0D" w:themeColor="text1" w:themeTint="F2" w:themeShade="FF"/>
          <w:sz w:val="24"/>
          <w:szCs w:val="24"/>
          <w:lang w:val="en-GB"/>
        </w:rPr>
        <w:t>Student Number:</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0B00B3C5">
        <w:rPr>
          <w:rFonts w:ascii="Calibri" w:hAnsi="Calibri" w:eastAsia="Calibri" w:cs="Calibri"/>
          <w:noProof w:val="0"/>
          <w:color w:val="0D0D0D" w:themeColor="text1" w:themeTint="F2" w:themeShade="FF"/>
          <w:sz w:val="24"/>
          <w:szCs w:val="24"/>
          <w:lang w:val="en-GB"/>
        </w:rPr>
        <w:t>2430201</w:t>
      </w:r>
      <w:r>
        <w:br/>
      </w:r>
      <w:r w:rsidRPr="7ECC8078" w:rsidR="63B6CA08">
        <w:rPr>
          <w:rFonts w:ascii="Calibri" w:hAnsi="Calibri" w:eastAsia="Calibri" w:cs="Calibri"/>
          <w:b w:val="1"/>
          <w:bCs w:val="1"/>
          <w:noProof w:val="0"/>
          <w:color w:val="0D0D0D" w:themeColor="text1" w:themeTint="F2" w:themeShade="FF"/>
          <w:sz w:val="24"/>
          <w:szCs w:val="24"/>
          <w:lang w:val="en-GB"/>
        </w:rPr>
        <w:t>Lecturer:</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798C4C6E">
        <w:rPr>
          <w:rFonts w:ascii="Calibri" w:hAnsi="Calibri" w:eastAsia="Calibri" w:cs="Calibri"/>
          <w:b w:val="1"/>
          <w:bCs w:val="1"/>
          <w:noProof w:val="0"/>
          <w:color w:val="000000" w:themeColor="text1" w:themeTint="FF" w:themeShade="FF"/>
          <w:sz w:val="24"/>
          <w:szCs w:val="24"/>
          <w:lang w:val="en-GB"/>
        </w:rPr>
        <w:t>Samson Oladejo</w:t>
      </w:r>
    </w:p>
    <w:p xmlns:wp14="http://schemas.microsoft.com/office/word/2010/wordml" w:rsidP="7ECC8078" wp14:paraId="01A7D60D" wp14:textId="09F20DCE">
      <w:pPr>
        <w:spacing w:before="240" w:beforeAutospacing="off" w:after="240" w:afterAutospacing="off"/>
        <w:rPr>
          <w:rFonts w:ascii="Calibri" w:hAnsi="Calibri" w:eastAsia="Calibri" w:cs="Calibri"/>
          <w:noProof w:val="0"/>
          <w:color w:val="0D0D0D" w:themeColor="text1" w:themeTint="F2" w:themeShade="FF"/>
          <w:sz w:val="24"/>
          <w:szCs w:val="24"/>
          <w:lang w:val="en-GB"/>
        </w:rPr>
      </w:pPr>
      <w:r>
        <w:br/>
      </w:r>
      <w:r w:rsidRPr="7ECC8078" w:rsidR="63B6CA08">
        <w:rPr>
          <w:rFonts w:ascii="Calibri" w:hAnsi="Calibri" w:eastAsia="Calibri" w:cs="Calibri"/>
          <w:b w:val="1"/>
          <w:bCs w:val="1"/>
          <w:noProof w:val="0"/>
          <w:color w:val="0D0D0D" w:themeColor="text1" w:themeTint="F2" w:themeShade="FF"/>
          <w:sz w:val="24"/>
          <w:szCs w:val="24"/>
          <w:lang w:val="en-GB"/>
        </w:rPr>
        <w:t>Assignment Title:</w:t>
      </w:r>
      <w:r w:rsidRPr="7ECC8078" w:rsidR="63B6CA08">
        <w:rPr>
          <w:rFonts w:ascii="Calibri" w:hAnsi="Calibri" w:eastAsia="Calibri" w:cs="Calibri"/>
          <w:noProof w:val="0"/>
          <w:color w:val="0D0D0D" w:themeColor="text1" w:themeTint="F2" w:themeShade="FF"/>
          <w:sz w:val="24"/>
          <w:szCs w:val="24"/>
          <w:lang w:val="en-GB"/>
        </w:rPr>
        <w:t xml:space="preserve"> </w:t>
      </w:r>
      <w:r w:rsidRPr="7ECC8078" w:rsidR="5F092820">
        <w:rPr>
          <w:rFonts w:ascii="Calibri" w:hAnsi="Calibri" w:eastAsia="Calibri" w:cs="Calibri"/>
          <w:noProof w:val="0"/>
          <w:color w:val="000000" w:themeColor="text1" w:themeTint="FF" w:themeShade="FF"/>
          <w:sz w:val="24"/>
          <w:szCs w:val="24"/>
          <w:lang w:val="en-GB"/>
        </w:rPr>
        <w:t>A Project portfolio.</w:t>
      </w:r>
      <w:r w:rsidRPr="7ECC8078" w:rsidR="5F092820">
        <w:rPr>
          <w:rFonts w:ascii="Calibri" w:hAnsi="Calibri" w:eastAsia="Calibri" w:cs="Calibri"/>
          <w:b w:val="1"/>
          <w:bCs w:val="1"/>
          <w:noProof w:val="0"/>
          <w:color w:val="0D0D0D" w:themeColor="text1" w:themeTint="F2" w:themeShade="FF"/>
          <w:sz w:val="24"/>
          <w:szCs w:val="24"/>
          <w:lang w:val="en-GB"/>
        </w:rPr>
        <w:t xml:space="preserve"> </w:t>
      </w:r>
      <w:r>
        <w:br/>
      </w:r>
    </w:p>
    <w:p xmlns:wp14="http://schemas.microsoft.com/office/word/2010/wordml" w:rsidP="7ECC8078" wp14:paraId="2C94B0B9" wp14:textId="1A80360A">
      <w:pPr>
        <w:rPr>
          <w:rFonts w:ascii="Calibri" w:hAnsi="Calibri" w:eastAsia="Calibri" w:cs="Calibri"/>
          <w:sz w:val="24"/>
          <w:szCs w:val="24"/>
        </w:rPr>
      </w:pPr>
    </w:p>
    <w:p xmlns:wp14="http://schemas.microsoft.com/office/word/2010/wordml" w:rsidP="7ECC8078" wp14:paraId="29397865" wp14:textId="6BC7F7CF">
      <w:pPr>
        <w:rPr>
          <w:rFonts w:ascii="Calibri" w:hAnsi="Calibri" w:eastAsia="Calibri" w:cs="Calibri"/>
          <w:sz w:val="24"/>
          <w:szCs w:val="24"/>
        </w:rPr>
      </w:pPr>
    </w:p>
    <w:p xmlns:wp14="http://schemas.microsoft.com/office/word/2010/wordml" w:rsidP="7ECC8078" wp14:paraId="13C348A5" wp14:textId="6FFA2744">
      <w:pPr>
        <w:rPr>
          <w:rFonts w:ascii="Calibri" w:hAnsi="Calibri" w:eastAsia="Calibri" w:cs="Calibri"/>
          <w:sz w:val="24"/>
          <w:szCs w:val="24"/>
        </w:rPr>
      </w:pPr>
    </w:p>
    <w:p xmlns:wp14="http://schemas.microsoft.com/office/word/2010/wordml" w:rsidP="7ECC8078" wp14:paraId="0A838DE5" wp14:textId="3C651279">
      <w:pPr>
        <w:rPr>
          <w:rFonts w:ascii="Calibri" w:hAnsi="Calibri" w:eastAsia="Calibri" w:cs="Calibri"/>
          <w:sz w:val="24"/>
          <w:szCs w:val="24"/>
        </w:rPr>
      </w:pPr>
    </w:p>
    <w:p xmlns:wp14="http://schemas.microsoft.com/office/word/2010/wordml" w:rsidP="7ECC8078" wp14:paraId="71D2C148" wp14:textId="44A6A019">
      <w:pPr>
        <w:rPr>
          <w:rFonts w:ascii="Calibri" w:hAnsi="Calibri" w:eastAsia="Calibri" w:cs="Calibri"/>
          <w:sz w:val="24"/>
          <w:szCs w:val="24"/>
        </w:rPr>
      </w:pPr>
    </w:p>
    <w:p xmlns:wp14="http://schemas.microsoft.com/office/word/2010/wordml" w:rsidP="7ECC8078" wp14:paraId="5B23DBB1" wp14:textId="202533E7">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Contents</w:t>
      </w:r>
    </w:p>
    <w:p xmlns:wp14="http://schemas.microsoft.com/office/word/2010/wordml" w:rsidP="7ECC8078" wp14:paraId="3B93C3D9" wp14:textId="240B074D">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A – Project Proposal Poster</w:t>
      </w:r>
    </w:p>
    <w:p xmlns:wp14="http://schemas.microsoft.com/office/word/2010/wordml" w:rsidP="7ECC8078" wp14:paraId="7C6D9C7B" wp14:textId="406215A9">
      <w:pPr>
        <w:spacing w:before="240" w:beforeAutospacing="off" w:after="24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B – Critical Reflection on Feedback</w:t>
      </w:r>
    </w:p>
    <w:p xmlns:wp14="http://schemas.microsoft.com/office/word/2010/wordml" w:rsidP="7ECC8078" wp14:paraId="1B6BABC4" wp14:textId="69E80807">
      <w:pPr>
        <w:spacing w:before="240" w:beforeAutospacing="off" w:after="24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C – Project Management Plan</w:t>
      </w:r>
    </w:p>
    <w:p xmlns:wp14="http://schemas.microsoft.com/office/word/2010/wordml" w:rsidP="7ECC8078" wp14:paraId="7BAD6EC5" wp14:textId="76BDCF04">
      <w:pPr>
        <w:pStyle w:val="ListParagraph"/>
        <w:numPr>
          <w:ilvl w:val="0"/>
          <w:numId w:val="1"/>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Introduction</w:t>
      </w:r>
    </w:p>
    <w:p xmlns:wp14="http://schemas.microsoft.com/office/word/2010/wordml" w:rsidP="7ECC8078" wp14:paraId="3B7636FB" wp14:textId="1F44099D">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Description</w:t>
      </w:r>
    </w:p>
    <w:p xmlns:wp14="http://schemas.microsoft.com/office/word/2010/wordml" w:rsidP="7ECC8078" wp14:paraId="63D2D60D" wp14:textId="5036C99A">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Scope</w:t>
      </w:r>
    </w:p>
    <w:p xmlns:wp14="http://schemas.microsoft.com/office/word/2010/wordml" w:rsidP="7ECC8078" wp14:paraId="7A6D7B82" wp14:textId="3C6ED281">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Work Breakdown Structure</w:t>
      </w:r>
    </w:p>
    <w:p xmlns:wp14="http://schemas.microsoft.com/office/word/2010/wordml" w:rsidP="7ECC8078" wp14:paraId="355F7970" wp14:textId="2FF6F6F8">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Quad Chart</w:t>
      </w:r>
    </w:p>
    <w:p xmlns:wp14="http://schemas.microsoft.com/office/word/2010/wordml" w:rsidP="7ECC8078" wp14:paraId="6989AEFA" wp14:textId="72DEE266">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Gantt Chart</w:t>
      </w:r>
    </w:p>
    <w:p xmlns:wp14="http://schemas.microsoft.com/office/word/2010/wordml" w:rsidP="7ECC8078" wp14:paraId="25821C25" wp14:textId="77EC7FF8">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Stakeholder Involvement</w:t>
      </w:r>
    </w:p>
    <w:p xmlns:wp14="http://schemas.microsoft.com/office/word/2010/wordml" w:rsidP="7ECC8078" wp14:paraId="06A4DD53" wp14:textId="776CC3FB">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Allocation of Resources</w:t>
      </w:r>
    </w:p>
    <w:p xmlns:wp14="http://schemas.microsoft.com/office/word/2010/wordml" w:rsidP="7ECC8078" wp14:paraId="4334F076" wp14:textId="1D0936F1">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Risk Analysis</w:t>
      </w:r>
    </w:p>
    <w:p xmlns:wp14="http://schemas.microsoft.com/office/word/2010/wordml" w:rsidP="7ECC8078" wp14:paraId="6A5D74FC" wp14:textId="42D914AE">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Conclusion</w:t>
      </w:r>
    </w:p>
    <w:p xmlns:wp14="http://schemas.microsoft.com/office/word/2010/wordml" w:rsidP="7ECC8078" wp14:paraId="1564998F" wp14:textId="0569CBA3">
      <w:pPr>
        <w:pStyle w:val="ListParagraph"/>
        <w:numPr>
          <w:ilvl w:val="0"/>
          <w:numId w:val="1"/>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References</w:t>
      </w:r>
    </w:p>
    <w:p xmlns:wp14="http://schemas.microsoft.com/office/word/2010/wordml" w:rsidP="7ECC8078" wp14:paraId="599B93A7" wp14:textId="546F8CE8">
      <w:pPr>
        <w:pStyle w:val="Normal"/>
        <w:spacing w:before="120" w:beforeAutospacing="off" w:after="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67ECEE1" wp14:textId="2132467D">
      <w:pPr>
        <w:pStyle w:val="Normal"/>
        <w:spacing w:before="120" w:beforeAutospacing="off" w:after="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8AEC5DB" wp14:textId="5FF18864">
      <w:pPr>
        <w:pStyle w:val="Normal"/>
        <w:spacing w:before="120" w:beforeAutospacing="off" w:after="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7615650" wp14:textId="751F51E2">
      <w:pPr>
        <w:pStyle w:val="Normal"/>
        <w:spacing w:before="120" w:beforeAutospacing="off" w:after="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85997B2" wp14:textId="13C64992">
      <w:pPr>
        <w:rPr>
          <w:rFonts w:ascii="Calibri" w:hAnsi="Calibri" w:eastAsia="Calibri" w:cs="Calibri"/>
          <w:sz w:val="24"/>
          <w:szCs w:val="24"/>
        </w:rPr>
      </w:pPr>
    </w:p>
    <w:p xmlns:wp14="http://schemas.microsoft.com/office/word/2010/wordml" w:rsidP="7ECC8078" wp14:paraId="5D238C1C" wp14:textId="7F15B4E5">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A – PROJECT PROPOSAL POSTER</w:t>
      </w:r>
    </w:p>
    <w:p xmlns:wp14="http://schemas.microsoft.com/office/word/2010/wordml" w:rsidP="7ECC8078" wp14:paraId="5F85FEC6" wp14:textId="56CF400A">
      <w:pPr>
        <w:pStyle w:val="Heading2"/>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Central Transport Hub Redevelopment Project</w:t>
      </w:r>
    </w:p>
    <w:p xmlns:wp14="http://schemas.microsoft.com/office/word/2010/wordml" w:rsidP="7ECC8078" wp14:paraId="24581DDB" wp14:textId="5644C3C6">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Project Background and Rationale</w:t>
      </w:r>
    </w:p>
    <w:p xmlns:wp14="http://schemas.microsoft.com/office/word/2010/wordml" w:rsidP="7ECC8078" wp14:paraId="1E2A50F2" wp14:textId="72CABF10">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In November 2025, a major UK metropolitan city announced an urgent regeneration programme after the closure of its central transport hub. The hub has been operating for over 40 years and is an important interchange for rail, bus and freight services. A structural inspection found that the facility no longer meets modern safety and accessibility standards. The closure has caused disruption to commuters, local businesses and supply chains and has also created dissatisfaction among the public.</w:t>
      </w:r>
    </w:p>
    <w:p xmlns:wp14="http://schemas.microsoft.com/office/word/2010/wordml" w:rsidP="7ECC8078" wp14:paraId="5BDC6C02" wp14:textId="69EA12C1">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The proposed project is the </w:t>
      </w:r>
      <w:r w:rsidRPr="7ECC8078" w:rsidR="63B6CA08">
        <w:rPr>
          <w:rFonts w:ascii="Calibri" w:hAnsi="Calibri" w:eastAsia="Calibri" w:cs="Calibri"/>
          <w:b w:val="1"/>
          <w:bCs w:val="1"/>
          <w:noProof w:val="0"/>
          <w:color w:val="0D0D0D" w:themeColor="text1" w:themeTint="F2" w:themeShade="FF"/>
          <w:sz w:val="24"/>
          <w:szCs w:val="24"/>
          <w:lang w:val="en-GB"/>
        </w:rPr>
        <w:t>redevelopment of the central transport hub</w:t>
      </w:r>
      <w:r w:rsidRPr="7ECC8078" w:rsidR="63B6CA08">
        <w:rPr>
          <w:rFonts w:ascii="Calibri" w:hAnsi="Calibri" w:eastAsia="Calibri" w:cs="Calibri"/>
          <w:noProof w:val="0"/>
          <w:color w:val="0D0D0D" w:themeColor="text1" w:themeTint="F2" w:themeShade="FF"/>
          <w:sz w:val="24"/>
          <w:szCs w:val="24"/>
          <w:lang w:val="en-GB"/>
        </w:rPr>
        <w:t>. This option has been selected because it provides a long-term solution to the problem rather than only dealing with the immediate disruption. A new hub can improve safety and accessibility while also providing better connections between different forms of transport. Digital passenger information and sustainable infrastructure can also be included in the new design.</w:t>
      </w:r>
    </w:p>
    <w:p xmlns:wp14="http://schemas.microsoft.com/office/word/2010/wordml" w:rsidP="7ECC8078" wp14:paraId="591E08EF" wp14:textId="223F3F3A">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Project Aim and Objectives</w:t>
      </w:r>
    </w:p>
    <w:p xmlns:wp14="http://schemas.microsoft.com/office/word/2010/wordml" w:rsidP="7ECC8078" wp14:paraId="6E35DF8D" wp14:textId="0963FAE1">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main aim is to redevelop the central transport hub into a safe, accessible and sustainable facility that meets the future transport needs of the city.</w:t>
      </w:r>
    </w:p>
    <w:p xmlns:wp14="http://schemas.microsoft.com/office/word/2010/wordml" w:rsidP="7ECC8078" wp14:paraId="5A9F31E2" wp14:textId="32BA26E0">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aims to restore transport capacity within approximately 36 months. It will improve passenger accessibility, introduce modern digital information systems and reduce the environmental impact of the facility. Another objective is to minimise disruption to local businesses and residents during construction.</w:t>
      </w:r>
    </w:p>
    <w:p xmlns:wp14="http://schemas.microsoft.com/office/word/2010/wordml" w:rsidP="7ECC8078" wp14:paraId="7A1ED72D" wp14:textId="2BA11DC2">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Scope and Boundaries</w:t>
      </w:r>
    </w:p>
    <w:p xmlns:wp14="http://schemas.microsoft.com/office/word/2010/wordml" w:rsidP="7ECC8078" wp14:paraId="0581999D" wp14:textId="695E81D1">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includes structural surveys, design, demolition, construction, passenger facilities, transport interchange areas, accessibility improvements, digital systems, sustainable infrastructure, testing and final handover.</w:t>
      </w:r>
    </w:p>
    <w:p xmlns:wp14="http://schemas.microsoft.com/office/word/2010/wordml" w:rsidP="7ECC8078" wp14:paraId="4AA8E744" wp14:textId="3024ED34">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does not include new railway lines outside the hub, major redevelopment of the wider road network or unrelated commercial developments. These boundaries are important because uncontrolled changes could increase the project's cost and timescale.</w:t>
      </w:r>
    </w:p>
    <w:p xmlns:wp14="http://schemas.microsoft.com/office/word/2010/wordml" w:rsidP="7ECC8078" wp14:paraId="08E5EC03" wp14:textId="07BA85C4">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Key Stakeholders</w:t>
      </w:r>
    </w:p>
    <w:p xmlns:wp14="http://schemas.microsoft.com/office/word/2010/wordml" w:rsidP="7ECC8078" wp14:paraId="527747CA" wp14:textId="29B98404">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main stakeholders include the local authority, transport operators, passengers, local businesses, residents, construction contractors, emergency services, accessibility groups and environmental organisations. These groups have different levels of interest and influence. Regular communication and consultation will therefore be required.</w:t>
      </w:r>
    </w:p>
    <w:p xmlns:wp14="http://schemas.microsoft.com/office/word/2010/wordml" w:rsidP="7ECC8078" wp14:paraId="424179A0" wp14:textId="6C92D54D">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Risks and Trade-offs</w:t>
      </w:r>
    </w:p>
    <w:p xmlns:wp14="http://schemas.microsoft.com/office/word/2010/wordml" w:rsidP="7ECC8078" wp14:paraId="4E5B0855" wp14:textId="7826F0EC">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main risks include construction delays, increasing costs, unexpected structural problems, supply chain disruption and health and safety incidents. The project will also need to balance cost, time, quality and sustainability. For example, completing the project quickly could reduce disruption, but rushing work could increase safety and quality risks.</w:t>
      </w:r>
    </w:p>
    <w:p xmlns:wp14="http://schemas.microsoft.com/office/word/2010/wordml" w:rsidP="7ECC8078" wp14:paraId="4A583A5F" wp14:textId="14FE6659">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Strategic Value</w:t>
      </w:r>
    </w:p>
    <w:p xmlns:wp14="http://schemas.microsoft.com/office/word/2010/wordml" w:rsidP="7ECC8078" wp14:paraId="74A17505" wp14:textId="0D3B0ADD">
      <w:pPr>
        <w:spacing w:before="60" w:beforeAutospacing="off" w:after="60" w:afterAutospacing="off"/>
      </w:pPr>
      <w:r w:rsidRPr="7ECC8078" w:rsidR="63B6CA08">
        <w:rPr>
          <w:rFonts w:ascii="Calibri" w:hAnsi="Calibri" w:eastAsia="Calibri" w:cs="Calibri"/>
          <w:noProof w:val="0"/>
          <w:color w:val="0D0D0D" w:themeColor="text1" w:themeTint="F2" w:themeShade="FF"/>
          <w:sz w:val="24"/>
          <w:szCs w:val="24"/>
          <w:lang w:val="en-GB"/>
        </w:rPr>
        <w:t>The project provides an opportunity to improve more than the existing building. A modern transport hub can support economic activity, improve passenger experience and make public transport more attractive. Sustainable design can also support wider environmental objectives, while digital systems can improve passenger flow and communication.</w:t>
      </w:r>
    </w:p>
    <w:p xmlns:wp14="http://schemas.microsoft.com/office/word/2010/wordml" w:rsidP="7ECC8078" wp14:paraId="59A81645" wp14:textId="42DB74D9">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93A5D84" wp14:textId="208C1CA1">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9C61F2E" wp14:textId="18243960">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FB7AD2A" wp14:textId="054D9F3A">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EA1A703" wp14:textId="25624DCE">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A6CD9AD" wp14:textId="317321DA">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3017E87" wp14:textId="5F4FA784">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91571A2" wp14:textId="016C735B">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007FBC2" wp14:textId="30AB4D01">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24A416E" wp14:textId="01BB97F3">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2D12E28" wp14:textId="07D8F507">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7B57F871" wp14:textId="4D520A6A">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B7B8316" wp14:textId="14E8F9D0">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493F59E" wp14:textId="0EB73736">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065D079" wp14:textId="1520B0B0">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68B8F74" wp14:textId="06A0335C">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5ECCC99" wp14:textId="57021299">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D64C456" wp14:textId="2A0A17EB">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1C6C3CC" wp14:textId="54B46A38">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7CAC7200" wp14:textId="2AEC0D75">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5DB37F1" wp14:textId="1D7DEBD1">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0B9538B" wp14:textId="302B5CE2">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2476E6B" wp14:textId="6F3375FF">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82A2634" wp14:textId="005C0726">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C36571D" wp14:textId="07D7F35B">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290E9A1" wp14:textId="3A2D5DBE">
      <w:pPr>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103B4BB" wp14:textId="3520EB80">
      <w:pPr>
        <w:rPr>
          <w:rFonts w:ascii="Calibri" w:hAnsi="Calibri" w:eastAsia="Calibri" w:cs="Calibri"/>
          <w:sz w:val="24"/>
          <w:szCs w:val="24"/>
        </w:rPr>
      </w:pPr>
    </w:p>
    <w:p xmlns:wp14="http://schemas.microsoft.com/office/word/2010/wordml" w:rsidP="7ECC8078" wp14:paraId="4572C9D9" wp14:textId="1A0A990D">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B – CRITICAL REFLECTION ON FEEDBACK</w:t>
      </w:r>
    </w:p>
    <w:p xmlns:wp14="http://schemas.microsoft.com/office/word/2010/wordml" w:rsidP="7ECC8078" wp14:paraId="692689A1" wp14:textId="10164430">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feedback received from the tutor and peers was useful because it showed which parts of the project proposal were clear and which areas needed more development. One of the main strengths identified was the choice of project. The redevelopment of the central transport hub directly responds to the problem in the scenario and provides enough scope to apply different project management tools.</w:t>
      </w:r>
    </w:p>
    <w:p xmlns:wp14="http://schemas.microsoft.com/office/word/2010/wordml" w:rsidP="7ECC8078" wp14:paraId="37DDF3F1" wp14:textId="31CDF844">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Another strength was the project's overall aim. The proposal did not only focus on rebuilding the hub. It also considered safety, accessibility, sustainability and digital technology. This made the proposal more suitable for the wider regeneration programme. The feedback suggested that these areas should remain part of the final project because they add value beyond simply replacing the old building.</w:t>
      </w:r>
    </w:p>
    <w:p xmlns:wp14="http://schemas.microsoft.com/office/word/2010/wordml" w:rsidP="7ECC8078" wp14:paraId="68FABB7D" wp14:textId="6D5E46F7">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identification of stakeholders was another positive part of the proposal. The poster identified passengers, transport operators, local businesses, residents, the local authority and contractors. However, the feedback indicated that the project needed to explain more clearly how these stakeholders would be managed. This has been addressed in the final plan by providing a stakeholder table showing their level of interest, influence and the proposed method of engagement. This is important because stakeholders can have different levels of influence at different stages of a project (Aaltonen and Kujala, 2010).</w:t>
      </w:r>
    </w:p>
    <w:p xmlns:wp14="http://schemas.microsoft.com/office/word/2010/wordml" w:rsidP="7ECC8078" wp14:paraId="7E08D889" wp14:textId="249E7BC5">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One area that required improvement was the level of detail about project delivery. The poster explained what the project was going to achieve but did not clearly show how the work would be organised. The final plan therefore includes a Work Breakdown Structure and Gantt chart. The WBS divides the project into smaller activities, while the Gantt chart shows when the main activities are expected to take place.</w:t>
      </w:r>
    </w:p>
    <w:p xmlns:wp14="http://schemas.microsoft.com/office/word/2010/wordml" w:rsidP="7ECC8078" wp14:paraId="7327C890" wp14:textId="252FC009">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feedback also highlighted the need for stronger risk management. The original proposal identified risks such as cost increases and construction delays, but it did not explain how these risks would be controlled. The final plan includes a risk register that considers the likelihood and impact of each major risk and gives a proposed response. Planning is particularly important on projects with high levels of uncertainty (Zwikael and Sadeh, 2007).</w:t>
      </w:r>
    </w:p>
    <w:p xmlns:wp14="http://schemas.microsoft.com/office/word/2010/wordml" w:rsidP="7ECC8078" wp14:paraId="6A11CB4B" wp14:textId="020089BE">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Another improvement concerns how project success will be measured. The original proposal mainly considered time, cost and completion. However, Atkinson (1999) argues that project success should not only be judged through the traditional cost, time and quality measures. The final plan therefore also considers safety, accessibility, passenger satisfaction and environmental performance.</w:t>
      </w:r>
    </w:p>
    <w:p xmlns:wp14="http://schemas.microsoft.com/office/word/2010/wordml" w:rsidP="7ECC8078" wp14:paraId="13E7AFC0" wp14:textId="3A8ED032">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Overall, the feedback helped develop the proposal into a more detailed project management plan. The main changes are the clearer scope, WBS, Gantt chart, stakeholder strategy, resource allocation and risk register. These changes should make the project more realistic and give stakeholders a clearer understanding of how the redevelopment can be delivered.</w:t>
      </w:r>
    </w:p>
    <w:p xmlns:wp14="http://schemas.microsoft.com/office/word/2010/wordml" w:rsidP="7ECC8078" wp14:paraId="3F83BE66" wp14:textId="2648641A">
      <w:pPr>
        <w:rPr>
          <w:rFonts w:ascii="Calibri" w:hAnsi="Calibri" w:eastAsia="Calibri" w:cs="Calibri"/>
          <w:sz w:val="24"/>
          <w:szCs w:val="24"/>
        </w:rPr>
      </w:pPr>
    </w:p>
    <w:p xmlns:wp14="http://schemas.microsoft.com/office/word/2010/wordml" w:rsidP="7ECC8078" wp14:paraId="537862A0" wp14:textId="1ED21FE0">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PART C – PROJECT MANAGEMENT PLAN</w:t>
      </w:r>
    </w:p>
    <w:p xmlns:wp14="http://schemas.microsoft.com/office/word/2010/wordml" w:rsidP="7ECC8078" wp14:paraId="1BACC2A4" wp14:textId="506CE1D1">
      <w:pPr>
        <w:pStyle w:val="Heading2"/>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 Introduction</w:t>
      </w:r>
    </w:p>
    <w:p xmlns:wp14="http://schemas.microsoft.com/office/word/2010/wordml" w:rsidP="7ECC8078" wp14:paraId="651A4405" wp14:textId="71FEA3DF">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closure of the city's central transport hub has created a significant problem for the local transport system. The hub provides an important interchange for rail, bus and freight services. Its closure has affected commuters, businesses and supply chains and has increased pressure on the local authority to find a suitable long-term solution.</w:t>
      </w:r>
    </w:p>
    <w:p xmlns:wp14="http://schemas.microsoft.com/office/word/2010/wordml" w:rsidP="7ECC8078" wp14:paraId="642AE2F1" wp14:textId="299096BE">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The proposed project is the </w:t>
      </w:r>
      <w:r w:rsidRPr="7ECC8078" w:rsidR="63B6CA08">
        <w:rPr>
          <w:rFonts w:ascii="Calibri" w:hAnsi="Calibri" w:eastAsia="Calibri" w:cs="Calibri"/>
          <w:b w:val="1"/>
          <w:bCs w:val="1"/>
          <w:noProof w:val="0"/>
          <w:color w:val="0D0D0D" w:themeColor="text1" w:themeTint="F2" w:themeShade="FF"/>
          <w:sz w:val="24"/>
          <w:szCs w:val="24"/>
          <w:lang w:val="en-GB"/>
        </w:rPr>
        <w:t>redevelopment of the central transport hub</w:t>
      </w:r>
      <w:r w:rsidRPr="7ECC8078" w:rsidR="63B6CA08">
        <w:rPr>
          <w:rFonts w:ascii="Calibri" w:hAnsi="Calibri" w:eastAsia="Calibri" w:cs="Calibri"/>
          <w:noProof w:val="0"/>
          <w:color w:val="0D0D0D" w:themeColor="text1" w:themeTint="F2" w:themeShade="FF"/>
          <w:sz w:val="24"/>
          <w:szCs w:val="24"/>
          <w:lang w:val="en-GB"/>
        </w:rPr>
        <w:t>. The project has been selected instead of only creating a temporary transport solution because the existing facility already has serious structural and accessibility problems. Rebuilding the hub provides an opportunity to solve these issues while also improving transport services for the future.</w:t>
      </w:r>
    </w:p>
    <w:p xmlns:wp14="http://schemas.microsoft.com/office/word/2010/wordml" w:rsidP="7ECC8078" wp14:paraId="19B7BB11" wp14:textId="2898D4FD">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new facility will aim to provide safer passenger areas, better accessibility, improved connections between transport services and modern digital information systems. Sustainability will also be considered during the design and construction stages.</w:t>
      </w:r>
    </w:p>
    <w:p xmlns:wp14="http://schemas.microsoft.com/office/word/2010/wordml" w:rsidP="7ECC8078" wp14:paraId="4339B24A" wp14:textId="2EEEE005">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is complex because it involves construction, transport operations, digital technology, environmental requirements and a wide range of stakeholders. Baccarini (1996) explains that project complexity can result from the number of different elements involved and the relationships between them. This is relevant to the proposed project because decisions made in one area may affect other areas.</w:t>
      </w:r>
    </w:p>
    <w:p xmlns:wp14="http://schemas.microsoft.com/office/word/2010/wordml" w:rsidP="7ECC8078" wp14:paraId="42D53EDA" wp14:textId="2FADBDFE">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Effective project management will therefore be required throughout the project. The plan uses a Work Breakdown Structure, Gantt chart, stakeholder analysis, resource allocation and risk register to provide a clear approach to delivery.</w:t>
      </w:r>
    </w:p>
    <w:p xmlns:wp14="http://schemas.microsoft.com/office/word/2010/wordml" w:rsidP="7ECC8078" wp14:paraId="2E341660" wp14:textId="0B30F261">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success will not only mean completing the building. The completed hub should also provide the expected benefits to passengers and the wider city. Serra and Kunc (2015) found that benefits realisation can contribute to project success and the achievement of strategic value.</w:t>
      </w:r>
    </w:p>
    <w:p xmlns:wp14="http://schemas.microsoft.com/office/word/2010/wordml" w:rsidP="7ECC8078" wp14:paraId="1C989F3C" wp14:textId="38DEC510">
      <w:pPr>
        <w:rPr>
          <w:rFonts w:ascii="Calibri" w:hAnsi="Calibri" w:eastAsia="Calibri" w:cs="Calibri"/>
          <w:sz w:val="24"/>
          <w:szCs w:val="24"/>
        </w:rPr>
      </w:pPr>
    </w:p>
    <w:p xmlns:wp14="http://schemas.microsoft.com/office/word/2010/wordml" w:rsidP="7ECC8078" wp14:paraId="4130AF6E" wp14:textId="73FCE66C">
      <w:pPr>
        <w:pStyle w:val="Heading2"/>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2. Project Description</w:t>
      </w:r>
    </w:p>
    <w:p xmlns:wp14="http://schemas.microsoft.com/office/word/2010/wordml" w:rsidP="7ECC8078" wp14:paraId="3C5D391B" wp14:textId="71FA77AD">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proposed project involves the redevelopment of the existing central transport hub into a modern multimodal transport facility.</w:t>
      </w:r>
    </w:p>
    <w:p xmlns:wp14="http://schemas.microsoft.com/office/word/2010/wordml" w:rsidP="7ECC8078" wp14:paraId="720F0C15" wp14:textId="3AAE29E0">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first stage will involve detailed structural and site investigations. These investigations are necessary because the current facility is more than 40 years old. They will provide information about the condition of the building and the site before final construction decisions are made.</w:t>
      </w:r>
    </w:p>
    <w:p xmlns:wp14="http://schemas.microsoft.com/office/word/2010/wordml" w:rsidP="7ECC8078" wp14:paraId="2E1B6CC9" wp14:textId="5ABD6582">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Following the investigations, architects and engineers will develop the detailed design. The design will consider passenger movement, transport operations, accessibility, safety, environmental performance and digital technology.</w:t>
      </w:r>
    </w:p>
    <w:p xmlns:wp14="http://schemas.microsoft.com/office/word/2010/wordml" w:rsidP="7ECC8078" wp14:paraId="47C92F47" wp14:textId="6E569CBB">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existing facility will then be demolished where necessary and construction of the new hub will begin. The new facility will include improved rail and bus interchange areas, passenger waiting areas, accessible entrances, clear routes through the building and improved passenger facilities.</w:t>
      </w:r>
    </w:p>
    <w:p xmlns:wp14="http://schemas.microsoft.com/office/word/2010/wordml" w:rsidP="7ECC8078" wp14:paraId="7CF2DC99" wp14:textId="19E96DCC">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Digital technology will also be included. Real-time passenger information can allow people to receive updates about departures, delays and changes. Digital wayfinding can also help passengers move around the facility more easily.</w:t>
      </w:r>
    </w:p>
    <w:p xmlns:wp14="http://schemas.microsoft.com/office/word/2010/wordml" w:rsidP="7ECC8078" wp14:paraId="77A2ECEA" wp14:textId="4C037257">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Accessibility is an important part of the project. The new hub should provide step-free access and suitable facilities for people with different mobility requirements. This is consistent with the Department for Transport's (2022) guidance on improving accessibility within transport.</w:t>
      </w:r>
    </w:p>
    <w:p xmlns:wp14="http://schemas.microsoft.com/office/word/2010/wordml" w:rsidP="7ECC8078" wp14:paraId="777F6A35" wp14:textId="08A1205B">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Sustainability will also be considered. The new facility can include energy-efficient lighting and heating systems, sustainable materials and improved energy management. The project can also support wider transport decarbonisation by encouraging the use of public transport (Department for Transport, 2021).</w:t>
      </w:r>
    </w:p>
    <w:p xmlns:wp14="http://schemas.microsoft.com/office/word/2010/wordml" w:rsidP="7ECC8078" wp14:paraId="230D289B" wp14:textId="7FD1C8EA">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is planned over approximately 36 months. The exact budget will be established following the investigation and design stages. A contingency allowance will be included because there is uncertainty around construction costs and the condition of the existing building.</w:t>
      </w:r>
    </w:p>
    <w:p xmlns:wp14="http://schemas.microsoft.com/office/word/2010/wordml" w:rsidP="7ECC8078" wp14:paraId="56EE2B58" wp14:textId="21543DFD">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 Project Board will provide senior oversight. The Project Manager will be responsible for the day-to-day management of the project and will report progress to the Project Board. A clear governance structure is important because research has found a relationship between stakeholder-oriented governance and project success (Joslin and Müller, 2016).</w:t>
      </w:r>
    </w:p>
    <w:p xmlns:wp14="http://schemas.microsoft.com/office/word/2010/wordml" w:rsidP="7ECC8078" wp14:paraId="63F0A6AA" wp14:textId="6076298D">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will be delivered through several stages. These will include initiation, investigation, design, approvals, procurement, construction, testing and handover.</w:t>
      </w:r>
    </w:p>
    <w:p xmlns:wp14="http://schemas.microsoft.com/office/word/2010/wordml" w:rsidP="7ECC8078" wp14:paraId="62B45F48" wp14:textId="23F2ABBA">
      <w:pPr>
        <w:rPr>
          <w:rFonts w:ascii="Calibri" w:hAnsi="Calibri" w:eastAsia="Calibri" w:cs="Calibri"/>
          <w:sz w:val="24"/>
          <w:szCs w:val="24"/>
        </w:rPr>
      </w:pPr>
    </w:p>
    <w:p xmlns:wp14="http://schemas.microsoft.com/office/word/2010/wordml" w:rsidP="7ECC8078" wp14:paraId="3ACE53A6" wp14:textId="0DCD7BD8">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3. Scope</w:t>
      </w:r>
    </w:p>
    <w:p xmlns:wp14="http://schemas.microsoft.com/office/word/2010/wordml" w:rsidP="7ECC8078" wp14:paraId="6B20497C" wp14:textId="24C54162">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scope defines the work that will be included in the project. Clear scope is important because uncontrolled changes can increase cost and extend the project schedule.</w:t>
      </w:r>
    </w:p>
    <w:p xmlns:wp14="http://schemas.microsoft.com/office/word/2010/wordml" w:rsidP="7ECC8078" wp14:paraId="2D23FE31" wp14:textId="05A53EE0">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3.1 Scope Included</w:t>
      </w:r>
    </w:p>
    <w:p xmlns:wp14="http://schemas.microsoft.com/office/word/2010/wordml" w:rsidP="7ECC8078" wp14:paraId="6B800200" wp14:textId="721E9D44">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will include the following work:</w:t>
      </w:r>
    </w:p>
    <w:p xmlns:wp14="http://schemas.microsoft.com/office/word/2010/wordml" w:rsidP="7ECC8078" wp14:paraId="271A6123" wp14:textId="7BD81655">
      <w:pPr>
        <w:pStyle w:val="ListParagraph"/>
        <w:numPr>
          <w:ilvl w:val="0"/>
          <w:numId w:val="2"/>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Structural and site surveys.</w:t>
      </w:r>
    </w:p>
    <w:p xmlns:wp14="http://schemas.microsoft.com/office/word/2010/wordml" w:rsidP="7ECC8078" wp14:paraId="688DB656" wp14:textId="60338392">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Architectural and engineering design.</w:t>
      </w:r>
    </w:p>
    <w:p xmlns:wp14="http://schemas.microsoft.com/office/word/2010/wordml" w:rsidP="7ECC8078" wp14:paraId="550312CA" wp14:textId="58BE5A9C">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Demolition of the existing facility.</w:t>
      </w:r>
    </w:p>
    <w:p xmlns:wp14="http://schemas.microsoft.com/office/word/2010/wordml" w:rsidP="7ECC8078" wp14:paraId="3343C8E9" wp14:textId="29A8B1A9">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Construction of the new transport hub.</w:t>
      </w:r>
    </w:p>
    <w:p xmlns:wp14="http://schemas.microsoft.com/office/word/2010/wordml" w:rsidP="7ECC8078" wp14:paraId="55A8A167" wp14:textId="3998EAB6">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Rail and bus interchange facilities.</w:t>
      </w:r>
    </w:p>
    <w:p xmlns:wp14="http://schemas.microsoft.com/office/word/2010/wordml" w:rsidP="7ECC8078" wp14:paraId="5082D6E2" wp14:textId="2096B68D">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Passenger waiting areas.</w:t>
      </w:r>
    </w:p>
    <w:p xmlns:wp14="http://schemas.microsoft.com/office/word/2010/wordml" w:rsidP="7ECC8078" wp14:paraId="210DDC8F" wp14:textId="7FA8B28D">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Accessible entrances and routes.</w:t>
      </w:r>
    </w:p>
    <w:p xmlns:wp14="http://schemas.microsoft.com/office/word/2010/wordml" w:rsidP="7ECC8078" wp14:paraId="200CBAA4" wp14:textId="04E72AE4">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Digital passenger information systems.</w:t>
      </w:r>
    </w:p>
    <w:p xmlns:wp14="http://schemas.microsoft.com/office/word/2010/wordml" w:rsidP="7ECC8078" wp14:paraId="3FAD2239" wp14:textId="04F13047">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Energy-efficient infrastructure.</w:t>
      </w:r>
    </w:p>
    <w:p xmlns:wp14="http://schemas.microsoft.com/office/word/2010/wordml" w:rsidP="7ECC8078" wp14:paraId="24866AC5" wp14:textId="462E9AA9">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Sustainable landscaping.</w:t>
      </w:r>
    </w:p>
    <w:p xmlns:wp14="http://schemas.microsoft.com/office/word/2010/wordml" w:rsidP="7ECC8078" wp14:paraId="4D3E5AC8" wp14:textId="02EA38A1">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Safety systems.</w:t>
      </w:r>
    </w:p>
    <w:p xmlns:wp14="http://schemas.microsoft.com/office/word/2010/wordml" w:rsidP="7ECC8078" wp14:paraId="2A58C05C" wp14:textId="7BB8A50D">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Testing and commissioning.</w:t>
      </w:r>
    </w:p>
    <w:p xmlns:wp14="http://schemas.microsoft.com/office/word/2010/wordml" w:rsidP="7ECC8078" wp14:paraId="79596757" wp14:textId="547AFFDA">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Staff training.</w:t>
      </w:r>
    </w:p>
    <w:p xmlns:wp14="http://schemas.microsoft.com/office/word/2010/wordml" w:rsidP="7ECC8078" wp14:paraId="66257ADB" wp14:textId="7DE44930">
      <w:pPr>
        <w:pStyle w:val="ListParagraph"/>
        <w:numPr>
          <w:ilvl w:val="0"/>
          <w:numId w:val="2"/>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Final handover.</w:t>
      </w:r>
    </w:p>
    <w:p xmlns:wp14="http://schemas.microsoft.com/office/word/2010/wordml" w:rsidP="7ECC8078" wp14:paraId="6A686986" wp14:textId="0D2697C3">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3.2 Scope Excluded</w:t>
      </w:r>
    </w:p>
    <w:p xmlns:wp14="http://schemas.microsoft.com/office/word/2010/wordml" w:rsidP="7ECC8078" wp14:paraId="66105A63" wp14:textId="6C572826">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will not include the construction of new railway lines outside the hub, major redevelopment of the wider city road network, replacement of buses or trains, unrelated commercial developments or other regeneration projects that are not directly connected to the transport hub.</w:t>
      </w:r>
    </w:p>
    <w:p xmlns:wp14="http://schemas.microsoft.com/office/word/2010/wordml" w:rsidP="7ECC8078" wp14:paraId="77733D02" wp14:textId="154463E1">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These boundaries are important because the project could become difficult to control if additional work is continuously added. Any major change requested by stakeholders will therefore need to go through a formal change-control process.</w:t>
      </w:r>
    </w:p>
    <w:p xmlns:wp14="http://schemas.microsoft.com/office/word/2010/wordml" w:rsidP="7ECC8078" wp14:paraId="31B95020" wp14:textId="7348A6D2">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proposed change will be assessed according to its effect on cost, time, quality, resources and risk before a decision is made. This approach should help prevent scope creep.</w:t>
      </w:r>
    </w:p>
    <w:p xmlns:wp14="http://schemas.microsoft.com/office/word/2010/wordml" w:rsidP="7ECC8078" wp14:paraId="3C7DFAD3" wp14:textId="2ED44482">
      <w:pPr>
        <w:rPr>
          <w:rFonts w:ascii="Calibri" w:hAnsi="Calibri" w:eastAsia="Calibri" w:cs="Calibri"/>
          <w:sz w:val="24"/>
          <w:szCs w:val="24"/>
        </w:rPr>
      </w:pPr>
    </w:p>
    <w:p xmlns:wp14="http://schemas.microsoft.com/office/word/2010/wordml" w:rsidP="7ECC8078" wp14:paraId="7C069DBA" wp14:textId="2CE6903A">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4. Work Breakdown Structure</w:t>
      </w:r>
    </w:p>
    <w:p xmlns:wp14="http://schemas.microsoft.com/office/word/2010/wordml" w:rsidP="7ECC8078" wp14:paraId="084A47E3" wp14:textId="560B8E22">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 Work Breakdown Structure (WBS) divides the project into smaller work packages. This makes the project easier to manage because individual activities can be assigned to people or teams.</w:t>
      </w:r>
    </w:p>
    <w:p xmlns:wp14="http://schemas.microsoft.com/office/word/2010/wordml" w:rsidP="7ECC8078" wp14:paraId="0126D987" wp14:textId="11E71CCF">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Figure 1. Work Breakdown Structure for the Central Transport Hub</w:t>
      </w:r>
    </w:p>
    <w:p xmlns:wp14="http://schemas.microsoft.com/office/word/2010/wordml" w:rsidP="7ECC8078" wp14:paraId="5A80FDB8" wp14:textId="335FD9AB">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 Central Transport Hub Redevelopment</w:t>
      </w:r>
    </w:p>
    <w:p xmlns:wp14="http://schemas.microsoft.com/office/word/2010/wordml" w:rsidP="7ECC8078" wp14:paraId="328422C0" wp14:textId="02E85493">
      <w:pPr>
        <w:spacing w:before="240" w:beforeAutospacing="off" w:after="24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1.1 Project Initiation</w:t>
      </w:r>
    </w:p>
    <w:p xmlns:wp14="http://schemas.microsoft.com/office/word/2010/wordml" w:rsidP="7ECC8078" wp14:paraId="153D3476" wp14:textId="3272F161">
      <w:pPr>
        <w:pStyle w:val="ListParagraph"/>
        <w:numPr>
          <w:ilvl w:val="0"/>
          <w:numId w:val="3"/>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Business case</w:t>
      </w:r>
    </w:p>
    <w:p xmlns:wp14="http://schemas.microsoft.com/office/word/2010/wordml" w:rsidP="7ECC8078" wp14:paraId="7E8508CB" wp14:textId="1534038B">
      <w:pPr>
        <w:pStyle w:val="ListParagraph"/>
        <w:numPr>
          <w:ilvl w:val="0"/>
          <w:numId w:val="3"/>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approval</w:t>
      </w:r>
    </w:p>
    <w:p xmlns:wp14="http://schemas.microsoft.com/office/word/2010/wordml" w:rsidP="7ECC8078" wp14:paraId="3113FBA4" wp14:textId="581AA442">
      <w:pPr>
        <w:pStyle w:val="ListParagraph"/>
        <w:numPr>
          <w:ilvl w:val="0"/>
          <w:numId w:val="3"/>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Funding confirmation</w:t>
      </w:r>
    </w:p>
    <w:p xmlns:wp14="http://schemas.microsoft.com/office/word/2010/wordml" w:rsidP="7ECC8078" wp14:paraId="2EAB2029" wp14:textId="21995037">
      <w:pPr>
        <w:pStyle w:val="ListParagraph"/>
        <w:numPr>
          <w:ilvl w:val="0"/>
          <w:numId w:val="3"/>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management plan</w:t>
      </w:r>
    </w:p>
    <w:p xmlns:wp14="http://schemas.microsoft.com/office/word/2010/wordml" w:rsidP="7ECC8078" wp14:paraId="14F0978A" wp14:textId="2E720422">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1.2 Investigation and Design</w:t>
      </w:r>
    </w:p>
    <w:p xmlns:wp14="http://schemas.microsoft.com/office/word/2010/wordml" w:rsidP="7ECC8078" wp14:paraId="2FDCCF00" wp14:textId="754FD71A">
      <w:pPr>
        <w:pStyle w:val="ListParagraph"/>
        <w:numPr>
          <w:ilvl w:val="0"/>
          <w:numId w:val="4"/>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Structural survey</w:t>
      </w:r>
    </w:p>
    <w:p xmlns:wp14="http://schemas.microsoft.com/office/word/2010/wordml" w:rsidP="7ECC8078" wp14:paraId="5D67A5B3" wp14:textId="153E020E">
      <w:pPr>
        <w:pStyle w:val="ListParagraph"/>
        <w:numPr>
          <w:ilvl w:val="0"/>
          <w:numId w:val="4"/>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Site investigation</w:t>
      </w:r>
    </w:p>
    <w:p xmlns:wp14="http://schemas.microsoft.com/office/word/2010/wordml" w:rsidP="7ECC8078" wp14:paraId="14A621D8" wp14:textId="31CCBCCA">
      <w:pPr>
        <w:pStyle w:val="ListParagraph"/>
        <w:numPr>
          <w:ilvl w:val="0"/>
          <w:numId w:val="4"/>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Concept design</w:t>
      </w:r>
    </w:p>
    <w:p xmlns:wp14="http://schemas.microsoft.com/office/word/2010/wordml" w:rsidP="7ECC8078" wp14:paraId="1E116622" wp14:textId="43EF370E">
      <w:pPr>
        <w:pStyle w:val="ListParagraph"/>
        <w:numPr>
          <w:ilvl w:val="0"/>
          <w:numId w:val="4"/>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Detailed design</w:t>
      </w:r>
    </w:p>
    <w:p xmlns:wp14="http://schemas.microsoft.com/office/word/2010/wordml" w:rsidP="7ECC8078" wp14:paraId="4E275A3A" wp14:textId="09CA030D">
      <w:pPr>
        <w:pStyle w:val="ListParagraph"/>
        <w:numPr>
          <w:ilvl w:val="0"/>
          <w:numId w:val="4"/>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Accessibility review</w:t>
      </w:r>
    </w:p>
    <w:p xmlns:wp14="http://schemas.microsoft.com/office/word/2010/wordml" w:rsidP="7ECC8078" wp14:paraId="43143CBE" wp14:textId="6105C63E">
      <w:pPr>
        <w:pStyle w:val="ListParagraph"/>
        <w:numPr>
          <w:ilvl w:val="0"/>
          <w:numId w:val="4"/>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Sustainability review</w:t>
      </w:r>
    </w:p>
    <w:p xmlns:wp14="http://schemas.microsoft.com/office/word/2010/wordml" w:rsidP="7ECC8078" wp14:paraId="0FBEB589" wp14:textId="201828D9">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1.3 Approvals and Procurement</w:t>
      </w:r>
    </w:p>
    <w:p xmlns:wp14="http://schemas.microsoft.com/office/word/2010/wordml" w:rsidP="7ECC8078" wp14:paraId="65CA51BA" wp14:textId="3BF90466">
      <w:pPr>
        <w:pStyle w:val="ListParagraph"/>
        <w:numPr>
          <w:ilvl w:val="0"/>
          <w:numId w:val="5"/>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Planning approval</w:t>
      </w:r>
    </w:p>
    <w:p xmlns:wp14="http://schemas.microsoft.com/office/word/2010/wordml" w:rsidP="7ECC8078" wp14:paraId="18822515" wp14:textId="33D70290">
      <w:pPr>
        <w:pStyle w:val="ListParagraph"/>
        <w:numPr>
          <w:ilvl w:val="0"/>
          <w:numId w:val="5"/>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Regulatory approval</w:t>
      </w:r>
    </w:p>
    <w:p xmlns:wp14="http://schemas.microsoft.com/office/word/2010/wordml" w:rsidP="7ECC8078" wp14:paraId="492B77EA" wp14:textId="5E1D0ECE">
      <w:pPr>
        <w:pStyle w:val="ListParagraph"/>
        <w:numPr>
          <w:ilvl w:val="0"/>
          <w:numId w:val="5"/>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Procurement strategy</w:t>
      </w:r>
    </w:p>
    <w:p xmlns:wp14="http://schemas.microsoft.com/office/word/2010/wordml" w:rsidP="7ECC8078" wp14:paraId="25B6128A" wp14:textId="0AF12894">
      <w:pPr>
        <w:pStyle w:val="ListParagraph"/>
        <w:numPr>
          <w:ilvl w:val="0"/>
          <w:numId w:val="5"/>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Tender process</w:t>
      </w:r>
    </w:p>
    <w:p xmlns:wp14="http://schemas.microsoft.com/office/word/2010/wordml" w:rsidP="7ECC8078" wp14:paraId="4ABF633E" wp14:textId="03E9C6D2">
      <w:pPr>
        <w:pStyle w:val="ListParagraph"/>
        <w:numPr>
          <w:ilvl w:val="0"/>
          <w:numId w:val="5"/>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Contractor appointment</w:t>
      </w:r>
    </w:p>
    <w:p xmlns:wp14="http://schemas.microsoft.com/office/word/2010/wordml" w:rsidP="7ECC8078" wp14:paraId="6C3F9FE4" wp14:textId="1C1AA363">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1.4 Construction</w:t>
      </w:r>
    </w:p>
    <w:p xmlns:wp14="http://schemas.microsoft.com/office/word/2010/wordml" w:rsidP="7ECC8078" wp14:paraId="1D5756EF" wp14:textId="7DF051DD">
      <w:pPr>
        <w:pStyle w:val="ListParagraph"/>
        <w:numPr>
          <w:ilvl w:val="0"/>
          <w:numId w:val="6"/>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Site preparation</w:t>
      </w:r>
    </w:p>
    <w:p xmlns:wp14="http://schemas.microsoft.com/office/word/2010/wordml" w:rsidP="7ECC8078" wp14:paraId="0078124A" wp14:textId="58747C5A">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Demolition</w:t>
      </w:r>
    </w:p>
    <w:p xmlns:wp14="http://schemas.microsoft.com/office/word/2010/wordml" w:rsidP="7ECC8078" wp14:paraId="5A4E237C" wp14:textId="1222F8B9">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Main structure</w:t>
      </w:r>
    </w:p>
    <w:p xmlns:wp14="http://schemas.microsoft.com/office/word/2010/wordml" w:rsidP="7ECC8078" wp14:paraId="10015E68" wp14:textId="4694CF65">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Rail and bus facilities</w:t>
      </w:r>
    </w:p>
    <w:p xmlns:wp14="http://schemas.microsoft.com/office/word/2010/wordml" w:rsidP="7ECC8078" wp14:paraId="22038480" wp14:textId="1058FE79">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Passenger facilities</w:t>
      </w:r>
    </w:p>
    <w:p xmlns:wp14="http://schemas.microsoft.com/office/word/2010/wordml" w:rsidP="7ECC8078" wp14:paraId="69AFCE19" wp14:textId="14CE6982">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Digital systems</w:t>
      </w:r>
    </w:p>
    <w:p xmlns:wp14="http://schemas.microsoft.com/office/word/2010/wordml" w:rsidP="7ECC8078" wp14:paraId="07F02E36" wp14:textId="3CC87901">
      <w:pPr>
        <w:pStyle w:val="ListParagraph"/>
        <w:numPr>
          <w:ilvl w:val="0"/>
          <w:numId w:val="6"/>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Sustainable systems</w:t>
      </w:r>
    </w:p>
    <w:p xmlns:wp14="http://schemas.microsoft.com/office/word/2010/wordml" w:rsidP="7ECC8078" wp14:paraId="20722E76" wp14:textId="2C6E04EC">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1.5 Testing and Commissioning</w:t>
      </w:r>
    </w:p>
    <w:p xmlns:wp14="http://schemas.microsoft.com/office/word/2010/wordml" w:rsidP="7ECC8078" wp14:paraId="2F29524C" wp14:textId="0097FF14">
      <w:pPr>
        <w:pStyle w:val="ListParagraph"/>
        <w:numPr>
          <w:ilvl w:val="0"/>
          <w:numId w:val="7"/>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Safety testing</w:t>
      </w:r>
    </w:p>
    <w:p xmlns:wp14="http://schemas.microsoft.com/office/word/2010/wordml" w:rsidP="7ECC8078" wp14:paraId="358FD559" wp14:textId="29DFF41C">
      <w:pPr>
        <w:pStyle w:val="ListParagraph"/>
        <w:numPr>
          <w:ilvl w:val="0"/>
          <w:numId w:val="7"/>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Digital systems testing</w:t>
      </w:r>
    </w:p>
    <w:p xmlns:wp14="http://schemas.microsoft.com/office/word/2010/wordml" w:rsidP="7ECC8078" wp14:paraId="24D95B0D" wp14:textId="6E109506">
      <w:pPr>
        <w:pStyle w:val="ListParagraph"/>
        <w:numPr>
          <w:ilvl w:val="0"/>
          <w:numId w:val="7"/>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Accessibility testing</w:t>
      </w:r>
    </w:p>
    <w:p xmlns:wp14="http://schemas.microsoft.com/office/word/2010/wordml" w:rsidP="7ECC8078" wp14:paraId="55850717" wp14:textId="445CE524">
      <w:pPr>
        <w:pStyle w:val="ListParagraph"/>
        <w:numPr>
          <w:ilvl w:val="0"/>
          <w:numId w:val="7"/>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Operational trials</w:t>
      </w:r>
    </w:p>
    <w:p xmlns:wp14="http://schemas.microsoft.com/office/word/2010/wordml" w:rsidP="7ECC8078" wp14:paraId="35C671E7" wp14:textId="64F359B7">
      <w:pPr>
        <w:spacing w:before="6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1.6 Handover and Closure</w:t>
      </w:r>
    </w:p>
    <w:p xmlns:wp14="http://schemas.microsoft.com/office/word/2010/wordml" w:rsidP="7ECC8078" wp14:paraId="5DB7E1C7" wp14:textId="44974574">
      <w:pPr>
        <w:pStyle w:val="ListParagraph"/>
        <w:numPr>
          <w:ilvl w:val="0"/>
          <w:numId w:val="8"/>
        </w:numPr>
        <w:spacing w:before="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Staff training</w:t>
      </w:r>
    </w:p>
    <w:p xmlns:wp14="http://schemas.microsoft.com/office/word/2010/wordml" w:rsidP="7ECC8078" wp14:paraId="12FC5533" wp14:textId="44C7B3FB">
      <w:pPr>
        <w:pStyle w:val="ListParagraph"/>
        <w:numPr>
          <w:ilvl w:val="0"/>
          <w:numId w:val="8"/>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Final inspection</w:t>
      </w:r>
    </w:p>
    <w:p xmlns:wp14="http://schemas.microsoft.com/office/word/2010/wordml" w:rsidP="7ECC8078" wp14:paraId="1AE6E96F" wp14:textId="1DED601F">
      <w:pPr>
        <w:pStyle w:val="ListParagraph"/>
        <w:numPr>
          <w:ilvl w:val="0"/>
          <w:numId w:val="8"/>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Handover</w:t>
      </w:r>
    </w:p>
    <w:p xmlns:wp14="http://schemas.microsoft.com/office/word/2010/wordml" w:rsidP="7ECC8078" wp14:paraId="60F2123B" wp14:textId="4BDEBED8">
      <w:pPr>
        <w:pStyle w:val="ListParagraph"/>
        <w:numPr>
          <w:ilvl w:val="0"/>
          <w:numId w:val="8"/>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Defects management</w:t>
      </w:r>
    </w:p>
    <w:p xmlns:wp14="http://schemas.microsoft.com/office/word/2010/wordml" w:rsidP="7ECC8078" wp14:paraId="7A210E8F" wp14:textId="38ED2BC8">
      <w:pPr>
        <w:pStyle w:val="ListParagraph"/>
        <w:numPr>
          <w:ilvl w:val="0"/>
          <w:numId w:val="8"/>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Lessons learned</w:t>
      </w:r>
    </w:p>
    <w:p xmlns:wp14="http://schemas.microsoft.com/office/word/2010/wordml" w:rsidP="7ECC8078" wp14:paraId="3DA0B747" wp14:textId="6DC59A37">
      <w:pPr>
        <w:pStyle w:val="ListParagraph"/>
        <w:numPr>
          <w:ilvl w:val="0"/>
          <w:numId w:val="8"/>
        </w:numPr>
        <w:spacing w:before="120" w:beforeAutospacing="off" w:after="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closure</w:t>
      </w:r>
    </w:p>
    <w:p xmlns:wp14="http://schemas.microsoft.com/office/word/2010/wordml" w:rsidP="7ECC8078" wp14:paraId="145A93F7" wp14:textId="7B018E15">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WBS provides a useful structure because each stage can be monitored separately. For example, the Project Manager can identify whether a delay is occurring during design, procurement or construction rather than only seeing that the overall project is behind schedule.</w:t>
      </w:r>
    </w:p>
    <w:p xmlns:wp14="http://schemas.microsoft.com/office/word/2010/wordml" w:rsidP="7ECC8078" wp14:paraId="44AFA268" wp14:textId="06EBDA16">
      <w:pPr>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WBS will also help with resource planning because specialist staff can be allocated according to the stage of the project.</w:t>
      </w:r>
    </w:p>
    <w:p xmlns:wp14="http://schemas.microsoft.com/office/word/2010/wordml" w:rsidP="7ECC8078" wp14:paraId="61EDB006" wp14:textId="52B60E37">
      <w:pPr>
        <w:rPr>
          <w:rFonts w:ascii="Calibri" w:hAnsi="Calibri" w:eastAsia="Calibri" w:cs="Calibri"/>
          <w:sz w:val="24"/>
          <w:szCs w:val="24"/>
        </w:rPr>
      </w:pPr>
    </w:p>
    <w:p xmlns:wp14="http://schemas.microsoft.com/office/word/2010/wordml" w:rsidP="7ECC8078" wp14:paraId="0E99367D" wp14:textId="654654B8">
      <w:pPr>
        <w:pStyle w:val="Heading1"/>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5. Quad Chart</w:t>
      </w:r>
    </w:p>
    <w:p xmlns:wp14="http://schemas.microsoft.com/office/word/2010/wordml" w:rsidP="7ECC8078" wp14:paraId="3E5FDE29" wp14:textId="4EFDB08F">
      <w:pPr>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Quad Chart provides a short overview of the project for senior stakeholders.</w:t>
      </w:r>
    </w:p>
    <w:p xmlns:wp14="http://schemas.microsoft.com/office/word/2010/wordml" w:rsidP="7ECC8078" wp14:paraId="47AA53C4" wp14:textId="60B58126">
      <w:pPr>
        <w:pStyle w:val="Heading3"/>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Table 1. Project Quad Chart</w:t>
      </w:r>
    </w:p>
    <w:tbl>
      <w:tblPr>
        <w:tblStyle w:val="TableNormal"/>
        <w:bidiVisual w:val="0"/>
        <w:tblW w:w="0" w:type="auto"/>
        <w:tblLook w:val="06A0" w:firstRow="1" w:lastRow="0" w:firstColumn="1" w:lastColumn="0" w:noHBand="1" w:noVBand="1"/>
      </w:tblPr>
      <w:tblGrid>
        <w:gridCol w:w="4888"/>
        <w:gridCol w:w="4127"/>
      </w:tblGrid>
      <w:tr w:rsidR="7ECC8078" w:rsidTr="7ECC8078" w14:paraId="3F11455C">
        <w:trPr>
          <w:trHeight w:val="300"/>
        </w:trPr>
        <w:tc>
          <w:tcPr>
            <w:tcW w:w="4888" w:type="dxa"/>
            <w:tcMar/>
            <w:vAlign w:val="center"/>
          </w:tcPr>
          <w:p w:rsidR="7ECC8078" w:rsidP="7ECC8078" w:rsidRDefault="7ECC8078" w14:paraId="3176B696" w14:textId="03AF93A4">
            <w:pPr>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WHY IS THE PROJECT NEEDED?</w:t>
            </w:r>
          </w:p>
        </w:tc>
        <w:tc>
          <w:tcPr>
            <w:tcW w:w="4127" w:type="dxa"/>
            <w:tcMar/>
            <w:vAlign w:val="center"/>
          </w:tcPr>
          <w:p w:rsidR="7ECC8078" w:rsidP="7ECC8078" w:rsidRDefault="7ECC8078" w14:paraId="7F5A6353" w14:textId="02220F46">
            <w:pPr>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WHAT WILL BE DELIVERED?</w:t>
            </w:r>
          </w:p>
        </w:tc>
      </w:tr>
      <w:tr w:rsidR="7ECC8078" w:rsidTr="7ECC8078" w14:paraId="0C73DE15">
        <w:trPr>
          <w:trHeight w:val="300"/>
        </w:trPr>
        <w:tc>
          <w:tcPr>
            <w:tcW w:w="4888" w:type="dxa"/>
            <w:tcMar/>
            <w:vAlign w:val="center"/>
          </w:tcPr>
          <w:p w:rsidR="7ECC8078" w:rsidP="7ECC8078" w:rsidRDefault="7ECC8078" w14:paraId="4304EBAD" w14:textId="1195C659">
            <w:pPr>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The existing hub is more than 40 years old and no longer meets modern safety and accessibility standards. Its closure is disrupting commuters, businesses and freight services.</w:t>
            </w:r>
          </w:p>
        </w:tc>
        <w:tc>
          <w:tcPr>
            <w:tcW w:w="4127" w:type="dxa"/>
            <w:tcMar/>
            <w:vAlign w:val="center"/>
          </w:tcPr>
          <w:p w:rsidR="7ECC8078" w:rsidP="7ECC8078" w:rsidRDefault="7ECC8078" w14:paraId="4FAB9CF0" w14:textId="4D221D3C">
            <w:pPr>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A modern transport hub with improved safety, accessibility, digital passenger information and sustainable infrastructure.</w:t>
            </w:r>
          </w:p>
        </w:tc>
      </w:tr>
      <w:tr w:rsidR="7ECC8078" w:rsidTr="7ECC8078" w14:paraId="03619A3C">
        <w:trPr>
          <w:trHeight w:val="300"/>
        </w:trPr>
        <w:tc>
          <w:tcPr>
            <w:tcW w:w="4888" w:type="dxa"/>
            <w:tcMar/>
            <w:vAlign w:val="center"/>
          </w:tcPr>
          <w:p w:rsidR="7ECC8078" w:rsidP="7ECC8078" w:rsidRDefault="7ECC8078" w14:paraId="06F5A5E9" w14:textId="7003FB9F">
            <w:pPr>
              <w:spacing w:before="0" w:beforeAutospacing="off" w:after="0" w:afterAutospacing="off"/>
              <w:ind w:left="-240" w:right="-240"/>
              <w:rPr>
                <w:rFonts w:ascii="Calibri" w:hAnsi="Calibri" w:eastAsia="Calibri" w:cs="Calibri"/>
                <w:b w:val="1"/>
                <w:bCs w:val="1"/>
                <w:sz w:val="24"/>
                <w:szCs w:val="24"/>
              </w:rPr>
            </w:pPr>
            <w:r w:rsidRPr="7ECC8078" w:rsidR="7ECC8078">
              <w:rPr>
                <w:rFonts w:ascii="Calibri" w:hAnsi="Calibri" w:eastAsia="Calibri" w:cs="Calibri"/>
                <w:b w:val="1"/>
                <w:bCs w:val="1"/>
                <w:sz w:val="24"/>
                <w:szCs w:val="24"/>
              </w:rPr>
              <w:t>HOW WILL IT BE DELIVERED?</w:t>
            </w:r>
          </w:p>
        </w:tc>
        <w:tc>
          <w:tcPr>
            <w:tcW w:w="4127" w:type="dxa"/>
            <w:tcMar/>
            <w:vAlign w:val="center"/>
          </w:tcPr>
          <w:p w:rsidR="7ECC8078" w:rsidP="7ECC8078" w:rsidRDefault="7ECC8078" w14:paraId="41ECE5FF" w14:textId="581CEDB0">
            <w:pPr>
              <w:spacing w:before="0" w:beforeAutospacing="off" w:after="0" w:afterAutospacing="off"/>
              <w:ind w:left="-240" w:right="-240"/>
              <w:rPr>
                <w:rFonts w:ascii="Calibri" w:hAnsi="Calibri" w:eastAsia="Calibri" w:cs="Calibri"/>
                <w:b w:val="1"/>
                <w:bCs w:val="1"/>
                <w:sz w:val="24"/>
                <w:szCs w:val="24"/>
              </w:rPr>
            </w:pPr>
            <w:r w:rsidRPr="7ECC8078" w:rsidR="7ECC8078">
              <w:rPr>
                <w:rFonts w:ascii="Calibri" w:hAnsi="Calibri" w:eastAsia="Calibri" w:cs="Calibri"/>
                <w:b w:val="1"/>
                <w:bCs w:val="1"/>
                <w:sz w:val="24"/>
                <w:szCs w:val="24"/>
              </w:rPr>
              <w:t>WHAT WILL SUCCESS LOOK LIKE?</w:t>
            </w:r>
          </w:p>
        </w:tc>
      </w:tr>
      <w:tr w:rsidR="7ECC8078" w:rsidTr="7ECC8078" w14:paraId="015A4461">
        <w:trPr>
          <w:trHeight w:val="300"/>
        </w:trPr>
        <w:tc>
          <w:tcPr>
            <w:tcW w:w="4888" w:type="dxa"/>
            <w:tcMar/>
            <w:vAlign w:val="center"/>
          </w:tcPr>
          <w:p w:rsidR="7ECC8078" w:rsidP="7ECC8078" w:rsidRDefault="7ECC8078" w14:paraId="5A457780" w14:textId="06E371E9">
            <w:pPr>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The project will use phased planning and construction, stakeholder consultation, procurement, resource management and regular risk reviews.</w:t>
            </w:r>
          </w:p>
        </w:tc>
        <w:tc>
          <w:tcPr>
            <w:tcW w:w="4127" w:type="dxa"/>
            <w:tcMar/>
            <w:vAlign w:val="center"/>
          </w:tcPr>
          <w:p w:rsidR="7ECC8078" w:rsidP="7ECC8078" w:rsidRDefault="7ECC8078" w14:paraId="015AC631" w14:textId="3C951FCE">
            <w:pPr>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The hub is completed within the agreed budget and timescale, restores transport capacity and improves passenger safety, accessibility and experience.</w:t>
            </w:r>
          </w:p>
        </w:tc>
      </w:tr>
    </w:tbl>
    <w:p xmlns:wp14="http://schemas.microsoft.com/office/word/2010/wordml" w:rsidP="7ECC8078" wp14:paraId="04649272" wp14:textId="573F0A0E">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Quad Chart gives stakeholders a quick understanding of the problem, solution, delivery method and expected outcome. This is particularly useful for senior managers who need to understand the project without reading the whole plan.</w:t>
      </w:r>
    </w:p>
    <w:p xmlns:wp14="http://schemas.microsoft.com/office/word/2010/wordml" w:rsidP="7ECC8078" wp14:paraId="4D82A5EE" wp14:textId="1ED38D0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8BF5178" wp14:textId="311A24A5">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AD6AD5E" wp14:textId="0E48158F">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A603BF0" wp14:textId="488431E0">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FD6D24F" wp14:textId="447780E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0E82383" wp14:textId="459ECCD2">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3B046A93" wp14:textId="6B7A9923">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A06FDD2" wp14:textId="315CE518">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E7FCCB5" wp14:textId="33878090">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80B8CDC" wp14:textId="21EC9096">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6689030" wp14:textId="4ED21D39">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34E3880" wp14:textId="2BD48DA7">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7613A5A5" wp14:textId="11A65B3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6843935" wp14:textId="71276627">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9506312" wp14:textId="7F090266">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3D9DED3" wp14:textId="68F126DB">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F95D175" wp14:textId="6BB95D9C">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77D2EDE" wp14:textId="28C809A9">
      <w:pPr>
        <w:bidi w:val="0"/>
        <w:rPr>
          <w:rFonts w:ascii="Calibri" w:hAnsi="Calibri" w:eastAsia="Calibri" w:cs="Calibri"/>
          <w:sz w:val="24"/>
          <w:szCs w:val="24"/>
        </w:rPr>
      </w:pPr>
    </w:p>
    <w:p xmlns:wp14="http://schemas.microsoft.com/office/word/2010/wordml" w:rsidP="7ECC8078" wp14:paraId="30829CA0" wp14:textId="3687B398">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6. Gantt Chart</w:t>
      </w:r>
    </w:p>
    <w:p xmlns:wp14="http://schemas.microsoft.com/office/word/2010/wordml" w:rsidP="7ECC8078" wp14:paraId="23D5967A" wp14:textId="76289E24">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Gantt chart provides a high-level schedule for the 36-month project.</w:t>
      </w:r>
    </w:p>
    <w:p xmlns:wp14="http://schemas.microsoft.com/office/word/2010/wordml" w:rsidP="7ECC8078" wp14:paraId="213256DB" wp14:textId="3B82E032">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Table 2. Gantt Chart</w:t>
      </w:r>
    </w:p>
    <w:tbl>
      <w:tblPr>
        <w:tblStyle w:val="TableNormal"/>
        <w:bidiVisual w:val="0"/>
        <w:tblW w:w="0" w:type="auto"/>
        <w:tblLook w:val="06A0" w:firstRow="1" w:lastRow="0" w:firstColumn="1" w:lastColumn="0" w:noHBand="1" w:noVBand="1"/>
      </w:tblPr>
      <w:tblGrid>
        <w:gridCol w:w="1930"/>
        <w:gridCol w:w="1011"/>
        <w:gridCol w:w="1086"/>
        <w:gridCol w:w="1170"/>
        <w:gridCol w:w="1188"/>
        <w:gridCol w:w="1207"/>
        <w:gridCol w:w="1422"/>
      </w:tblGrid>
      <w:tr w:rsidR="7ECC8078" w:rsidTr="7ECC8078" w14:paraId="795E7EEC">
        <w:trPr>
          <w:trHeight w:val="300"/>
        </w:trPr>
        <w:tc>
          <w:tcPr>
            <w:tcW w:w="1930" w:type="dxa"/>
            <w:tcMar/>
            <w:vAlign w:val="center"/>
          </w:tcPr>
          <w:p w:rsidR="7ECC8078" w:rsidP="7ECC8078" w:rsidRDefault="7ECC8078" w14:paraId="638B6515" w14:textId="5605AA24">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Activity</w:t>
            </w:r>
          </w:p>
        </w:tc>
        <w:tc>
          <w:tcPr>
            <w:tcW w:w="1011" w:type="dxa"/>
            <w:tcMar/>
            <w:vAlign w:val="center"/>
          </w:tcPr>
          <w:p w:rsidR="7ECC8078" w:rsidP="7ECC8078" w:rsidRDefault="7ECC8078" w14:paraId="77722C5F" w14:textId="527E1CE4">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1–6 Months</w:t>
            </w:r>
          </w:p>
        </w:tc>
        <w:tc>
          <w:tcPr>
            <w:tcW w:w="1086" w:type="dxa"/>
            <w:tcMar/>
            <w:vAlign w:val="center"/>
          </w:tcPr>
          <w:p w:rsidR="7ECC8078" w:rsidP="7ECC8078" w:rsidRDefault="7ECC8078" w14:paraId="0910F933" w14:textId="3C078810">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7–12 Months</w:t>
            </w:r>
          </w:p>
        </w:tc>
        <w:tc>
          <w:tcPr>
            <w:tcW w:w="1170" w:type="dxa"/>
            <w:tcMar/>
            <w:vAlign w:val="center"/>
          </w:tcPr>
          <w:p w:rsidR="7ECC8078" w:rsidP="7ECC8078" w:rsidRDefault="7ECC8078" w14:paraId="19CC4795" w14:textId="162AB8EF">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13–18 Months</w:t>
            </w:r>
          </w:p>
        </w:tc>
        <w:tc>
          <w:tcPr>
            <w:tcW w:w="1188" w:type="dxa"/>
            <w:tcMar/>
            <w:vAlign w:val="center"/>
          </w:tcPr>
          <w:p w:rsidR="7ECC8078" w:rsidP="7ECC8078" w:rsidRDefault="7ECC8078" w14:paraId="2CEC6433" w14:textId="20157F2B">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19–24 Months</w:t>
            </w:r>
          </w:p>
        </w:tc>
        <w:tc>
          <w:tcPr>
            <w:tcW w:w="1207" w:type="dxa"/>
            <w:tcMar/>
            <w:vAlign w:val="center"/>
          </w:tcPr>
          <w:p w:rsidR="7ECC8078" w:rsidP="7ECC8078" w:rsidRDefault="7ECC8078" w14:paraId="7FD5F144" w14:textId="1DAE303A">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25–30 Months</w:t>
            </w:r>
          </w:p>
        </w:tc>
        <w:tc>
          <w:tcPr>
            <w:tcW w:w="1422" w:type="dxa"/>
            <w:tcMar/>
            <w:vAlign w:val="center"/>
          </w:tcPr>
          <w:p w:rsidR="7ECC8078" w:rsidP="7ECC8078" w:rsidRDefault="7ECC8078" w14:paraId="71BD9D20" w14:textId="4565967D">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31–36 Months</w:t>
            </w:r>
          </w:p>
        </w:tc>
      </w:tr>
      <w:tr w:rsidR="7ECC8078" w:rsidTr="7ECC8078" w14:paraId="56E13462">
        <w:trPr>
          <w:trHeight w:val="300"/>
        </w:trPr>
        <w:tc>
          <w:tcPr>
            <w:tcW w:w="1930" w:type="dxa"/>
            <w:tcMar/>
            <w:vAlign w:val="center"/>
          </w:tcPr>
          <w:p w:rsidR="7ECC8078" w:rsidP="7ECC8078" w:rsidRDefault="7ECC8078" w14:paraId="7155C0A9" w14:textId="2BDC7A7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Project initiation</w:t>
            </w:r>
          </w:p>
        </w:tc>
        <w:tc>
          <w:tcPr>
            <w:tcW w:w="1011" w:type="dxa"/>
            <w:tcMar/>
            <w:vAlign w:val="center"/>
          </w:tcPr>
          <w:p w:rsidR="7ECC8078" w:rsidP="7ECC8078" w:rsidRDefault="7ECC8078" w14:paraId="0A01C8E1" w14:textId="13F5A75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086" w:type="dxa"/>
            <w:tcMar/>
            <w:vAlign w:val="center"/>
          </w:tcPr>
          <w:p w:rsidR="7ECC8078" w:rsidP="7ECC8078" w:rsidRDefault="7ECC8078" w14:paraId="4E4FC5A0" w14:textId="2525E6A8">
            <w:pPr>
              <w:bidi w:val="0"/>
              <w:rPr>
                <w:rFonts w:ascii="Calibri" w:hAnsi="Calibri" w:eastAsia="Calibri" w:cs="Calibri"/>
                <w:sz w:val="24"/>
                <w:szCs w:val="24"/>
              </w:rPr>
            </w:pPr>
          </w:p>
        </w:tc>
        <w:tc>
          <w:tcPr>
            <w:tcW w:w="1170" w:type="dxa"/>
            <w:tcMar/>
            <w:vAlign w:val="center"/>
          </w:tcPr>
          <w:p w:rsidR="7ECC8078" w:rsidP="7ECC8078" w:rsidRDefault="7ECC8078" w14:paraId="266E0687" w14:textId="545CAACF">
            <w:pPr>
              <w:bidi w:val="0"/>
              <w:rPr>
                <w:rFonts w:ascii="Calibri" w:hAnsi="Calibri" w:eastAsia="Calibri" w:cs="Calibri"/>
                <w:sz w:val="24"/>
                <w:szCs w:val="24"/>
              </w:rPr>
            </w:pPr>
          </w:p>
        </w:tc>
        <w:tc>
          <w:tcPr>
            <w:tcW w:w="1188" w:type="dxa"/>
            <w:tcMar/>
            <w:vAlign w:val="center"/>
          </w:tcPr>
          <w:p w:rsidR="7ECC8078" w:rsidP="7ECC8078" w:rsidRDefault="7ECC8078" w14:paraId="0D60FA47" w14:textId="064E0FF0">
            <w:pPr>
              <w:bidi w:val="0"/>
              <w:rPr>
                <w:rFonts w:ascii="Calibri" w:hAnsi="Calibri" w:eastAsia="Calibri" w:cs="Calibri"/>
                <w:sz w:val="24"/>
                <w:szCs w:val="24"/>
              </w:rPr>
            </w:pPr>
          </w:p>
        </w:tc>
        <w:tc>
          <w:tcPr>
            <w:tcW w:w="1207" w:type="dxa"/>
            <w:tcMar/>
            <w:vAlign w:val="center"/>
          </w:tcPr>
          <w:p w:rsidR="7ECC8078" w:rsidP="7ECC8078" w:rsidRDefault="7ECC8078" w14:paraId="3BC8C381" w14:textId="4CF408AE">
            <w:pPr>
              <w:bidi w:val="0"/>
              <w:rPr>
                <w:rFonts w:ascii="Calibri" w:hAnsi="Calibri" w:eastAsia="Calibri" w:cs="Calibri"/>
                <w:sz w:val="24"/>
                <w:szCs w:val="24"/>
              </w:rPr>
            </w:pPr>
          </w:p>
        </w:tc>
        <w:tc>
          <w:tcPr>
            <w:tcW w:w="1422" w:type="dxa"/>
            <w:tcMar/>
            <w:vAlign w:val="center"/>
          </w:tcPr>
          <w:p w:rsidR="7ECC8078" w:rsidP="7ECC8078" w:rsidRDefault="7ECC8078" w14:paraId="0EA46010" w14:textId="46D2FF20">
            <w:pPr>
              <w:bidi w:val="0"/>
              <w:rPr>
                <w:rFonts w:ascii="Calibri" w:hAnsi="Calibri" w:eastAsia="Calibri" w:cs="Calibri"/>
                <w:sz w:val="24"/>
                <w:szCs w:val="24"/>
              </w:rPr>
            </w:pPr>
          </w:p>
        </w:tc>
      </w:tr>
      <w:tr w:rsidR="7ECC8078" w:rsidTr="7ECC8078" w14:paraId="5DCDFEF4">
        <w:trPr>
          <w:trHeight w:val="300"/>
        </w:trPr>
        <w:tc>
          <w:tcPr>
            <w:tcW w:w="1930" w:type="dxa"/>
            <w:tcMar/>
            <w:vAlign w:val="center"/>
          </w:tcPr>
          <w:p w:rsidR="7ECC8078" w:rsidP="7ECC8078" w:rsidRDefault="7ECC8078" w14:paraId="3750F7F9" w14:textId="2805036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Site investigations</w:t>
            </w:r>
          </w:p>
        </w:tc>
        <w:tc>
          <w:tcPr>
            <w:tcW w:w="1011" w:type="dxa"/>
            <w:tcMar/>
            <w:vAlign w:val="center"/>
          </w:tcPr>
          <w:p w:rsidR="7ECC8078" w:rsidP="7ECC8078" w:rsidRDefault="7ECC8078" w14:paraId="645A77F1" w14:textId="011EA15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086" w:type="dxa"/>
            <w:tcMar/>
            <w:vAlign w:val="center"/>
          </w:tcPr>
          <w:p w:rsidR="7ECC8078" w:rsidP="7ECC8078" w:rsidRDefault="7ECC8078" w14:paraId="4240EB2C" w14:textId="6FB33C6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70" w:type="dxa"/>
            <w:tcMar/>
            <w:vAlign w:val="center"/>
          </w:tcPr>
          <w:p w:rsidR="7ECC8078" w:rsidP="7ECC8078" w:rsidRDefault="7ECC8078" w14:paraId="19D15644" w14:textId="040972A2">
            <w:pPr>
              <w:bidi w:val="0"/>
              <w:rPr>
                <w:rFonts w:ascii="Calibri" w:hAnsi="Calibri" w:eastAsia="Calibri" w:cs="Calibri"/>
                <w:sz w:val="24"/>
                <w:szCs w:val="24"/>
              </w:rPr>
            </w:pPr>
          </w:p>
        </w:tc>
        <w:tc>
          <w:tcPr>
            <w:tcW w:w="1188" w:type="dxa"/>
            <w:tcMar/>
            <w:vAlign w:val="center"/>
          </w:tcPr>
          <w:p w:rsidR="7ECC8078" w:rsidP="7ECC8078" w:rsidRDefault="7ECC8078" w14:paraId="6AD8FB2F" w14:textId="09838F0B">
            <w:pPr>
              <w:bidi w:val="0"/>
              <w:rPr>
                <w:rFonts w:ascii="Calibri" w:hAnsi="Calibri" w:eastAsia="Calibri" w:cs="Calibri"/>
                <w:sz w:val="24"/>
                <w:szCs w:val="24"/>
              </w:rPr>
            </w:pPr>
          </w:p>
        </w:tc>
        <w:tc>
          <w:tcPr>
            <w:tcW w:w="1207" w:type="dxa"/>
            <w:tcMar/>
            <w:vAlign w:val="center"/>
          </w:tcPr>
          <w:p w:rsidR="7ECC8078" w:rsidP="7ECC8078" w:rsidRDefault="7ECC8078" w14:paraId="43F6F7F7" w14:textId="49360364">
            <w:pPr>
              <w:bidi w:val="0"/>
              <w:rPr>
                <w:rFonts w:ascii="Calibri" w:hAnsi="Calibri" w:eastAsia="Calibri" w:cs="Calibri"/>
                <w:sz w:val="24"/>
                <w:szCs w:val="24"/>
              </w:rPr>
            </w:pPr>
          </w:p>
        </w:tc>
        <w:tc>
          <w:tcPr>
            <w:tcW w:w="1422" w:type="dxa"/>
            <w:tcMar/>
            <w:vAlign w:val="center"/>
          </w:tcPr>
          <w:p w:rsidR="7ECC8078" w:rsidP="7ECC8078" w:rsidRDefault="7ECC8078" w14:paraId="22A72397" w14:textId="3BA8FBEE">
            <w:pPr>
              <w:bidi w:val="0"/>
              <w:rPr>
                <w:rFonts w:ascii="Calibri" w:hAnsi="Calibri" w:eastAsia="Calibri" w:cs="Calibri"/>
                <w:sz w:val="24"/>
                <w:szCs w:val="24"/>
              </w:rPr>
            </w:pPr>
          </w:p>
        </w:tc>
      </w:tr>
      <w:tr w:rsidR="7ECC8078" w:rsidTr="7ECC8078" w14:paraId="4BDB4158">
        <w:trPr>
          <w:trHeight w:val="300"/>
        </w:trPr>
        <w:tc>
          <w:tcPr>
            <w:tcW w:w="1930" w:type="dxa"/>
            <w:tcMar/>
            <w:vAlign w:val="center"/>
          </w:tcPr>
          <w:p w:rsidR="7ECC8078" w:rsidP="7ECC8078" w:rsidRDefault="7ECC8078" w14:paraId="3C881F6B" w14:textId="2309E96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Design</w:t>
            </w:r>
          </w:p>
        </w:tc>
        <w:tc>
          <w:tcPr>
            <w:tcW w:w="1011" w:type="dxa"/>
            <w:tcMar/>
            <w:vAlign w:val="center"/>
          </w:tcPr>
          <w:p w:rsidR="7ECC8078" w:rsidP="7ECC8078" w:rsidRDefault="7ECC8078" w14:paraId="6BB635DB" w14:textId="50F24A1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086" w:type="dxa"/>
            <w:tcMar/>
            <w:vAlign w:val="center"/>
          </w:tcPr>
          <w:p w:rsidR="7ECC8078" w:rsidP="7ECC8078" w:rsidRDefault="7ECC8078" w14:paraId="4483960D" w14:textId="3CC753EB">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70" w:type="dxa"/>
            <w:tcMar/>
            <w:vAlign w:val="center"/>
          </w:tcPr>
          <w:p w:rsidR="7ECC8078" w:rsidP="7ECC8078" w:rsidRDefault="7ECC8078" w14:paraId="65BC2D71" w14:textId="67274D34">
            <w:pPr>
              <w:bidi w:val="0"/>
              <w:rPr>
                <w:rFonts w:ascii="Calibri" w:hAnsi="Calibri" w:eastAsia="Calibri" w:cs="Calibri"/>
                <w:sz w:val="24"/>
                <w:szCs w:val="24"/>
              </w:rPr>
            </w:pPr>
          </w:p>
        </w:tc>
        <w:tc>
          <w:tcPr>
            <w:tcW w:w="1188" w:type="dxa"/>
            <w:tcMar/>
            <w:vAlign w:val="center"/>
          </w:tcPr>
          <w:p w:rsidR="7ECC8078" w:rsidP="7ECC8078" w:rsidRDefault="7ECC8078" w14:paraId="1AA19E40" w14:textId="62383D83">
            <w:pPr>
              <w:bidi w:val="0"/>
              <w:rPr>
                <w:rFonts w:ascii="Calibri" w:hAnsi="Calibri" w:eastAsia="Calibri" w:cs="Calibri"/>
                <w:sz w:val="24"/>
                <w:szCs w:val="24"/>
              </w:rPr>
            </w:pPr>
          </w:p>
        </w:tc>
        <w:tc>
          <w:tcPr>
            <w:tcW w:w="1207" w:type="dxa"/>
            <w:tcMar/>
            <w:vAlign w:val="center"/>
          </w:tcPr>
          <w:p w:rsidR="7ECC8078" w:rsidP="7ECC8078" w:rsidRDefault="7ECC8078" w14:paraId="3C01E83A" w14:textId="7296F12D">
            <w:pPr>
              <w:bidi w:val="0"/>
              <w:rPr>
                <w:rFonts w:ascii="Calibri" w:hAnsi="Calibri" w:eastAsia="Calibri" w:cs="Calibri"/>
                <w:sz w:val="24"/>
                <w:szCs w:val="24"/>
              </w:rPr>
            </w:pPr>
          </w:p>
        </w:tc>
        <w:tc>
          <w:tcPr>
            <w:tcW w:w="1422" w:type="dxa"/>
            <w:tcMar/>
            <w:vAlign w:val="center"/>
          </w:tcPr>
          <w:p w:rsidR="7ECC8078" w:rsidP="7ECC8078" w:rsidRDefault="7ECC8078" w14:paraId="2643EEFF" w14:textId="767C00CC">
            <w:pPr>
              <w:bidi w:val="0"/>
              <w:rPr>
                <w:rFonts w:ascii="Calibri" w:hAnsi="Calibri" w:eastAsia="Calibri" w:cs="Calibri"/>
                <w:sz w:val="24"/>
                <w:szCs w:val="24"/>
              </w:rPr>
            </w:pPr>
          </w:p>
        </w:tc>
      </w:tr>
      <w:tr w:rsidR="7ECC8078" w:rsidTr="7ECC8078" w14:paraId="73654772">
        <w:trPr>
          <w:trHeight w:val="300"/>
        </w:trPr>
        <w:tc>
          <w:tcPr>
            <w:tcW w:w="1930" w:type="dxa"/>
            <w:tcMar/>
            <w:vAlign w:val="center"/>
          </w:tcPr>
          <w:p w:rsidR="7ECC8078" w:rsidP="7ECC8078" w:rsidRDefault="7ECC8078" w14:paraId="426E3188" w14:textId="1C274A0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Planning and approvals</w:t>
            </w:r>
          </w:p>
        </w:tc>
        <w:tc>
          <w:tcPr>
            <w:tcW w:w="1011" w:type="dxa"/>
            <w:tcMar/>
            <w:vAlign w:val="center"/>
          </w:tcPr>
          <w:p w:rsidR="7ECC8078" w:rsidP="7ECC8078" w:rsidRDefault="7ECC8078" w14:paraId="4DCD1F09" w14:textId="127433A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086" w:type="dxa"/>
            <w:tcMar/>
            <w:vAlign w:val="center"/>
          </w:tcPr>
          <w:p w:rsidR="7ECC8078" w:rsidP="7ECC8078" w:rsidRDefault="7ECC8078" w14:paraId="4913E0DB" w14:textId="77974E4B">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70" w:type="dxa"/>
            <w:tcMar/>
            <w:vAlign w:val="center"/>
          </w:tcPr>
          <w:p w:rsidR="7ECC8078" w:rsidP="7ECC8078" w:rsidRDefault="7ECC8078" w14:paraId="1AEB098F" w14:textId="5EA0851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88" w:type="dxa"/>
            <w:tcMar/>
            <w:vAlign w:val="center"/>
          </w:tcPr>
          <w:p w:rsidR="7ECC8078" w:rsidP="7ECC8078" w:rsidRDefault="7ECC8078" w14:paraId="7C135FFD" w14:textId="68396743">
            <w:pPr>
              <w:bidi w:val="0"/>
              <w:rPr>
                <w:rFonts w:ascii="Calibri" w:hAnsi="Calibri" w:eastAsia="Calibri" w:cs="Calibri"/>
                <w:sz w:val="24"/>
                <w:szCs w:val="24"/>
              </w:rPr>
            </w:pPr>
          </w:p>
        </w:tc>
        <w:tc>
          <w:tcPr>
            <w:tcW w:w="1207" w:type="dxa"/>
            <w:tcMar/>
            <w:vAlign w:val="center"/>
          </w:tcPr>
          <w:p w:rsidR="7ECC8078" w:rsidP="7ECC8078" w:rsidRDefault="7ECC8078" w14:paraId="16FEC1DA" w14:textId="0E0D6847">
            <w:pPr>
              <w:bidi w:val="0"/>
              <w:rPr>
                <w:rFonts w:ascii="Calibri" w:hAnsi="Calibri" w:eastAsia="Calibri" w:cs="Calibri"/>
                <w:sz w:val="24"/>
                <w:szCs w:val="24"/>
              </w:rPr>
            </w:pPr>
          </w:p>
        </w:tc>
        <w:tc>
          <w:tcPr>
            <w:tcW w:w="1422" w:type="dxa"/>
            <w:tcMar/>
            <w:vAlign w:val="center"/>
          </w:tcPr>
          <w:p w:rsidR="7ECC8078" w:rsidP="7ECC8078" w:rsidRDefault="7ECC8078" w14:paraId="3D4F17E3" w14:textId="65BE918E">
            <w:pPr>
              <w:bidi w:val="0"/>
              <w:rPr>
                <w:rFonts w:ascii="Calibri" w:hAnsi="Calibri" w:eastAsia="Calibri" w:cs="Calibri"/>
                <w:sz w:val="24"/>
                <w:szCs w:val="24"/>
              </w:rPr>
            </w:pPr>
          </w:p>
        </w:tc>
      </w:tr>
      <w:tr w:rsidR="7ECC8078" w:rsidTr="7ECC8078" w14:paraId="5348C4B9">
        <w:trPr>
          <w:trHeight w:val="300"/>
        </w:trPr>
        <w:tc>
          <w:tcPr>
            <w:tcW w:w="1930" w:type="dxa"/>
            <w:tcMar/>
            <w:vAlign w:val="center"/>
          </w:tcPr>
          <w:p w:rsidR="7ECC8078" w:rsidP="7ECC8078" w:rsidRDefault="7ECC8078" w14:paraId="0A0B3CE5" w14:textId="7C90703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Procurement</w:t>
            </w:r>
          </w:p>
        </w:tc>
        <w:tc>
          <w:tcPr>
            <w:tcW w:w="1011" w:type="dxa"/>
            <w:tcMar/>
            <w:vAlign w:val="center"/>
          </w:tcPr>
          <w:p w:rsidR="7ECC8078" w:rsidP="7ECC8078" w:rsidRDefault="7ECC8078" w14:paraId="49C6E199" w14:textId="13EAF99D">
            <w:pPr>
              <w:bidi w:val="0"/>
              <w:rPr>
                <w:rFonts w:ascii="Calibri" w:hAnsi="Calibri" w:eastAsia="Calibri" w:cs="Calibri"/>
                <w:sz w:val="24"/>
                <w:szCs w:val="24"/>
              </w:rPr>
            </w:pPr>
          </w:p>
        </w:tc>
        <w:tc>
          <w:tcPr>
            <w:tcW w:w="1086" w:type="dxa"/>
            <w:tcMar/>
            <w:vAlign w:val="center"/>
          </w:tcPr>
          <w:p w:rsidR="7ECC8078" w:rsidP="7ECC8078" w:rsidRDefault="7ECC8078" w14:paraId="605F7026" w14:textId="76586E0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70" w:type="dxa"/>
            <w:tcMar/>
            <w:vAlign w:val="center"/>
          </w:tcPr>
          <w:p w:rsidR="7ECC8078" w:rsidP="7ECC8078" w:rsidRDefault="7ECC8078" w14:paraId="47033056" w14:textId="3BF296D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88" w:type="dxa"/>
            <w:tcMar/>
            <w:vAlign w:val="center"/>
          </w:tcPr>
          <w:p w:rsidR="7ECC8078" w:rsidP="7ECC8078" w:rsidRDefault="7ECC8078" w14:paraId="4230095C" w14:textId="59CEC391">
            <w:pPr>
              <w:bidi w:val="0"/>
              <w:rPr>
                <w:rFonts w:ascii="Calibri" w:hAnsi="Calibri" w:eastAsia="Calibri" w:cs="Calibri"/>
                <w:sz w:val="24"/>
                <w:szCs w:val="24"/>
              </w:rPr>
            </w:pPr>
          </w:p>
        </w:tc>
        <w:tc>
          <w:tcPr>
            <w:tcW w:w="1207" w:type="dxa"/>
            <w:tcMar/>
            <w:vAlign w:val="center"/>
          </w:tcPr>
          <w:p w:rsidR="7ECC8078" w:rsidP="7ECC8078" w:rsidRDefault="7ECC8078" w14:paraId="589B17E4" w14:textId="242F061C">
            <w:pPr>
              <w:bidi w:val="0"/>
              <w:rPr>
                <w:rFonts w:ascii="Calibri" w:hAnsi="Calibri" w:eastAsia="Calibri" w:cs="Calibri"/>
                <w:sz w:val="24"/>
                <w:szCs w:val="24"/>
              </w:rPr>
            </w:pPr>
          </w:p>
        </w:tc>
        <w:tc>
          <w:tcPr>
            <w:tcW w:w="1422" w:type="dxa"/>
            <w:tcMar/>
            <w:vAlign w:val="center"/>
          </w:tcPr>
          <w:p w:rsidR="7ECC8078" w:rsidP="7ECC8078" w:rsidRDefault="7ECC8078" w14:paraId="413DCB3C" w14:textId="34FE3AF0">
            <w:pPr>
              <w:bidi w:val="0"/>
              <w:rPr>
                <w:rFonts w:ascii="Calibri" w:hAnsi="Calibri" w:eastAsia="Calibri" w:cs="Calibri"/>
                <w:sz w:val="24"/>
                <w:szCs w:val="24"/>
              </w:rPr>
            </w:pPr>
          </w:p>
        </w:tc>
      </w:tr>
      <w:tr w:rsidR="7ECC8078" w:rsidTr="7ECC8078" w14:paraId="78080FB5">
        <w:trPr>
          <w:trHeight w:val="300"/>
        </w:trPr>
        <w:tc>
          <w:tcPr>
            <w:tcW w:w="1930" w:type="dxa"/>
            <w:tcMar/>
            <w:vAlign w:val="center"/>
          </w:tcPr>
          <w:p w:rsidR="7ECC8078" w:rsidP="7ECC8078" w:rsidRDefault="7ECC8078" w14:paraId="0D9ABC3F" w14:textId="5BB57D2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Demolition</w:t>
            </w:r>
          </w:p>
        </w:tc>
        <w:tc>
          <w:tcPr>
            <w:tcW w:w="1011" w:type="dxa"/>
            <w:tcMar/>
            <w:vAlign w:val="center"/>
          </w:tcPr>
          <w:p w:rsidR="7ECC8078" w:rsidP="7ECC8078" w:rsidRDefault="7ECC8078" w14:paraId="59589C5B" w14:textId="3FAA6F8A">
            <w:pPr>
              <w:bidi w:val="0"/>
              <w:rPr>
                <w:rFonts w:ascii="Calibri" w:hAnsi="Calibri" w:eastAsia="Calibri" w:cs="Calibri"/>
                <w:sz w:val="24"/>
                <w:szCs w:val="24"/>
              </w:rPr>
            </w:pPr>
          </w:p>
        </w:tc>
        <w:tc>
          <w:tcPr>
            <w:tcW w:w="1086" w:type="dxa"/>
            <w:tcMar/>
            <w:vAlign w:val="center"/>
          </w:tcPr>
          <w:p w:rsidR="7ECC8078" w:rsidP="7ECC8078" w:rsidRDefault="7ECC8078" w14:paraId="6C225A21" w14:textId="477AD843">
            <w:pPr>
              <w:bidi w:val="0"/>
              <w:rPr>
                <w:rFonts w:ascii="Calibri" w:hAnsi="Calibri" w:eastAsia="Calibri" w:cs="Calibri"/>
                <w:sz w:val="24"/>
                <w:szCs w:val="24"/>
              </w:rPr>
            </w:pPr>
          </w:p>
        </w:tc>
        <w:tc>
          <w:tcPr>
            <w:tcW w:w="1170" w:type="dxa"/>
            <w:tcMar/>
            <w:vAlign w:val="center"/>
          </w:tcPr>
          <w:p w:rsidR="7ECC8078" w:rsidP="7ECC8078" w:rsidRDefault="7ECC8078" w14:paraId="5B10FB24" w14:textId="7C66FAA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88" w:type="dxa"/>
            <w:tcMar/>
            <w:vAlign w:val="center"/>
          </w:tcPr>
          <w:p w:rsidR="7ECC8078" w:rsidP="7ECC8078" w:rsidRDefault="7ECC8078" w14:paraId="3044873D" w14:textId="577C612D">
            <w:pPr>
              <w:bidi w:val="0"/>
              <w:rPr>
                <w:rFonts w:ascii="Calibri" w:hAnsi="Calibri" w:eastAsia="Calibri" w:cs="Calibri"/>
                <w:sz w:val="24"/>
                <w:szCs w:val="24"/>
              </w:rPr>
            </w:pPr>
          </w:p>
        </w:tc>
        <w:tc>
          <w:tcPr>
            <w:tcW w:w="1207" w:type="dxa"/>
            <w:tcMar/>
            <w:vAlign w:val="center"/>
          </w:tcPr>
          <w:p w:rsidR="7ECC8078" w:rsidP="7ECC8078" w:rsidRDefault="7ECC8078" w14:paraId="27CDBA2D" w14:textId="38DA3421">
            <w:pPr>
              <w:bidi w:val="0"/>
              <w:rPr>
                <w:rFonts w:ascii="Calibri" w:hAnsi="Calibri" w:eastAsia="Calibri" w:cs="Calibri"/>
                <w:sz w:val="24"/>
                <w:szCs w:val="24"/>
              </w:rPr>
            </w:pPr>
          </w:p>
        </w:tc>
        <w:tc>
          <w:tcPr>
            <w:tcW w:w="1422" w:type="dxa"/>
            <w:tcMar/>
            <w:vAlign w:val="center"/>
          </w:tcPr>
          <w:p w:rsidR="7ECC8078" w:rsidP="7ECC8078" w:rsidRDefault="7ECC8078" w14:paraId="075A622F" w14:textId="2BECFD1E">
            <w:pPr>
              <w:bidi w:val="0"/>
              <w:rPr>
                <w:rFonts w:ascii="Calibri" w:hAnsi="Calibri" w:eastAsia="Calibri" w:cs="Calibri"/>
                <w:sz w:val="24"/>
                <w:szCs w:val="24"/>
              </w:rPr>
            </w:pPr>
          </w:p>
        </w:tc>
      </w:tr>
      <w:tr w:rsidR="7ECC8078" w:rsidTr="7ECC8078" w14:paraId="0019A3C5">
        <w:trPr>
          <w:trHeight w:val="300"/>
        </w:trPr>
        <w:tc>
          <w:tcPr>
            <w:tcW w:w="1930" w:type="dxa"/>
            <w:tcMar/>
            <w:vAlign w:val="center"/>
          </w:tcPr>
          <w:p w:rsidR="7ECC8078" w:rsidP="7ECC8078" w:rsidRDefault="7ECC8078" w14:paraId="5EDE697E" w14:textId="5B3CB46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Main construction</w:t>
            </w:r>
          </w:p>
        </w:tc>
        <w:tc>
          <w:tcPr>
            <w:tcW w:w="1011" w:type="dxa"/>
            <w:tcMar/>
            <w:vAlign w:val="center"/>
          </w:tcPr>
          <w:p w:rsidR="7ECC8078" w:rsidP="7ECC8078" w:rsidRDefault="7ECC8078" w14:paraId="4922241B" w14:textId="2EB71857">
            <w:pPr>
              <w:bidi w:val="0"/>
              <w:rPr>
                <w:rFonts w:ascii="Calibri" w:hAnsi="Calibri" w:eastAsia="Calibri" w:cs="Calibri"/>
                <w:sz w:val="24"/>
                <w:szCs w:val="24"/>
              </w:rPr>
            </w:pPr>
          </w:p>
        </w:tc>
        <w:tc>
          <w:tcPr>
            <w:tcW w:w="1086" w:type="dxa"/>
            <w:tcMar/>
            <w:vAlign w:val="center"/>
          </w:tcPr>
          <w:p w:rsidR="7ECC8078" w:rsidP="7ECC8078" w:rsidRDefault="7ECC8078" w14:paraId="416F3075" w14:textId="592C12D9">
            <w:pPr>
              <w:bidi w:val="0"/>
              <w:rPr>
                <w:rFonts w:ascii="Calibri" w:hAnsi="Calibri" w:eastAsia="Calibri" w:cs="Calibri"/>
                <w:sz w:val="24"/>
                <w:szCs w:val="24"/>
              </w:rPr>
            </w:pPr>
          </w:p>
        </w:tc>
        <w:tc>
          <w:tcPr>
            <w:tcW w:w="1170" w:type="dxa"/>
            <w:tcMar/>
            <w:vAlign w:val="center"/>
          </w:tcPr>
          <w:p w:rsidR="7ECC8078" w:rsidP="7ECC8078" w:rsidRDefault="7ECC8078" w14:paraId="62B8F49B" w14:textId="50DFC89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188" w:type="dxa"/>
            <w:tcMar/>
            <w:vAlign w:val="center"/>
          </w:tcPr>
          <w:p w:rsidR="7ECC8078" w:rsidP="7ECC8078" w:rsidRDefault="7ECC8078" w14:paraId="6F0B9C63" w14:textId="24587FCF">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207" w:type="dxa"/>
            <w:tcMar/>
            <w:vAlign w:val="center"/>
          </w:tcPr>
          <w:p w:rsidR="7ECC8078" w:rsidP="7ECC8078" w:rsidRDefault="7ECC8078" w14:paraId="23B998B7" w14:textId="3347871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422" w:type="dxa"/>
            <w:tcMar/>
            <w:vAlign w:val="center"/>
          </w:tcPr>
          <w:p w:rsidR="7ECC8078" w:rsidP="7ECC8078" w:rsidRDefault="7ECC8078" w14:paraId="08D84AE0" w14:textId="582BEC0D">
            <w:pPr>
              <w:bidi w:val="0"/>
              <w:rPr>
                <w:rFonts w:ascii="Calibri" w:hAnsi="Calibri" w:eastAsia="Calibri" w:cs="Calibri"/>
                <w:sz w:val="24"/>
                <w:szCs w:val="24"/>
              </w:rPr>
            </w:pPr>
          </w:p>
        </w:tc>
      </w:tr>
      <w:tr w:rsidR="7ECC8078" w:rsidTr="7ECC8078" w14:paraId="442973D9">
        <w:trPr>
          <w:trHeight w:val="300"/>
        </w:trPr>
        <w:tc>
          <w:tcPr>
            <w:tcW w:w="1930" w:type="dxa"/>
            <w:tcMar/>
            <w:vAlign w:val="center"/>
          </w:tcPr>
          <w:p w:rsidR="7ECC8078" w:rsidP="7ECC8078" w:rsidRDefault="7ECC8078" w14:paraId="1FA7B3D7" w14:textId="6F8DF36B">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Digital systems</w:t>
            </w:r>
          </w:p>
        </w:tc>
        <w:tc>
          <w:tcPr>
            <w:tcW w:w="1011" w:type="dxa"/>
            <w:tcMar/>
            <w:vAlign w:val="center"/>
          </w:tcPr>
          <w:p w:rsidR="7ECC8078" w:rsidP="7ECC8078" w:rsidRDefault="7ECC8078" w14:paraId="32B58419" w14:textId="78CA2A9C">
            <w:pPr>
              <w:bidi w:val="0"/>
              <w:rPr>
                <w:rFonts w:ascii="Calibri" w:hAnsi="Calibri" w:eastAsia="Calibri" w:cs="Calibri"/>
                <w:sz w:val="24"/>
                <w:szCs w:val="24"/>
              </w:rPr>
            </w:pPr>
          </w:p>
        </w:tc>
        <w:tc>
          <w:tcPr>
            <w:tcW w:w="1086" w:type="dxa"/>
            <w:tcMar/>
            <w:vAlign w:val="center"/>
          </w:tcPr>
          <w:p w:rsidR="7ECC8078" w:rsidP="7ECC8078" w:rsidRDefault="7ECC8078" w14:paraId="2F505C9A" w14:textId="6918A1B8">
            <w:pPr>
              <w:bidi w:val="0"/>
              <w:rPr>
                <w:rFonts w:ascii="Calibri" w:hAnsi="Calibri" w:eastAsia="Calibri" w:cs="Calibri"/>
                <w:sz w:val="24"/>
                <w:szCs w:val="24"/>
              </w:rPr>
            </w:pPr>
          </w:p>
        </w:tc>
        <w:tc>
          <w:tcPr>
            <w:tcW w:w="1170" w:type="dxa"/>
            <w:tcMar/>
            <w:vAlign w:val="center"/>
          </w:tcPr>
          <w:p w:rsidR="7ECC8078" w:rsidP="7ECC8078" w:rsidRDefault="7ECC8078" w14:paraId="4AB8DAAF" w14:textId="3B902B88">
            <w:pPr>
              <w:bidi w:val="0"/>
              <w:rPr>
                <w:rFonts w:ascii="Calibri" w:hAnsi="Calibri" w:eastAsia="Calibri" w:cs="Calibri"/>
                <w:sz w:val="24"/>
                <w:szCs w:val="24"/>
              </w:rPr>
            </w:pPr>
          </w:p>
        </w:tc>
        <w:tc>
          <w:tcPr>
            <w:tcW w:w="1188" w:type="dxa"/>
            <w:tcMar/>
            <w:vAlign w:val="center"/>
          </w:tcPr>
          <w:p w:rsidR="7ECC8078" w:rsidP="7ECC8078" w:rsidRDefault="7ECC8078" w14:paraId="6CFCBFE1" w14:textId="28C8FCB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207" w:type="dxa"/>
            <w:tcMar/>
            <w:vAlign w:val="center"/>
          </w:tcPr>
          <w:p w:rsidR="7ECC8078" w:rsidP="7ECC8078" w:rsidRDefault="7ECC8078" w14:paraId="13A33C93" w14:textId="064EC18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422" w:type="dxa"/>
            <w:tcMar/>
            <w:vAlign w:val="center"/>
          </w:tcPr>
          <w:p w:rsidR="7ECC8078" w:rsidP="7ECC8078" w:rsidRDefault="7ECC8078" w14:paraId="5A4ACD80" w14:textId="3ED8029D">
            <w:pPr>
              <w:bidi w:val="0"/>
              <w:rPr>
                <w:rFonts w:ascii="Calibri" w:hAnsi="Calibri" w:eastAsia="Calibri" w:cs="Calibri"/>
                <w:sz w:val="24"/>
                <w:szCs w:val="24"/>
              </w:rPr>
            </w:pPr>
          </w:p>
        </w:tc>
      </w:tr>
      <w:tr w:rsidR="7ECC8078" w:rsidTr="7ECC8078" w14:paraId="7FB4D25F">
        <w:trPr>
          <w:trHeight w:val="300"/>
        </w:trPr>
        <w:tc>
          <w:tcPr>
            <w:tcW w:w="1930" w:type="dxa"/>
            <w:tcMar/>
            <w:vAlign w:val="center"/>
          </w:tcPr>
          <w:p w:rsidR="7ECC8078" w:rsidP="7ECC8078" w:rsidRDefault="7ECC8078" w14:paraId="37580772" w14:textId="4DB5178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Sustainable systems</w:t>
            </w:r>
          </w:p>
        </w:tc>
        <w:tc>
          <w:tcPr>
            <w:tcW w:w="1011" w:type="dxa"/>
            <w:tcMar/>
            <w:vAlign w:val="center"/>
          </w:tcPr>
          <w:p w:rsidR="7ECC8078" w:rsidP="7ECC8078" w:rsidRDefault="7ECC8078" w14:paraId="75F125E9" w14:textId="0266AB52">
            <w:pPr>
              <w:bidi w:val="0"/>
              <w:rPr>
                <w:rFonts w:ascii="Calibri" w:hAnsi="Calibri" w:eastAsia="Calibri" w:cs="Calibri"/>
                <w:sz w:val="24"/>
                <w:szCs w:val="24"/>
              </w:rPr>
            </w:pPr>
          </w:p>
        </w:tc>
        <w:tc>
          <w:tcPr>
            <w:tcW w:w="1086" w:type="dxa"/>
            <w:tcMar/>
            <w:vAlign w:val="center"/>
          </w:tcPr>
          <w:p w:rsidR="7ECC8078" w:rsidP="7ECC8078" w:rsidRDefault="7ECC8078" w14:paraId="519465FD" w14:textId="49362BF1">
            <w:pPr>
              <w:bidi w:val="0"/>
              <w:rPr>
                <w:rFonts w:ascii="Calibri" w:hAnsi="Calibri" w:eastAsia="Calibri" w:cs="Calibri"/>
                <w:sz w:val="24"/>
                <w:szCs w:val="24"/>
              </w:rPr>
            </w:pPr>
          </w:p>
        </w:tc>
        <w:tc>
          <w:tcPr>
            <w:tcW w:w="1170" w:type="dxa"/>
            <w:tcMar/>
            <w:vAlign w:val="center"/>
          </w:tcPr>
          <w:p w:rsidR="7ECC8078" w:rsidP="7ECC8078" w:rsidRDefault="7ECC8078" w14:paraId="64D3989E" w14:textId="794885B0">
            <w:pPr>
              <w:bidi w:val="0"/>
              <w:rPr>
                <w:rFonts w:ascii="Calibri" w:hAnsi="Calibri" w:eastAsia="Calibri" w:cs="Calibri"/>
                <w:sz w:val="24"/>
                <w:szCs w:val="24"/>
              </w:rPr>
            </w:pPr>
          </w:p>
        </w:tc>
        <w:tc>
          <w:tcPr>
            <w:tcW w:w="1188" w:type="dxa"/>
            <w:tcMar/>
            <w:vAlign w:val="center"/>
          </w:tcPr>
          <w:p w:rsidR="7ECC8078" w:rsidP="7ECC8078" w:rsidRDefault="7ECC8078" w14:paraId="399B57B1" w14:textId="0C2C46A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207" w:type="dxa"/>
            <w:tcMar/>
            <w:vAlign w:val="center"/>
          </w:tcPr>
          <w:p w:rsidR="7ECC8078" w:rsidP="7ECC8078" w:rsidRDefault="7ECC8078" w14:paraId="5695776F" w14:textId="15D3F7C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422" w:type="dxa"/>
            <w:tcMar/>
            <w:vAlign w:val="center"/>
          </w:tcPr>
          <w:p w:rsidR="7ECC8078" w:rsidP="7ECC8078" w:rsidRDefault="7ECC8078" w14:paraId="23E8F5F7" w14:textId="467D3419">
            <w:pPr>
              <w:bidi w:val="0"/>
              <w:rPr>
                <w:rFonts w:ascii="Calibri" w:hAnsi="Calibri" w:eastAsia="Calibri" w:cs="Calibri"/>
                <w:sz w:val="24"/>
                <w:szCs w:val="24"/>
              </w:rPr>
            </w:pPr>
          </w:p>
        </w:tc>
      </w:tr>
      <w:tr w:rsidR="7ECC8078" w:rsidTr="7ECC8078" w14:paraId="74AFD830">
        <w:trPr>
          <w:trHeight w:val="300"/>
        </w:trPr>
        <w:tc>
          <w:tcPr>
            <w:tcW w:w="1930" w:type="dxa"/>
            <w:tcMar/>
            <w:vAlign w:val="center"/>
          </w:tcPr>
          <w:p w:rsidR="7ECC8078" w:rsidP="7ECC8078" w:rsidRDefault="7ECC8078" w14:paraId="13308459" w14:textId="29301FF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Testing and commissioning</w:t>
            </w:r>
          </w:p>
        </w:tc>
        <w:tc>
          <w:tcPr>
            <w:tcW w:w="1011" w:type="dxa"/>
            <w:tcMar/>
            <w:vAlign w:val="center"/>
          </w:tcPr>
          <w:p w:rsidR="7ECC8078" w:rsidP="7ECC8078" w:rsidRDefault="7ECC8078" w14:paraId="2FAA9294" w14:textId="29980DCC">
            <w:pPr>
              <w:bidi w:val="0"/>
              <w:rPr>
                <w:rFonts w:ascii="Calibri" w:hAnsi="Calibri" w:eastAsia="Calibri" w:cs="Calibri"/>
                <w:sz w:val="24"/>
                <w:szCs w:val="24"/>
              </w:rPr>
            </w:pPr>
          </w:p>
        </w:tc>
        <w:tc>
          <w:tcPr>
            <w:tcW w:w="1086" w:type="dxa"/>
            <w:tcMar/>
            <w:vAlign w:val="center"/>
          </w:tcPr>
          <w:p w:rsidR="7ECC8078" w:rsidP="7ECC8078" w:rsidRDefault="7ECC8078" w14:paraId="4323906F" w14:textId="3A072271">
            <w:pPr>
              <w:bidi w:val="0"/>
              <w:rPr>
                <w:rFonts w:ascii="Calibri" w:hAnsi="Calibri" w:eastAsia="Calibri" w:cs="Calibri"/>
                <w:sz w:val="24"/>
                <w:szCs w:val="24"/>
              </w:rPr>
            </w:pPr>
          </w:p>
        </w:tc>
        <w:tc>
          <w:tcPr>
            <w:tcW w:w="1170" w:type="dxa"/>
            <w:tcMar/>
            <w:vAlign w:val="center"/>
          </w:tcPr>
          <w:p w:rsidR="7ECC8078" w:rsidP="7ECC8078" w:rsidRDefault="7ECC8078" w14:paraId="00EA950D" w14:textId="332D14CC">
            <w:pPr>
              <w:bidi w:val="0"/>
              <w:rPr>
                <w:rFonts w:ascii="Calibri" w:hAnsi="Calibri" w:eastAsia="Calibri" w:cs="Calibri"/>
                <w:sz w:val="24"/>
                <w:szCs w:val="24"/>
              </w:rPr>
            </w:pPr>
          </w:p>
        </w:tc>
        <w:tc>
          <w:tcPr>
            <w:tcW w:w="1188" w:type="dxa"/>
            <w:tcMar/>
            <w:vAlign w:val="center"/>
          </w:tcPr>
          <w:p w:rsidR="7ECC8078" w:rsidP="7ECC8078" w:rsidRDefault="7ECC8078" w14:paraId="207EBE55" w14:textId="5ADE87EB">
            <w:pPr>
              <w:bidi w:val="0"/>
              <w:rPr>
                <w:rFonts w:ascii="Calibri" w:hAnsi="Calibri" w:eastAsia="Calibri" w:cs="Calibri"/>
                <w:sz w:val="24"/>
                <w:szCs w:val="24"/>
              </w:rPr>
            </w:pPr>
          </w:p>
        </w:tc>
        <w:tc>
          <w:tcPr>
            <w:tcW w:w="1207" w:type="dxa"/>
            <w:tcMar/>
            <w:vAlign w:val="center"/>
          </w:tcPr>
          <w:p w:rsidR="7ECC8078" w:rsidP="7ECC8078" w:rsidRDefault="7ECC8078" w14:paraId="3F4203AC" w14:textId="5AF89E48">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c>
          <w:tcPr>
            <w:tcW w:w="1422" w:type="dxa"/>
            <w:tcMar/>
            <w:vAlign w:val="center"/>
          </w:tcPr>
          <w:p w:rsidR="7ECC8078" w:rsidP="7ECC8078" w:rsidRDefault="7ECC8078" w14:paraId="7F45B5E3" w14:textId="453D808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r>
      <w:tr w:rsidR="7ECC8078" w:rsidTr="7ECC8078" w14:paraId="64FF1D4D">
        <w:trPr>
          <w:trHeight w:val="300"/>
        </w:trPr>
        <w:tc>
          <w:tcPr>
            <w:tcW w:w="1930" w:type="dxa"/>
            <w:tcMar/>
            <w:vAlign w:val="center"/>
          </w:tcPr>
          <w:p w:rsidR="7ECC8078" w:rsidP="7ECC8078" w:rsidRDefault="7ECC8078" w14:paraId="443130D3" w14:textId="3AFF3ED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Staff training</w:t>
            </w:r>
          </w:p>
        </w:tc>
        <w:tc>
          <w:tcPr>
            <w:tcW w:w="1011" w:type="dxa"/>
            <w:tcMar/>
            <w:vAlign w:val="center"/>
          </w:tcPr>
          <w:p w:rsidR="7ECC8078" w:rsidP="7ECC8078" w:rsidRDefault="7ECC8078" w14:paraId="670006F8" w14:textId="48EE1EF1">
            <w:pPr>
              <w:bidi w:val="0"/>
              <w:rPr>
                <w:rFonts w:ascii="Calibri" w:hAnsi="Calibri" w:eastAsia="Calibri" w:cs="Calibri"/>
                <w:sz w:val="24"/>
                <w:szCs w:val="24"/>
              </w:rPr>
            </w:pPr>
          </w:p>
        </w:tc>
        <w:tc>
          <w:tcPr>
            <w:tcW w:w="1086" w:type="dxa"/>
            <w:tcMar/>
            <w:vAlign w:val="center"/>
          </w:tcPr>
          <w:p w:rsidR="7ECC8078" w:rsidP="7ECC8078" w:rsidRDefault="7ECC8078" w14:paraId="331F85B0" w14:textId="706C1989">
            <w:pPr>
              <w:bidi w:val="0"/>
              <w:rPr>
                <w:rFonts w:ascii="Calibri" w:hAnsi="Calibri" w:eastAsia="Calibri" w:cs="Calibri"/>
                <w:sz w:val="24"/>
                <w:szCs w:val="24"/>
              </w:rPr>
            </w:pPr>
          </w:p>
        </w:tc>
        <w:tc>
          <w:tcPr>
            <w:tcW w:w="1170" w:type="dxa"/>
            <w:tcMar/>
            <w:vAlign w:val="center"/>
          </w:tcPr>
          <w:p w:rsidR="7ECC8078" w:rsidP="7ECC8078" w:rsidRDefault="7ECC8078" w14:paraId="6A49690A" w14:textId="6EBF2023">
            <w:pPr>
              <w:bidi w:val="0"/>
              <w:rPr>
                <w:rFonts w:ascii="Calibri" w:hAnsi="Calibri" w:eastAsia="Calibri" w:cs="Calibri"/>
                <w:sz w:val="24"/>
                <w:szCs w:val="24"/>
              </w:rPr>
            </w:pPr>
          </w:p>
        </w:tc>
        <w:tc>
          <w:tcPr>
            <w:tcW w:w="1188" w:type="dxa"/>
            <w:tcMar/>
            <w:vAlign w:val="center"/>
          </w:tcPr>
          <w:p w:rsidR="7ECC8078" w:rsidP="7ECC8078" w:rsidRDefault="7ECC8078" w14:paraId="30FF8C09" w14:textId="6DF0BAE9">
            <w:pPr>
              <w:bidi w:val="0"/>
              <w:rPr>
                <w:rFonts w:ascii="Calibri" w:hAnsi="Calibri" w:eastAsia="Calibri" w:cs="Calibri"/>
                <w:sz w:val="24"/>
                <w:szCs w:val="24"/>
              </w:rPr>
            </w:pPr>
          </w:p>
        </w:tc>
        <w:tc>
          <w:tcPr>
            <w:tcW w:w="1207" w:type="dxa"/>
            <w:tcMar/>
            <w:vAlign w:val="center"/>
          </w:tcPr>
          <w:p w:rsidR="7ECC8078" w:rsidP="7ECC8078" w:rsidRDefault="7ECC8078" w14:paraId="39101A72" w14:textId="2A288C7D">
            <w:pPr>
              <w:bidi w:val="0"/>
              <w:rPr>
                <w:rFonts w:ascii="Calibri" w:hAnsi="Calibri" w:eastAsia="Calibri" w:cs="Calibri"/>
                <w:sz w:val="24"/>
                <w:szCs w:val="24"/>
              </w:rPr>
            </w:pPr>
          </w:p>
        </w:tc>
        <w:tc>
          <w:tcPr>
            <w:tcW w:w="1422" w:type="dxa"/>
            <w:tcMar/>
            <w:vAlign w:val="center"/>
          </w:tcPr>
          <w:p w:rsidR="7ECC8078" w:rsidP="7ECC8078" w:rsidRDefault="7ECC8078" w14:paraId="4415F7EA" w14:textId="55BF663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r>
      <w:tr w:rsidR="7ECC8078" w:rsidTr="7ECC8078" w14:paraId="64E4121A">
        <w:trPr>
          <w:trHeight w:val="300"/>
        </w:trPr>
        <w:tc>
          <w:tcPr>
            <w:tcW w:w="1930" w:type="dxa"/>
            <w:tcMar/>
            <w:vAlign w:val="center"/>
          </w:tcPr>
          <w:p w:rsidR="7ECC8078" w:rsidP="7ECC8078" w:rsidRDefault="7ECC8078" w14:paraId="109FF57F" w14:textId="2A104BE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Handover</w:t>
            </w:r>
          </w:p>
        </w:tc>
        <w:tc>
          <w:tcPr>
            <w:tcW w:w="1011" w:type="dxa"/>
            <w:tcMar/>
            <w:vAlign w:val="center"/>
          </w:tcPr>
          <w:p w:rsidR="7ECC8078" w:rsidP="7ECC8078" w:rsidRDefault="7ECC8078" w14:paraId="6EDB7142" w14:textId="2931FD05">
            <w:pPr>
              <w:bidi w:val="0"/>
              <w:rPr>
                <w:rFonts w:ascii="Calibri" w:hAnsi="Calibri" w:eastAsia="Calibri" w:cs="Calibri"/>
                <w:sz w:val="24"/>
                <w:szCs w:val="24"/>
              </w:rPr>
            </w:pPr>
          </w:p>
        </w:tc>
        <w:tc>
          <w:tcPr>
            <w:tcW w:w="1086" w:type="dxa"/>
            <w:tcMar/>
            <w:vAlign w:val="center"/>
          </w:tcPr>
          <w:p w:rsidR="7ECC8078" w:rsidP="7ECC8078" w:rsidRDefault="7ECC8078" w14:paraId="744DC874" w14:textId="445EA441">
            <w:pPr>
              <w:bidi w:val="0"/>
              <w:rPr>
                <w:rFonts w:ascii="Calibri" w:hAnsi="Calibri" w:eastAsia="Calibri" w:cs="Calibri"/>
                <w:sz w:val="24"/>
                <w:szCs w:val="24"/>
              </w:rPr>
            </w:pPr>
          </w:p>
        </w:tc>
        <w:tc>
          <w:tcPr>
            <w:tcW w:w="1170" w:type="dxa"/>
            <w:tcMar/>
            <w:vAlign w:val="center"/>
          </w:tcPr>
          <w:p w:rsidR="7ECC8078" w:rsidP="7ECC8078" w:rsidRDefault="7ECC8078" w14:paraId="154A4266" w14:textId="021A1BE5">
            <w:pPr>
              <w:bidi w:val="0"/>
              <w:rPr>
                <w:rFonts w:ascii="Calibri" w:hAnsi="Calibri" w:eastAsia="Calibri" w:cs="Calibri"/>
                <w:sz w:val="24"/>
                <w:szCs w:val="24"/>
              </w:rPr>
            </w:pPr>
          </w:p>
        </w:tc>
        <w:tc>
          <w:tcPr>
            <w:tcW w:w="1188" w:type="dxa"/>
            <w:tcMar/>
            <w:vAlign w:val="center"/>
          </w:tcPr>
          <w:p w:rsidR="7ECC8078" w:rsidP="7ECC8078" w:rsidRDefault="7ECC8078" w14:paraId="4B39F37E" w14:textId="36CDFFEF">
            <w:pPr>
              <w:bidi w:val="0"/>
              <w:rPr>
                <w:rFonts w:ascii="Calibri" w:hAnsi="Calibri" w:eastAsia="Calibri" w:cs="Calibri"/>
                <w:sz w:val="24"/>
                <w:szCs w:val="24"/>
              </w:rPr>
            </w:pPr>
          </w:p>
        </w:tc>
        <w:tc>
          <w:tcPr>
            <w:tcW w:w="1207" w:type="dxa"/>
            <w:tcMar/>
            <w:vAlign w:val="center"/>
          </w:tcPr>
          <w:p w:rsidR="7ECC8078" w:rsidP="7ECC8078" w:rsidRDefault="7ECC8078" w14:paraId="5E691F7F" w14:textId="79F66731">
            <w:pPr>
              <w:bidi w:val="0"/>
              <w:rPr>
                <w:rFonts w:ascii="Calibri" w:hAnsi="Calibri" w:eastAsia="Calibri" w:cs="Calibri"/>
                <w:sz w:val="24"/>
                <w:szCs w:val="24"/>
              </w:rPr>
            </w:pPr>
          </w:p>
        </w:tc>
        <w:tc>
          <w:tcPr>
            <w:tcW w:w="1422" w:type="dxa"/>
            <w:tcMar/>
            <w:vAlign w:val="center"/>
          </w:tcPr>
          <w:p w:rsidR="7ECC8078" w:rsidP="7ECC8078" w:rsidRDefault="7ECC8078" w14:paraId="21F9265C" w14:textId="460E76B9">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t>
            </w:r>
          </w:p>
        </w:tc>
      </w:tr>
    </w:tbl>
    <w:p xmlns:wp14="http://schemas.microsoft.com/office/word/2010/wordml" w:rsidP="7ECC8078" wp14:paraId="39244F70" wp14:textId="6579C87A">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first six months focus on project initiation, site investigation and early design. Planning and approvals will continue during the first year. Procurement will then be completed before the main construction stage begins.</w:t>
      </w:r>
    </w:p>
    <w:p xmlns:wp14="http://schemas.microsoft.com/office/word/2010/wordml" w:rsidP="7ECC8078" wp14:paraId="046335B3" wp14:textId="5D95A43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Construction is expected to take approximately 18 months. Digital and sustainable systems will be installed during the later construction period.</w:t>
      </w:r>
    </w:p>
    <w:p xmlns:wp14="http://schemas.microsoft.com/office/word/2010/wordml" w:rsidP="7ECC8078" wp14:paraId="4F1A80E9" wp14:textId="5DE33871">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final six months will focus on testing, staff training, final inspections and handover.</w:t>
      </w:r>
    </w:p>
    <w:p xmlns:wp14="http://schemas.microsoft.com/office/word/2010/wordml" w:rsidP="7ECC8078" wp14:paraId="40E384DE" wp14:textId="06B486D8">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Gantt chart is a high-level plan rather than a fixed schedule. The Project Manager will review it regularly because unexpected structural problems, procurement issues or changes to design could affect the programme.</w:t>
      </w:r>
    </w:p>
    <w:p xmlns:wp14="http://schemas.microsoft.com/office/word/2010/wordml" w:rsidP="7ECC8078" wp14:paraId="7060EABE" wp14:textId="447A6CF8">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critical path will also need to be monitored. Activities on the critical path have limited flexibility, so delays to these activities could delay the overall project.</w:t>
      </w:r>
    </w:p>
    <w:p xmlns:wp14="http://schemas.microsoft.com/office/word/2010/wordml" w:rsidP="7ECC8078" wp14:paraId="762903B8" wp14:textId="28414D8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Zwikael and Sadeh (2007) found that planning can be an effective tool for managing project risk. Therefore, schedule reviews will be linked to the project's risk management process.</w:t>
      </w:r>
    </w:p>
    <w:p xmlns:wp14="http://schemas.microsoft.com/office/word/2010/wordml" w:rsidP="7ECC8078" wp14:paraId="118B15AA" wp14:textId="008E5BA6">
      <w:pPr>
        <w:bidi w:val="0"/>
        <w:rPr>
          <w:rFonts w:ascii="Calibri" w:hAnsi="Calibri" w:eastAsia="Calibri" w:cs="Calibri"/>
          <w:sz w:val="24"/>
          <w:szCs w:val="24"/>
        </w:rPr>
      </w:pPr>
    </w:p>
    <w:p xmlns:wp14="http://schemas.microsoft.com/office/word/2010/wordml" w:rsidP="7ECC8078" wp14:paraId="745F1C37" wp14:textId="4E00D08F">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7. Stakeholder Involvement</w:t>
      </w:r>
    </w:p>
    <w:p xmlns:wp14="http://schemas.microsoft.com/office/word/2010/wordml" w:rsidP="7ECC8078" wp14:paraId="2DA84CEF" wp14:textId="694D4A2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has a wide range of stakeholders. These stakeholders have different interests and levels of influence, so they cannot all be managed in exactly the same way.</w:t>
      </w:r>
    </w:p>
    <w:p xmlns:wp14="http://schemas.microsoft.com/office/word/2010/wordml" w:rsidP="7ECC8078" wp14:paraId="041DB177" wp14:textId="6D8870F5">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The </w:t>
      </w:r>
      <w:r w:rsidRPr="7ECC8078" w:rsidR="63B6CA08">
        <w:rPr>
          <w:rFonts w:ascii="Calibri" w:hAnsi="Calibri" w:eastAsia="Calibri" w:cs="Calibri"/>
          <w:b w:val="1"/>
          <w:bCs w:val="1"/>
          <w:noProof w:val="0"/>
          <w:color w:val="0D0D0D" w:themeColor="text1" w:themeTint="F2" w:themeShade="FF"/>
          <w:sz w:val="24"/>
          <w:szCs w:val="24"/>
          <w:lang w:val="en-GB"/>
        </w:rPr>
        <w:t>local authority</w:t>
      </w:r>
      <w:r w:rsidRPr="7ECC8078" w:rsidR="63B6CA08">
        <w:rPr>
          <w:rFonts w:ascii="Calibri" w:hAnsi="Calibri" w:eastAsia="Calibri" w:cs="Calibri"/>
          <w:noProof w:val="0"/>
          <w:color w:val="0D0D0D" w:themeColor="text1" w:themeTint="F2" w:themeShade="FF"/>
          <w:sz w:val="24"/>
          <w:szCs w:val="24"/>
          <w:lang w:val="en-GB"/>
        </w:rPr>
        <w:t xml:space="preserve"> is a high-power stakeholder because it is responsible for strategic decisions, funding and planning. The local authority should therefore be represented on the Project Board and receive regular progress reports.</w:t>
      </w:r>
    </w:p>
    <w:p xmlns:wp14="http://schemas.microsoft.com/office/word/2010/wordml" w:rsidP="7ECC8078" wp14:paraId="4C865BBD" wp14:textId="79379D3E">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Transport operators</w:t>
      </w:r>
      <w:r w:rsidRPr="7ECC8078" w:rsidR="63B6CA08">
        <w:rPr>
          <w:rFonts w:ascii="Calibri" w:hAnsi="Calibri" w:eastAsia="Calibri" w:cs="Calibri"/>
          <w:noProof w:val="0"/>
          <w:color w:val="0D0D0D" w:themeColor="text1" w:themeTint="F2" w:themeShade="FF"/>
          <w:sz w:val="24"/>
          <w:szCs w:val="24"/>
          <w:lang w:val="en-GB"/>
        </w:rPr>
        <w:t xml:space="preserve"> are also highly important because they will use the new facility. Their involvement will be particularly important during the design and testing stages. They can provide information about passenger movement, operational requirements and safety.</w:t>
      </w:r>
    </w:p>
    <w:p xmlns:wp14="http://schemas.microsoft.com/office/word/2010/wordml" w:rsidP="7ECC8078" wp14:paraId="773EC037" wp14:textId="4D9A8CE6">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Passengers</w:t>
      </w:r>
      <w:r w:rsidRPr="7ECC8078" w:rsidR="63B6CA08">
        <w:rPr>
          <w:rFonts w:ascii="Calibri" w:hAnsi="Calibri" w:eastAsia="Calibri" w:cs="Calibri"/>
          <w:noProof w:val="0"/>
          <w:color w:val="0D0D0D" w:themeColor="text1" w:themeTint="F2" w:themeShade="FF"/>
          <w:sz w:val="24"/>
          <w:szCs w:val="24"/>
          <w:lang w:val="en-GB"/>
        </w:rPr>
        <w:t xml:space="preserve"> are the main users of the facility. Their views should be considered through surveys and consultation. This can help identify problems with the proposed design before construction is completed.</w:t>
      </w:r>
    </w:p>
    <w:p xmlns:wp14="http://schemas.microsoft.com/office/word/2010/wordml" w:rsidP="7ECC8078" wp14:paraId="6E9E1B19" wp14:textId="08575D8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Accessibility groups</w:t>
      </w:r>
      <w:r w:rsidRPr="7ECC8078" w:rsidR="63B6CA08">
        <w:rPr>
          <w:rFonts w:ascii="Calibri" w:hAnsi="Calibri" w:eastAsia="Calibri" w:cs="Calibri"/>
          <w:noProof w:val="0"/>
          <w:color w:val="0D0D0D" w:themeColor="text1" w:themeTint="F2" w:themeShade="FF"/>
          <w:sz w:val="24"/>
          <w:szCs w:val="24"/>
          <w:lang w:val="en-GB"/>
        </w:rPr>
        <w:t xml:space="preserve"> should be involved during the design process. Their involvement can help ensure that the new facility is suitable for people with different mobility and accessibility needs.</w:t>
      </w:r>
    </w:p>
    <w:p xmlns:wp14="http://schemas.microsoft.com/office/word/2010/wordml" w:rsidP="7ECC8078" wp14:paraId="6D53BABE" wp14:textId="4AB1B6F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Local businesses</w:t>
      </w:r>
      <w:r w:rsidRPr="7ECC8078" w:rsidR="63B6CA08">
        <w:rPr>
          <w:rFonts w:ascii="Calibri" w:hAnsi="Calibri" w:eastAsia="Calibri" w:cs="Calibri"/>
          <w:noProof w:val="0"/>
          <w:color w:val="0D0D0D" w:themeColor="text1" w:themeTint="F2" w:themeShade="FF"/>
          <w:sz w:val="24"/>
          <w:szCs w:val="24"/>
          <w:lang w:val="en-GB"/>
        </w:rPr>
        <w:t xml:space="preserve"> may be affected by construction traffic, noise and changes to pedestrian access. Regular updates and consultation can help reduce concerns.</w:t>
      </w:r>
    </w:p>
    <w:p xmlns:wp14="http://schemas.microsoft.com/office/word/2010/wordml" w:rsidP="7ECC8078" wp14:paraId="5F307948" wp14:textId="3F56A379">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Residents</w:t>
      </w:r>
      <w:r w:rsidRPr="7ECC8078" w:rsidR="63B6CA08">
        <w:rPr>
          <w:rFonts w:ascii="Calibri" w:hAnsi="Calibri" w:eastAsia="Calibri" w:cs="Calibri"/>
          <w:noProof w:val="0"/>
          <w:color w:val="0D0D0D" w:themeColor="text1" w:themeTint="F2" w:themeShade="FF"/>
          <w:sz w:val="24"/>
          <w:szCs w:val="24"/>
          <w:lang w:val="en-GB"/>
        </w:rPr>
        <w:t xml:space="preserve"> may also experience disruption during construction. Community meetings and online updates can be used to provide information.</w:t>
      </w:r>
    </w:p>
    <w:p xmlns:wp14="http://schemas.microsoft.com/office/word/2010/wordml" w:rsidP="7ECC8078" wp14:paraId="633BBF3D" wp14:textId="36291386">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Contractors and suppliers</w:t>
      </w:r>
      <w:r w:rsidRPr="7ECC8078" w:rsidR="63B6CA08">
        <w:rPr>
          <w:rFonts w:ascii="Calibri" w:hAnsi="Calibri" w:eastAsia="Calibri" w:cs="Calibri"/>
          <w:noProof w:val="0"/>
          <w:color w:val="0D0D0D" w:themeColor="text1" w:themeTint="F2" w:themeShade="FF"/>
          <w:sz w:val="24"/>
          <w:szCs w:val="24"/>
          <w:lang w:val="en-GB"/>
        </w:rPr>
        <w:t xml:space="preserve"> will have a high level of influence during construction. Clear contracts, performance requirements and regular meetings will be required.</w:t>
      </w:r>
    </w:p>
    <w:p xmlns:wp14="http://schemas.microsoft.com/office/word/2010/wordml" w:rsidP="7ECC8078" wp14:paraId="34969E89" wp14:textId="6A4C30CE">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Aaltonen and Kujala (2010) argue that stakeholder influence can change during different stages of a project. Therefore, the project will change its engagement approach depending on the stage.</w:t>
      </w:r>
    </w:p>
    <w:p xmlns:wp14="http://schemas.microsoft.com/office/word/2010/wordml" w:rsidP="7ECC8078" wp14:paraId="7441952D" wp14:textId="216EAE7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08DCC32" wp14:textId="2F5EBB5C">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46400306" wp14:textId="35DD54E2">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D58BE03" wp14:textId="79FC1E9D">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99E0925" wp14:textId="628AA762">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67871D7" wp14:textId="09FA768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34D9C23" wp14:textId="49F043A8">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BA7041C" wp14:textId="5B5330BF">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7AC6F885" wp14:textId="21188F85">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Table 3. Stakeholder Engagement Plan</w:t>
      </w:r>
    </w:p>
    <w:tbl>
      <w:tblPr>
        <w:tblStyle w:val="TableNormal"/>
        <w:bidiVisual w:val="0"/>
        <w:tblW w:w="0" w:type="auto"/>
        <w:tblLook w:val="06A0" w:firstRow="1" w:lastRow="0" w:firstColumn="1" w:lastColumn="0" w:noHBand="1" w:noVBand="1"/>
      </w:tblPr>
      <w:tblGrid>
        <w:gridCol w:w="2856"/>
        <w:gridCol w:w="1358"/>
        <w:gridCol w:w="1534"/>
        <w:gridCol w:w="3852"/>
      </w:tblGrid>
      <w:tr w:rsidR="7ECC8078" w:rsidTr="7ECC8078" w14:paraId="3CAE66EF">
        <w:trPr>
          <w:trHeight w:val="300"/>
        </w:trPr>
        <w:tc>
          <w:tcPr>
            <w:tcW w:w="2856" w:type="dxa"/>
            <w:tcMar/>
            <w:vAlign w:val="center"/>
          </w:tcPr>
          <w:p w:rsidR="7ECC8078" w:rsidP="7ECC8078" w:rsidRDefault="7ECC8078" w14:paraId="09F0A1EF" w14:textId="3C3A9BE0">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Stakeholder</w:t>
            </w:r>
          </w:p>
        </w:tc>
        <w:tc>
          <w:tcPr>
            <w:tcW w:w="1358" w:type="dxa"/>
            <w:tcMar/>
            <w:vAlign w:val="center"/>
          </w:tcPr>
          <w:p w:rsidR="7ECC8078" w:rsidP="7ECC8078" w:rsidRDefault="7ECC8078" w14:paraId="6B5CB0E8" w14:textId="75FEB0CE">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Interest</w:t>
            </w:r>
          </w:p>
        </w:tc>
        <w:tc>
          <w:tcPr>
            <w:tcW w:w="1534" w:type="dxa"/>
            <w:tcMar/>
            <w:vAlign w:val="center"/>
          </w:tcPr>
          <w:p w:rsidR="7ECC8078" w:rsidP="7ECC8078" w:rsidRDefault="7ECC8078" w14:paraId="6AAB77E8" w14:textId="37441765">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Influence</w:t>
            </w:r>
          </w:p>
        </w:tc>
        <w:tc>
          <w:tcPr>
            <w:tcW w:w="3852" w:type="dxa"/>
            <w:tcMar/>
            <w:vAlign w:val="center"/>
          </w:tcPr>
          <w:p w:rsidR="7ECC8078" w:rsidP="7ECC8078" w:rsidRDefault="7ECC8078" w14:paraId="5DF1F3CB" w14:textId="3D0F768B">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Engagement Method</w:t>
            </w:r>
          </w:p>
        </w:tc>
      </w:tr>
      <w:tr w:rsidR="7ECC8078" w:rsidTr="7ECC8078" w14:paraId="069E3347">
        <w:trPr>
          <w:trHeight w:val="300"/>
        </w:trPr>
        <w:tc>
          <w:tcPr>
            <w:tcW w:w="2856" w:type="dxa"/>
            <w:tcMar/>
            <w:vAlign w:val="center"/>
          </w:tcPr>
          <w:p w:rsidR="7ECC8078" w:rsidP="7ECC8078" w:rsidRDefault="7ECC8078" w14:paraId="379D57F4" w14:textId="17B7459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Local authority</w:t>
            </w:r>
          </w:p>
        </w:tc>
        <w:tc>
          <w:tcPr>
            <w:tcW w:w="1358" w:type="dxa"/>
            <w:tcMar/>
            <w:vAlign w:val="center"/>
          </w:tcPr>
          <w:p w:rsidR="7ECC8078" w:rsidP="7ECC8078" w:rsidRDefault="7ECC8078" w14:paraId="74E7252F" w14:textId="0C53390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364ADDA6" w14:textId="754F166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852" w:type="dxa"/>
            <w:tcMar/>
            <w:vAlign w:val="center"/>
          </w:tcPr>
          <w:p w:rsidR="7ECC8078" w:rsidP="7ECC8078" w:rsidRDefault="7ECC8078" w14:paraId="061F455C" w14:textId="37E8641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Project Board and monthly reports</w:t>
            </w:r>
          </w:p>
        </w:tc>
      </w:tr>
      <w:tr w:rsidR="7ECC8078" w:rsidTr="7ECC8078" w14:paraId="5A1A2B48">
        <w:trPr>
          <w:trHeight w:val="300"/>
        </w:trPr>
        <w:tc>
          <w:tcPr>
            <w:tcW w:w="2856" w:type="dxa"/>
            <w:tcMar/>
            <w:vAlign w:val="center"/>
          </w:tcPr>
          <w:p w:rsidR="7ECC8078" w:rsidP="7ECC8078" w:rsidRDefault="7ECC8078" w14:paraId="45B8BAE5" w14:textId="031243D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Transport operators</w:t>
            </w:r>
          </w:p>
        </w:tc>
        <w:tc>
          <w:tcPr>
            <w:tcW w:w="1358" w:type="dxa"/>
            <w:tcMar/>
            <w:vAlign w:val="center"/>
          </w:tcPr>
          <w:p w:rsidR="7ECC8078" w:rsidP="7ECC8078" w:rsidRDefault="7ECC8078" w14:paraId="2FE266E6" w14:textId="5AF9F09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2C98DDD2" w14:textId="4B86B317">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852" w:type="dxa"/>
            <w:tcMar/>
            <w:vAlign w:val="center"/>
          </w:tcPr>
          <w:p w:rsidR="7ECC8078" w:rsidP="7ECC8078" w:rsidRDefault="7ECC8078" w14:paraId="784BBFD2" w14:textId="55980E0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Design meetings and testing</w:t>
            </w:r>
          </w:p>
        </w:tc>
      </w:tr>
      <w:tr w:rsidR="7ECC8078" w:rsidTr="7ECC8078" w14:paraId="170EFB05">
        <w:trPr>
          <w:trHeight w:val="300"/>
        </w:trPr>
        <w:tc>
          <w:tcPr>
            <w:tcW w:w="2856" w:type="dxa"/>
            <w:tcMar/>
            <w:vAlign w:val="center"/>
          </w:tcPr>
          <w:p w:rsidR="7ECC8078" w:rsidP="7ECC8078" w:rsidRDefault="7ECC8078" w14:paraId="285FB459" w14:textId="0597B84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Passengers</w:t>
            </w:r>
          </w:p>
        </w:tc>
        <w:tc>
          <w:tcPr>
            <w:tcW w:w="1358" w:type="dxa"/>
            <w:tcMar/>
            <w:vAlign w:val="center"/>
          </w:tcPr>
          <w:p w:rsidR="7ECC8078" w:rsidP="7ECC8078" w:rsidRDefault="7ECC8078" w14:paraId="7D1D18CB" w14:textId="39963A3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02018A3A" w14:textId="337E68C7">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852" w:type="dxa"/>
            <w:tcMar/>
            <w:vAlign w:val="center"/>
          </w:tcPr>
          <w:p w:rsidR="7ECC8078" w:rsidP="7ECC8078" w:rsidRDefault="7ECC8078" w14:paraId="43430904" w14:textId="46F1EDB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Surveys and consultation</w:t>
            </w:r>
          </w:p>
        </w:tc>
      </w:tr>
      <w:tr w:rsidR="7ECC8078" w:rsidTr="7ECC8078" w14:paraId="204BF379">
        <w:trPr>
          <w:trHeight w:val="300"/>
        </w:trPr>
        <w:tc>
          <w:tcPr>
            <w:tcW w:w="2856" w:type="dxa"/>
            <w:tcMar/>
            <w:vAlign w:val="center"/>
          </w:tcPr>
          <w:p w:rsidR="7ECC8078" w:rsidP="7ECC8078" w:rsidRDefault="7ECC8078" w14:paraId="2FCDCFD7" w14:textId="43A053C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Local businesses</w:t>
            </w:r>
          </w:p>
        </w:tc>
        <w:tc>
          <w:tcPr>
            <w:tcW w:w="1358" w:type="dxa"/>
            <w:tcMar/>
            <w:vAlign w:val="center"/>
          </w:tcPr>
          <w:p w:rsidR="7ECC8078" w:rsidP="7ECC8078" w:rsidRDefault="7ECC8078" w14:paraId="44DFAB34" w14:textId="775D6B8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1C82E24A" w14:textId="5B3D84E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852" w:type="dxa"/>
            <w:tcMar/>
            <w:vAlign w:val="center"/>
          </w:tcPr>
          <w:p w:rsidR="7ECC8078" w:rsidP="7ECC8078" w:rsidRDefault="7ECC8078" w14:paraId="6756C894" w14:textId="0944021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Meetings and regular updates</w:t>
            </w:r>
          </w:p>
        </w:tc>
      </w:tr>
      <w:tr w:rsidR="7ECC8078" w:rsidTr="7ECC8078" w14:paraId="0F74F1A3">
        <w:trPr>
          <w:trHeight w:val="300"/>
        </w:trPr>
        <w:tc>
          <w:tcPr>
            <w:tcW w:w="2856" w:type="dxa"/>
            <w:tcMar/>
            <w:vAlign w:val="center"/>
          </w:tcPr>
          <w:p w:rsidR="7ECC8078" w:rsidP="7ECC8078" w:rsidRDefault="7ECC8078" w14:paraId="10E6ECCA" w14:textId="099DD86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Residents</w:t>
            </w:r>
          </w:p>
        </w:tc>
        <w:tc>
          <w:tcPr>
            <w:tcW w:w="1358" w:type="dxa"/>
            <w:tcMar/>
            <w:vAlign w:val="center"/>
          </w:tcPr>
          <w:p w:rsidR="7ECC8078" w:rsidP="7ECC8078" w:rsidRDefault="7ECC8078" w14:paraId="52977F29" w14:textId="2E77D20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534" w:type="dxa"/>
            <w:tcMar/>
            <w:vAlign w:val="center"/>
          </w:tcPr>
          <w:p w:rsidR="7ECC8078" w:rsidP="7ECC8078" w:rsidRDefault="7ECC8078" w14:paraId="5338D725" w14:textId="0D739D6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852" w:type="dxa"/>
            <w:tcMar/>
            <w:vAlign w:val="center"/>
          </w:tcPr>
          <w:p w:rsidR="7ECC8078" w:rsidP="7ECC8078" w:rsidRDefault="7ECC8078" w14:paraId="03763D23" w14:textId="6B14436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Community meetings</w:t>
            </w:r>
          </w:p>
        </w:tc>
      </w:tr>
      <w:tr w:rsidR="7ECC8078" w:rsidTr="7ECC8078" w14:paraId="12364E8C">
        <w:trPr>
          <w:trHeight w:val="300"/>
        </w:trPr>
        <w:tc>
          <w:tcPr>
            <w:tcW w:w="2856" w:type="dxa"/>
            <w:tcMar/>
            <w:vAlign w:val="center"/>
          </w:tcPr>
          <w:p w:rsidR="7ECC8078" w:rsidP="7ECC8078" w:rsidRDefault="7ECC8078" w14:paraId="3FAF4E79" w14:textId="5B3E3CD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Contractors</w:t>
            </w:r>
          </w:p>
        </w:tc>
        <w:tc>
          <w:tcPr>
            <w:tcW w:w="1358" w:type="dxa"/>
            <w:tcMar/>
            <w:vAlign w:val="center"/>
          </w:tcPr>
          <w:p w:rsidR="7ECC8078" w:rsidP="7ECC8078" w:rsidRDefault="7ECC8078" w14:paraId="137B3043" w14:textId="460A4C47">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1F44531B" w14:textId="69F8459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852" w:type="dxa"/>
            <w:tcMar/>
            <w:vAlign w:val="center"/>
          </w:tcPr>
          <w:p w:rsidR="7ECC8078" w:rsidP="7ECC8078" w:rsidRDefault="7ECC8078" w14:paraId="5BFEAA92" w14:textId="18D7070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Weekly project meetings</w:t>
            </w:r>
          </w:p>
        </w:tc>
      </w:tr>
      <w:tr w:rsidR="7ECC8078" w:rsidTr="7ECC8078" w14:paraId="35F83249">
        <w:trPr>
          <w:trHeight w:val="300"/>
        </w:trPr>
        <w:tc>
          <w:tcPr>
            <w:tcW w:w="2856" w:type="dxa"/>
            <w:tcMar/>
            <w:vAlign w:val="center"/>
          </w:tcPr>
          <w:p w:rsidR="7ECC8078" w:rsidP="7ECC8078" w:rsidRDefault="7ECC8078" w14:paraId="31C167AA" w14:textId="30A210F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Accessibility groups</w:t>
            </w:r>
          </w:p>
        </w:tc>
        <w:tc>
          <w:tcPr>
            <w:tcW w:w="1358" w:type="dxa"/>
            <w:tcMar/>
            <w:vAlign w:val="center"/>
          </w:tcPr>
          <w:p w:rsidR="7ECC8078" w:rsidP="7ECC8078" w:rsidRDefault="7ECC8078" w14:paraId="377C4A4F" w14:textId="1C18536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534" w:type="dxa"/>
            <w:tcMar/>
            <w:vAlign w:val="center"/>
          </w:tcPr>
          <w:p w:rsidR="7ECC8078" w:rsidP="7ECC8078" w:rsidRDefault="7ECC8078" w14:paraId="28212E92" w14:textId="235D822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852" w:type="dxa"/>
            <w:tcMar/>
            <w:vAlign w:val="center"/>
          </w:tcPr>
          <w:p w:rsidR="7ECC8078" w:rsidP="7ECC8078" w:rsidRDefault="7ECC8078" w14:paraId="4399AFB3" w14:textId="3F8166B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Design reviews</w:t>
            </w:r>
          </w:p>
        </w:tc>
      </w:tr>
      <w:tr w:rsidR="7ECC8078" w:rsidTr="7ECC8078" w14:paraId="45238CA4">
        <w:trPr>
          <w:trHeight w:val="300"/>
        </w:trPr>
        <w:tc>
          <w:tcPr>
            <w:tcW w:w="2856" w:type="dxa"/>
            <w:tcMar/>
            <w:vAlign w:val="center"/>
          </w:tcPr>
          <w:p w:rsidR="7ECC8078" w:rsidP="7ECC8078" w:rsidRDefault="7ECC8078" w14:paraId="7E63869F" w14:textId="24DAFC4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Emergency services</w:t>
            </w:r>
          </w:p>
        </w:tc>
        <w:tc>
          <w:tcPr>
            <w:tcW w:w="1358" w:type="dxa"/>
            <w:tcMar/>
            <w:vAlign w:val="center"/>
          </w:tcPr>
          <w:p w:rsidR="7ECC8078" w:rsidP="7ECC8078" w:rsidRDefault="7ECC8078" w14:paraId="17BF906A" w14:textId="07269EFD">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534" w:type="dxa"/>
            <w:tcMar/>
            <w:vAlign w:val="center"/>
          </w:tcPr>
          <w:p w:rsidR="7ECC8078" w:rsidP="7ECC8078" w:rsidRDefault="7ECC8078" w14:paraId="201EEE37" w14:textId="3389D3C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852" w:type="dxa"/>
            <w:tcMar/>
            <w:vAlign w:val="center"/>
          </w:tcPr>
          <w:p w:rsidR="7ECC8078" w:rsidP="7ECC8078" w:rsidRDefault="7ECC8078" w14:paraId="1BED17D0" w14:textId="6958F0A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Safety planning meetings</w:t>
            </w:r>
          </w:p>
        </w:tc>
      </w:tr>
      <w:tr w:rsidR="7ECC8078" w:rsidTr="7ECC8078" w14:paraId="0E03F501">
        <w:trPr>
          <w:trHeight w:val="300"/>
        </w:trPr>
        <w:tc>
          <w:tcPr>
            <w:tcW w:w="2856" w:type="dxa"/>
            <w:tcMar/>
            <w:vAlign w:val="center"/>
          </w:tcPr>
          <w:p w:rsidR="7ECC8078" w:rsidP="7ECC8078" w:rsidRDefault="7ECC8078" w14:paraId="75C8EBEC" w14:textId="2CFAD67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Environmental groups</w:t>
            </w:r>
          </w:p>
        </w:tc>
        <w:tc>
          <w:tcPr>
            <w:tcW w:w="1358" w:type="dxa"/>
            <w:tcMar/>
            <w:vAlign w:val="center"/>
          </w:tcPr>
          <w:p w:rsidR="7ECC8078" w:rsidP="7ECC8078" w:rsidRDefault="7ECC8078" w14:paraId="3AA96C21" w14:textId="4DA2394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534" w:type="dxa"/>
            <w:tcMar/>
            <w:vAlign w:val="center"/>
          </w:tcPr>
          <w:p w:rsidR="7ECC8078" w:rsidP="7ECC8078" w:rsidRDefault="7ECC8078" w14:paraId="6B2E509A" w14:textId="56E0D2D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852" w:type="dxa"/>
            <w:tcMar/>
            <w:vAlign w:val="center"/>
          </w:tcPr>
          <w:p w:rsidR="7ECC8078" w:rsidP="7ECC8078" w:rsidRDefault="7ECC8078" w14:paraId="6EFA1565" w14:textId="067D0C4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Sustainability consultation</w:t>
            </w:r>
          </w:p>
        </w:tc>
      </w:tr>
    </w:tbl>
    <w:p xmlns:wp14="http://schemas.microsoft.com/office/word/2010/wordml" w:rsidP="7ECC8078" wp14:paraId="4ED20F2F" wp14:textId="39E4EC0C">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Eskerod, Huemann and Ringhofer (2015) argue that stakeholder involvement can improve project management but can also create difficulties when different groups have conflicting expectations. The Project Manager will therefore need to consider stakeholder views while ensuring that decisions remain consistent with the agreed project objectives.</w:t>
      </w:r>
    </w:p>
    <w:p xmlns:wp14="http://schemas.microsoft.com/office/word/2010/wordml" w:rsidP="7ECC8078" wp14:paraId="15AE6D68" wp14:textId="1D4468A6">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Stakeholder engagement will be monitored throughout the project. Concerns will be recorded and assigned to the appropriate project team member.</w:t>
      </w:r>
    </w:p>
    <w:p xmlns:wp14="http://schemas.microsoft.com/office/word/2010/wordml" w:rsidP="7ECC8078" wp14:paraId="1086C311" wp14:textId="06498576">
      <w:pPr>
        <w:bidi w:val="0"/>
        <w:rPr>
          <w:rFonts w:ascii="Calibri" w:hAnsi="Calibri" w:eastAsia="Calibri" w:cs="Calibri"/>
          <w:sz w:val="24"/>
          <w:szCs w:val="24"/>
        </w:rPr>
      </w:pPr>
    </w:p>
    <w:p xmlns:wp14="http://schemas.microsoft.com/office/word/2010/wordml" w:rsidP="7ECC8078" wp14:paraId="16513972" wp14:textId="6A43AF65">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8. Allocation of Resources</w:t>
      </w:r>
    </w:p>
    <w:p xmlns:wp14="http://schemas.microsoft.com/office/word/2010/wordml" w:rsidP="7ECC8078" wp14:paraId="482CE966" wp14:textId="2EE2D4D3">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will require human, financial, physical and technological resources.</w:t>
      </w:r>
    </w:p>
    <w:p xmlns:wp14="http://schemas.microsoft.com/office/word/2010/wordml" w:rsidP="7ECC8078" wp14:paraId="783F8441" wp14:textId="0762BF0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main project team will include a Project Manager, Project Sponsor, Project Planner, Finance Manager, Commercial Manager, Risk Manager, Design Manager, Construction Manager, Health and Safety Manager, Environmental Manager and Stakeholder Engagement Manager.</w:t>
      </w:r>
    </w:p>
    <w:p xmlns:wp14="http://schemas.microsoft.com/office/word/2010/wordml" w:rsidP="7ECC8078" wp14:paraId="3EC54B88" wp14:textId="457F99B8">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Specialist professionals will also be needed. These will include architects, structural engineers, transport planners, digital specialists and accessibility specialists.</w:t>
      </w:r>
    </w:p>
    <w:p xmlns:wp14="http://schemas.microsoft.com/office/word/2010/wordml" w:rsidP="7ECC8078" wp14:paraId="6D460B69" wp14:textId="00D1D28D">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Construction workers will mainly be provided by the main contractor and specialist subcontractors.</w:t>
      </w:r>
    </w:p>
    <w:p xmlns:wp14="http://schemas.microsoft.com/office/word/2010/wordml" w:rsidP="7ECC8078" wp14:paraId="2FA510C8" wp14:textId="5BE0E3DE">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Manager will be responsible for making sure that resources are available when required. Different resources will be needed at different stages. For example, structural engineers will be particularly important during the investigation and design stages, while construction managers and site workers will become more important during construction.</w:t>
      </w:r>
    </w:p>
    <w:p xmlns:wp14="http://schemas.microsoft.com/office/word/2010/wordml" w:rsidP="7ECC8078" wp14:paraId="08786F9F" wp14:textId="16D213A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Müller and Turner (2007) suggest that different types of projects can require different leadership approaches. Because this project is complex and involves many stakeholders, the Project Manager will need strong communication and decision-making skills.</w:t>
      </w:r>
    </w:p>
    <w:p xmlns:wp14="http://schemas.microsoft.com/office/word/2010/wordml" w:rsidP="7ECC8078" wp14:paraId="64766F90" wp14:textId="35CBD53D">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Financial Resources</w:t>
      </w:r>
    </w:p>
    <w:p xmlns:wp14="http://schemas.microsoft.com/office/word/2010/wordml" w:rsidP="7ECC8078" wp14:paraId="31254469" wp14:textId="604FB761">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 detailed project budget will be produced following the investigation and design stages. A contingency allowance will be included to deal with unexpected costs.</w:t>
      </w:r>
    </w:p>
    <w:p xmlns:wp14="http://schemas.microsoft.com/office/word/2010/wordml" w:rsidP="7ECC8078" wp14:paraId="5D8A3E8E" wp14:textId="0B815661">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Monthly financial reports will compare planned expenditure against actual expenditure. Any significant difference will be investigated.</w:t>
      </w:r>
    </w:p>
    <w:p xmlns:wp14="http://schemas.microsoft.com/office/word/2010/wordml" w:rsidP="7ECC8078" wp14:paraId="78A870B7" wp14:textId="34ED1C0A">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Human Resources</w:t>
      </w:r>
    </w:p>
    <w:p xmlns:wp14="http://schemas.microsoft.com/office/word/2010/wordml" w:rsidP="7ECC8078" wp14:paraId="34B5F50F" wp14:textId="2A68FDD5">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Staff will be selected based on the skills required for each stage. Responsibilities will be clearly defined to avoid duplication or confusion.</w:t>
      </w:r>
    </w:p>
    <w:p xmlns:wp14="http://schemas.microsoft.com/office/word/2010/wordml" w:rsidP="7ECC8078" wp14:paraId="6EF9ADA6" wp14:textId="426F7864">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Training will also be provided where staff need to understand new digital systems, safety procedures or project processes.</w:t>
      </w:r>
    </w:p>
    <w:p xmlns:wp14="http://schemas.microsoft.com/office/word/2010/wordml" w:rsidP="7ECC8078" wp14:paraId="33A6DA3D" wp14:textId="29EE9707">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Physical Resources</w:t>
      </w:r>
    </w:p>
    <w:p xmlns:wp14="http://schemas.microsoft.com/office/word/2010/wordml" w:rsidP="7ECC8078" wp14:paraId="15B41A3A" wp14:textId="3F028186">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Physical resources will include construction materials, machinery, safety equipment, temporary site facilities and transport equipment.</w:t>
      </w:r>
    </w:p>
    <w:p xmlns:wp14="http://schemas.microsoft.com/office/word/2010/wordml" w:rsidP="7ECC8078" wp14:paraId="464C6ADF" wp14:textId="2D9E4B8D">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Materials with long delivery times should be identified early. Early procurement can reduce the chance of materials becoming a cause of construction delays.</w:t>
      </w:r>
    </w:p>
    <w:p xmlns:wp14="http://schemas.microsoft.com/office/word/2010/wordml" w:rsidP="7ECC8078" wp14:paraId="57F0FE3C" wp14:textId="3033B8F6">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Digital Resources</w:t>
      </w:r>
    </w:p>
    <w:p xmlns:wp14="http://schemas.microsoft.com/office/word/2010/wordml" w:rsidP="7ECC8078" wp14:paraId="2FE6A5AD" wp14:textId="67090733">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management software will be used to manage schedules, documents and communication. Digital design systems can also help architects, engineers and contractors coordinate the construction work.</w:t>
      </w:r>
    </w:p>
    <w:p xmlns:wp14="http://schemas.microsoft.com/office/word/2010/wordml" w:rsidP="7ECC8078" wp14:paraId="79E93FB0" wp14:textId="5B3507FC">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Good resource planning is important because a shortage of people or materials can cause delays and additional costs.</w:t>
      </w:r>
    </w:p>
    <w:p xmlns:wp14="http://schemas.microsoft.com/office/word/2010/wordml" w:rsidP="7ECC8078" wp14:paraId="5176D4C3" wp14:textId="741A9F9E">
      <w:pPr>
        <w:bidi w:val="0"/>
        <w:rPr>
          <w:rFonts w:ascii="Calibri" w:hAnsi="Calibri" w:eastAsia="Calibri" w:cs="Calibri"/>
          <w:sz w:val="24"/>
          <w:szCs w:val="24"/>
        </w:rPr>
      </w:pPr>
    </w:p>
    <w:p xmlns:wp14="http://schemas.microsoft.com/office/word/2010/wordml" w:rsidP="7ECC8078" wp14:paraId="580707AC" wp14:textId="795C1BA8">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9. Risk Analysis</w:t>
      </w:r>
    </w:p>
    <w:p xmlns:wp14="http://schemas.microsoft.com/office/word/2010/wordml" w:rsidP="7ECC8078" wp14:paraId="19CDB0A4" wp14:textId="7F3C8AA7">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Risk management is one of the most important parts of the project because the redevelopment involves an old building, major construction work and a large number of stakeholders.</w:t>
      </w:r>
    </w:p>
    <w:p xmlns:wp14="http://schemas.microsoft.com/office/word/2010/wordml" w:rsidP="7ECC8078" wp14:paraId="5A6C309F" wp14:textId="23380236">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The Project Manager will </w:t>
      </w:r>
      <w:r w:rsidRPr="7ECC8078" w:rsidR="63B6CA08">
        <w:rPr>
          <w:rFonts w:ascii="Calibri" w:hAnsi="Calibri" w:eastAsia="Calibri" w:cs="Calibri"/>
          <w:noProof w:val="0"/>
          <w:color w:val="0D0D0D" w:themeColor="text1" w:themeTint="F2" w:themeShade="FF"/>
          <w:sz w:val="24"/>
          <w:szCs w:val="24"/>
          <w:lang w:val="en-GB"/>
        </w:rPr>
        <w:t>identify</w:t>
      </w:r>
      <w:r w:rsidRPr="7ECC8078" w:rsidR="63B6CA08">
        <w:rPr>
          <w:rFonts w:ascii="Calibri" w:hAnsi="Calibri" w:eastAsia="Calibri" w:cs="Calibri"/>
          <w:noProof w:val="0"/>
          <w:color w:val="0D0D0D" w:themeColor="text1" w:themeTint="F2" w:themeShade="FF"/>
          <w:sz w:val="24"/>
          <w:szCs w:val="24"/>
          <w:lang w:val="en-GB"/>
        </w:rPr>
        <w:t xml:space="preserve"> risks, assess their likelihood and impact, assign risk </w:t>
      </w:r>
      <w:r w:rsidRPr="7ECC8078" w:rsidR="63B6CA08">
        <w:rPr>
          <w:rFonts w:ascii="Calibri" w:hAnsi="Calibri" w:eastAsia="Calibri" w:cs="Calibri"/>
          <w:noProof w:val="0"/>
          <w:color w:val="0D0D0D" w:themeColor="text1" w:themeTint="F2" w:themeShade="FF"/>
          <w:sz w:val="24"/>
          <w:szCs w:val="24"/>
          <w:lang w:val="en-GB"/>
        </w:rPr>
        <w:t>owners</w:t>
      </w:r>
      <w:r w:rsidRPr="7ECC8078" w:rsidR="63B6CA08">
        <w:rPr>
          <w:rFonts w:ascii="Calibri" w:hAnsi="Calibri" w:eastAsia="Calibri" w:cs="Calibri"/>
          <w:noProof w:val="0"/>
          <w:color w:val="0D0D0D" w:themeColor="text1" w:themeTint="F2" w:themeShade="FF"/>
          <w:sz w:val="24"/>
          <w:szCs w:val="24"/>
          <w:lang w:val="en-GB"/>
        </w:rPr>
        <w:t xml:space="preserve"> and decide on suitable responses. The risk register will be reviewed</w:t>
      </w:r>
      <w:r w:rsidRPr="7ECC8078" w:rsidR="5154D512">
        <w:rPr>
          <w:rFonts w:ascii="Calibri" w:hAnsi="Calibri" w:eastAsia="Calibri" w:cs="Calibri"/>
          <w:noProof w:val="0"/>
          <w:color w:val="0D0D0D" w:themeColor="text1" w:themeTint="F2" w:themeShade="FF"/>
          <w:sz w:val="24"/>
          <w:szCs w:val="24"/>
          <w:lang w:val="en-GB"/>
        </w:rPr>
        <w:t xml:space="preserve"> </w:t>
      </w:r>
      <w:r w:rsidRPr="7ECC8078" w:rsidR="63B6CA08">
        <w:rPr>
          <w:rFonts w:ascii="Calibri" w:hAnsi="Calibri" w:eastAsia="Calibri" w:cs="Calibri"/>
          <w:noProof w:val="0"/>
          <w:color w:val="0D0D0D" w:themeColor="text1" w:themeTint="F2" w:themeShade="FF"/>
          <w:sz w:val="24"/>
          <w:szCs w:val="24"/>
          <w:lang w:val="en-GB"/>
        </w:rPr>
        <w:t>regularly.</w:t>
      </w:r>
    </w:p>
    <w:p xmlns:wp14="http://schemas.microsoft.com/office/word/2010/wordml" w:rsidP="7ECC8078" wp14:paraId="7147132A" wp14:textId="2B10CAA1">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2B582773" wp14:textId="091D16B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7E7F3047" wp14:textId="45797F3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131805B4" wp14:textId="4B9D0E22">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0A8607B8" wp14:textId="1CE6B60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6EDCB83C" wp14:textId="08AACD89">
      <w:pPr>
        <w:pStyle w:val="Normal"/>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p>
    <w:p xmlns:wp14="http://schemas.microsoft.com/office/word/2010/wordml" w:rsidP="7ECC8078" wp14:paraId="53258944" wp14:textId="53CDBB10">
      <w:pPr>
        <w:pStyle w:val="Heading3"/>
        <w:bidi w:val="0"/>
        <w:spacing w:before="240" w:beforeAutospacing="off" w:after="6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Table 4. Project Risk Register</w:t>
      </w:r>
    </w:p>
    <w:tbl>
      <w:tblPr>
        <w:tblStyle w:val="TableNormal"/>
        <w:bidiVisual w:val="0"/>
        <w:tblW w:w="0" w:type="auto"/>
        <w:tblLook w:val="06A0" w:firstRow="1" w:lastRow="0" w:firstColumn="1" w:lastColumn="0" w:noHBand="1" w:noVBand="1"/>
      </w:tblPr>
      <w:tblGrid>
        <w:gridCol w:w="2592"/>
        <w:gridCol w:w="2592"/>
        <w:gridCol w:w="1872"/>
        <w:gridCol w:w="3024"/>
      </w:tblGrid>
      <w:tr w:rsidR="7ECC8078" w:rsidTr="7ECC8078" w14:paraId="35026482">
        <w:trPr>
          <w:trHeight w:val="300"/>
        </w:trPr>
        <w:tc>
          <w:tcPr>
            <w:tcW w:w="2592" w:type="dxa"/>
            <w:tcMar/>
            <w:vAlign w:val="center"/>
          </w:tcPr>
          <w:p w:rsidR="7ECC8078" w:rsidP="7ECC8078" w:rsidRDefault="7ECC8078" w14:paraId="1523AF11" w14:textId="54352111">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Risk</w:t>
            </w:r>
          </w:p>
        </w:tc>
        <w:tc>
          <w:tcPr>
            <w:tcW w:w="2592" w:type="dxa"/>
            <w:tcMar/>
            <w:vAlign w:val="center"/>
          </w:tcPr>
          <w:p w:rsidR="7ECC8078" w:rsidP="7ECC8078" w:rsidRDefault="7ECC8078" w14:paraId="0734BF4A" w14:textId="69BAE518">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Likelihood</w:t>
            </w:r>
          </w:p>
        </w:tc>
        <w:tc>
          <w:tcPr>
            <w:tcW w:w="1872" w:type="dxa"/>
            <w:tcMar/>
            <w:vAlign w:val="center"/>
          </w:tcPr>
          <w:p w:rsidR="7ECC8078" w:rsidP="7ECC8078" w:rsidRDefault="7ECC8078" w14:paraId="7AA87164" w14:textId="4AE28344">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Impact</w:t>
            </w:r>
          </w:p>
        </w:tc>
        <w:tc>
          <w:tcPr>
            <w:tcW w:w="3024" w:type="dxa"/>
            <w:tcMar/>
            <w:vAlign w:val="center"/>
          </w:tcPr>
          <w:p w:rsidR="7ECC8078" w:rsidP="7ECC8078" w:rsidRDefault="7ECC8078" w14:paraId="7A6ADB2F" w14:textId="06D181A0">
            <w:pPr>
              <w:bidi w:val="0"/>
              <w:spacing w:before="0" w:beforeAutospacing="off" w:after="0" w:afterAutospacing="off"/>
              <w:ind w:left="-240" w:right="-240"/>
              <w:jc w:val="center"/>
              <w:rPr>
                <w:rFonts w:ascii="Calibri" w:hAnsi="Calibri" w:eastAsia="Calibri" w:cs="Calibri"/>
                <w:b w:val="1"/>
                <w:bCs w:val="1"/>
                <w:sz w:val="24"/>
                <w:szCs w:val="24"/>
              </w:rPr>
            </w:pPr>
            <w:r w:rsidRPr="7ECC8078" w:rsidR="7ECC8078">
              <w:rPr>
                <w:rFonts w:ascii="Calibri" w:hAnsi="Calibri" w:eastAsia="Calibri" w:cs="Calibri"/>
                <w:b w:val="1"/>
                <w:bCs w:val="1"/>
                <w:sz w:val="24"/>
                <w:szCs w:val="24"/>
              </w:rPr>
              <w:t>Response</w:t>
            </w:r>
          </w:p>
        </w:tc>
      </w:tr>
      <w:tr w:rsidR="7ECC8078" w:rsidTr="7ECC8078" w14:paraId="49CC3E5D">
        <w:trPr>
          <w:trHeight w:val="300"/>
        </w:trPr>
        <w:tc>
          <w:tcPr>
            <w:tcW w:w="2592" w:type="dxa"/>
            <w:tcMar/>
            <w:vAlign w:val="center"/>
          </w:tcPr>
          <w:p w:rsidR="7ECC8078" w:rsidP="7ECC8078" w:rsidRDefault="7ECC8078" w14:paraId="7F18D97F" w14:textId="4CCDE2E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Unexpected structural problems</w:t>
            </w:r>
          </w:p>
        </w:tc>
        <w:tc>
          <w:tcPr>
            <w:tcW w:w="2592" w:type="dxa"/>
            <w:tcMar/>
            <w:vAlign w:val="center"/>
          </w:tcPr>
          <w:p w:rsidR="7ECC8078" w:rsidP="7ECC8078" w:rsidRDefault="7ECC8078" w14:paraId="391CB67E" w14:textId="6380921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872" w:type="dxa"/>
            <w:tcMar/>
            <w:vAlign w:val="center"/>
          </w:tcPr>
          <w:p w:rsidR="7ECC8078" w:rsidP="7ECC8078" w:rsidRDefault="7ECC8078" w14:paraId="2B5F9C05" w14:textId="1F56473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180F33F7" w14:textId="7FE259D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Complete detailed surveys before construction and keep contingency funding.</w:t>
            </w:r>
          </w:p>
          <w:p w:rsidR="7ECC8078" w:rsidP="7ECC8078" w:rsidRDefault="7ECC8078" w14:paraId="63F34045" w14:textId="34C3BB48">
            <w:pPr>
              <w:bidi w:val="0"/>
              <w:spacing w:before="0" w:beforeAutospacing="off" w:after="0" w:afterAutospacing="off"/>
              <w:ind w:left="-240" w:right="-240"/>
              <w:rPr>
                <w:rFonts w:ascii="Calibri" w:hAnsi="Calibri" w:eastAsia="Calibri" w:cs="Calibri"/>
                <w:sz w:val="24"/>
                <w:szCs w:val="24"/>
              </w:rPr>
            </w:pPr>
          </w:p>
        </w:tc>
      </w:tr>
      <w:tr w:rsidR="7ECC8078" w:rsidTr="7ECC8078" w14:paraId="2EFBF5A1">
        <w:trPr>
          <w:trHeight w:val="300"/>
        </w:trPr>
        <w:tc>
          <w:tcPr>
            <w:tcW w:w="2592" w:type="dxa"/>
            <w:tcMar/>
            <w:vAlign w:val="center"/>
          </w:tcPr>
          <w:p w:rsidR="7ECC8078" w:rsidP="7ECC8078" w:rsidRDefault="7ECC8078" w14:paraId="79342A6E" w14:textId="50BC92E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Construction costs increase</w:t>
            </w:r>
          </w:p>
        </w:tc>
        <w:tc>
          <w:tcPr>
            <w:tcW w:w="2592" w:type="dxa"/>
            <w:tcMar/>
            <w:vAlign w:val="center"/>
          </w:tcPr>
          <w:p w:rsidR="7ECC8078" w:rsidP="7ECC8078" w:rsidRDefault="7ECC8078" w14:paraId="780A111D" w14:textId="4EBB1C9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1872" w:type="dxa"/>
            <w:tcMar/>
            <w:vAlign w:val="center"/>
          </w:tcPr>
          <w:p w:rsidR="7ECC8078" w:rsidP="7ECC8078" w:rsidRDefault="7ECC8078" w14:paraId="005C7670" w14:textId="1D1F3FFF">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66CAE45D" w14:textId="473E5527">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Monitor costs regularly and secure key materials early.</w:t>
            </w:r>
          </w:p>
          <w:p w:rsidR="7ECC8078" w:rsidP="7ECC8078" w:rsidRDefault="7ECC8078" w14:paraId="4645E558" w14:textId="74CF5FDA">
            <w:pPr>
              <w:bidi w:val="0"/>
              <w:spacing w:before="0" w:beforeAutospacing="off" w:after="0" w:afterAutospacing="off"/>
              <w:ind w:left="-240" w:right="-240"/>
              <w:rPr>
                <w:rFonts w:ascii="Calibri" w:hAnsi="Calibri" w:eastAsia="Calibri" w:cs="Calibri"/>
                <w:sz w:val="24"/>
                <w:szCs w:val="24"/>
              </w:rPr>
            </w:pPr>
          </w:p>
        </w:tc>
      </w:tr>
      <w:tr w:rsidR="7ECC8078" w:rsidTr="7ECC8078" w14:paraId="18246949">
        <w:trPr>
          <w:trHeight w:val="300"/>
        </w:trPr>
        <w:tc>
          <w:tcPr>
            <w:tcW w:w="2592" w:type="dxa"/>
            <w:tcMar/>
            <w:vAlign w:val="center"/>
          </w:tcPr>
          <w:p w:rsidR="7ECC8078" w:rsidP="7ECC8078" w:rsidRDefault="7ECC8078" w14:paraId="466C445D" w14:textId="0600697B">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Construction delays</w:t>
            </w:r>
          </w:p>
        </w:tc>
        <w:tc>
          <w:tcPr>
            <w:tcW w:w="2592" w:type="dxa"/>
            <w:tcMar/>
            <w:vAlign w:val="center"/>
          </w:tcPr>
          <w:p w:rsidR="7ECC8078" w:rsidP="7ECC8078" w:rsidRDefault="7ECC8078" w14:paraId="2E33F5B3" w14:textId="6BDA588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611B8C6B" w14:textId="67B55794">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195AC04D" w14:textId="5F5670B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Monitor the critical path and contractor performance.</w:t>
            </w:r>
          </w:p>
          <w:p w:rsidR="7ECC8078" w:rsidP="7ECC8078" w:rsidRDefault="7ECC8078" w14:paraId="1370D8D5" w14:textId="6423875B">
            <w:pPr>
              <w:bidi w:val="0"/>
              <w:spacing w:before="0" w:beforeAutospacing="off" w:after="0" w:afterAutospacing="off"/>
              <w:ind w:left="-240" w:right="-240"/>
              <w:rPr>
                <w:rFonts w:ascii="Calibri" w:hAnsi="Calibri" w:eastAsia="Calibri" w:cs="Calibri"/>
                <w:sz w:val="24"/>
                <w:szCs w:val="24"/>
              </w:rPr>
            </w:pPr>
          </w:p>
        </w:tc>
      </w:tr>
      <w:tr w:rsidR="7ECC8078" w:rsidTr="7ECC8078" w14:paraId="38B2D453">
        <w:trPr>
          <w:trHeight w:val="300"/>
        </w:trPr>
        <w:tc>
          <w:tcPr>
            <w:tcW w:w="2592" w:type="dxa"/>
            <w:tcMar/>
            <w:vAlign w:val="center"/>
          </w:tcPr>
          <w:p w:rsidR="7ECC8078" w:rsidP="7ECC8078" w:rsidRDefault="7ECC8078" w14:paraId="7DE4CF0E" w14:textId="5A64188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Supply chain disruption</w:t>
            </w:r>
          </w:p>
        </w:tc>
        <w:tc>
          <w:tcPr>
            <w:tcW w:w="2592" w:type="dxa"/>
            <w:tcMar/>
            <w:vAlign w:val="center"/>
          </w:tcPr>
          <w:p w:rsidR="7ECC8078" w:rsidP="7ECC8078" w:rsidRDefault="7ECC8078" w14:paraId="61B75D8C" w14:textId="4BB848A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1BBB7387" w14:textId="3D25B0F8">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270BA5BB" w14:textId="52BACFE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Identify alternative suppliers and order key materials early.</w:t>
            </w:r>
          </w:p>
          <w:p w:rsidR="7ECC8078" w:rsidP="7ECC8078" w:rsidRDefault="7ECC8078" w14:paraId="4706594B" w14:textId="61527080">
            <w:pPr>
              <w:bidi w:val="0"/>
              <w:spacing w:before="0" w:beforeAutospacing="off" w:after="0" w:afterAutospacing="off"/>
              <w:ind w:left="-240" w:right="-240"/>
              <w:rPr>
                <w:rFonts w:ascii="Calibri" w:hAnsi="Calibri" w:eastAsia="Calibri" w:cs="Calibri"/>
                <w:sz w:val="24"/>
                <w:szCs w:val="24"/>
              </w:rPr>
            </w:pPr>
          </w:p>
        </w:tc>
      </w:tr>
      <w:tr w:rsidR="7ECC8078" w:rsidTr="7ECC8078" w14:paraId="0B7DFAB6">
        <w:trPr>
          <w:trHeight w:val="300"/>
        </w:trPr>
        <w:tc>
          <w:tcPr>
            <w:tcW w:w="2592" w:type="dxa"/>
            <w:tcMar/>
            <w:vAlign w:val="center"/>
          </w:tcPr>
          <w:p w:rsidR="7ECC8078" w:rsidP="7ECC8078" w:rsidRDefault="7ECC8078" w14:paraId="7CC78C08" w14:textId="00064F0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Planning delays</w:t>
            </w:r>
          </w:p>
        </w:tc>
        <w:tc>
          <w:tcPr>
            <w:tcW w:w="2592" w:type="dxa"/>
            <w:tcMar/>
            <w:vAlign w:val="center"/>
          </w:tcPr>
          <w:p w:rsidR="7ECC8078" w:rsidP="7ECC8078" w:rsidRDefault="7ECC8078" w14:paraId="5B39749D" w14:textId="5DE313FA">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4B8A7C11" w14:textId="05CC5C2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288938EF" w14:textId="1CB9D1B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Engage with planning authorities at an early stage.</w:t>
            </w:r>
          </w:p>
          <w:p w:rsidR="7ECC8078" w:rsidP="7ECC8078" w:rsidRDefault="7ECC8078" w14:paraId="5C9AF2CC" w14:textId="42B02E64">
            <w:pPr>
              <w:bidi w:val="0"/>
              <w:spacing w:before="0" w:beforeAutospacing="off" w:after="0" w:afterAutospacing="off"/>
              <w:ind w:left="-240" w:right="-240"/>
              <w:rPr>
                <w:rFonts w:ascii="Calibri" w:hAnsi="Calibri" w:eastAsia="Calibri" w:cs="Calibri"/>
                <w:sz w:val="24"/>
                <w:szCs w:val="24"/>
              </w:rPr>
            </w:pPr>
          </w:p>
        </w:tc>
      </w:tr>
      <w:tr w:rsidR="7ECC8078" w:rsidTr="7ECC8078" w14:paraId="218665CD">
        <w:trPr>
          <w:trHeight w:val="300"/>
        </w:trPr>
        <w:tc>
          <w:tcPr>
            <w:tcW w:w="2592" w:type="dxa"/>
            <w:tcMar/>
            <w:vAlign w:val="center"/>
          </w:tcPr>
          <w:p w:rsidR="7ECC8078" w:rsidP="7ECC8078" w:rsidRDefault="7ECC8078" w14:paraId="5028DDCF" w14:textId="65A572D0">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Public opposition</w:t>
            </w:r>
          </w:p>
        </w:tc>
        <w:tc>
          <w:tcPr>
            <w:tcW w:w="2592" w:type="dxa"/>
            <w:tcMar/>
            <w:vAlign w:val="center"/>
          </w:tcPr>
          <w:p w:rsidR="7ECC8078" w:rsidP="7ECC8078" w:rsidRDefault="7ECC8078" w14:paraId="55BFB706" w14:textId="406E7C1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3463C90C" w14:textId="287FEC67">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024" w:type="dxa"/>
            <w:tcMar/>
            <w:vAlign w:val="center"/>
          </w:tcPr>
          <w:p w:rsidR="7ECC8078" w:rsidP="7ECC8078" w:rsidRDefault="7ECC8078" w14:paraId="48614159" w14:textId="4F9DC68F">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Provide regular information and consultation.</w:t>
            </w:r>
          </w:p>
          <w:p w:rsidR="7ECC8078" w:rsidP="7ECC8078" w:rsidRDefault="7ECC8078" w14:paraId="0AF72156" w14:textId="76FE3840">
            <w:pPr>
              <w:bidi w:val="0"/>
              <w:spacing w:before="0" w:beforeAutospacing="off" w:after="0" w:afterAutospacing="off"/>
              <w:ind w:left="-240" w:right="-240"/>
              <w:rPr>
                <w:rFonts w:ascii="Calibri" w:hAnsi="Calibri" w:eastAsia="Calibri" w:cs="Calibri"/>
                <w:sz w:val="24"/>
                <w:szCs w:val="24"/>
              </w:rPr>
            </w:pPr>
          </w:p>
        </w:tc>
      </w:tr>
      <w:tr w:rsidR="7ECC8078" w:rsidTr="7ECC8078" w14:paraId="4CBF4CE3">
        <w:trPr>
          <w:trHeight w:val="300"/>
        </w:trPr>
        <w:tc>
          <w:tcPr>
            <w:tcW w:w="2592" w:type="dxa"/>
            <w:tcMar/>
            <w:vAlign w:val="center"/>
          </w:tcPr>
          <w:p w:rsidR="7ECC8078" w:rsidP="7ECC8078" w:rsidRDefault="7ECC8078" w14:paraId="21B3B452" w14:textId="40A92A93">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Construction accident</w:t>
            </w:r>
          </w:p>
        </w:tc>
        <w:tc>
          <w:tcPr>
            <w:tcW w:w="2592" w:type="dxa"/>
            <w:tcMar/>
            <w:vAlign w:val="center"/>
          </w:tcPr>
          <w:p w:rsidR="7ECC8078" w:rsidP="7ECC8078" w:rsidRDefault="7ECC8078" w14:paraId="337C015D" w14:textId="739262E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Low</w:t>
            </w:r>
          </w:p>
        </w:tc>
        <w:tc>
          <w:tcPr>
            <w:tcW w:w="1872" w:type="dxa"/>
            <w:tcMar/>
            <w:vAlign w:val="center"/>
          </w:tcPr>
          <w:p w:rsidR="7ECC8078" w:rsidP="7ECC8078" w:rsidRDefault="7ECC8078" w14:paraId="56766030" w14:textId="545FD44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Very High</w:t>
            </w:r>
          </w:p>
        </w:tc>
        <w:tc>
          <w:tcPr>
            <w:tcW w:w="3024" w:type="dxa"/>
            <w:tcMar/>
            <w:vAlign w:val="center"/>
          </w:tcPr>
          <w:p w:rsidR="7ECC8078" w:rsidP="7ECC8078" w:rsidRDefault="7ECC8078" w14:paraId="516EBA46" w14:textId="2BD5442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Use safety training, inspections and strict site controls.</w:t>
            </w:r>
          </w:p>
          <w:p w:rsidR="7ECC8078" w:rsidP="7ECC8078" w:rsidRDefault="7ECC8078" w14:paraId="7076B370" w14:textId="3895A3A0">
            <w:pPr>
              <w:bidi w:val="0"/>
              <w:spacing w:before="0" w:beforeAutospacing="off" w:after="0" w:afterAutospacing="off"/>
              <w:ind w:left="-240" w:right="-240"/>
              <w:rPr>
                <w:rFonts w:ascii="Calibri" w:hAnsi="Calibri" w:eastAsia="Calibri" w:cs="Calibri"/>
                <w:sz w:val="24"/>
                <w:szCs w:val="24"/>
              </w:rPr>
            </w:pPr>
          </w:p>
        </w:tc>
      </w:tr>
      <w:tr w:rsidR="7ECC8078" w:rsidTr="7ECC8078" w14:paraId="7AC5683D">
        <w:trPr>
          <w:trHeight w:val="300"/>
        </w:trPr>
        <w:tc>
          <w:tcPr>
            <w:tcW w:w="2592" w:type="dxa"/>
            <w:tcMar/>
            <w:vAlign w:val="center"/>
          </w:tcPr>
          <w:p w:rsidR="7ECC8078" w:rsidP="7ECC8078" w:rsidRDefault="7ECC8078" w14:paraId="7653066C" w14:textId="7A45EA2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Accessibility requirements not met</w:t>
            </w:r>
          </w:p>
        </w:tc>
        <w:tc>
          <w:tcPr>
            <w:tcW w:w="2592" w:type="dxa"/>
            <w:tcMar/>
            <w:vAlign w:val="center"/>
          </w:tcPr>
          <w:p w:rsidR="7ECC8078" w:rsidP="7ECC8078" w:rsidRDefault="7ECC8078" w14:paraId="22AAF701" w14:textId="62F05F5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Low</w:t>
            </w:r>
          </w:p>
        </w:tc>
        <w:tc>
          <w:tcPr>
            <w:tcW w:w="1872" w:type="dxa"/>
            <w:tcMar/>
            <w:vAlign w:val="center"/>
          </w:tcPr>
          <w:p w:rsidR="7ECC8078" w:rsidP="7ECC8078" w:rsidRDefault="7ECC8078" w14:paraId="7D4D195D" w14:textId="4290148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69252888" w14:textId="354F3BFE">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Involve accessibility specialists throughout design and testing.</w:t>
            </w:r>
          </w:p>
          <w:p w:rsidR="7ECC8078" w:rsidP="7ECC8078" w:rsidRDefault="7ECC8078" w14:paraId="28C18945" w14:textId="5D0DBD23">
            <w:pPr>
              <w:bidi w:val="0"/>
              <w:spacing w:before="0" w:beforeAutospacing="off" w:after="0" w:afterAutospacing="off"/>
              <w:ind w:left="-240" w:right="-240"/>
              <w:rPr>
                <w:rFonts w:ascii="Calibri" w:hAnsi="Calibri" w:eastAsia="Calibri" w:cs="Calibri"/>
                <w:sz w:val="24"/>
                <w:szCs w:val="24"/>
              </w:rPr>
            </w:pPr>
          </w:p>
        </w:tc>
      </w:tr>
      <w:tr w:rsidR="7ECC8078" w:rsidTr="7ECC8078" w14:paraId="64263CC7">
        <w:trPr>
          <w:trHeight w:val="300"/>
        </w:trPr>
        <w:tc>
          <w:tcPr>
            <w:tcW w:w="2592" w:type="dxa"/>
            <w:tcMar/>
            <w:vAlign w:val="center"/>
          </w:tcPr>
          <w:p w:rsidR="7ECC8078" w:rsidP="7ECC8078" w:rsidRDefault="7ECC8078" w14:paraId="4DA5B8B9" w14:textId="39972079">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Digital system failure</w:t>
            </w:r>
          </w:p>
        </w:tc>
        <w:tc>
          <w:tcPr>
            <w:tcW w:w="2592" w:type="dxa"/>
            <w:tcMar/>
            <w:vAlign w:val="center"/>
          </w:tcPr>
          <w:p w:rsidR="7ECC8078" w:rsidP="7ECC8078" w:rsidRDefault="7ECC8078" w14:paraId="3461265D" w14:textId="3686F436">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0FD6BDD9" w14:textId="5FC5482F">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3024" w:type="dxa"/>
            <w:tcMar/>
            <w:vAlign w:val="center"/>
          </w:tcPr>
          <w:p w:rsidR="7ECC8078" w:rsidP="7ECC8078" w:rsidRDefault="7ECC8078" w14:paraId="75F5163D" w14:textId="174EE97B">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Test systems before the hub opens.</w:t>
            </w:r>
          </w:p>
          <w:p w:rsidR="7ECC8078" w:rsidP="7ECC8078" w:rsidRDefault="7ECC8078" w14:paraId="15794E6F" w14:textId="7B6BD3C1">
            <w:pPr>
              <w:bidi w:val="0"/>
              <w:spacing w:before="0" w:beforeAutospacing="off" w:after="0" w:afterAutospacing="off"/>
              <w:ind w:left="-240" w:right="-240"/>
              <w:rPr>
                <w:rFonts w:ascii="Calibri" w:hAnsi="Calibri" w:eastAsia="Calibri" w:cs="Calibri"/>
                <w:sz w:val="24"/>
                <w:szCs w:val="24"/>
              </w:rPr>
            </w:pPr>
          </w:p>
        </w:tc>
      </w:tr>
      <w:tr w:rsidR="7ECC8078" w:rsidTr="7ECC8078" w14:paraId="5E1BB7CA">
        <w:trPr>
          <w:trHeight w:val="300"/>
        </w:trPr>
        <w:tc>
          <w:tcPr>
            <w:tcW w:w="2592" w:type="dxa"/>
            <w:tcMar/>
            <w:vAlign w:val="center"/>
          </w:tcPr>
          <w:p w:rsidR="7ECC8078" w:rsidP="7ECC8078" w:rsidRDefault="7ECC8078" w14:paraId="0417AD28" w14:textId="4454A115">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Environmental targets not achieved</w:t>
            </w:r>
          </w:p>
        </w:tc>
        <w:tc>
          <w:tcPr>
            <w:tcW w:w="2592" w:type="dxa"/>
            <w:tcMar/>
            <w:vAlign w:val="center"/>
          </w:tcPr>
          <w:p w:rsidR="7ECC8078" w:rsidP="7ECC8078" w:rsidRDefault="7ECC8078" w14:paraId="4F748BE4" w14:textId="3679D82C">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Medium</w:t>
            </w:r>
          </w:p>
        </w:tc>
        <w:tc>
          <w:tcPr>
            <w:tcW w:w="1872" w:type="dxa"/>
            <w:tcMar/>
            <w:vAlign w:val="center"/>
          </w:tcPr>
          <w:p w:rsidR="7ECC8078" w:rsidP="7ECC8078" w:rsidRDefault="7ECC8078" w14:paraId="672BD22F" w14:textId="482BD701">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High</w:t>
            </w:r>
          </w:p>
        </w:tc>
        <w:tc>
          <w:tcPr>
            <w:tcW w:w="3024" w:type="dxa"/>
            <w:tcMar/>
            <w:vAlign w:val="center"/>
          </w:tcPr>
          <w:p w:rsidR="7ECC8078" w:rsidP="7ECC8078" w:rsidRDefault="7ECC8078" w14:paraId="78CD0837" w14:textId="1DCE19D2">
            <w:pPr>
              <w:bidi w:val="0"/>
              <w:spacing w:before="0" w:beforeAutospacing="off" w:after="0" w:afterAutospacing="off"/>
              <w:ind w:left="-240" w:right="-240"/>
              <w:rPr>
                <w:rFonts w:ascii="Calibri" w:hAnsi="Calibri" w:eastAsia="Calibri" w:cs="Calibri"/>
                <w:sz w:val="24"/>
                <w:szCs w:val="24"/>
              </w:rPr>
            </w:pPr>
            <w:r w:rsidRPr="7ECC8078" w:rsidR="7ECC8078">
              <w:rPr>
                <w:rFonts w:ascii="Calibri" w:hAnsi="Calibri" w:eastAsia="Calibri" w:cs="Calibri"/>
                <w:sz w:val="24"/>
                <w:szCs w:val="24"/>
              </w:rPr>
              <w:t>Include sustainability requirements within design and procurement.</w:t>
            </w:r>
          </w:p>
        </w:tc>
      </w:tr>
    </w:tbl>
    <w:p xmlns:wp14="http://schemas.microsoft.com/office/word/2010/wordml" w:rsidP="7ECC8078" wp14:paraId="019BC61A" wp14:textId="71E5DCF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One of the most important risks is unexpected structural or ground problems. The existing hub is over 40 years old, so the project team may discover problems that were not visible during the initial assessment. Detailed surveys should therefore be completed before final construction decisions are made.</w:t>
      </w:r>
    </w:p>
    <w:p xmlns:wp14="http://schemas.microsoft.com/office/word/2010/wordml" w:rsidP="7ECC8078" wp14:paraId="23CFAC4B" wp14:textId="5AAD9185">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Cost increases are another major risk. Construction projects can be affected by changes in material prices, labour costs and supply availability. The project should therefore use regular financial reviews and maintain contingency funding.</w:t>
      </w:r>
    </w:p>
    <w:p xmlns:wp14="http://schemas.microsoft.com/office/word/2010/wordml" w:rsidP="7ECC8078" wp14:paraId="1C0163D5" wp14:textId="3B6D8FA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Construction delays could also have a serious effect because the city needs transport capacity to be restored. The Project Manager will monitor the critical path and require contractors to provide regular progress information.</w:t>
      </w:r>
    </w:p>
    <w:p xmlns:wp14="http://schemas.microsoft.com/office/word/2010/wordml" w:rsidP="7ECC8078" wp14:paraId="65C91AEC" wp14:textId="3DA47A01">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Health and safety will be treated as a high priority. Construction will take place close to transport users and members of the public. Contractors will therefore need to follow appropriate safety procedures and carry out regular inspections.</w:t>
      </w:r>
    </w:p>
    <w:p xmlns:wp14="http://schemas.microsoft.com/office/word/2010/wordml" w:rsidP="7ECC8078" wp14:paraId="6D646515" wp14:textId="1D0B2871">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Accessibility is another important risk. If accessibility is not considered properly during design, changes may be expensive later in the project. Accessibility groups should therefore be involved during design and testing. This is consistent with Department for Transport (2022) guidance.</w:t>
      </w:r>
    </w:p>
    <w:p xmlns:wp14="http://schemas.microsoft.com/office/word/2010/wordml" w:rsidP="7ECC8078" wp14:paraId="64609D00" wp14:textId="69EE29A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Flyvbjerg (2013) highlights the problem of unrealistic forecasts on major projects, particularly when cost and timescale estimates are too optimistic. The Project Manager should therefore use realistic estimates and avoid setting targets simply to make the project appear attractive.</w:t>
      </w:r>
    </w:p>
    <w:p xmlns:wp14="http://schemas.microsoft.com/office/word/2010/wordml" w:rsidP="7ECC8078" wp14:paraId="68D8BE83" wp14:textId="78E13D3E">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Change control will also help manage risk. If a stakeholder requests additional work, the request will be assessed for its effect on cost, time, resources and quality before approval.</w:t>
      </w:r>
    </w:p>
    <w:p xmlns:wp14="http://schemas.microsoft.com/office/word/2010/wordml" w:rsidP="7ECC8078" wp14:paraId="3BB653A4" wp14:textId="75B3083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risk register will be reviewed monthly. High-risk items will be reported to the Project Board. New risks will be added when they are identified.</w:t>
      </w:r>
    </w:p>
    <w:p xmlns:wp14="http://schemas.microsoft.com/office/word/2010/wordml" w:rsidP="7ECC8078" wp14:paraId="3021017E" wp14:textId="30134B29">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performance will also be monitored using a traffic-light system. Green will mean that an area is performing as planned, amber will indicate that management attention is required and red will indicate that immediate action is needed.</w:t>
      </w:r>
    </w:p>
    <w:p xmlns:wp14="http://schemas.microsoft.com/office/word/2010/wordml" w:rsidP="7ECC8078" wp14:paraId="5D85BA7F" wp14:textId="1689D717">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Project success will be measured using more than cost, time and quality. Atkinson (1999) argues that project success should be assessed using wider criteria. For this project, the measures will include safety, accessibility, passenger satisfaction and environmental performance.</w:t>
      </w:r>
    </w:p>
    <w:p xmlns:wp14="http://schemas.microsoft.com/office/word/2010/wordml" w:rsidP="7ECC8078" wp14:paraId="61E3D251" wp14:textId="182C47D9">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Benefits should also be reviewed after the project is completed. Serra and Kunc (2015) found that benefits realisation can contribute to strategic value and project success. The local authority should therefore review whether the new hub has improved passenger experience, transport capacity and accessibility after opening.</w:t>
      </w:r>
    </w:p>
    <w:p xmlns:wp14="http://schemas.microsoft.com/office/word/2010/wordml" w:rsidP="7ECC8078" wp14:paraId="08112719" wp14:textId="530D7700">
      <w:pPr>
        <w:bidi w:val="0"/>
        <w:rPr>
          <w:rFonts w:ascii="Calibri" w:hAnsi="Calibri" w:eastAsia="Calibri" w:cs="Calibri"/>
          <w:sz w:val="24"/>
          <w:szCs w:val="24"/>
        </w:rPr>
      </w:pPr>
    </w:p>
    <w:p xmlns:wp14="http://schemas.microsoft.com/office/word/2010/wordml" w:rsidP="7ECC8078" wp14:paraId="35ED544E" wp14:textId="2D995582">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10. Conclusion</w:t>
      </w:r>
    </w:p>
    <w:p xmlns:wp14="http://schemas.microsoft.com/office/word/2010/wordml" w:rsidP="7ECC8078" wp14:paraId="7276A21A" wp14:textId="252D7F0D">
      <w:pPr>
        <w:bidi w:val="0"/>
        <w:spacing w:before="60" w:beforeAutospacing="off" w:after="6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redevelopment of the central transport hub provides a suitable long-term response to the problems caused by the closure of the existing facility. The current hub is more than 40 years old and no longer meets modern safety and accessibility requirements. Its closure has also created problems for commuters, businesses and supply chains.</w:t>
      </w:r>
    </w:p>
    <w:p xmlns:wp14="http://schemas.microsoft.com/office/word/2010/wordml" w:rsidP="7ECC8078" wp14:paraId="62CD1F5A" wp14:textId="3B8D1184">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proposed project will provide a modern transport facility with improved safety, accessibility, digital technology and sustainable features. The project will also help restore transport capacity and support wider economic and environmental objectives.</w:t>
      </w:r>
    </w:p>
    <w:p xmlns:wp14="http://schemas.microsoft.com/office/word/2010/wordml" w:rsidP="7ECC8078" wp14:paraId="38267A93" wp14:textId="41D2B1C4">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management plan has demonstrated how the redevelopment can be managed using several project management tools. The WBS divides the project into manageable activities, while the Gantt chart provides a high-level schedule. The stakeholder plan explains how key groups will be involved, while the resource plan considers the people, finance, equipment and technology needed.</w:t>
      </w:r>
    </w:p>
    <w:p xmlns:wp14="http://schemas.microsoft.com/office/word/2010/wordml" w:rsidP="7ECC8078" wp14:paraId="61615FF5" wp14:textId="3108488D">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Risk management will be particularly important because the project involves an existing structure, major construction work and several different stakeholders. The main risks include unexpected structural problems, cost increases, delays, supply chain disruption and safety incidents.</w:t>
      </w:r>
    </w:p>
    <w:p xmlns:wp14="http://schemas.microsoft.com/office/word/2010/wordml" w:rsidP="7ECC8078" wp14:paraId="02C97A21" wp14:textId="5F749D3C">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The project should not only be considered successful if the new building is completed on time and within budget. The facility also needs to be safe, accessible and useful for passengers. Environmental performance and passenger satisfaction should therefore be considered when measuring the project's success.</w:t>
      </w:r>
    </w:p>
    <w:p xmlns:wp14="http://schemas.microsoft.com/office/word/2010/wordml" w:rsidP="7ECC8078" wp14:paraId="71FE300F" wp14:textId="32DF8B98">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Overall, the central transport hub redevelopment provides an opportunity to solve the immediate transport problem while creating a better facility for the future. Clear planning, stakeholder involvement, realistic scheduling, effective resource management and regular risk monitoring will be required to deliver the project successfully.</w:t>
      </w:r>
    </w:p>
    <w:p xmlns:wp14="http://schemas.microsoft.com/office/word/2010/wordml" w:rsidP="7ECC8078" wp14:paraId="10A0F50B" wp14:textId="3444C4E7">
      <w:pPr>
        <w:bidi w:val="0"/>
        <w:rPr>
          <w:rFonts w:ascii="Calibri" w:hAnsi="Calibri" w:eastAsia="Calibri" w:cs="Calibri"/>
          <w:sz w:val="24"/>
          <w:szCs w:val="24"/>
        </w:rPr>
      </w:pPr>
    </w:p>
    <w:p xmlns:wp14="http://schemas.microsoft.com/office/word/2010/wordml" w:rsidP="7ECC8078" wp14:paraId="7B81CACE" wp14:textId="413A11F2">
      <w:pPr>
        <w:pStyle w:val="Heading1"/>
        <w:bidi w:val="0"/>
        <w:spacing w:before="241" w:beforeAutospacing="off" w:after="120" w:afterAutospacing="off"/>
        <w:rPr>
          <w:rFonts w:ascii="Calibri" w:hAnsi="Calibri" w:eastAsia="Calibri" w:cs="Calibri"/>
          <w:b w:val="1"/>
          <w:bCs w:val="1"/>
          <w:noProof w:val="0"/>
          <w:color w:val="0D0D0D" w:themeColor="text1" w:themeTint="F2" w:themeShade="FF"/>
          <w:sz w:val="24"/>
          <w:szCs w:val="24"/>
          <w:lang w:val="en-GB"/>
        </w:rPr>
      </w:pPr>
      <w:r w:rsidRPr="7ECC8078" w:rsidR="63B6CA08">
        <w:rPr>
          <w:rFonts w:ascii="Calibri" w:hAnsi="Calibri" w:eastAsia="Calibri" w:cs="Calibri"/>
          <w:b w:val="1"/>
          <w:bCs w:val="1"/>
          <w:noProof w:val="0"/>
          <w:color w:val="0D0D0D" w:themeColor="text1" w:themeTint="F2" w:themeShade="FF"/>
          <w:sz w:val="24"/>
          <w:szCs w:val="24"/>
          <w:lang w:val="en-GB"/>
        </w:rPr>
        <w:t>11. References</w:t>
      </w:r>
    </w:p>
    <w:p xmlns:wp14="http://schemas.microsoft.com/office/word/2010/wordml" w:rsidP="7ECC8078" wp14:paraId="7A0ACF50" wp14:textId="6FD4EFBB">
      <w:pPr>
        <w:bidi w:val="0"/>
        <w:spacing w:before="60" w:beforeAutospacing="off" w:after="6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Aaltonen, K. and Kujala, J. (2010) ‘A project lifecycle perspective on stakeholder influence strategies in global projects’, </w:t>
      </w:r>
      <w:r w:rsidRPr="7ECC8078" w:rsidR="63B6CA08">
        <w:rPr>
          <w:rFonts w:ascii="Calibri" w:hAnsi="Calibri" w:eastAsia="Calibri" w:cs="Calibri"/>
          <w:i w:val="1"/>
          <w:iCs w:val="1"/>
          <w:noProof w:val="0"/>
          <w:color w:val="0D0D0D" w:themeColor="text1" w:themeTint="F2" w:themeShade="FF"/>
          <w:sz w:val="24"/>
          <w:szCs w:val="24"/>
          <w:lang w:val="en-GB"/>
        </w:rPr>
        <w:t>Scandinavian Journal of Management</w:t>
      </w:r>
      <w:r w:rsidRPr="7ECC8078" w:rsidR="63B6CA08">
        <w:rPr>
          <w:rFonts w:ascii="Calibri" w:hAnsi="Calibri" w:eastAsia="Calibri" w:cs="Calibri"/>
          <w:noProof w:val="0"/>
          <w:color w:val="0D0D0D" w:themeColor="text1" w:themeTint="F2" w:themeShade="FF"/>
          <w:sz w:val="24"/>
          <w:szCs w:val="24"/>
          <w:lang w:val="en-GB"/>
        </w:rPr>
        <w:t xml:space="preserve">, 26(4), pp. 381–397.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3BBF44DE" wp14:anchorId="227B8A3C">
            <wp:extent cx="304800" cy="304800"/>
            <wp:effectExtent l="0" t="0" r="0" b="0"/>
            <wp:docPr id="57611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611760" name="Picture 57611760"/>
                    <pic:cNvPicPr/>
                  </pic:nvPicPr>
                  <pic:blipFill>
                    <a:blip xmlns:r="http://schemas.openxmlformats.org/officeDocument/2006/relationships" r:embed="rId1861815584">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20BAAFE9" wp14:textId="63CE3F03">
      <w:pPr>
        <w:bidi w:val="0"/>
        <w:spacing w:before="240" w:beforeAutospacing="off" w:after="24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Atkinson, R. (1999) ‘Project management: cost, time and quality, two best guesses and a phenomenon, its time to accept other success criteria’,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xml:space="preserve">, 17(6), pp. 337–342.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5ECBD84E" wp14:anchorId="29A20982">
            <wp:extent cx="304800" cy="304800"/>
            <wp:effectExtent l="0" t="0" r="0" b="0"/>
            <wp:docPr id="71937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937405" name="Picture 71937405"/>
                    <pic:cNvPicPr/>
                  </pic:nvPicPr>
                  <pic:blipFill>
                    <a:blip xmlns:r="http://schemas.openxmlformats.org/officeDocument/2006/relationships" r:embed="rId1798767504">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537B6A6A" wp14:textId="1AB10E89">
      <w:pPr>
        <w:bidi w:val="0"/>
        <w:spacing w:before="240" w:beforeAutospacing="off" w:after="24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Baccarini, D. (1996) ‘The concept of project complexity – a review’,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xml:space="preserve">, 14(4), pp. 201–204.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135BE767" wp14:anchorId="4B269C9C">
            <wp:extent cx="304800" cy="304800"/>
            <wp:effectExtent l="0" t="0" r="0" b="0"/>
            <wp:docPr id="19021424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142408" name="Picture 1902142408"/>
                    <pic:cNvPicPr/>
                  </pic:nvPicPr>
                  <pic:blipFill>
                    <a:blip xmlns:r="http://schemas.openxmlformats.org/officeDocument/2006/relationships" r:embed="rId2110680787">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18630186" wp14:textId="4485294A">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Cooke-Davies, T. (2002) ‘The “real” success factors on projects’,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20(3), pp. 185–190.</w:t>
      </w:r>
    </w:p>
    <w:p xmlns:wp14="http://schemas.microsoft.com/office/word/2010/wordml" w:rsidP="7ECC8078" wp14:paraId="4FCC2943" wp14:textId="683F285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Eskerod, P., Huemann, M. and Ringhofer, C. (2015) ‘Stakeholder inclusiveness: enriching project management with general stakeholder theory’, </w:t>
      </w:r>
      <w:r w:rsidRPr="7ECC8078" w:rsidR="63B6CA08">
        <w:rPr>
          <w:rFonts w:ascii="Calibri" w:hAnsi="Calibri" w:eastAsia="Calibri" w:cs="Calibri"/>
          <w:i w:val="1"/>
          <w:iCs w:val="1"/>
          <w:noProof w:val="0"/>
          <w:color w:val="0D0D0D" w:themeColor="text1" w:themeTint="F2" w:themeShade="FF"/>
          <w:sz w:val="24"/>
          <w:szCs w:val="24"/>
          <w:lang w:val="en-GB"/>
        </w:rPr>
        <w:t>Project Management Journal</w:t>
      </w:r>
      <w:r w:rsidRPr="7ECC8078" w:rsidR="63B6CA08">
        <w:rPr>
          <w:rFonts w:ascii="Calibri" w:hAnsi="Calibri" w:eastAsia="Calibri" w:cs="Calibri"/>
          <w:noProof w:val="0"/>
          <w:color w:val="0D0D0D" w:themeColor="text1" w:themeTint="F2" w:themeShade="FF"/>
          <w:sz w:val="24"/>
          <w:szCs w:val="24"/>
          <w:lang w:val="en-GB"/>
        </w:rPr>
        <w:t>, 46(6), pp. 42–53.</w:t>
      </w:r>
    </w:p>
    <w:p xmlns:wp14="http://schemas.microsoft.com/office/word/2010/wordml" w:rsidP="7ECC8078" wp14:paraId="6674CE4D" wp14:textId="52040F43">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Flyvbjerg, B. (2013) ‘From Nobel Prize to project management: getting risks right’, </w:t>
      </w:r>
      <w:r w:rsidRPr="7ECC8078" w:rsidR="63B6CA08">
        <w:rPr>
          <w:rFonts w:ascii="Calibri" w:hAnsi="Calibri" w:eastAsia="Calibri" w:cs="Calibri"/>
          <w:i w:val="1"/>
          <w:iCs w:val="1"/>
          <w:noProof w:val="0"/>
          <w:color w:val="0D0D0D" w:themeColor="text1" w:themeTint="F2" w:themeShade="FF"/>
          <w:sz w:val="24"/>
          <w:szCs w:val="24"/>
          <w:lang w:val="en-GB"/>
        </w:rPr>
        <w:t>Project Management Journal</w:t>
      </w:r>
      <w:r w:rsidRPr="7ECC8078" w:rsidR="63B6CA08">
        <w:rPr>
          <w:rFonts w:ascii="Calibri" w:hAnsi="Calibri" w:eastAsia="Calibri" w:cs="Calibri"/>
          <w:noProof w:val="0"/>
          <w:color w:val="0D0D0D" w:themeColor="text1" w:themeTint="F2" w:themeShade="FF"/>
          <w:sz w:val="24"/>
          <w:szCs w:val="24"/>
          <w:lang w:val="en-GB"/>
        </w:rPr>
        <w:t>, 44(4), pp. 6–20.</w:t>
      </w:r>
    </w:p>
    <w:p xmlns:wp14="http://schemas.microsoft.com/office/word/2010/wordml" w:rsidP="7ECC8078" wp14:paraId="503729D6" wp14:textId="5D3C057D">
      <w:pPr>
        <w:pStyle w:val="Normal"/>
        <w:bidi w:val="0"/>
        <w:spacing w:before="240" w:beforeAutospacing="off" w:after="240" w:afterAutospacing="off"/>
        <w:rPr>
          <w:rFonts w:ascii="Calibri" w:hAnsi="Calibri" w:eastAsia="Calibri" w:cs="Calibri"/>
          <w:sz w:val="24"/>
          <w:szCs w:val="24"/>
        </w:rPr>
      </w:pPr>
      <w:r w:rsidRPr="7ECC8078" w:rsidR="63B6CA08">
        <w:rPr>
          <w:rFonts w:ascii="Calibri" w:hAnsi="Calibri" w:eastAsia="Calibri" w:cs="Calibri"/>
          <w:noProof w:val="0"/>
          <w:color w:val="0D0D0D" w:themeColor="text1" w:themeTint="F2" w:themeShade="FF"/>
          <w:sz w:val="24"/>
          <w:szCs w:val="24"/>
          <w:lang w:val="en-GB"/>
        </w:rPr>
        <w:t xml:space="preserve">Joslin, R. and Müller, R. (2016) ‘The relationship between project governance and project success’,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xml:space="preserve">, 34(4), pp. 613–626. </w:t>
      </w:r>
      <w:r w:rsidRPr="7ECC8078" w:rsidR="63B6CA08">
        <w:rPr>
          <w:rFonts w:ascii="Calibri" w:hAnsi="Calibri" w:eastAsia="Calibri" w:cs="Calibri"/>
          <w:b w:val="1"/>
          <w:bCs w:val="1"/>
          <w:noProof w:val="0"/>
          <w:color w:val="0D0D0D" w:themeColor="text1" w:themeTint="F2" w:themeShade="FF"/>
          <w:sz w:val="24"/>
          <w:szCs w:val="24"/>
          <w:lang w:val="en-GB"/>
        </w:rPr>
        <w:t>S</w:t>
      </w:r>
      <w:r w:rsidRPr="7ECC8078" w:rsidR="63B6CA08">
        <w:rPr>
          <w:rFonts w:ascii="Calibri" w:hAnsi="Calibri" w:eastAsia="Calibri" w:cs="Calibri"/>
          <w:b w:val="0"/>
          <w:bCs w:val="0"/>
          <w:noProof w:val="0"/>
          <w:color w:val="0D0D0D" w:themeColor="text1" w:themeTint="F2" w:themeShade="FF"/>
          <w:sz w:val="24"/>
          <w:szCs w:val="24"/>
          <w:lang w:val="en-GB"/>
        </w:rPr>
        <w:t>ScienceDire</w:t>
      </w:r>
      <w:r w:rsidRPr="7ECC8078" w:rsidR="63B6CA08">
        <w:rPr>
          <w:rFonts w:ascii="Calibri" w:hAnsi="Calibri" w:eastAsia="Calibri" w:cs="Calibri"/>
          <w:b w:val="0"/>
          <w:bCs w:val="0"/>
          <w:noProof w:val="0"/>
          <w:color w:val="0D0D0D" w:themeColor="text1" w:themeTint="F2" w:themeShade="FF"/>
          <w:sz w:val="24"/>
          <w:szCs w:val="24"/>
          <w:lang w:val="en-GB"/>
        </w:rPr>
        <w:t>ct</w:t>
      </w:r>
    </w:p>
    <w:p xmlns:wp14="http://schemas.microsoft.com/office/word/2010/wordml" w:rsidP="7ECC8078" wp14:paraId="7CCCD0C3" wp14:textId="5CCA21BC">
      <w:pPr>
        <w:bidi w:val="0"/>
        <w:spacing w:before="240" w:beforeAutospacing="off" w:after="24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Müller, R. and Turner, J.R. (2007) ‘Matching the project manager’s leadership style to project type’,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xml:space="preserve">, 25(1), pp. 21–32.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782564DD" wp14:anchorId="60D01361">
            <wp:extent cx="304800" cy="304800"/>
            <wp:effectExtent l="0" t="0" r="0" b="0"/>
            <wp:docPr id="17241504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4150466" name="Picture 1724150466"/>
                    <pic:cNvPicPr/>
                  </pic:nvPicPr>
                  <pic:blipFill>
                    <a:blip xmlns:r="http://schemas.openxmlformats.org/officeDocument/2006/relationships" r:embed="rId1891267952">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12B5FB82" wp14:textId="6CAC07EF">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Pinto, J.K. and Slevin, D.P. (1988) ‘Project success: definitions and measurement techniques’, </w:t>
      </w:r>
      <w:r w:rsidRPr="7ECC8078" w:rsidR="63B6CA08">
        <w:rPr>
          <w:rFonts w:ascii="Calibri" w:hAnsi="Calibri" w:eastAsia="Calibri" w:cs="Calibri"/>
          <w:i w:val="1"/>
          <w:iCs w:val="1"/>
          <w:noProof w:val="0"/>
          <w:color w:val="0D0D0D" w:themeColor="text1" w:themeTint="F2" w:themeShade="FF"/>
          <w:sz w:val="24"/>
          <w:szCs w:val="24"/>
          <w:lang w:val="en-GB"/>
        </w:rPr>
        <w:t>Project Management Journal</w:t>
      </w:r>
      <w:r w:rsidRPr="7ECC8078" w:rsidR="63B6CA08">
        <w:rPr>
          <w:rFonts w:ascii="Calibri" w:hAnsi="Calibri" w:eastAsia="Calibri" w:cs="Calibri"/>
          <w:noProof w:val="0"/>
          <w:color w:val="0D0D0D" w:themeColor="text1" w:themeTint="F2" w:themeShade="FF"/>
          <w:sz w:val="24"/>
          <w:szCs w:val="24"/>
          <w:lang w:val="en-GB"/>
        </w:rPr>
        <w:t>, 19(1), pp. 67–77.</w:t>
      </w:r>
    </w:p>
    <w:p xmlns:wp14="http://schemas.microsoft.com/office/word/2010/wordml" w:rsidP="7ECC8078" wp14:paraId="22E1CAE4" wp14:textId="7192C56A">
      <w:pPr>
        <w:bidi w:val="0"/>
        <w:spacing w:before="240" w:beforeAutospacing="off" w:after="24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Serra, C.E.M. and Kunc, M. (2015) ‘Benefits realisation management and its influence on project success and on the execution of business strategies’,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xml:space="preserve">, 33(1), pp. 53–66.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03579772" wp14:anchorId="753D7CCC">
            <wp:extent cx="304800" cy="304800"/>
            <wp:effectExtent l="0" t="0" r="0" b="0"/>
            <wp:docPr id="8532083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208333" name="Picture 853208333"/>
                    <pic:cNvPicPr/>
                  </pic:nvPicPr>
                  <pic:blipFill>
                    <a:blip xmlns:r="http://schemas.openxmlformats.org/officeDocument/2006/relationships" r:embed="rId2075426182">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46D2C23C" wp14:textId="2C6FA9AE">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Söderlund, J. (2004) ‘Building theories of project management: past research, questions for the future’, </w:t>
      </w:r>
      <w:r w:rsidRPr="7ECC8078" w:rsidR="63B6CA08">
        <w:rPr>
          <w:rFonts w:ascii="Calibri" w:hAnsi="Calibri" w:eastAsia="Calibri" w:cs="Calibri"/>
          <w:i w:val="1"/>
          <w:iCs w:val="1"/>
          <w:noProof w:val="0"/>
          <w:color w:val="0D0D0D" w:themeColor="text1" w:themeTint="F2" w:themeShade="FF"/>
          <w:sz w:val="24"/>
          <w:szCs w:val="24"/>
          <w:lang w:val="en-GB"/>
        </w:rPr>
        <w:t>International Journal of Project Management</w:t>
      </w:r>
      <w:r w:rsidRPr="7ECC8078" w:rsidR="63B6CA08">
        <w:rPr>
          <w:rFonts w:ascii="Calibri" w:hAnsi="Calibri" w:eastAsia="Calibri" w:cs="Calibri"/>
          <w:noProof w:val="0"/>
          <w:color w:val="0D0D0D" w:themeColor="text1" w:themeTint="F2" w:themeShade="FF"/>
          <w:sz w:val="24"/>
          <w:szCs w:val="24"/>
          <w:lang w:val="en-GB"/>
        </w:rPr>
        <w:t>, 22(3), pp. 183–191.</w:t>
      </w:r>
    </w:p>
    <w:p xmlns:wp14="http://schemas.microsoft.com/office/word/2010/wordml" w:rsidP="7ECC8078" wp14:paraId="59044E87" wp14:textId="77337CFB">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Zwikael, O. (2009) ‘The relative importance of the PMBOK® Guide’s nine knowledge areas during project planning’, </w:t>
      </w:r>
      <w:r w:rsidRPr="7ECC8078" w:rsidR="63B6CA08">
        <w:rPr>
          <w:rFonts w:ascii="Calibri" w:hAnsi="Calibri" w:eastAsia="Calibri" w:cs="Calibri"/>
          <w:i w:val="1"/>
          <w:iCs w:val="1"/>
          <w:noProof w:val="0"/>
          <w:color w:val="0D0D0D" w:themeColor="text1" w:themeTint="F2" w:themeShade="FF"/>
          <w:sz w:val="24"/>
          <w:szCs w:val="24"/>
          <w:lang w:val="en-GB"/>
        </w:rPr>
        <w:t>Project Management Journal</w:t>
      </w:r>
      <w:r w:rsidRPr="7ECC8078" w:rsidR="63B6CA08">
        <w:rPr>
          <w:rFonts w:ascii="Calibri" w:hAnsi="Calibri" w:eastAsia="Calibri" w:cs="Calibri"/>
          <w:noProof w:val="0"/>
          <w:color w:val="0D0D0D" w:themeColor="text1" w:themeTint="F2" w:themeShade="FF"/>
          <w:sz w:val="24"/>
          <w:szCs w:val="24"/>
          <w:lang w:val="en-GB"/>
        </w:rPr>
        <w:t>, 40(4), pp. 94–103.</w:t>
      </w:r>
    </w:p>
    <w:p xmlns:wp14="http://schemas.microsoft.com/office/word/2010/wordml" w:rsidP="7ECC8078" wp14:paraId="14D910A4" wp14:textId="33DFD711">
      <w:pPr>
        <w:bidi w:val="0"/>
        <w:spacing w:before="240" w:beforeAutospacing="off" w:after="240" w:afterAutospacing="off"/>
        <w:rPr>
          <w:rFonts w:ascii="Calibri" w:hAnsi="Calibri" w:eastAsia="Calibri" w:cs="Calibri"/>
          <w:b w:val="0"/>
          <w:bCs w:val="0"/>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Zwikael, O. and Sadeh, A. (2007) ‘Planning effort as an effective risk management tool’, </w:t>
      </w:r>
      <w:r w:rsidRPr="7ECC8078" w:rsidR="63B6CA08">
        <w:rPr>
          <w:rFonts w:ascii="Calibri" w:hAnsi="Calibri" w:eastAsia="Calibri" w:cs="Calibri"/>
          <w:i w:val="1"/>
          <w:iCs w:val="1"/>
          <w:noProof w:val="0"/>
          <w:color w:val="0D0D0D" w:themeColor="text1" w:themeTint="F2" w:themeShade="FF"/>
          <w:sz w:val="24"/>
          <w:szCs w:val="24"/>
          <w:lang w:val="en-GB"/>
        </w:rPr>
        <w:t>Journal of Operations Management</w:t>
      </w:r>
      <w:r w:rsidRPr="7ECC8078" w:rsidR="63B6CA08">
        <w:rPr>
          <w:rFonts w:ascii="Calibri" w:hAnsi="Calibri" w:eastAsia="Calibri" w:cs="Calibri"/>
          <w:noProof w:val="0"/>
          <w:color w:val="0D0D0D" w:themeColor="text1" w:themeTint="F2" w:themeShade="FF"/>
          <w:sz w:val="24"/>
          <w:szCs w:val="24"/>
          <w:lang w:val="en-GB"/>
        </w:rPr>
        <w:t xml:space="preserve">, 25(4), pp. 755–767. </w:t>
      </w:r>
      <w:r w:rsidRPr="7ECC8078" w:rsidR="63B6CA08">
        <w:rPr>
          <w:rFonts w:ascii="Calibri" w:hAnsi="Calibri" w:eastAsia="Calibri" w:cs="Calibri"/>
          <w:b w:val="1"/>
          <w:bCs w:val="1"/>
          <w:noProof w:val="0"/>
          <w:color w:val="0D0D0D" w:themeColor="text1" w:themeTint="F2" w:themeShade="FF"/>
          <w:sz w:val="24"/>
          <w:szCs w:val="24"/>
          <w:lang w:val="en-GB"/>
        </w:rPr>
        <w:t>S</w:t>
      </w:r>
      <w:r w:rsidR="63B6CA08">
        <w:drawing>
          <wp:inline xmlns:wp14="http://schemas.microsoft.com/office/word/2010/wordprocessingDrawing" wp14:editId="06F6E1FF" wp14:anchorId="29353581">
            <wp:extent cx="304800" cy="304800"/>
            <wp:effectExtent l="0" t="0" r="0" b="0"/>
            <wp:docPr id="7172222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7222248" name="Picture 717222248"/>
                    <pic:cNvPicPr/>
                  </pic:nvPicPr>
                  <pic:blipFill>
                    <a:blip xmlns:r="http://schemas.openxmlformats.org/officeDocument/2006/relationships" r:embed="rId727952002">
                      <a:extLst>
                        <a:ext uri="{28A0092B-C50C-407E-A947-70E740481C1C}">
                          <a14:useLocalDpi xmlns:a14="http://schemas.microsoft.com/office/drawing/2010/main"/>
                        </a:ext>
                      </a:extLst>
                    </a:blip>
                    <a:stretch>
                      <a:fillRect/>
                    </a:stretch>
                  </pic:blipFill>
                  <pic:spPr>
                    <a:xfrm>
                      <a:off x="0" y="0"/>
                      <a:ext cx="304800" cy="304800"/>
                    </a:xfrm>
                    <a:prstGeom prst="rect">
                      <a:avLst/>
                    </a:prstGeom>
                  </pic:spPr>
                </pic:pic>
              </a:graphicData>
            </a:graphic>
          </wp:inline>
        </w:drawing>
      </w:r>
      <w:r w:rsidRPr="7ECC8078" w:rsidR="63B6CA08">
        <w:rPr>
          <w:rFonts w:ascii="Calibri" w:hAnsi="Calibri" w:eastAsia="Calibri" w:cs="Calibri"/>
          <w:b w:val="0"/>
          <w:bCs w:val="0"/>
          <w:noProof w:val="0"/>
          <w:color w:val="0D0D0D" w:themeColor="text1" w:themeTint="F2" w:themeShade="FF"/>
          <w:sz w:val="24"/>
          <w:szCs w:val="24"/>
          <w:lang w:val="en-GB"/>
        </w:rPr>
        <w:t>ScienceDirect</w:t>
      </w:r>
    </w:p>
    <w:p xmlns:wp14="http://schemas.microsoft.com/office/word/2010/wordml" w:rsidP="7ECC8078" wp14:paraId="74D9560F" wp14:textId="4BB829C2">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Department for Transport (2021) </w:t>
      </w:r>
      <w:r w:rsidRPr="7ECC8078" w:rsidR="63B6CA08">
        <w:rPr>
          <w:rFonts w:ascii="Calibri" w:hAnsi="Calibri" w:eastAsia="Calibri" w:cs="Calibri"/>
          <w:i w:val="1"/>
          <w:iCs w:val="1"/>
          <w:noProof w:val="0"/>
          <w:color w:val="0D0D0D" w:themeColor="text1" w:themeTint="F2" w:themeShade="FF"/>
          <w:sz w:val="24"/>
          <w:szCs w:val="24"/>
          <w:lang w:val="en-GB"/>
        </w:rPr>
        <w:t>Decarbonising Transport: A Better, Greener Britain</w:t>
      </w:r>
      <w:r w:rsidRPr="7ECC8078" w:rsidR="63B6CA08">
        <w:rPr>
          <w:rFonts w:ascii="Calibri" w:hAnsi="Calibri" w:eastAsia="Calibri" w:cs="Calibri"/>
          <w:noProof w:val="0"/>
          <w:color w:val="0D0D0D" w:themeColor="text1" w:themeTint="F2" w:themeShade="FF"/>
          <w:sz w:val="24"/>
          <w:szCs w:val="24"/>
          <w:lang w:val="en-GB"/>
        </w:rPr>
        <w:t>. London: Department for Transport.</w:t>
      </w:r>
    </w:p>
    <w:p xmlns:wp14="http://schemas.microsoft.com/office/word/2010/wordml" w:rsidP="7ECC8078" wp14:paraId="6030C046" wp14:textId="5A245E00">
      <w:pPr>
        <w:bidi w:val="0"/>
        <w:spacing w:before="240" w:beforeAutospacing="off" w:after="240" w:afterAutospacing="off"/>
        <w:rPr>
          <w:rFonts w:ascii="Calibri" w:hAnsi="Calibri" w:eastAsia="Calibri" w:cs="Calibri"/>
          <w:noProof w:val="0"/>
          <w:color w:val="0D0D0D" w:themeColor="text1" w:themeTint="F2" w:themeShade="FF"/>
          <w:sz w:val="24"/>
          <w:szCs w:val="24"/>
          <w:lang w:val="en-GB"/>
        </w:rPr>
      </w:pPr>
      <w:r w:rsidRPr="7ECC8078" w:rsidR="63B6CA08">
        <w:rPr>
          <w:rFonts w:ascii="Calibri" w:hAnsi="Calibri" w:eastAsia="Calibri" w:cs="Calibri"/>
          <w:noProof w:val="0"/>
          <w:color w:val="0D0D0D" w:themeColor="text1" w:themeTint="F2" w:themeShade="FF"/>
          <w:sz w:val="24"/>
          <w:szCs w:val="24"/>
          <w:lang w:val="en-GB"/>
        </w:rPr>
        <w:t xml:space="preserve">Department for Transport (2022) </w:t>
      </w:r>
      <w:r w:rsidRPr="7ECC8078" w:rsidR="63B6CA08">
        <w:rPr>
          <w:rFonts w:ascii="Calibri" w:hAnsi="Calibri" w:eastAsia="Calibri" w:cs="Calibri"/>
          <w:i w:val="1"/>
          <w:iCs w:val="1"/>
          <w:noProof w:val="0"/>
          <w:color w:val="0D0D0D" w:themeColor="text1" w:themeTint="F2" w:themeShade="FF"/>
          <w:sz w:val="24"/>
          <w:szCs w:val="24"/>
          <w:lang w:val="en-GB"/>
        </w:rPr>
        <w:t>Inclusive Mobility: Making Transport Accessible for Passengers and Pedestrians</w:t>
      </w:r>
      <w:r w:rsidRPr="7ECC8078" w:rsidR="63B6CA08">
        <w:rPr>
          <w:rFonts w:ascii="Calibri" w:hAnsi="Calibri" w:eastAsia="Calibri" w:cs="Calibri"/>
          <w:noProof w:val="0"/>
          <w:color w:val="0D0D0D" w:themeColor="text1" w:themeTint="F2" w:themeShade="FF"/>
          <w:sz w:val="24"/>
          <w:szCs w:val="24"/>
          <w:lang w:val="en-GB"/>
        </w:rPr>
        <w:t>. London: Department for Transport.</w:t>
      </w:r>
    </w:p>
    <w:p xmlns:wp14="http://schemas.microsoft.com/office/word/2010/wordml" w:rsidP="7ECC8078" wp14:paraId="011879C9" wp14:textId="26BF9B52">
      <w:pPr>
        <w:bidi w:val="0"/>
        <w:rPr>
          <w:rFonts w:ascii="Calibri" w:hAnsi="Calibri" w:eastAsia="Calibri" w:cs="Calibri"/>
          <w:sz w:val="24"/>
          <w:szCs w:val="24"/>
        </w:rPr>
      </w:pPr>
    </w:p>
    <w:p xmlns:wp14="http://schemas.microsoft.com/office/word/2010/wordml" w:rsidP="7ECC8078" wp14:paraId="5E5787A5" wp14:textId="58D9AE8D">
      <w:pPr>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46e3e5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1a04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858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da2d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4b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806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5c2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7a90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1DFB25"/>
    <w:rsid w:val="046CB010"/>
    <w:rsid w:val="07BED1CB"/>
    <w:rsid w:val="0B00B3C5"/>
    <w:rsid w:val="12FB5693"/>
    <w:rsid w:val="15497638"/>
    <w:rsid w:val="157852A6"/>
    <w:rsid w:val="205FEFA0"/>
    <w:rsid w:val="2690D550"/>
    <w:rsid w:val="2690D550"/>
    <w:rsid w:val="2C56FE41"/>
    <w:rsid w:val="2CE5BCD7"/>
    <w:rsid w:val="2E7FFD79"/>
    <w:rsid w:val="2E7FFD79"/>
    <w:rsid w:val="339AF16F"/>
    <w:rsid w:val="339AF16F"/>
    <w:rsid w:val="4E64BDC4"/>
    <w:rsid w:val="4E76A36D"/>
    <w:rsid w:val="5154D512"/>
    <w:rsid w:val="5F092820"/>
    <w:rsid w:val="5F6851D0"/>
    <w:rsid w:val="60877F22"/>
    <w:rsid w:val="63B6CA08"/>
    <w:rsid w:val="6682D5B3"/>
    <w:rsid w:val="6C585F1C"/>
    <w:rsid w:val="6C585F1C"/>
    <w:rsid w:val="71F4F6AD"/>
    <w:rsid w:val="77F41E61"/>
    <w:rsid w:val="798C4C6E"/>
    <w:rsid w:val="7AD07100"/>
    <w:rsid w:val="7CE95ACB"/>
    <w:rsid w:val="7DC68AD5"/>
    <w:rsid w:val="7ECC8078"/>
    <w:rsid w:val="7F1DF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BE4BF"/>
  <w15:chartTrackingRefBased/>
  <w15:docId w15:val="{E3FB0834-2A3D-4111-9513-1AFA603BD5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ECC80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ECC80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ECC807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ECC807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61815584" /><Relationship Type="http://schemas.openxmlformats.org/officeDocument/2006/relationships/image" Target="/media/image2.png" Id="rId1798767504" /><Relationship Type="http://schemas.openxmlformats.org/officeDocument/2006/relationships/image" Target="/media/image3.png" Id="rId2110680787" /><Relationship Type="http://schemas.openxmlformats.org/officeDocument/2006/relationships/image" Target="/media/image4.png" Id="rId1891267952" /><Relationship Type="http://schemas.openxmlformats.org/officeDocument/2006/relationships/image" Target="/media/image5.png" Id="rId2075426182" /><Relationship Type="http://schemas.openxmlformats.org/officeDocument/2006/relationships/image" Target="/media/image6.png" Id="rId727952002" /><Relationship Type="http://schemas.openxmlformats.org/officeDocument/2006/relationships/numbering" Target="/word/numbering.xml" Id="R94d54050ecd34b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Marvynn Bruno Junior Mendes Horta (2430201)</dc:creator>
  <keywords/>
  <dc:description/>
  <lastModifiedBy>Marvynn Bruno Junior Mendes Horta (2430201)</lastModifiedBy>
  <revision>2</revision>
  <dcterms:created xsi:type="dcterms:W3CDTF">2026-08-12T15:28:14.5831760Z</dcterms:created>
  <dcterms:modified xsi:type="dcterms:W3CDTF">2026-08-12T15:43:00.9669607Z</dcterms:modified>
</coreProperties>
</file>