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Override ContentType="application/vnd.openxmlformats-officedocument.wordprocessingml.header+xml" PartName="/word/header1.xml"/>
  <Override ContentType="application/vnd.openxmlformats-officedocument.wordprocessingml.footer+xml" PartName="/word/footer1.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pStyle w:val="Title"/>
        <w:spacing w:after="80"/>
      </w:pPr>
      <w:r>
        <w:t xml:space="preserve">IHG plc — Cash Conversion Cycle (CCC) Analysis, FY2020–FY2024</w:t>
      </w:r>
    </w:p>
    <w:p>
      <w:pPr>
        <w:spacing w:after="240"/>
      </w:pPr>
      <w:r>
        <w:rPr>
          <w:i/>
          <w:iCs/>
          <w:color w:val="595959"/>
          <w:sz w:val="18"/>
          <w:szCs w:val="18"/>
        </w:rPr>
        <w:t xml:space="preserve">Source: IHG Annual Report and Form 20-F, FY2020–FY2024 (Group Income Statement and Group Statement of Financial Position). Figures in USD millions unless stated. Full workings are also provided in the accompanying "CCC Workings" worksheet.</w:t>
      </w:r>
    </w:p>
    <w:p>
      <w:pPr>
        <w:pStyle w:val="Heading1"/>
        <w:spacing w:after="140" w:before="280"/>
      </w:pPr>
      <w:r>
        <w:t xml:space="preserve">1. Method and Formula</w:t>
      </w:r>
    </w:p>
    <w:p>
      <w:pPr>
        <w:spacing w:after="160"/>
      </w:pPr>
      <w:r>
        <w:rPr>
          <w:b w:val="false"/>
          <w:bCs w:val="false"/>
          <w:i w:val="false"/>
          <w:iCs w:val="false"/>
          <w:sz w:val="22"/>
          <w:szCs w:val="22"/>
        </w:rPr>
        <w:t xml:space="preserve">The Cash Conversion Cycle (CCC) measures how many days it takes a business to convert spending on its trading cycle back into cash from sales, net of the credit it receives from its own suppliers. It is calculated as:</w:t>
      </w:r>
    </w:p>
    <w:p>
      <w:pPr>
        <w:spacing w:after="160"/>
        <w:jc w:val="center"/>
      </w:pPr>
      <w:r>
        <w:rPr>
          <w:b/>
          <w:bCs/>
          <w:sz w:val="22"/>
          <w:szCs w:val="22"/>
        </w:rPr>
        <w:t xml:space="preserve">CCC = Days Inventory Outstanding (DIO) + Days Sales Outstanding (DSO) − Days Payable Outstanding (DPO)</w:t>
      </w:r>
    </w:p>
    <w:p>
      <w:pPr>
        <w:pStyle w:val="ListParagraph"/>
        <w:numPr>
          <w:ilvl w:val="0"/>
          <w:numId w:val="1"/>
        </w:numPr>
        <w:spacing w:after="100"/>
      </w:pPr>
      <w:r>
        <w:rPr>
          <w:b w:val="false"/>
          <w:bCs w:val="false"/>
          <w:sz w:val="22"/>
          <w:szCs w:val="22"/>
        </w:rPr>
        <w:t xml:space="preserve">DIO = Inventory ÷ Cost of sales × 365</w:t>
      </w:r>
    </w:p>
    <w:p>
      <w:pPr>
        <w:pStyle w:val="ListParagraph"/>
        <w:numPr>
          <w:ilvl w:val="0"/>
          <w:numId w:val="1"/>
        </w:numPr>
        <w:spacing w:after="100"/>
      </w:pPr>
      <w:r>
        <w:rPr>
          <w:b w:val="false"/>
          <w:bCs w:val="false"/>
          <w:sz w:val="22"/>
          <w:szCs w:val="22"/>
        </w:rPr>
        <w:t xml:space="preserve">DSO = Trade receivables ÷ Total revenue × 365</w:t>
      </w:r>
    </w:p>
    <w:p>
      <w:pPr>
        <w:pStyle w:val="ListParagraph"/>
        <w:numPr>
          <w:ilvl w:val="0"/>
          <w:numId w:val="1"/>
        </w:numPr>
        <w:spacing w:after="100"/>
      </w:pPr>
      <w:r>
        <w:rPr>
          <w:b w:val="false"/>
          <w:bCs w:val="false"/>
          <w:sz w:val="22"/>
          <w:szCs w:val="22"/>
        </w:rPr>
        <w:t xml:space="preserve">DPO = Trade payables ÷ Cost of sales × 365</w:t>
      </w:r>
    </w:p>
    <w:p>
      <w:pPr>
        <w:spacing w:after="160"/>
      </w:pPr>
      <w:r>
        <w:rPr>
          <w:b w:val="false"/>
          <w:bCs w:val="false"/>
          <w:i w:val="false"/>
          <w:iCs w:val="false"/>
          <w:sz w:val="22"/>
          <w:szCs w:val="22"/>
        </w:rPr>
        <w:t xml:space="preserve">A lower (or more negative) CCC means less cash is tied up in the trading cycle; a negative CCC means the company is, in effect, funded by its trading cycle rather than the other way around.</w:t>
      </w:r>
    </w:p>
    <w:p>
      <w:pPr>
        <w:pStyle w:val="Heading1"/>
        <w:spacing w:after="140" w:before="280"/>
      </w:pPr>
      <w:r>
        <w:t xml:space="preserve">2. Inputs Used</w:t>
      </w:r>
    </w:p>
    <w:tbl>
      <w:tblPr>
        <w:tblW w:type="dxa" w:w="9200"/>
        <w:tblBorders>
          <w:top w:val="single" w:color="auto" w:sz="4"/>
          <w:left w:val="single" w:color="auto" w:sz="4"/>
          <w:bottom w:val="single" w:color="auto" w:sz="4"/>
          <w:right w:val="single" w:color="auto" w:sz="4"/>
          <w:insideH w:val="single" w:color="auto" w:sz="4"/>
          <w:insideV w:val="single" w:color="auto" w:sz="4"/>
        </w:tblBorders>
      </w:tblPr>
      <w:tblGrid>
        <w:gridCol w:w="2400"/>
        <w:gridCol w:w="1360"/>
        <w:gridCol w:w="1360"/>
        <w:gridCol w:w="1360"/>
        <w:gridCol w:w="1360"/>
        <w:gridCol w:w="1360"/>
      </w:tblGrid>
      <w:tr>
        <w:trPr>
          <w:tblHeader/>
        </w:trPr>
        <w:tc>
          <w:tcPr>
            <w:tcW w:type="dxa" w:w="2400"/>
            <w:shd w:fill="1F4E78" w:val="clear"/>
            <w:tcMar>
              <w:top w:type="dxa" w:w="80"/>
              <w:left w:type="dxa" w:w="100"/>
              <w:bottom w:type="dxa" w:w="80"/>
              <w:right w:type="dxa" w:w="100"/>
            </w:tcMar>
            <w:vAlign w:val="center"/>
          </w:tcPr>
          <w:p>
            <w:pPr>
              <w:jc w:val="left"/>
            </w:pPr>
            <w:r>
              <w:rPr>
                <w:b/>
                <w:bCs/>
                <w:i w:val="false"/>
                <w:iCs w:val="false"/>
                <w:color w:val="FFFFFF"/>
                <w:sz w:val="20"/>
                <w:szCs w:val="20"/>
              </w:rPr>
              <w:t xml:space="preserve">$m</w:t>
            </w:r>
          </w:p>
        </w:tc>
        <w:tc>
          <w:tcPr>
            <w:tcW w:type="dxa" w:w="1360"/>
            <w:shd w:fill="1F4E78" w:val="clear"/>
            <w:tcMar>
              <w:top w:type="dxa" w:w="80"/>
              <w:left w:type="dxa" w:w="100"/>
              <w:bottom w:type="dxa" w:w="80"/>
              <w:right w:type="dxa" w:w="100"/>
            </w:tcMar>
            <w:vAlign w:val="center"/>
          </w:tcPr>
          <w:p>
            <w:pPr>
              <w:jc w:val="center"/>
            </w:pPr>
            <w:r>
              <w:rPr>
                <w:b/>
                <w:bCs/>
                <w:i w:val="false"/>
                <w:iCs w:val="false"/>
                <w:color w:val="FFFFFF"/>
                <w:sz w:val="20"/>
                <w:szCs w:val="20"/>
              </w:rPr>
              <w:t xml:space="preserve">2020</w:t>
            </w:r>
          </w:p>
        </w:tc>
        <w:tc>
          <w:tcPr>
            <w:tcW w:type="dxa" w:w="1360"/>
            <w:shd w:fill="1F4E78" w:val="clear"/>
            <w:tcMar>
              <w:top w:type="dxa" w:w="80"/>
              <w:left w:type="dxa" w:w="100"/>
              <w:bottom w:type="dxa" w:w="80"/>
              <w:right w:type="dxa" w:w="100"/>
            </w:tcMar>
            <w:vAlign w:val="center"/>
          </w:tcPr>
          <w:p>
            <w:pPr>
              <w:jc w:val="center"/>
            </w:pPr>
            <w:r>
              <w:rPr>
                <w:b/>
                <w:bCs/>
                <w:i w:val="false"/>
                <w:iCs w:val="false"/>
                <w:color w:val="FFFFFF"/>
                <w:sz w:val="20"/>
                <w:szCs w:val="20"/>
              </w:rPr>
              <w:t xml:space="preserve">2021</w:t>
            </w:r>
          </w:p>
        </w:tc>
        <w:tc>
          <w:tcPr>
            <w:tcW w:type="dxa" w:w="1360"/>
            <w:shd w:fill="1F4E78" w:val="clear"/>
            <w:tcMar>
              <w:top w:type="dxa" w:w="80"/>
              <w:left w:type="dxa" w:w="100"/>
              <w:bottom w:type="dxa" w:w="80"/>
              <w:right w:type="dxa" w:w="100"/>
            </w:tcMar>
            <w:vAlign w:val="center"/>
          </w:tcPr>
          <w:p>
            <w:pPr>
              <w:jc w:val="center"/>
            </w:pPr>
            <w:r>
              <w:rPr>
                <w:b/>
                <w:bCs/>
                <w:i w:val="false"/>
                <w:iCs w:val="false"/>
                <w:color w:val="FFFFFF"/>
                <w:sz w:val="20"/>
                <w:szCs w:val="20"/>
              </w:rPr>
              <w:t xml:space="preserve">2022</w:t>
            </w:r>
          </w:p>
        </w:tc>
        <w:tc>
          <w:tcPr>
            <w:tcW w:type="dxa" w:w="1360"/>
            <w:shd w:fill="1F4E78" w:val="clear"/>
            <w:tcMar>
              <w:top w:type="dxa" w:w="80"/>
              <w:left w:type="dxa" w:w="100"/>
              <w:bottom w:type="dxa" w:w="80"/>
              <w:right w:type="dxa" w:w="100"/>
            </w:tcMar>
            <w:vAlign w:val="center"/>
          </w:tcPr>
          <w:p>
            <w:pPr>
              <w:jc w:val="center"/>
            </w:pPr>
            <w:r>
              <w:rPr>
                <w:b/>
                <w:bCs/>
                <w:i w:val="false"/>
                <w:iCs w:val="false"/>
                <w:color w:val="FFFFFF"/>
                <w:sz w:val="20"/>
                <w:szCs w:val="20"/>
              </w:rPr>
              <w:t xml:space="preserve">2023</w:t>
            </w:r>
          </w:p>
        </w:tc>
        <w:tc>
          <w:tcPr>
            <w:tcW w:type="dxa" w:w="1360"/>
            <w:shd w:fill="1F4E78" w:val="clear"/>
            <w:tcMar>
              <w:top w:type="dxa" w:w="80"/>
              <w:left w:type="dxa" w:w="100"/>
              <w:bottom w:type="dxa" w:w="80"/>
              <w:right w:type="dxa" w:w="100"/>
            </w:tcMar>
            <w:vAlign w:val="center"/>
          </w:tcPr>
          <w:p>
            <w:pPr>
              <w:jc w:val="center"/>
            </w:pPr>
            <w:r>
              <w:rPr>
                <w:b/>
                <w:bCs/>
                <w:i w:val="false"/>
                <w:iCs w:val="false"/>
                <w:color w:val="FFFFFF"/>
                <w:sz w:val="20"/>
                <w:szCs w:val="20"/>
              </w:rPr>
              <w:t xml:space="preserve">2024</w:t>
            </w:r>
          </w:p>
        </w:tc>
      </w:tr>
      <w:tr>
        <w:tc>
          <w:tcPr>
            <w:tcW w:type="dxa" w:w="2400"/>
            <w:tcMar>
              <w:top w:type="dxa" w:w="80"/>
              <w:left w:type="dxa" w:w="100"/>
              <w:bottom w:type="dxa" w:w="80"/>
              <w:right w:type="dxa" w:w="100"/>
            </w:tcMar>
            <w:vAlign w:val="center"/>
          </w:tcPr>
          <w:p>
            <w:pPr>
              <w:jc w:val="left"/>
            </w:pPr>
            <w:r>
              <w:rPr>
                <w:b w:val="false"/>
                <w:bCs w:val="false"/>
                <w:i w:val="false"/>
                <w:iCs w:val="false"/>
                <w:color w:val="000000"/>
                <w:sz w:val="20"/>
                <w:szCs w:val="20"/>
              </w:rPr>
              <w:t xml:space="preserve">Total revenue</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2,394</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2,907</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3,892</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4,624</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4,923</w:t>
            </w:r>
          </w:p>
        </w:tc>
      </w:tr>
      <w:tr>
        <w:tc>
          <w:tcPr>
            <w:tcW w:type="dxa" w:w="2400"/>
            <w:tcMar>
              <w:top w:type="dxa" w:w="80"/>
              <w:left w:type="dxa" w:w="100"/>
              <w:bottom w:type="dxa" w:w="80"/>
              <w:right w:type="dxa" w:w="100"/>
            </w:tcMar>
            <w:vAlign w:val="center"/>
          </w:tcPr>
          <w:p>
            <w:pPr>
              <w:jc w:val="left"/>
            </w:pPr>
            <w:r>
              <w:rPr>
                <w:b w:val="false"/>
                <w:bCs w:val="false"/>
                <w:i w:val="false"/>
                <w:iCs w:val="false"/>
                <w:color w:val="000000"/>
                <w:sz w:val="20"/>
                <w:szCs w:val="20"/>
              </w:rPr>
              <w:t xml:space="preserve">Cost of sales (COGS)</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354</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486</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648</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742</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745</w:t>
            </w:r>
          </w:p>
        </w:tc>
      </w:tr>
      <w:tr>
        <w:tc>
          <w:tcPr>
            <w:tcW w:type="dxa" w:w="2400"/>
            <w:tcMar>
              <w:top w:type="dxa" w:w="80"/>
              <w:left w:type="dxa" w:w="100"/>
              <w:bottom w:type="dxa" w:w="80"/>
              <w:right w:type="dxa" w:w="100"/>
            </w:tcMar>
            <w:vAlign w:val="center"/>
          </w:tcPr>
          <w:p>
            <w:pPr>
              <w:jc w:val="left"/>
            </w:pPr>
            <w:r>
              <w:rPr>
                <w:b w:val="false"/>
                <w:bCs w:val="false"/>
                <w:i w:val="false"/>
                <w:iCs w:val="false"/>
                <w:color w:val="000000"/>
                <w:sz w:val="20"/>
                <w:szCs w:val="20"/>
              </w:rPr>
              <w:t xml:space="preserve">Inventories (year-end)</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5</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4</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4</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5</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4</w:t>
            </w:r>
          </w:p>
        </w:tc>
      </w:tr>
      <w:tr>
        <w:tc>
          <w:tcPr>
            <w:tcW w:type="dxa" w:w="2400"/>
            <w:tcMar>
              <w:top w:type="dxa" w:w="80"/>
              <w:left w:type="dxa" w:w="100"/>
              <w:bottom w:type="dxa" w:w="80"/>
              <w:right w:type="dxa" w:w="100"/>
            </w:tcMar>
            <w:vAlign w:val="center"/>
          </w:tcPr>
          <w:p>
            <w:pPr>
              <w:jc w:val="left"/>
            </w:pPr>
            <w:r>
              <w:rPr>
                <w:b w:val="false"/>
                <w:bCs w:val="false"/>
                <w:i w:val="false"/>
                <w:iCs w:val="false"/>
                <w:color w:val="000000"/>
                <w:sz w:val="20"/>
                <w:szCs w:val="20"/>
              </w:rPr>
              <w:t xml:space="preserve">Trade &amp; other receivables</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514</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574</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646</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740</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785</w:t>
            </w:r>
          </w:p>
        </w:tc>
      </w:tr>
      <w:tr>
        <w:tc>
          <w:tcPr>
            <w:tcW w:type="dxa" w:w="2400"/>
            <w:tcMar>
              <w:top w:type="dxa" w:w="80"/>
              <w:left w:type="dxa" w:w="100"/>
              <w:bottom w:type="dxa" w:w="80"/>
              <w:right w:type="dxa" w:w="100"/>
            </w:tcMar>
            <w:vAlign w:val="center"/>
          </w:tcPr>
          <w:p>
            <w:pPr>
              <w:jc w:val="left"/>
            </w:pPr>
            <w:r>
              <w:rPr>
                <w:b w:val="false"/>
                <w:bCs w:val="false"/>
                <w:i w:val="false"/>
                <w:iCs w:val="false"/>
                <w:color w:val="000000"/>
                <w:sz w:val="20"/>
                <w:szCs w:val="20"/>
              </w:rPr>
              <w:t xml:space="preserve">Trade &amp; other payables</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466</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579</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697</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711</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650</w:t>
            </w:r>
          </w:p>
        </w:tc>
      </w:tr>
    </w:tbl>
    <w:p>
      <w:pPr>
        <w:spacing w:before="200"/>
      </w:pPr>
    </w:p>
    <w:p>
      <w:pPr>
        <w:pStyle w:val="Heading1"/>
        <w:spacing w:after="140" w:before="280"/>
      </w:pPr>
      <w:r>
        <w:t xml:space="preserve">3. CCC Results, FY2020–FY2024</w:t>
      </w:r>
    </w:p>
    <w:tbl>
      <w:tblPr>
        <w:tblW w:type="dxa" w:w="9200"/>
        <w:tblBorders>
          <w:top w:val="single" w:color="auto" w:sz="4"/>
          <w:left w:val="single" w:color="auto" w:sz="4"/>
          <w:bottom w:val="single" w:color="auto" w:sz="4"/>
          <w:right w:val="single" w:color="auto" w:sz="4"/>
          <w:insideH w:val="single" w:color="auto" w:sz="4"/>
          <w:insideV w:val="single" w:color="auto" w:sz="4"/>
        </w:tblBorders>
      </w:tblPr>
      <w:tblGrid>
        <w:gridCol w:w="2400"/>
        <w:gridCol w:w="1360"/>
        <w:gridCol w:w="1360"/>
        <w:gridCol w:w="1360"/>
        <w:gridCol w:w="1360"/>
        <w:gridCol w:w="1360"/>
      </w:tblGrid>
      <w:tr>
        <w:trPr>
          <w:tblHeader/>
        </w:trPr>
        <w:tc>
          <w:tcPr>
            <w:tcW w:type="dxa" w:w="2400"/>
            <w:shd w:fill="1F4E78" w:val="clear"/>
            <w:tcMar>
              <w:top w:type="dxa" w:w="80"/>
              <w:left w:type="dxa" w:w="100"/>
              <w:bottom w:type="dxa" w:w="80"/>
              <w:right w:type="dxa" w:w="100"/>
            </w:tcMar>
            <w:vAlign w:val="center"/>
          </w:tcPr>
          <w:p>
            <w:pPr>
              <w:jc w:val="left"/>
            </w:pPr>
            <w:r>
              <w:rPr>
                <w:b/>
                <w:bCs/>
                <w:i w:val="false"/>
                <w:iCs w:val="false"/>
                <w:color w:val="FFFFFF"/>
                <w:sz w:val="20"/>
                <w:szCs w:val="20"/>
              </w:rPr>
              <w:t xml:space="preserve">Metric (days)</w:t>
            </w:r>
          </w:p>
        </w:tc>
        <w:tc>
          <w:tcPr>
            <w:tcW w:type="dxa" w:w="1360"/>
            <w:shd w:fill="1F4E78" w:val="clear"/>
            <w:tcMar>
              <w:top w:type="dxa" w:w="80"/>
              <w:left w:type="dxa" w:w="100"/>
              <w:bottom w:type="dxa" w:w="80"/>
              <w:right w:type="dxa" w:w="100"/>
            </w:tcMar>
            <w:vAlign w:val="center"/>
          </w:tcPr>
          <w:p>
            <w:pPr>
              <w:jc w:val="center"/>
            </w:pPr>
            <w:r>
              <w:rPr>
                <w:b/>
                <w:bCs/>
                <w:i w:val="false"/>
                <w:iCs w:val="false"/>
                <w:color w:val="FFFFFF"/>
                <w:sz w:val="20"/>
                <w:szCs w:val="20"/>
              </w:rPr>
              <w:t xml:space="preserve">2020</w:t>
            </w:r>
          </w:p>
        </w:tc>
        <w:tc>
          <w:tcPr>
            <w:tcW w:type="dxa" w:w="1360"/>
            <w:shd w:fill="1F4E78" w:val="clear"/>
            <w:tcMar>
              <w:top w:type="dxa" w:w="80"/>
              <w:left w:type="dxa" w:w="100"/>
              <w:bottom w:type="dxa" w:w="80"/>
              <w:right w:type="dxa" w:w="100"/>
            </w:tcMar>
            <w:vAlign w:val="center"/>
          </w:tcPr>
          <w:p>
            <w:pPr>
              <w:jc w:val="center"/>
            </w:pPr>
            <w:r>
              <w:rPr>
                <w:b/>
                <w:bCs/>
                <w:i w:val="false"/>
                <w:iCs w:val="false"/>
                <w:color w:val="FFFFFF"/>
                <w:sz w:val="20"/>
                <w:szCs w:val="20"/>
              </w:rPr>
              <w:t xml:space="preserve">2021</w:t>
            </w:r>
          </w:p>
        </w:tc>
        <w:tc>
          <w:tcPr>
            <w:tcW w:type="dxa" w:w="1360"/>
            <w:shd w:fill="1F4E78" w:val="clear"/>
            <w:tcMar>
              <w:top w:type="dxa" w:w="80"/>
              <w:left w:type="dxa" w:w="100"/>
              <w:bottom w:type="dxa" w:w="80"/>
              <w:right w:type="dxa" w:w="100"/>
            </w:tcMar>
            <w:vAlign w:val="center"/>
          </w:tcPr>
          <w:p>
            <w:pPr>
              <w:jc w:val="center"/>
            </w:pPr>
            <w:r>
              <w:rPr>
                <w:b/>
                <w:bCs/>
                <w:i w:val="false"/>
                <w:iCs w:val="false"/>
                <w:color w:val="FFFFFF"/>
                <w:sz w:val="20"/>
                <w:szCs w:val="20"/>
              </w:rPr>
              <w:t xml:space="preserve">2022</w:t>
            </w:r>
          </w:p>
        </w:tc>
        <w:tc>
          <w:tcPr>
            <w:tcW w:type="dxa" w:w="1360"/>
            <w:shd w:fill="1F4E78" w:val="clear"/>
            <w:tcMar>
              <w:top w:type="dxa" w:w="80"/>
              <w:left w:type="dxa" w:w="100"/>
              <w:bottom w:type="dxa" w:w="80"/>
              <w:right w:type="dxa" w:w="100"/>
            </w:tcMar>
            <w:vAlign w:val="center"/>
          </w:tcPr>
          <w:p>
            <w:pPr>
              <w:jc w:val="center"/>
            </w:pPr>
            <w:r>
              <w:rPr>
                <w:b/>
                <w:bCs/>
                <w:i w:val="false"/>
                <w:iCs w:val="false"/>
                <w:color w:val="FFFFFF"/>
                <w:sz w:val="20"/>
                <w:szCs w:val="20"/>
              </w:rPr>
              <w:t xml:space="preserve">2023</w:t>
            </w:r>
          </w:p>
        </w:tc>
        <w:tc>
          <w:tcPr>
            <w:tcW w:type="dxa" w:w="1360"/>
            <w:shd w:fill="1F4E78" w:val="clear"/>
            <w:tcMar>
              <w:top w:type="dxa" w:w="80"/>
              <w:left w:type="dxa" w:w="100"/>
              <w:bottom w:type="dxa" w:w="80"/>
              <w:right w:type="dxa" w:w="100"/>
            </w:tcMar>
            <w:vAlign w:val="center"/>
          </w:tcPr>
          <w:p>
            <w:pPr>
              <w:jc w:val="center"/>
            </w:pPr>
            <w:r>
              <w:rPr>
                <w:b/>
                <w:bCs/>
                <w:i w:val="false"/>
                <w:iCs w:val="false"/>
                <w:color w:val="FFFFFF"/>
                <w:sz w:val="20"/>
                <w:szCs w:val="20"/>
              </w:rPr>
              <w:t xml:space="preserve">2024</w:t>
            </w:r>
          </w:p>
        </w:tc>
      </w:tr>
      <w:tr>
        <w:tc>
          <w:tcPr>
            <w:tcW w:type="dxa" w:w="2400"/>
            <w:tcMar>
              <w:top w:type="dxa" w:w="80"/>
              <w:left w:type="dxa" w:w="100"/>
              <w:bottom w:type="dxa" w:w="80"/>
              <w:right w:type="dxa" w:w="100"/>
            </w:tcMar>
            <w:vAlign w:val="center"/>
          </w:tcPr>
          <w:p>
            <w:pPr>
              <w:jc w:val="left"/>
            </w:pPr>
            <w:r>
              <w:rPr>
                <w:b w:val="false"/>
                <w:bCs w:val="false"/>
                <w:i w:val="false"/>
                <w:iCs w:val="false"/>
                <w:color w:val="000000"/>
                <w:sz w:val="20"/>
                <w:szCs w:val="20"/>
              </w:rPr>
              <w:t xml:space="preserve">Days Inventory Outstanding (DIO)</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5.2</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3.0</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2.3</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2.5</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2.0</w:t>
            </w:r>
          </w:p>
        </w:tc>
      </w:tr>
      <w:tr>
        <w:tc>
          <w:tcPr>
            <w:tcW w:type="dxa" w:w="2400"/>
            <w:tcMar>
              <w:top w:type="dxa" w:w="80"/>
              <w:left w:type="dxa" w:w="100"/>
              <w:bottom w:type="dxa" w:w="80"/>
              <w:right w:type="dxa" w:w="100"/>
            </w:tcMar>
            <w:vAlign w:val="center"/>
          </w:tcPr>
          <w:p>
            <w:pPr>
              <w:jc w:val="left"/>
            </w:pPr>
            <w:r>
              <w:rPr>
                <w:b w:val="false"/>
                <w:bCs w:val="false"/>
                <w:i w:val="false"/>
                <w:iCs w:val="false"/>
                <w:color w:val="000000"/>
                <w:sz w:val="20"/>
                <w:szCs w:val="20"/>
              </w:rPr>
              <w:t xml:space="preserve">Days Sales Outstanding (DSO)</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78.4</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72.1</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60.6</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58.4</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58.2</w:t>
            </w:r>
          </w:p>
        </w:tc>
      </w:tr>
      <w:tr>
        <w:tc>
          <w:tcPr>
            <w:tcW w:type="dxa" w:w="2400"/>
            <w:tcMar>
              <w:top w:type="dxa" w:w="80"/>
              <w:left w:type="dxa" w:w="100"/>
              <w:bottom w:type="dxa" w:w="80"/>
              <w:right w:type="dxa" w:w="100"/>
            </w:tcMar>
            <w:vAlign w:val="center"/>
          </w:tcPr>
          <w:p>
            <w:pPr>
              <w:jc w:val="left"/>
            </w:pPr>
            <w:r>
              <w:rPr>
                <w:b w:val="false"/>
                <w:bCs w:val="false"/>
                <w:i w:val="false"/>
                <w:iCs w:val="false"/>
                <w:color w:val="000000"/>
                <w:sz w:val="20"/>
                <w:szCs w:val="20"/>
              </w:rPr>
              <w:t xml:space="preserve">Days Payable Outstanding (DPO)</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480.5</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434.8</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392.6</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349.8</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318.5</w:t>
            </w:r>
          </w:p>
        </w:tc>
      </w:tr>
      <w:tr>
        <w:tc>
          <w:tcPr>
            <w:tcW w:type="dxa" w:w="2400"/>
            <w:shd w:fill="D9E1F2" w:val="clear"/>
            <w:tcMar>
              <w:top w:type="dxa" w:w="80"/>
              <w:left w:type="dxa" w:w="100"/>
              <w:bottom w:type="dxa" w:w="80"/>
              <w:right w:type="dxa" w:w="100"/>
            </w:tcMar>
            <w:vAlign w:val="center"/>
          </w:tcPr>
          <w:p>
            <w:pPr>
              <w:jc w:val="left"/>
            </w:pPr>
            <w:r>
              <w:rPr>
                <w:b/>
                <w:bCs/>
                <w:i w:val="false"/>
                <w:iCs w:val="false"/>
                <w:color w:val="000000"/>
                <w:sz w:val="20"/>
                <w:szCs w:val="20"/>
              </w:rPr>
              <w:t xml:space="preserve">Cash Conversion Cycle (CCC)</w:t>
            </w:r>
          </w:p>
        </w:tc>
        <w:tc>
          <w:tcPr>
            <w:tcW w:type="dxa" w:w="1360"/>
            <w:shd w:fill="D9E1F2" w:val="clear"/>
            <w:tcMar>
              <w:top w:type="dxa" w:w="80"/>
              <w:left w:type="dxa" w:w="100"/>
              <w:bottom w:type="dxa" w:w="80"/>
              <w:right w:type="dxa" w:w="100"/>
            </w:tcMar>
            <w:vAlign w:val="center"/>
          </w:tcPr>
          <w:p>
            <w:pPr>
              <w:jc w:val="center"/>
            </w:pPr>
            <w:r>
              <w:rPr>
                <w:b/>
                <w:bCs/>
                <w:i w:val="false"/>
                <w:iCs w:val="false"/>
                <w:color w:val="000000"/>
                <w:sz w:val="20"/>
                <w:szCs w:val="20"/>
              </w:rPr>
              <w:t xml:space="preserve">(397.0)</w:t>
            </w:r>
          </w:p>
        </w:tc>
        <w:tc>
          <w:tcPr>
            <w:tcW w:type="dxa" w:w="1360"/>
            <w:shd w:fill="D9E1F2" w:val="clear"/>
            <w:tcMar>
              <w:top w:type="dxa" w:w="80"/>
              <w:left w:type="dxa" w:w="100"/>
              <w:bottom w:type="dxa" w:w="80"/>
              <w:right w:type="dxa" w:w="100"/>
            </w:tcMar>
            <w:vAlign w:val="center"/>
          </w:tcPr>
          <w:p>
            <w:pPr>
              <w:jc w:val="center"/>
            </w:pPr>
            <w:r>
              <w:rPr>
                <w:b/>
                <w:bCs/>
                <w:i w:val="false"/>
                <w:iCs w:val="false"/>
                <w:color w:val="000000"/>
                <w:sz w:val="20"/>
                <w:szCs w:val="20"/>
              </w:rPr>
              <w:t xml:space="preserve">(359.8)</w:t>
            </w:r>
          </w:p>
        </w:tc>
        <w:tc>
          <w:tcPr>
            <w:tcW w:type="dxa" w:w="1360"/>
            <w:shd w:fill="D9E1F2" w:val="clear"/>
            <w:tcMar>
              <w:top w:type="dxa" w:w="80"/>
              <w:left w:type="dxa" w:w="100"/>
              <w:bottom w:type="dxa" w:w="80"/>
              <w:right w:type="dxa" w:w="100"/>
            </w:tcMar>
            <w:vAlign w:val="center"/>
          </w:tcPr>
          <w:p>
            <w:pPr>
              <w:jc w:val="center"/>
            </w:pPr>
            <w:r>
              <w:rPr>
                <w:b/>
                <w:bCs/>
                <w:i w:val="false"/>
                <w:iCs w:val="false"/>
                <w:color w:val="000000"/>
                <w:sz w:val="20"/>
                <w:szCs w:val="20"/>
              </w:rPr>
              <w:t xml:space="preserve">(329.8)</w:t>
            </w:r>
          </w:p>
        </w:tc>
        <w:tc>
          <w:tcPr>
            <w:tcW w:type="dxa" w:w="1360"/>
            <w:shd w:fill="D9E1F2" w:val="clear"/>
            <w:tcMar>
              <w:top w:type="dxa" w:w="80"/>
              <w:left w:type="dxa" w:w="100"/>
              <w:bottom w:type="dxa" w:w="80"/>
              <w:right w:type="dxa" w:w="100"/>
            </w:tcMar>
            <w:vAlign w:val="center"/>
          </w:tcPr>
          <w:p>
            <w:pPr>
              <w:jc w:val="center"/>
            </w:pPr>
            <w:r>
              <w:rPr>
                <w:b/>
                <w:bCs/>
                <w:i w:val="false"/>
                <w:iCs w:val="false"/>
                <w:color w:val="000000"/>
                <w:sz w:val="20"/>
                <w:szCs w:val="20"/>
              </w:rPr>
              <w:t xml:space="preserve">(288.9)</w:t>
            </w:r>
          </w:p>
        </w:tc>
        <w:tc>
          <w:tcPr>
            <w:tcW w:type="dxa" w:w="1360"/>
            <w:shd w:fill="D9E1F2" w:val="clear"/>
            <w:tcMar>
              <w:top w:type="dxa" w:w="80"/>
              <w:left w:type="dxa" w:w="100"/>
              <w:bottom w:type="dxa" w:w="80"/>
              <w:right w:type="dxa" w:w="100"/>
            </w:tcMar>
            <w:vAlign w:val="center"/>
          </w:tcPr>
          <w:p>
            <w:pPr>
              <w:jc w:val="center"/>
            </w:pPr>
            <w:r>
              <w:rPr>
                <w:b/>
                <w:bCs/>
                <w:i w:val="false"/>
                <w:iCs w:val="false"/>
                <w:color w:val="000000"/>
                <w:sz w:val="20"/>
                <w:szCs w:val="20"/>
              </w:rPr>
              <w:t xml:space="preserve">(258.3)</w:t>
            </w:r>
          </w:p>
        </w:tc>
      </w:tr>
      <w:tr>
        <w:tc>
          <w:tcPr>
            <w:tcW w:type="dxa" w:w="2400"/>
            <w:tcMar>
              <w:top w:type="dxa" w:w="80"/>
              <w:left w:type="dxa" w:w="100"/>
              <w:bottom w:type="dxa" w:w="80"/>
              <w:right w:type="dxa" w:w="100"/>
            </w:tcMar>
            <w:vAlign w:val="center"/>
          </w:tcPr>
          <w:p>
            <w:pPr>
              <w:jc w:val="left"/>
            </w:pPr>
            <w:r>
              <w:rPr>
                <w:b w:val="false"/>
                <w:bCs w:val="false"/>
                <w:i w:val="false"/>
                <w:iCs w:val="false"/>
                <w:color w:val="000000"/>
                <w:sz w:val="20"/>
                <w:szCs w:val="20"/>
              </w:rPr>
              <w:t xml:space="preserve">Year-on-year change in CCC</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n/a</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+37.2</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+30.0</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+40.9</w:t>
            </w:r>
          </w:p>
        </w:tc>
        <w:tc>
          <w:tcPr>
            <w:tcW w:type="dxa" w:w="1360"/>
            <w:tcMar>
              <w:top w:type="dxa" w:w="80"/>
              <w:left w:type="dxa" w:w="100"/>
              <w:bottom w:type="dxa" w:w="80"/>
              <w:right w:type="dxa" w:w="100"/>
            </w:tcMar>
            <w:vAlign w:val="center"/>
          </w:tcPr>
          <w:p>
            <w:pPr>
              <w:jc w:val="center"/>
            </w:pPr>
            <w:r>
              <w:rPr>
                <w:b w:val="false"/>
                <w:bCs w:val="false"/>
                <w:i w:val="false"/>
                <w:iCs w:val="false"/>
                <w:color w:val="000000"/>
                <w:sz w:val="20"/>
                <w:szCs w:val="20"/>
              </w:rPr>
              <w:t xml:space="preserve">+30.6</w:t>
            </w:r>
          </w:p>
        </w:tc>
      </w:tr>
    </w:tbl>
    <w:p>
      <w:pPr>
        <w:spacing w:before="200"/>
      </w:pPr>
    </w:p>
    <w:p>
      <w:pPr>
        <w:spacing w:after="160"/>
      </w:pPr>
      <w:r>
        <w:rPr>
          <w:b w:val="false"/>
          <w:bCs w:val="false"/>
          <w:i w:val="false"/>
          <w:iCs w:val="false"/>
          <w:sz w:val="22"/>
          <w:szCs w:val="22"/>
        </w:rPr>
        <w:t xml:space="preserve">IHG's CCC is deeply negative in every year of the five-year period. This is a structural feature of IHG's asset-light, fee-based operating model, not a sign of financial distress: IHG holds almost no inventory (it franchises and manages hotels rather than owning stock), so DIO is negligible (2–5 days) throughout. Trade payables, however, are large relative to the small cost-of-sales line, since IHG's payables include amounts owed under its System Fund and to hotel owners/suppliers under its management and franchise arrangements — figures that are not economically comparable to a retailer's or manufacturer's "cost of goods sold" base. That imbalance between a small COGS denominator and a large payables balance is what drives DPO up into the hundreds of days and the CCC deeply negative.</w:t>
      </w:r>
    </w:p>
    <w:p>
      <w:pPr>
        <w:pStyle w:val="Heading1"/>
        <w:spacing w:after="140" w:before="280"/>
      </w:pPr>
      <w:r>
        <w:t xml:space="preserve">4. Significant Year-on-Year Changes</w:t>
      </w:r>
    </w:p>
    <w:p>
      <w:pPr>
        <w:pStyle w:val="Heading2"/>
        <w:spacing w:after="100" w:before="220"/>
      </w:pPr>
      <w:r>
        <w:t xml:space="preserve">2020 → 2021: CCC improves from (397.0) to (359.8) days — a 37.2-day improvement</w:t>
      </w:r>
    </w:p>
    <w:p>
      <w:pPr>
        <w:spacing w:after="160"/>
      </w:pPr>
      <w:r>
        <w:rPr>
          <w:b w:val="false"/>
          <w:bCs w:val="false"/>
          <w:i w:val="false"/>
          <w:iCs w:val="false"/>
          <w:sz w:val="22"/>
          <w:szCs w:val="22"/>
        </w:rPr>
        <w:t xml:space="preserve">2020 was the trough of the COVID-19 pandemic for the hotel industry: IHG's revenue fell to $2,394m and cost of sales to $354m, its lowest point in the five-year window. As global travel began recovering through 2021, revenue rose 21.4% to $2,907m and cost of sales rose 37.3% to $486m — COGS growing faster than trade payables (which rose only 24.2%, from $466m to $579m). Because DPO is payables divided by the (fast-growing) COGS figure, DPO fell sharply from 480.5 to 434.8 days. DSO also improved (78.4 → 72.1 days) as revenue recovered faster than the receivables balance grew. Both effects moved the CCC in the same, less-negative direction.</w:t>
      </w:r>
    </w:p>
    <w:p>
      <w:pPr>
        <w:pStyle w:val="Heading2"/>
        <w:spacing w:after="100" w:before="220"/>
      </w:pPr>
      <w:r>
        <w:t xml:space="preserve">2021 → 2022: CCC improves from (359.8) to (329.8) days — a 30.0-day improvement</w:t>
      </w:r>
    </w:p>
    <w:p>
      <w:pPr>
        <w:spacing w:after="160"/>
      </w:pPr>
      <w:r>
        <w:rPr>
          <w:b w:val="false"/>
          <w:bCs w:val="false"/>
          <w:i w:val="false"/>
          <w:iCs w:val="false"/>
          <w:sz w:val="22"/>
          <w:szCs w:val="22"/>
        </w:rPr>
        <w:t xml:space="preserve">The post-pandemic recovery continued through 2022: revenue grew a further 33.9% to $3,892m and cost of sales grew 33.3% to $648m, while trade payables grew more slowly (+20.4%, to $697m). This again compressed DPO (434.8 → 392.6 days). DSO fell again, from 72.1 to 60.6 days, as revenue growth (33.9%) comfortably outpaced receivables growth (12.5%, from $574m to $646m) — a sign IHG was collecting cash from franchisees and owners more quickly relative to the size of the business as trading normalised.</w:t>
      </w:r>
    </w:p>
    <w:p>
      <w:pPr>
        <w:pStyle w:val="Heading2"/>
        <w:spacing w:after="100" w:before="220"/>
      </w:pPr>
      <w:r>
        <w:t xml:space="preserve">2022 → 2023: CCC improves from (329.8) to (288.9) days — a 40.9-day improvement (the largest single-year change)</w:t>
      </w:r>
    </w:p>
    <w:p>
      <w:pPr>
        <w:spacing w:after="160"/>
      </w:pPr>
      <w:r>
        <w:rPr>
          <w:b w:val="false"/>
          <w:bCs w:val="false"/>
          <w:i w:val="false"/>
          <w:iCs w:val="false"/>
          <w:sz w:val="22"/>
          <w:szCs w:val="22"/>
        </w:rPr>
        <w:t xml:space="preserve">This was the largest year-on-year improvement in the period. Revenue grew 18.8% to $4,624m, while cost of sales grew a similar 14.5% to $742m — but trade payables grew only 2.0% (from $697m to $711m), a marked slowdown versus the prior two years. Because payables barely moved while COGS kept growing, DPO fell sharply again (392.6 → 349.8 days), and this was the dominant driver of the year's CCC improvement. DSO was broadly stable (60.6 → 58.4 days), so the change is attributable almost entirely to the payables side rather than any material change in collection performance.</w:t>
      </w:r>
    </w:p>
    <w:p>
      <w:pPr>
        <w:pStyle w:val="Heading2"/>
        <w:spacing w:after="100" w:before="220"/>
      </w:pPr>
      <w:r>
        <w:t xml:space="preserve">2023 → 2024: CCC improves from (288.9) to (258.3) days — a 30.6-day improvement</w:t>
      </w:r>
    </w:p>
    <w:p>
      <w:pPr>
        <w:spacing w:after="160"/>
      </w:pPr>
      <w:r>
        <w:rPr>
          <w:b w:val="false"/>
          <w:bCs w:val="false"/>
          <w:i w:val="false"/>
          <w:iCs w:val="false"/>
          <w:sz w:val="22"/>
          <w:szCs w:val="22"/>
        </w:rPr>
        <w:t xml:space="preserve">In 2024, revenue growth slowed to 6.5% ($4,624m → $4,923m) and cost of sales was almost flat (+0.4%, $742m → $745m) — but trade payables actually fell 8.6%, from $711m to $650m. A shrinking payables balance against a static COGS base pushed DPO down again (349.8 → 318.5 days), again the main driver of the year's CCC movement. DSO was essentially unchanged (58.4 → 58.2 days), consistent with a business whose revenue mix and collection terms had by now stabilised post-pandemic.</w:t>
      </w:r>
    </w:p>
    <w:p>
      <w:pPr>
        <w:pStyle w:val="Heading1"/>
        <w:spacing w:after="140" w:before="280"/>
      </w:pPr>
      <w:r>
        <w:t xml:space="preserve">5. Overall Pattern and Interpretation</w:t>
      </w:r>
    </w:p>
    <w:p>
      <w:pPr>
        <w:spacing w:after="160"/>
      </w:pPr>
      <w:r>
        <w:rPr>
          <w:b w:val="false"/>
          <w:bCs w:val="false"/>
          <w:i w:val="false"/>
          <w:iCs w:val="false"/>
          <w:sz w:val="22"/>
          <w:szCs w:val="22"/>
        </w:rPr>
        <w:t xml:space="preserve">Across all five years, the direction of travel is consistent: the CCC has become steadily less negative, improving by roughly 30–41 days every year, from (397.0) days in FY2020 to (258.3) days in FY2024 — a cumulative swing of 138.7 days over the period. In every year, the improvement is driven almost entirely by a falling DPO, not by any deterioration in DIO or DSO (both of which also improved slightly or held steady). This reflects the post-pandemic normalisation of IHG's cost base (cost of sales returning to a materially higher, "normal-trading" level) outpacing the growth in its trade payables balance, which by nature moves in a fairly narrow band year to year.</w:t>
      </w:r>
    </w:p>
    <w:p>
      <w:pPr>
        <w:spacing w:after="160"/>
      </w:pPr>
      <w:r>
        <w:rPr>
          <w:b w:val="false"/>
          <w:bCs w:val="false"/>
          <w:i w:val="false"/>
          <w:iCs w:val="false"/>
          <w:sz w:val="22"/>
          <w:szCs w:val="22"/>
        </w:rPr>
        <w:t xml:space="preserve">The trend should be read as a normalisation story rather than a liquidity concern in either direction: a CCC deep in negative territory is a structural, ongoing feature of IHG's franchise/management fee model, and the gradual move toward less-negative levels simply reflects the denominator (cost of sales) recovering to a normal post-pandemic size faster than the payables balance has grown alongside it. It does not, on its own, indicate any weakening of IHG's supplier relationships or working-capital discipline — DPO of 318–480 days across the period is still very high by conventional standards and continues to represent a substantial, ongoing source of working-capital funding for the business.</w:t>
      </w:r>
    </w:p>
    <w:sectPr>
      <w:headerReference w:type="default" r:id="rId7"/>
      <w:footerReference w:type="default" r:id="rId8"/>
      <w:pgSz w:w="12240" w:h="15840" w:orient="portrait"/>
      <w:pgMar w:top="1080" w:right="1080" w:bottom="1080" w:left="108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w:p>
    <w:pPr>
      <w:jc w:val="center"/>
    </w:pPr>
    <w:r>
      <w:rPr>
        <w:color w:val="595959"/>
        <w:sz w:val="16"/>
        <w:szCs w:val="16"/>
      </w:rPr>
      <w:t xml:space="preserve">Page </w:t>
    </w:r>
    <w:r>
      <w:rPr>
        <w:color w:val="595959"/>
        <w:sz w:val="16"/>
        <w:szCs w:val="16"/>
      </w:rPr>
      <w:fldChar w:fldCharType="begin"/>
      <w:instrText xml:space="preserve">PAGE</w:instrText>
      <w:fldChar w:fldCharType="separate"/>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w16cid="http://schemas.microsoft.com/office/word/2016/wordml/cid" xmlns:w16se="http://schemas.microsoft.com/office/word/2015/wordml/symex">
  <w:p>
    <w:pPr>
      <w:jc w:val="right"/>
    </w:pPr>
    <w:r>
      <w:rPr>
        <w:color w:val="595959"/>
        <w:sz w:val="16"/>
        <w:szCs w:val="16"/>
      </w:rPr>
      <w:t xml:space="preserve">IHG plc — Cash Conversion Cycle Analysis, FY2020–FY2024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er1.xml.rels><?xml version="1.0" encoding="UTF-8"?><Relationships xmlns="http://schemas.openxmlformats.org/package/2006/relationships"/>
</file>

<file path=word/_rels/footnotes.xml.rels><?xml version="1.0" encoding="UTF-8"?><Relationships xmlns="http://schemas.openxmlformats.org/package/2006/relationships"/>
</file>

<file path=word/_rels/header1.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2026-08-07T20:40:17.590Z</dcterms:created>
  <dcterms:modified xsi:type="dcterms:W3CDTF">2026-08-07T20:40:17.603Z</dcterms:modified>
</cp:coreProperties>
</file>

<file path=docProps/custom.xml><?xml version="1.0" encoding="utf-8"?>
<Properties xmlns="http://schemas.openxmlformats.org/officeDocument/2006/custom-properties" xmlns:vt="http://schemas.openxmlformats.org/officeDocument/2006/docPropsVTypes"/>
</file>