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FFD2F" w14:textId="06D2CAFA" w:rsidR="00E01B00" w:rsidRDefault="00E51E94">
      <w:r>
        <w:rPr>
          <w:rFonts w:ascii="Times New Roman"/>
          <w:noProof/>
          <w:sz w:val="17"/>
        </w:rPr>
        <w:drawing>
          <wp:anchor distT="0" distB="0" distL="0" distR="0" simplePos="0" relativeHeight="251659264" behindDoc="0" locked="0" layoutInCell="1" allowOverlap="1" wp14:anchorId="5FC17F1B" wp14:editId="00BE50DD">
            <wp:simplePos x="0" y="0"/>
            <wp:positionH relativeFrom="page">
              <wp:posOffset>0</wp:posOffset>
            </wp:positionH>
            <wp:positionV relativeFrom="page">
              <wp:posOffset>19049</wp:posOffset>
            </wp:positionV>
            <wp:extent cx="7505700" cy="10639425"/>
            <wp:effectExtent l="0" t="0" r="0" b="9525"/>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7505700" cy="10639425"/>
                    </a:xfrm>
                    <a:prstGeom prst="rect">
                      <a:avLst/>
                    </a:prstGeom>
                  </pic:spPr>
                </pic:pic>
              </a:graphicData>
            </a:graphic>
            <wp14:sizeRelH relativeFrom="margin">
              <wp14:pctWidth>0</wp14:pctWidth>
            </wp14:sizeRelH>
            <wp14:sizeRelV relativeFrom="margin">
              <wp14:pctHeight>0</wp14:pctHeight>
            </wp14:sizeRelV>
          </wp:anchor>
        </w:drawing>
      </w:r>
    </w:p>
    <w:p w14:paraId="0B035991" w14:textId="77777777" w:rsidR="00144C63" w:rsidRDefault="00144C63" w:rsidP="00DA0568">
      <w:pPr>
        <w:pStyle w:val="Heading1"/>
        <w:rPr>
          <w:sz w:val="24"/>
          <w:szCs w:val="24"/>
        </w:rPr>
      </w:pPr>
    </w:p>
    <w:p w14:paraId="160C4D07" w14:textId="77777777" w:rsidR="00E51E94" w:rsidRDefault="00E51E94">
      <w:pPr>
        <w:rPr>
          <w:rFonts w:asciiTheme="majorHAnsi" w:eastAsiaTheme="majorEastAsia" w:hAnsiTheme="majorHAnsi" w:cstheme="majorBidi"/>
          <w:color w:val="0F4761" w:themeColor="accent1" w:themeShade="BF"/>
        </w:rPr>
      </w:pPr>
      <w:r>
        <w:br w:type="page"/>
      </w:r>
    </w:p>
    <w:p w14:paraId="2EDE7E54" w14:textId="1F8DE0ED" w:rsidR="00E51E94" w:rsidRDefault="00E51E94" w:rsidP="00E51E94">
      <w:pPr>
        <w:rPr>
          <w:b/>
          <w:bCs/>
        </w:rPr>
      </w:pPr>
    </w:p>
    <w:p w14:paraId="2D795700" w14:textId="6E03CE57" w:rsidR="00CA035C" w:rsidRDefault="00CA035C" w:rsidP="00CA035C">
      <w:pPr>
        <w:tabs>
          <w:tab w:val="left" w:pos="660"/>
          <w:tab w:val="center" w:pos="4513"/>
        </w:tabs>
        <w:rPr>
          <w:sz w:val="28"/>
          <w:szCs w:val="28"/>
        </w:rPr>
      </w:pPr>
      <w:r>
        <w:rPr>
          <w:sz w:val="28"/>
          <w:szCs w:val="28"/>
        </w:rPr>
        <w:tab/>
      </w:r>
      <w:r>
        <w:rPr>
          <w:sz w:val="28"/>
          <w:szCs w:val="28"/>
        </w:rPr>
        <w:tab/>
      </w:r>
      <w:r w:rsidRPr="00CA035C">
        <w:rPr>
          <w:sz w:val="28"/>
          <w:szCs w:val="28"/>
        </w:rPr>
        <w:t>Executive Summary</w:t>
      </w:r>
    </w:p>
    <w:p w14:paraId="0A737486" w14:textId="77777777" w:rsidR="007E637D" w:rsidRDefault="007E637D" w:rsidP="00AD3D9F">
      <w:pPr>
        <w:tabs>
          <w:tab w:val="left" w:pos="660"/>
          <w:tab w:val="center" w:pos="4513"/>
        </w:tabs>
        <w:spacing w:line="360" w:lineRule="auto"/>
        <w:jc w:val="both"/>
      </w:pPr>
      <w:r>
        <w:t>This report reviews the strategic positioning of BP plc within the UK energy market and the difficulties inherent in BP’s evolution from the conventional oil and gas corporation into the Integrated Energy Company. BP has a good set of financial resources, energy-trading capacity across the world, well-established UK retail presence and EV-charging facilities. However, it is under the growing regulatory pressure, competing in highly competitive environment, faced by high expenses of renewable energy and a strategic conflict in choosing between profitability of hydrocarbons and investment in low-carbon energy.</w:t>
      </w:r>
    </w:p>
    <w:p w14:paraId="0A49F2C1" w14:textId="77777777" w:rsidR="007E637D" w:rsidRDefault="007E637D" w:rsidP="00AD3D9F">
      <w:pPr>
        <w:tabs>
          <w:tab w:val="left" w:pos="660"/>
          <w:tab w:val="center" w:pos="4513"/>
        </w:tabs>
        <w:spacing w:line="360" w:lineRule="auto"/>
        <w:jc w:val="both"/>
      </w:pPr>
      <w:r>
        <w:t>PESTLE, VRIO and SWOT analysis reveals such opportunities for BP as EV-charging facilities, offshore wind energy, hydrogen production and carbon-capture technologies together with such threats as taxation, supply-chain inflation, problems with the grid capacity and disruptive technology. Global energy-trading capacity can be considered as a sustainable source of competitive advantage for BP, whereas its infrastructure in the UK presents some development opportunities for BP.</w:t>
      </w:r>
    </w:p>
    <w:p w14:paraId="52CB419C" w14:textId="51F280D2" w:rsidR="00CA035C" w:rsidRDefault="007E637D" w:rsidP="00AD3D9F">
      <w:pPr>
        <w:tabs>
          <w:tab w:val="left" w:pos="660"/>
          <w:tab w:val="center" w:pos="4513"/>
        </w:tabs>
        <w:spacing w:line="360" w:lineRule="auto"/>
        <w:jc w:val="both"/>
      </w:pPr>
      <w:r>
        <w:t>The recommended strategy is a Hybrid Differentiation – Integration Strategy, focused on "Integrated Energy Hub" combining offshore wind energy, hydrogen, flexible energy supply, BP Pulse EV charging and energy trading.</w:t>
      </w:r>
    </w:p>
    <w:p w14:paraId="5757BDBD" w14:textId="77777777" w:rsidR="007E637D" w:rsidRDefault="007E637D" w:rsidP="00AD3D9F">
      <w:pPr>
        <w:tabs>
          <w:tab w:val="left" w:pos="660"/>
          <w:tab w:val="center" w:pos="4513"/>
        </w:tabs>
        <w:spacing w:line="360" w:lineRule="auto"/>
        <w:jc w:val="both"/>
      </w:pPr>
      <w:r>
        <w:t>In summary, BP must pursue an approach to its energy transition that is strategic and commercially oriented, utilizing the profits generated through its well-established hydrocarbons business for the purpose of selecting and making investments in low carbon activities.</w:t>
      </w:r>
    </w:p>
    <w:p w14:paraId="5C16CEC1" w14:textId="77777777" w:rsidR="007E637D" w:rsidRDefault="007E637D" w:rsidP="00AD3D9F">
      <w:pPr>
        <w:tabs>
          <w:tab w:val="left" w:pos="660"/>
          <w:tab w:val="center" w:pos="4513"/>
        </w:tabs>
        <w:spacing w:line="360" w:lineRule="auto"/>
        <w:jc w:val="both"/>
      </w:pPr>
      <w:r>
        <w:t>AI Acknowledgment:</w:t>
      </w:r>
    </w:p>
    <w:p w14:paraId="7151AA39" w14:textId="7206ACCF" w:rsidR="007E637D" w:rsidRPr="00CA035C" w:rsidRDefault="007E637D" w:rsidP="00AD3D9F">
      <w:pPr>
        <w:tabs>
          <w:tab w:val="left" w:pos="660"/>
          <w:tab w:val="center" w:pos="4513"/>
        </w:tabs>
        <w:spacing w:line="360" w:lineRule="auto"/>
        <w:jc w:val="both"/>
      </w:pPr>
      <w:r>
        <w:t>Some parts of this report have been developed with the use of generative AI. This includes language editing and improving the clarity of the writing. The research, analysis, findings, and conclusions presented herein are the sole responsibility of the writer.</w:t>
      </w:r>
    </w:p>
    <w:p w14:paraId="538909E8" w14:textId="230B5838" w:rsidR="00E51E94" w:rsidRPr="00CA035C" w:rsidRDefault="00E51E94" w:rsidP="00A004F4">
      <w:pPr>
        <w:rPr>
          <w:rFonts w:asciiTheme="majorHAnsi" w:eastAsiaTheme="majorEastAsia" w:hAnsiTheme="majorHAnsi" w:cstheme="majorBidi"/>
          <w:color w:val="0F4761" w:themeColor="accent1" w:themeShade="BF"/>
          <w:sz w:val="28"/>
          <w:szCs w:val="28"/>
        </w:rPr>
      </w:pPr>
      <w:r w:rsidRPr="00CA035C">
        <w:rPr>
          <w:sz w:val="28"/>
          <w:szCs w:val="28"/>
        </w:rPr>
        <w:br w:type="page"/>
      </w:r>
    </w:p>
    <w:sdt>
      <w:sdtPr>
        <w:rPr>
          <w:rFonts w:asciiTheme="minorHAnsi" w:eastAsiaTheme="minorHAnsi" w:hAnsiTheme="minorHAnsi" w:cstheme="minorBidi"/>
          <w:color w:val="auto"/>
          <w:kern w:val="2"/>
          <w:sz w:val="24"/>
          <w:szCs w:val="24"/>
          <w:lang w:eastAsia="en-US"/>
          <w14:ligatures w14:val="standardContextual"/>
        </w:rPr>
        <w:id w:val="257482347"/>
        <w:docPartObj>
          <w:docPartGallery w:val="Table of Contents"/>
          <w:docPartUnique/>
        </w:docPartObj>
      </w:sdtPr>
      <w:sdtEndPr>
        <w:rPr>
          <w:b/>
          <w:bCs/>
        </w:rPr>
      </w:sdtEndPr>
      <w:sdtContent>
        <w:p w14:paraId="20FA9ADF" w14:textId="77777777" w:rsidR="00CA035C" w:rsidRDefault="00CA035C" w:rsidP="00CA035C">
          <w:pPr>
            <w:pStyle w:val="TOCHeading"/>
          </w:pPr>
          <w:r>
            <w:t>Table of Contents</w:t>
          </w:r>
        </w:p>
        <w:p w14:paraId="1A7F910D" w14:textId="58C1860A" w:rsidR="00A74AC9" w:rsidRDefault="00CA035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419894" w:history="1">
            <w:r w:rsidR="00A74AC9" w:rsidRPr="00A07BDF">
              <w:rPr>
                <w:rStyle w:val="Hyperlink"/>
                <w:noProof/>
              </w:rPr>
              <w:t>Section 1 Strategic Evaluation &amp; Recommendations</w:t>
            </w:r>
            <w:r w:rsidR="00A74AC9">
              <w:rPr>
                <w:noProof/>
                <w:webHidden/>
              </w:rPr>
              <w:tab/>
            </w:r>
            <w:r w:rsidR="00A74AC9">
              <w:rPr>
                <w:noProof/>
                <w:webHidden/>
              </w:rPr>
              <w:fldChar w:fldCharType="begin"/>
            </w:r>
            <w:r w:rsidR="00A74AC9">
              <w:rPr>
                <w:noProof/>
                <w:webHidden/>
              </w:rPr>
              <w:instrText xml:space="preserve"> PAGEREF _Toc237419894 \h </w:instrText>
            </w:r>
            <w:r w:rsidR="00A74AC9">
              <w:rPr>
                <w:noProof/>
                <w:webHidden/>
              </w:rPr>
            </w:r>
            <w:r w:rsidR="00A74AC9">
              <w:rPr>
                <w:noProof/>
                <w:webHidden/>
              </w:rPr>
              <w:fldChar w:fldCharType="separate"/>
            </w:r>
            <w:r w:rsidR="00A74AC9">
              <w:rPr>
                <w:noProof/>
                <w:webHidden/>
              </w:rPr>
              <w:t>4</w:t>
            </w:r>
            <w:r w:rsidR="00A74AC9">
              <w:rPr>
                <w:noProof/>
                <w:webHidden/>
              </w:rPr>
              <w:fldChar w:fldCharType="end"/>
            </w:r>
          </w:hyperlink>
        </w:p>
        <w:p w14:paraId="2AEC50A8" w14:textId="1EC9AC53" w:rsidR="00A74AC9" w:rsidRDefault="00A74AC9">
          <w:pPr>
            <w:pStyle w:val="TOC1"/>
            <w:tabs>
              <w:tab w:val="right" w:leader="dot" w:pos="9016"/>
            </w:tabs>
            <w:rPr>
              <w:rFonts w:eastAsiaTheme="minorEastAsia"/>
              <w:noProof/>
              <w:lang w:eastAsia="en-GB"/>
            </w:rPr>
          </w:pPr>
          <w:hyperlink w:anchor="_Toc237419895" w:history="1">
            <w:r w:rsidRPr="00A07BDF">
              <w:rPr>
                <w:rStyle w:val="Hyperlink"/>
                <w:noProof/>
              </w:rPr>
              <w:t>1.Organisation Context and Overview</w:t>
            </w:r>
            <w:r>
              <w:rPr>
                <w:noProof/>
                <w:webHidden/>
              </w:rPr>
              <w:tab/>
            </w:r>
            <w:r>
              <w:rPr>
                <w:noProof/>
                <w:webHidden/>
              </w:rPr>
              <w:fldChar w:fldCharType="begin"/>
            </w:r>
            <w:r>
              <w:rPr>
                <w:noProof/>
                <w:webHidden/>
              </w:rPr>
              <w:instrText xml:space="preserve"> PAGEREF _Toc237419895 \h </w:instrText>
            </w:r>
            <w:r>
              <w:rPr>
                <w:noProof/>
                <w:webHidden/>
              </w:rPr>
            </w:r>
            <w:r>
              <w:rPr>
                <w:noProof/>
                <w:webHidden/>
              </w:rPr>
              <w:fldChar w:fldCharType="separate"/>
            </w:r>
            <w:r>
              <w:rPr>
                <w:noProof/>
                <w:webHidden/>
              </w:rPr>
              <w:t>4</w:t>
            </w:r>
            <w:r>
              <w:rPr>
                <w:noProof/>
                <w:webHidden/>
              </w:rPr>
              <w:fldChar w:fldCharType="end"/>
            </w:r>
          </w:hyperlink>
        </w:p>
        <w:p w14:paraId="46DEF899" w14:textId="13F4C7D8" w:rsidR="00A74AC9" w:rsidRDefault="00A74AC9">
          <w:pPr>
            <w:pStyle w:val="TOC2"/>
            <w:tabs>
              <w:tab w:val="right" w:leader="dot" w:pos="9016"/>
            </w:tabs>
            <w:rPr>
              <w:rFonts w:eastAsiaTheme="minorEastAsia"/>
              <w:noProof/>
              <w:lang w:eastAsia="en-GB"/>
            </w:rPr>
          </w:pPr>
          <w:hyperlink w:anchor="_Toc237419896" w:history="1">
            <w:r w:rsidRPr="00A07BDF">
              <w:rPr>
                <w:rStyle w:val="Hyperlink"/>
                <w:noProof/>
              </w:rPr>
              <w:t>1.1 Historical Evaluation and strategic foundations</w:t>
            </w:r>
            <w:r>
              <w:rPr>
                <w:noProof/>
                <w:webHidden/>
              </w:rPr>
              <w:tab/>
            </w:r>
            <w:r>
              <w:rPr>
                <w:noProof/>
                <w:webHidden/>
              </w:rPr>
              <w:fldChar w:fldCharType="begin"/>
            </w:r>
            <w:r>
              <w:rPr>
                <w:noProof/>
                <w:webHidden/>
              </w:rPr>
              <w:instrText xml:space="preserve"> PAGEREF _Toc237419896 \h </w:instrText>
            </w:r>
            <w:r>
              <w:rPr>
                <w:noProof/>
                <w:webHidden/>
              </w:rPr>
            </w:r>
            <w:r>
              <w:rPr>
                <w:noProof/>
                <w:webHidden/>
              </w:rPr>
              <w:fldChar w:fldCharType="separate"/>
            </w:r>
            <w:r>
              <w:rPr>
                <w:noProof/>
                <w:webHidden/>
              </w:rPr>
              <w:t>4</w:t>
            </w:r>
            <w:r>
              <w:rPr>
                <w:noProof/>
                <w:webHidden/>
              </w:rPr>
              <w:fldChar w:fldCharType="end"/>
            </w:r>
          </w:hyperlink>
        </w:p>
        <w:p w14:paraId="72F3EEEE" w14:textId="05C166A2" w:rsidR="00A74AC9" w:rsidRDefault="00A74AC9">
          <w:pPr>
            <w:pStyle w:val="TOC2"/>
            <w:tabs>
              <w:tab w:val="right" w:leader="dot" w:pos="9016"/>
            </w:tabs>
            <w:rPr>
              <w:rFonts w:eastAsiaTheme="minorEastAsia"/>
              <w:noProof/>
              <w:lang w:eastAsia="en-GB"/>
            </w:rPr>
          </w:pPr>
          <w:hyperlink w:anchor="_Toc237419897" w:history="1">
            <w:r w:rsidRPr="00A07BDF">
              <w:rPr>
                <w:rStyle w:val="Hyperlink"/>
                <w:noProof/>
              </w:rPr>
              <w:t>1.2 Industry Dynamics and British Petroleum’s UK Market Position</w:t>
            </w:r>
            <w:r>
              <w:rPr>
                <w:noProof/>
                <w:webHidden/>
              </w:rPr>
              <w:tab/>
            </w:r>
            <w:r>
              <w:rPr>
                <w:noProof/>
                <w:webHidden/>
              </w:rPr>
              <w:fldChar w:fldCharType="begin"/>
            </w:r>
            <w:r>
              <w:rPr>
                <w:noProof/>
                <w:webHidden/>
              </w:rPr>
              <w:instrText xml:space="preserve"> PAGEREF _Toc237419897 \h </w:instrText>
            </w:r>
            <w:r>
              <w:rPr>
                <w:noProof/>
                <w:webHidden/>
              </w:rPr>
            </w:r>
            <w:r>
              <w:rPr>
                <w:noProof/>
                <w:webHidden/>
              </w:rPr>
              <w:fldChar w:fldCharType="separate"/>
            </w:r>
            <w:r>
              <w:rPr>
                <w:noProof/>
                <w:webHidden/>
              </w:rPr>
              <w:t>5</w:t>
            </w:r>
            <w:r>
              <w:rPr>
                <w:noProof/>
                <w:webHidden/>
              </w:rPr>
              <w:fldChar w:fldCharType="end"/>
            </w:r>
          </w:hyperlink>
        </w:p>
        <w:p w14:paraId="13220924" w14:textId="5CD0E46B" w:rsidR="00A74AC9" w:rsidRDefault="00A74AC9">
          <w:pPr>
            <w:pStyle w:val="TOC1"/>
            <w:tabs>
              <w:tab w:val="right" w:leader="dot" w:pos="9016"/>
            </w:tabs>
            <w:rPr>
              <w:rFonts w:eastAsiaTheme="minorEastAsia"/>
              <w:noProof/>
              <w:lang w:eastAsia="en-GB"/>
            </w:rPr>
          </w:pPr>
          <w:hyperlink w:anchor="_Toc237419898" w:history="1">
            <w:r w:rsidRPr="00A07BDF">
              <w:rPr>
                <w:rStyle w:val="Hyperlink"/>
                <w:noProof/>
              </w:rPr>
              <w:t>2. External and Internal Analysis</w:t>
            </w:r>
            <w:r>
              <w:rPr>
                <w:noProof/>
                <w:webHidden/>
              </w:rPr>
              <w:tab/>
            </w:r>
            <w:r>
              <w:rPr>
                <w:noProof/>
                <w:webHidden/>
              </w:rPr>
              <w:fldChar w:fldCharType="begin"/>
            </w:r>
            <w:r>
              <w:rPr>
                <w:noProof/>
                <w:webHidden/>
              </w:rPr>
              <w:instrText xml:space="preserve"> PAGEREF _Toc237419898 \h </w:instrText>
            </w:r>
            <w:r>
              <w:rPr>
                <w:noProof/>
                <w:webHidden/>
              </w:rPr>
            </w:r>
            <w:r>
              <w:rPr>
                <w:noProof/>
                <w:webHidden/>
              </w:rPr>
              <w:fldChar w:fldCharType="separate"/>
            </w:r>
            <w:r>
              <w:rPr>
                <w:noProof/>
                <w:webHidden/>
              </w:rPr>
              <w:t>6</w:t>
            </w:r>
            <w:r>
              <w:rPr>
                <w:noProof/>
                <w:webHidden/>
              </w:rPr>
              <w:fldChar w:fldCharType="end"/>
            </w:r>
          </w:hyperlink>
        </w:p>
        <w:p w14:paraId="1BC5541E" w14:textId="73C287B1" w:rsidR="00A74AC9" w:rsidRDefault="00A74AC9">
          <w:pPr>
            <w:pStyle w:val="TOC2"/>
            <w:tabs>
              <w:tab w:val="right" w:leader="dot" w:pos="9016"/>
            </w:tabs>
            <w:rPr>
              <w:rFonts w:eastAsiaTheme="minorEastAsia"/>
              <w:noProof/>
              <w:lang w:eastAsia="en-GB"/>
            </w:rPr>
          </w:pPr>
          <w:hyperlink w:anchor="_Toc237419899" w:history="1">
            <w:r w:rsidRPr="00A07BDF">
              <w:rPr>
                <w:rStyle w:val="Hyperlink"/>
                <w:noProof/>
              </w:rPr>
              <w:t>2.1 PESTEL Framework: Uk Energy Landscape</w:t>
            </w:r>
            <w:r>
              <w:rPr>
                <w:noProof/>
                <w:webHidden/>
              </w:rPr>
              <w:tab/>
            </w:r>
            <w:r>
              <w:rPr>
                <w:noProof/>
                <w:webHidden/>
              </w:rPr>
              <w:fldChar w:fldCharType="begin"/>
            </w:r>
            <w:r>
              <w:rPr>
                <w:noProof/>
                <w:webHidden/>
              </w:rPr>
              <w:instrText xml:space="preserve"> PAGEREF _Toc237419899 \h </w:instrText>
            </w:r>
            <w:r>
              <w:rPr>
                <w:noProof/>
                <w:webHidden/>
              </w:rPr>
            </w:r>
            <w:r>
              <w:rPr>
                <w:noProof/>
                <w:webHidden/>
              </w:rPr>
              <w:fldChar w:fldCharType="separate"/>
            </w:r>
            <w:r>
              <w:rPr>
                <w:noProof/>
                <w:webHidden/>
              </w:rPr>
              <w:t>6</w:t>
            </w:r>
            <w:r>
              <w:rPr>
                <w:noProof/>
                <w:webHidden/>
              </w:rPr>
              <w:fldChar w:fldCharType="end"/>
            </w:r>
          </w:hyperlink>
        </w:p>
        <w:p w14:paraId="7C38B28D" w14:textId="0CA22369" w:rsidR="00A74AC9" w:rsidRDefault="00A74AC9">
          <w:pPr>
            <w:pStyle w:val="TOC2"/>
            <w:tabs>
              <w:tab w:val="right" w:leader="dot" w:pos="9016"/>
            </w:tabs>
            <w:rPr>
              <w:rFonts w:eastAsiaTheme="minorEastAsia"/>
              <w:noProof/>
              <w:lang w:eastAsia="en-GB"/>
            </w:rPr>
          </w:pPr>
          <w:hyperlink w:anchor="_Toc237419900" w:history="1">
            <w:r w:rsidRPr="00A07BDF">
              <w:rPr>
                <w:rStyle w:val="Hyperlink"/>
                <w:noProof/>
              </w:rPr>
              <w:t>2.2 VRIO Framework: Core Resource and Capability Audit</w:t>
            </w:r>
            <w:r>
              <w:rPr>
                <w:noProof/>
                <w:webHidden/>
              </w:rPr>
              <w:tab/>
            </w:r>
            <w:r>
              <w:rPr>
                <w:noProof/>
                <w:webHidden/>
              </w:rPr>
              <w:fldChar w:fldCharType="begin"/>
            </w:r>
            <w:r>
              <w:rPr>
                <w:noProof/>
                <w:webHidden/>
              </w:rPr>
              <w:instrText xml:space="preserve"> PAGEREF _Toc237419900 \h </w:instrText>
            </w:r>
            <w:r>
              <w:rPr>
                <w:noProof/>
                <w:webHidden/>
              </w:rPr>
            </w:r>
            <w:r>
              <w:rPr>
                <w:noProof/>
                <w:webHidden/>
              </w:rPr>
              <w:fldChar w:fldCharType="separate"/>
            </w:r>
            <w:r>
              <w:rPr>
                <w:noProof/>
                <w:webHidden/>
              </w:rPr>
              <w:t>8</w:t>
            </w:r>
            <w:r>
              <w:rPr>
                <w:noProof/>
                <w:webHidden/>
              </w:rPr>
              <w:fldChar w:fldCharType="end"/>
            </w:r>
          </w:hyperlink>
        </w:p>
        <w:p w14:paraId="2626B925" w14:textId="69091414" w:rsidR="00A74AC9" w:rsidRDefault="00A74AC9">
          <w:pPr>
            <w:pStyle w:val="TOC2"/>
            <w:tabs>
              <w:tab w:val="right" w:leader="dot" w:pos="9016"/>
            </w:tabs>
            <w:rPr>
              <w:rFonts w:eastAsiaTheme="minorEastAsia"/>
              <w:noProof/>
              <w:lang w:eastAsia="en-GB"/>
            </w:rPr>
          </w:pPr>
          <w:hyperlink w:anchor="_Toc237419901" w:history="1">
            <w:r w:rsidRPr="00A07BDF">
              <w:rPr>
                <w:rStyle w:val="Hyperlink"/>
                <w:noProof/>
              </w:rPr>
              <w:t>2.3 Strategic synthesis: SWOT Matrix</w:t>
            </w:r>
            <w:r>
              <w:rPr>
                <w:noProof/>
                <w:webHidden/>
              </w:rPr>
              <w:tab/>
            </w:r>
            <w:r>
              <w:rPr>
                <w:noProof/>
                <w:webHidden/>
              </w:rPr>
              <w:fldChar w:fldCharType="begin"/>
            </w:r>
            <w:r>
              <w:rPr>
                <w:noProof/>
                <w:webHidden/>
              </w:rPr>
              <w:instrText xml:space="preserve"> PAGEREF _Toc237419901 \h </w:instrText>
            </w:r>
            <w:r>
              <w:rPr>
                <w:noProof/>
                <w:webHidden/>
              </w:rPr>
            </w:r>
            <w:r>
              <w:rPr>
                <w:noProof/>
                <w:webHidden/>
              </w:rPr>
              <w:fldChar w:fldCharType="separate"/>
            </w:r>
            <w:r>
              <w:rPr>
                <w:noProof/>
                <w:webHidden/>
              </w:rPr>
              <w:t>10</w:t>
            </w:r>
            <w:r>
              <w:rPr>
                <w:noProof/>
                <w:webHidden/>
              </w:rPr>
              <w:fldChar w:fldCharType="end"/>
            </w:r>
          </w:hyperlink>
        </w:p>
        <w:p w14:paraId="369985E7" w14:textId="64F2A3B1" w:rsidR="00A74AC9" w:rsidRDefault="00A74AC9">
          <w:pPr>
            <w:pStyle w:val="TOC1"/>
            <w:tabs>
              <w:tab w:val="right" w:leader="dot" w:pos="9016"/>
            </w:tabs>
            <w:rPr>
              <w:rFonts w:eastAsiaTheme="minorEastAsia"/>
              <w:noProof/>
              <w:lang w:eastAsia="en-GB"/>
            </w:rPr>
          </w:pPr>
          <w:hyperlink w:anchor="_Toc237419902" w:history="1">
            <w:r w:rsidRPr="00A07BDF">
              <w:rPr>
                <w:rStyle w:val="Hyperlink"/>
                <w:noProof/>
              </w:rPr>
              <w:t>3. Comprehensive and Holistic View of Organisation</w:t>
            </w:r>
            <w:r>
              <w:rPr>
                <w:noProof/>
                <w:webHidden/>
              </w:rPr>
              <w:tab/>
            </w:r>
            <w:r>
              <w:rPr>
                <w:noProof/>
                <w:webHidden/>
              </w:rPr>
              <w:fldChar w:fldCharType="begin"/>
            </w:r>
            <w:r>
              <w:rPr>
                <w:noProof/>
                <w:webHidden/>
              </w:rPr>
              <w:instrText xml:space="preserve"> PAGEREF _Toc237419902 \h </w:instrText>
            </w:r>
            <w:r>
              <w:rPr>
                <w:noProof/>
                <w:webHidden/>
              </w:rPr>
            </w:r>
            <w:r>
              <w:rPr>
                <w:noProof/>
                <w:webHidden/>
              </w:rPr>
              <w:fldChar w:fldCharType="separate"/>
            </w:r>
            <w:r>
              <w:rPr>
                <w:noProof/>
                <w:webHidden/>
              </w:rPr>
              <w:t>11</w:t>
            </w:r>
            <w:r>
              <w:rPr>
                <w:noProof/>
                <w:webHidden/>
              </w:rPr>
              <w:fldChar w:fldCharType="end"/>
            </w:r>
          </w:hyperlink>
        </w:p>
        <w:p w14:paraId="3AB2B101" w14:textId="53002BAC" w:rsidR="00A74AC9" w:rsidRDefault="00A74AC9">
          <w:pPr>
            <w:pStyle w:val="TOC2"/>
            <w:tabs>
              <w:tab w:val="right" w:leader="dot" w:pos="9016"/>
            </w:tabs>
            <w:rPr>
              <w:rFonts w:eastAsiaTheme="minorEastAsia"/>
              <w:noProof/>
              <w:lang w:eastAsia="en-GB"/>
            </w:rPr>
          </w:pPr>
          <w:hyperlink w:anchor="_Toc237419903" w:history="1">
            <w:r w:rsidRPr="00A07BDF">
              <w:rPr>
                <w:rStyle w:val="Hyperlink"/>
                <w:noProof/>
              </w:rPr>
              <w:t>3.1 Corporate Social Responsibility (CSR) and Energy Transition Alignment</w:t>
            </w:r>
            <w:r>
              <w:rPr>
                <w:noProof/>
                <w:webHidden/>
              </w:rPr>
              <w:tab/>
            </w:r>
            <w:r>
              <w:rPr>
                <w:noProof/>
                <w:webHidden/>
              </w:rPr>
              <w:fldChar w:fldCharType="begin"/>
            </w:r>
            <w:r>
              <w:rPr>
                <w:noProof/>
                <w:webHidden/>
              </w:rPr>
              <w:instrText xml:space="preserve"> PAGEREF _Toc237419903 \h </w:instrText>
            </w:r>
            <w:r>
              <w:rPr>
                <w:noProof/>
                <w:webHidden/>
              </w:rPr>
            </w:r>
            <w:r>
              <w:rPr>
                <w:noProof/>
                <w:webHidden/>
              </w:rPr>
              <w:fldChar w:fldCharType="separate"/>
            </w:r>
            <w:r>
              <w:rPr>
                <w:noProof/>
                <w:webHidden/>
              </w:rPr>
              <w:t>11</w:t>
            </w:r>
            <w:r>
              <w:rPr>
                <w:noProof/>
                <w:webHidden/>
              </w:rPr>
              <w:fldChar w:fldCharType="end"/>
            </w:r>
          </w:hyperlink>
        </w:p>
        <w:p w14:paraId="743D5524" w14:textId="136908D6" w:rsidR="00A74AC9" w:rsidRDefault="00A74AC9">
          <w:pPr>
            <w:pStyle w:val="TOC2"/>
            <w:tabs>
              <w:tab w:val="right" w:leader="dot" w:pos="9016"/>
            </w:tabs>
            <w:rPr>
              <w:rFonts w:eastAsiaTheme="minorEastAsia"/>
              <w:noProof/>
              <w:lang w:eastAsia="en-GB"/>
            </w:rPr>
          </w:pPr>
          <w:hyperlink w:anchor="_Toc237419904" w:history="1">
            <w:r w:rsidRPr="00A07BDF">
              <w:rPr>
                <w:rStyle w:val="Hyperlink"/>
                <w:noProof/>
              </w:rPr>
              <w:t>3.2 Strategic Balanced Scorecard Implementation</w:t>
            </w:r>
            <w:r>
              <w:rPr>
                <w:noProof/>
                <w:webHidden/>
              </w:rPr>
              <w:tab/>
            </w:r>
            <w:r>
              <w:rPr>
                <w:noProof/>
                <w:webHidden/>
              </w:rPr>
              <w:fldChar w:fldCharType="begin"/>
            </w:r>
            <w:r>
              <w:rPr>
                <w:noProof/>
                <w:webHidden/>
              </w:rPr>
              <w:instrText xml:space="preserve"> PAGEREF _Toc237419904 \h </w:instrText>
            </w:r>
            <w:r>
              <w:rPr>
                <w:noProof/>
                <w:webHidden/>
              </w:rPr>
            </w:r>
            <w:r>
              <w:rPr>
                <w:noProof/>
                <w:webHidden/>
              </w:rPr>
              <w:fldChar w:fldCharType="separate"/>
            </w:r>
            <w:r>
              <w:rPr>
                <w:noProof/>
                <w:webHidden/>
              </w:rPr>
              <w:t>12</w:t>
            </w:r>
            <w:r>
              <w:rPr>
                <w:noProof/>
                <w:webHidden/>
              </w:rPr>
              <w:fldChar w:fldCharType="end"/>
            </w:r>
          </w:hyperlink>
        </w:p>
        <w:p w14:paraId="6FF847DA" w14:textId="61CA99EF" w:rsidR="00A74AC9" w:rsidRDefault="00A74AC9">
          <w:pPr>
            <w:pStyle w:val="TOC1"/>
            <w:tabs>
              <w:tab w:val="right" w:leader="dot" w:pos="9016"/>
            </w:tabs>
            <w:rPr>
              <w:rFonts w:eastAsiaTheme="minorEastAsia"/>
              <w:noProof/>
              <w:lang w:eastAsia="en-GB"/>
            </w:rPr>
          </w:pPr>
          <w:hyperlink w:anchor="_Toc237419905" w:history="1">
            <w:r w:rsidRPr="00A07BDF">
              <w:rPr>
                <w:rStyle w:val="Hyperlink"/>
                <w:noProof/>
              </w:rPr>
              <w:t>4. Strategic Choices and Implementation</w:t>
            </w:r>
            <w:r>
              <w:rPr>
                <w:noProof/>
                <w:webHidden/>
              </w:rPr>
              <w:tab/>
            </w:r>
            <w:r>
              <w:rPr>
                <w:noProof/>
                <w:webHidden/>
              </w:rPr>
              <w:fldChar w:fldCharType="begin"/>
            </w:r>
            <w:r>
              <w:rPr>
                <w:noProof/>
                <w:webHidden/>
              </w:rPr>
              <w:instrText xml:space="preserve"> PAGEREF _Toc237419905 \h </w:instrText>
            </w:r>
            <w:r>
              <w:rPr>
                <w:noProof/>
                <w:webHidden/>
              </w:rPr>
            </w:r>
            <w:r>
              <w:rPr>
                <w:noProof/>
                <w:webHidden/>
              </w:rPr>
              <w:fldChar w:fldCharType="separate"/>
            </w:r>
            <w:r>
              <w:rPr>
                <w:noProof/>
                <w:webHidden/>
              </w:rPr>
              <w:t>14</w:t>
            </w:r>
            <w:r>
              <w:rPr>
                <w:noProof/>
                <w:webHidden/>
              </w:rPr>
              <w:fldChar w:fldCharType="end"/>
            </w:r>
          </w:hyperlink>
        </w:p>
        <w:p w14:paraId="22E9671D" w14:textId="39D76EBF" w:rsidR="00A74AC9" w:rsidRDefault="00A74AC9">
          <w:pPr>
            <w:pStyle w:val="TOC2"/>
            <w:tabs>
              <w:tab w:val="right" w:leader="dot" w:pos="9016"/>
            </w:tabs>
            <w:rPr>
              <w:rFonts w:eastAsiaTheme="minorEastAsia"/>
              <w:noProof/>
              <w:lang w:eastAsia="en-GB"/>
            </w:rPr>
          </w:pPr>
          <w:hyperlink w:anchor="_Toc237419906" w:history="1">
            <w:r w:rsidRPr="00A07BDF">
              <w:rPr>
                <w:rStyle w:val="Hyperlink"/>
                <w:noProof/>
              </w:rPr>
              <w:t>4.1 Evaluation of Business Level Strategic Choices</w:t>
            </w:r>
            <w:r>
              <w:rPr>
                <w:noProof/>
                <w:webHidden/>
              </w:rPr>
              <w:tab/>
            </w:r>
            <w:r>
              <w:rPr>
                <w:noProof/>
                <w:webHidden/>
              </w:rPr>
              <w:fldChar w:fldCharType="begin"/>
            </w:r>
            <w:r>
              <w:rPr>
                <w:noProof/>
                <w:webHidden/>
              </w:rPr>
              <w:instrText xml:space="preserve"> PAGEREF _Toc237419906 \h </w:instrText>
            </w:r>
            <w:r>
              <w:rPr>
                <w:noProof/>
                <w:webHidden/>
              </w:rPr>
            </w:r>
            <w:r>
              <w:rPr>
                <w:noProof/>
                <w:webHidden/>
              </w:rPr>
              <w:fldChar w:fldCharType="separate"/>
            </w:r>
            <w:r>
              <w:rPr>
                <w:noProof/>
                <w:webHidden/>
              </w:rPr>
              <w:t>14</w:t>
            </w:r>
            <w:r>
              <w:rPr>
                <w:noProof/>
                <w:webHidden/>
              </w:rPr>
              <w:fldChar w:fldCharType="end"/>
            </w:r>
          </w:hyperlink>
        </w:p>
        <w:p w14:paraId="6F25932E" w14:textId="27920B9A" w:rsidR="00A74AC9" w:rsidRDefault="00A74AC9">
          <w:pPr>
            <w:pStyle w:val="TOC2"/>
            <w:tabs>
              <w:tab w:val="right" w:leader="dot" w:pos="9016"/>
            </w:tabs>
            <w:rPr>
              <w:rFonts w:eastAsiaTheme="minorEastAsia"/>
              <w:noProof/>
              <w:lang w:eastAsia="en-GB"/>
            </w:rPr>
          </w:pPr>
          <w:hyperlink w:anchor="_Toc237419907" w:history="1">
            <w:r w:rsidRPr="00A07BDF">
              <w:rPr>
                <w:rStyle w:val="Hyperlink"/>
                <w:noProof/>
              </w:rPr>
              <w:t>4.2 strategy Validation using Porter’s Five forces</w:t>
            </w:r>
            <w:r>
              <w:rPr>
                <w:noProof/>
                <w:webHidden/>
              </w:rPr>
              <w:tab/>
            </w:r>
            <w:r>
              <w:rPr>
                <w:noProof/>
                <w:webHidden/>
              </w:rPr>
              <w:fldChar w:fldCharType="begin"/>
            </w:r>
            <w:r>
              <w:rPr>
                <w:noProof/>
                <w:webHidden/>
              </w:rPr>
              <w:instrText xml:space="preserve"> PAGEREF _Toc237419907 \h </w:instrText>
            </w:r>
            <w:r>
              <w:rPr>
                <w:noProof/>
                <w:webHidden/>
              </w:rPr>
            </w:r>
            <w:r>
              <w:rPr>
                <w:noProof/>
                <w:webHidden/>
              </w:rPr>
              <w:fldChar w:fldCharType="separate"/>
            </w:r>
            <w:r>
              <w:rPr>
                <w:noProof/>
                <w:webHidden/>
              </w:rPr>
              <w:t>15</w:t>
            </w:r>
            <w:r>
              <w:rPr>
                <w:noProof/>
                <w:webHidden/>
              </w:rPr>
              <w:fldChar w:fldCharType="end"/>
            </w:r>
          </w:hyperlink>
        </w:p>
        <w:p w14:paraId="0F8C4F23" w14:textId="6041C577" w:rsidR="00A74AC9" w:rsidRDefault="00A74AC9">
          <w:pPr>
            <w:pStyle w:val="TOC2"/>
            <w:tabs>
              <w:tab w:val="right" w:leader="dot" w:pos="9016"/>
            </w:tabs>
            <w:rPr>
              <w:rFonts w:eastAsiaTheme="minorEastAsia"/>
              <w:noProof/>
              <w:lang w:eastAsia="en-GB"/>
            </w:rPr>
          </w:pPr>
          <w:hyperlink w:anchor="_Toc237419908" w:history="1">
            <w:r w:rsidRPr="00A07BDF">
              <w:rPr>
                <w:rStyle w:val="Hyperlink"/>
                <w:noProof/>
              </w:rPr>
              <w:t>4.3 Execution Roadmap, Competitive Advantage and Risk Mitigation</w:t>
            </w:r>
            <w:r>
              <w:rPr>
                <w:noProof/>
                <w:webHidden/>
              </w:rPr>
              <w:tab/>
            </w:r>
            <w:r>
              <w:rPr>
                <w:noProof/>
                <w:webHidden/>
              </w:rPr>
              <w:fldChar w:fldCharType="begin"/>
            </w:r>
            <w:r>
              <w:rPr>
                <w:noProof/>
                <w:webHidden/>
              </w:rPr>
              <w:instrText xml:space="preserve"> PAGEREF _Toc237419908 \h </w:instrText>
            </w:r>
            <w:r>
              <w:rPr>
                <w:noProof/>
                <w:webHidden/>
              </w:rPr>
            </w:r>
            <w:r>
              <w:rPr>
                <w:noProof/>
                <w:webHidden/>
              </w:rPr>
              <w:fldChar w:fldCharType="separate"/>
            </w:r>
            <w:r>
              <w:rPr>
                <w:noProof/>
                <w:webHidden/>
              </w:rPr>
              <w:t>16</w:t>
            </w:r>
            <w:r>
              <w:rPr>
                <w:noProof/>
                <w:webHidden/>
              </w:rPr>
              <w:fldChar w:fldCharType="end"/>
            </w:r>
          </w:hyperlink>
        </w:p>
        <w:p w14:paraId="14C4BC45" w14:textId="211B5A84" w:rsidR="00A74AC9" w:rsidRDefault="00A74AC9">
          <w:pPr>
            <w:pStyle w:val="TOC1"/>
            <w:tabs>
              <w:tab w:val="right" w:leader="dot" w:pos="9016"/>
            </w:tabs>
            <w:rPr>
              <w:rFonts w:eastAsiaTheme="minorEastAsia"/>
              <w:noProof/>
              <w:lang w:eastAsia="en-GB"/>
            </w:rPr>
          </w:pPr>
          <w:hyperlink w:anchor="_Toc237419909" w:history="1">
            <w:r w:rsidRPr="00A07BDF">
              <w:rPr>
                <w:rStyle w:val="Hyperlink"/>
                <w:noProof/>
              </w:rPr>
              <w:t>Section 2 Reflection Account of Research and Analytical Process</w:t>
            </w:r>
            <w:r>
              <w:rPr>
                <w:noProof/>
                <w:webHidden/>
              </w:rPr>
              <w:tab/>
            </w:r>
            <w:r>
              <w:rPr>
                <w:noProof/>
                <w:webHidden/>
              </w:rPr>
              <w:fldChar w:fldCharType="begin"/>
            </w:r>
            <w:r>
              <w:rPr>
                <w:noProof/>
                <w:webHidden/>
              </w:rPr>
              <w:instrText xml:space="preserve"> PAGEREF _Toc237419909 \h </w:instrText>
            </w:r>
            <w:r>
              <w:rPr>
                <w:noProof/>
                <w:webHidden/>
              </w:rPr>
            </w:r>
            <w:r>
              <w:rPr>
                <w:noProof/>
                <w:webHidden/>
              </w:rPr>
              <w:fldChar w:fldCharType="separate"/>
            </w:r>
            <w:r>
              <w:rPr>
                <w:noProof/>
                <w:webHidden/>
              </w:rPr>
              <w:t>17</w:t>
            </w:r>
            <w:r>
              <w:rPr>
                <w:noProof/>
                <w:webHidden/>
              </w:rPr>
              <w:fldChar w:fldCharType="end"/>
            </w:r>
          </w:hyperlink>
        </w:p>
        <w:p w14:paraId="5A7772A4" w14:textId="1DB30B29" w:rsidR="00A74AC9" w:rsidRDefault="00A74AC9">
          <w:pPr>
            <w:pStyle w:val="TOC1"/>
            <w:tabs>
              <w:tab w:val="right" w:leader="dot" w:pos="9016"/>
            </w:tabs>
            <w:rPr>
              <w:rFonts w:eastAsiaTheme="minorEastAsia"/>
              <w:noProof/>
              <w:lang w:eastAsia="en-GB"/>
            </w:rPr>
          </w:pPr>
          <w:hyperlink w:anchor="_Toc237419910" w:history="1">
            <w:r w:rsidRPr="00A07BDF">
              <w:rPr>
                <w:rStyle w:val="Hyperlink"/>
                <w:noProof/>
              </w:rPr>
              <w:t>5. Reflection Practice using Gibbs Reflection Cycle</w:t>
            </w:r>
            <w:r>
              <w:rPr>
                <w:noProof/>
                <w:webHidden/>
              </w:rPr>
              <w:tab/>
            </w:r>
            <w:r>
              <w:rPr>
                <w:noProof/>
                <w:webHidden/>
              </w:rPr>
              <w:fldChar w:fldCharType="begin"/>
            </w:r>
            <w:r>
              <w:rPr>
                <w:noProof/>
                <w:webHidden/>
              </w:rPr>
              <w:instrText xml:space="preserve"> PAGEREF _Toc237419910 \h </w:instrText>
            </w:r>
            <w:r>
              <w:rPr>
                <w:noProof/>
                <w:webHidden/>
              </w:rPr>
            </w:r>
            <w:r>
              <w:rPr>
                <w:noProof/>
                <w:webHidden/>
              </w:rPr>
              <w:fldChar w:fldCharType="separate"/>
            </w:r>
            <w:r>
              <w:rPr>
                <w:noProof/>
                <w:webHidden/>
              </w:rPr>
              <w:t>17</w:t>
            </w:r>
            <w:r>
              <w:rPr>
                <w:noProof/>
                <w:webHidden/>
              </w:rPr>
              <w:fldChar w:fldCharType="end"/>
            </w:r>
          </w:hyperlink>
        </w:p>
        <w:p w14:paraId="3375D3AC" w14:textId="770317A6" w:rsidR="00A74AC9" w:rsidRDefault="00A74AC9">
          <w:pPr>
            <w:pStyle w:val="TOC2"/>
            <w:tabs>
              <w:tab w:val="right" w:leader="dot" w:pos="9016"/>
            </w:tabs>
            <w:rPr>
              <w:rFonts w:eastAsiaTheme="minorEastAsia"/>
              <w:noProof/>
              <w:lang w:eastAsia="en-GB"/>
            </w:rPr>
          </w:pPr>
          <w:hyperlink w:anchor="_Toc237419911" w:history="1">
            <w:r w:rsidRPr="00A07BDF">
              <w:rPr>
                <w:rStyle w:val="Hyperlink"/>
                <w:noProof/>
              </w:rPr>
              <w:t>5.1 Description</w:t>
            </w:r>
            <w:r>
              <w:rPr>
                <w:noProof/>
                <w:webHidden/>
              </w:rPr>
              <w:tab/>
            </w:r>
            <w:r>
              <w:rPr>
                <w:noProof/>
                <w:webHidden/>
              </w:rPr>
              <w:fldChar w:fldCharType="begin"/>
            </w:r>
            <w:r>
              <w:rPr>
                <w:noProof/>
                <w:webHidden/>
              </w:rPr>
              <w:instrText xml:space="preserve"> PAGEREF _Toc237419911 \h </w:instrText>
            </w:r>
            <w:r>
              <w:rPr>
                <w:noProof/>
                <w:webHidden/>
              </w:rPr>
            </w:r>
            <w:r>
              <w:rPr>
                <w:noProof/>
                <w:webHidden/>
              </w:rPr>
              <w:fldChar w:fldCharType="separate"/>
            </w:r>
            <w:r>
              <w:rPr>
                <w:noProof/>
                <w:webHidden/>
              </w:rPr>
              <w:t>18</w:t>
            </w:r>
            <w:r>
              <w:rPr>
                <w:noProof/>
                <w:webHidden/>
              </w:rPr>
              <w:fldChar w:fldCharType="end"/>
            </w:r>
          </w:hyperlink>
        </w:p>
        <w:p w14:paraId="4A463C02" w14:textId="78AA860F" w:rsidR="00A74AC9" w:rsidRDefault="00A74AC9">
          <w:pPr>
            <w:pStyle w:val="TOC2"/>
            <w:tabs>
              <w:tab w:val="right" w:leader="dot" w:pos="9016"/>
            </w:tabs>
            <w:rPr>
              <w:rFonts w:eastAsiaTheme="minorEastAsia"/>
              <w:noProof/>
              <w:lang w:eastAsia="en-GB"/>
            </w:rPr>
          </w:pPr>
          <w:hyperlink w:anchor="_Toc237419912" w:history="1">
            <w:r w:rsidRPr="00A07BDF">
              <w:rPr>
                <w:rStyle w:val="Hyperlink"/>
                <w:noProof/>
              </w:rPr>
              <w:t>5.2 Feelings</w:t>
            </w:r>
            <w:r>
              <w:rPr>
                <w:noProof/>
                <w:webHidden/>
              </w:rPr>
              <w:tab/>
            </w:r>
            <w:r>
              <w:rPr>
                <w:noProof/>
                <w:webHidden/>
              </w:rPr>
              <w:fldChar w:fldCharType="begin"/>
            </w:r>
            <w:r>
              <w:rPr>
                <w:noProof/>
                <w:webHidden/>
              </w:rPr>
              <w:instrText xml:space="preserve"> PAGEREF _Toc237419912 \h </w:instrText>
            </w:r>
            <w:r>
              <w:rPr>
                <w:noProof/>
                <w:webHidden/>
              </w:rPr>
            </w:r>
            <w:r>
              <w:rPr>
                <w:noProof/>
                <w:webHidden/>
              </w:rPr>
              <w:fldChar w:fldCharType="separate"/>
            </w:r>
            <w:r>
              <w:rPr>
                <w:noProof/>
                <w:webHidden/>
              </w:rPr>
              <w:t>18</w:t>
            </w:r>
            <w:r>
              <w:rPr>
                <w:noProof/>
                <w:webHidden/>
              </w:rPr>
              <w:fldChar w:fldCharType="end"/>
            </w:r>
          </w:hyperlink>
        </w:p>
        <w:p w14:paraId="0379005B" w14:textId="4D42EF37" w:rsidR="00A74AC9" w:rsidRDefault="00A74AC9">
          <w:pPr>
            <w:pStyle w:val="TOC2"/>
            <w:tabs>
              <w:tab w:val="right" w:leader="dot" w:pos="9016"/>
            </w:tabs>
            <w:rPr>
              <w:rFonts w:eastAsiaTheme="minorEastAsia"/>
              <w:noProof/>
              <w:lang w:eastAsia="en-GB"/>
            </w:rPr>
          </w:pPr>
          <w:hyperlink w:anchor="_Toc237419913" w:history="1">
            <w:r w:rsidRPr="00A07BDF">
              <w:rPr>
                <w:rStyle w:val="Hyperlink"/>
                <w:noProof/>
              </w:rPr>
              <w:t>5.3 Evaluation</w:t>
            </w:r>
            <w:r>
              <w:rPr>
                <w:noProof/>
                <w:webHidden/>
              </w:rPr>
              <w:tab/>
            </w:r>
            <w:r>
              <w:rPr>
                <w:noProof/>
                <w:webHidden/>
              </w:rPr>
              <w:fldChar w:fldCharType="begin"/>
            </w:r>
            <w:r>
              <w:rPr>
                <w:noProof/>
                <w:webHidden/>
              </w:rPr>
              <w:instrText xml:space="preserve"> PAGEREF _Toc237419913 \h </w:instrText>
            </w:r>
            <w:r>
              <w:rPr>
                <w:noProof/>
                <w:webHidden/>
              </w:rPr>
            </w:r>
            <w:r>
              <w:rPr>
                <w:noProof/>
                <w:webHidden/>
              </w:rPr>
              <w:fldChar w:fldCharType="separate"/>
            </w:r>
            <w:r>
              <w:rPr>
                <w:noProof/>
                <w:webHidden/>
              </w:rPr>
              <w:t>18</w:t>
            </w:r>
            <w:r>
              <w:rPr>
                <w:noProof/>
                <w:webHidden/>
              </w:rPr>
              <w:fldChar w:fldCharType="end"/>
            </w:r>
          </w:hyperlink>
        </w:p>
        <w:p w14:paraId="540F5E8D" w14:textId="771DF905" w:rsidR="00A74AC9" w:rsidRDefault="00A74AC9">
          <w:pPr>
            <w:pStyle w:val="TOC2"/>
            <w:tabs>
              <w:tab w:val="right" w:leader="dot" w:pos="9016"/>
            </w:tabs>
            <w:rPr>
              <w:rFonts w:eastAsiaTheme="minorEastAsia"/>
              <w:noProof/>
              <w:lang w:eastAsia="en-GB"/>
            </w:rPr>
          </w:pPr>
          <w:hyperlink w:anchor="_Toc237419914" w:history="1">
            <w:r w:rsidRPr="00A07BDF">
              <w:rPr>
                <w:rStyle w:val="Hyperlink"/>
                <w:noProof/>
              </w:rPr>
              <w:t>5.4 Analysis</w:t>
            </w:r>
            <w:r>
              <w:rPr>
                <w:noProof/>
                <w:webHidden/>
              </w:rPr>
              <w:tab/>
            </w:r>
            <w:r>
              <w:rPr>
                <w:noProof/>
                <w:webHidden/>
              </w:rPr>
              <w:fldChar w:fldCharType="begin"/>
            </w:r>
            <w:r>
              <w:rPr>
                <w:noProof/>
                <w:webHidden/>
              </w:rPr>
              <w:instrText xml:space="preserve"> PAGEREF _Toc237419914 \h </w:instrText>
            </w:r>
            <w:r>
              <w:rPr>
                <w:noProof/>
                <w:webHidden/>
              </w:rPr>
            </w:r>
            <w:r>
              <w:rPr>
                <w:noProof/>
                <w:webHidden/>
              </w:rPr>
              <w:fldChar w:fldCharType="separate"/>
            </w:r>
            <w:r>
              <w:rPr>
                <w:noProof/>
                <w:webHidden/>
              </w:rPr>
              <w:t>19</w:t>
            </w:r>
            <w:r>
              <w:rPr>
                <w:noProof/>
                <w:webHidden/>
              </w:rPr>
              <w:fldChar w:fldCharType="end"/>
            </w:r>
          </w:hyperlink>
        </w:p>
        <w:p w14:paraId="6CAB299A" w14:textId="66FB3D38" w:rsidR="00A74AC9" w:rsidRDefault="00A74AC9">
          <w:pPr>
            <w:pStyle w:val="TOC2"/>
            <w:tabs>
              <w:tab w:val="right" w:leader="dot" w:pos="9016"/>
            </w:tabs>
            <w:rPr>
              <w:rFonts w:eastAsiaTheme="minorEastAsia"/>
              <w:noProof/>
              <w:lang w:eastAsia="en-GB"/>
            </w:rPr>
          </w:pPr>
          <w:hyperlink w:anchor="_Toc237419915" w:history="1">
            <w:r w:rsidRPr="00A07BDF">
              <w:rPr>
                <w:rStyle w:val="Hyperlink"/>
                <w:noProof/>
              </w:rPr>
              <w:t>5.5 Conclusion</w:t>
            </w:r>
            <w:r>
              <w:rPr>
                <w:noProof/>
                <w:webHidden/>
              </w:rPr>
              <w:tab/>
            </w:r>
            <w:r>
              <w:rPr>
                <w:noProof/>
                <w:webHidden/>
              </w:rPr>
              <w:fldChar w:fldCharType="begin"/>
            </w:r>
            <w:r>
              <w:rPr>
                <w:noProof/>
                <w:webHidden/>
              </w:rPr>
              <w:instrText xml:space="preserve"> PAGEREF _Toc237419915 \h </w:instrText>
            </w:r>
            <w:r>
              <w:rPr>
                <w:noProof/>
                <w:webHidden/>
              </w:rPr>
            </w:r>
            <w:r>
              <w:rPr>
                <w:noProof/>
                <w:webHidden/>
              </w:rPr>
              <w:fldChar w:fldCharType="separate"/>
            </w:r>
            <w:r>
              <w:rPr>
                <w:noProof/>
                <w:webHidden/>
              </w:rPr>
              <w:t>19</w:t>
            </w:r>
            <w:r>
              <w:rPr>
                <w:noProof/>
                <w:webHidden/>
              </w:rPr>
              <w:fldChar w:fldCharType="end"/>
            </w:r>
          </w:hyperlink>
        </w:p>
        <w:p w14:paraId="7D67E5BD" w14:textId="787E2BDD" w:rsidR="00A74AC9" w:rsidRDefault="00A74AC9">
          <w:pPr>
            <w:pStyle w:val="TOC2"/>
            <w:tabs>
              <w:tab w:val="right" w:leader="dot" w:pos="9016"/>
            </w:tabs>
            <w:rPr>
              <w:rFonts w:eastAsiaTheme="minorEastAsia"/>
              <w:noProof/>
              <w:lang w:eastAsia="en-GB"/>
            </w:rPr>
          </w:pPr>
          <w:hyperlink w:anchor="_Toc237419916" w:history="1">
            <w:r w:rsidRPr="00A07BDF">
              <w:rPr>
                <w:rStyle w:val="Hyperlink"/>
                <w:noProof/>
              </w:rPr>
              <w:t>5.6 Action Plan</w:t>
            </w:r>
            <w:r>
              <w:rPr>
                <w:noProof/>
                <w:webHidden/>
              </w:rPr>
              <w:tab/>
            </w:r>
            <w:r>
              <w:rPr>
                <w:noProof/>
                <w:webHidden/>
              </w:rPr>
              <w:fldChar w:fldCharType="begin"/>
            </w:r>
            <w:r>
              <w:rPr>
                <w:noProof/>
                <w:webHidden/>
              </w:rPr>
              <w:instrText xml:space="preserve"> PAGEREF _Toc237419916 \h </w:instrText>
            </w:r>
            <w:r>
              <w:rPr>
                <w:noProof/>
                <w:webHidden/>
              </w:rPr>
            </w:r>
            <w:r>
              <w:rPr>
                <w:noProof/>
                <w:webHidden/>
              </w:rPr>
              <w:fldChar w:fldCharType="separate"/>
            </w:r>
            <w:r>
              <w:rPr>
                <w:noProof/>
                <w:webHidden/>
              </w:rPr>
              <w:t>19</w:t>
            </w:r>
            <w:r>
              <w:rPr>
                <w:noProof/>
                <w:webHidden/>
              </w:rPr>
              <w:fldChar w:fldCharType="end"/>
            </w:r>
          </w:hyperlink>
        </w:p>
        <w:p w14:paraId="15E579FA" w14:textId="2A960567" w:rsidR="00A74AC9" w:rsidRDefault="00A74AC9">
          <w:pPr>
            <w:pStyle w:val="TOC1"/>
            <w:tabs>
              <w:tab w:val="right" w:leader="dot" w:pos="9016"/>
            </w:tabs>
            <w:rPr>
              <w:rFonts w:eastAsiaTheme="minorEastAsia"/>
              <w:noProof/>
              <w:lang w:eastAsia="en-GB"/>
            </w:rPr>
          </w:pPr>
          <w:hyperlink w:anchor="_Toc237419917" w:history="1">
            <w:r w:rsidRPr="00A07BDF">
              <w:rPr>
                <w:rStyle w:val="Hyperlink"/>
                <w:noProof/>
              </w:rPr>
              <w:t>Reference</w:t>
            </w:r>
            <w:r>
              <w:rPr>
                <w:noProof/>
                <w:webHidden/>
              </w:rPr>
              <w:tab/>
            </w:r>
            <w:r>
              <w:rPr>
                <w:noProof/>
                <w:webHidden/>
              </w:rPr>
              <w:fldChar w:fldCharType="begin"/>
            </w:r>
            <w:r>
              <w:rPr>
                <w:noProof/>
                <w:webHidden/>
              </w:rPr>
              <w:instrText xml:space="preserve"> PAGEREF _Toc237419917 \h </w:instrText>
            </w:r>
            <w:r>
              <w:rPr>
                <w:noProof/>
                <w:webHidden/>
              </w:rPr>
            </w:r>
            <w:r>
              <w:rPr>
                <w:noProof/>
                <w:webHidden/>
              </w:rPr>
              <w:fldChar w:fldCharType="separate"/>
            </w:r>
            <w:r>
              <w:rPr>
                <w:noProof/>
                <w:webHidden/>
              </w:rPr>
              <w:t>20</w:t>
            </w:r>
            <w:r>
              <w:rPr>
                <w:noProof/>
                <w:webHidden/>
              </w:rPr>
              <w:fldChar w:fldCharType="end"/>
            </w:r>
          </w:hyperlink>
        </w:p>
        <w:p w14:paraId="5EEE5DCD" w14:textId="1F85181B" w:rsidR="00CA035C" w:rsidRDefault="00CA035C" w:rsidP="00CA035C">
          <w:pPr>
            <w:rPr>
              <w:b/>
              <w:bCs/>
            </w:rPr>
          </w:pPr>
          <w:r>
            <w:rPr>
              <w:b/>
              <w:bCs/>
            </w:rPr>
            <w:fldChar w:fldCharType="end"/>
          </w:r>
        </w:p>
      </w:sdtContent>
    </w:sdt>
    <w:p w14:paraId="6DD6AE1E" w14:textId="77777777" w:rsidR="00CA035C" w:rsidRDefault="00CA035C">
      <w:pPr>
        <w:rPr>
          <w:rFonts w:asciiTheme="majorHAnsi" w:eastAsiaTheme="majorEastAsia" w:hAnsiTheme="majorHAnsi" w:cstheme="majorBidi"/>
          <w:color w:val="0F4761" w:themeColor="accent1" w:themeShade="BF"/>
        </w:rPr>
      </w:pPr>
      <w:r>
        <w:br w:type="page"/>
      </w:r>
    </w:p>
    <w:p w14:paraId="6F2637F4" w14:textId="7D743308" w:rsidR="003A4FC7" w:rsidRPr="00DA0568" w:rsidRDefault="003A4FC7" w:rsidP="00950D93">
      <w:pPr>
        <w:pStyle w:val="Heading1"/>
        <w:spacing w:line="360" w:lineRule="auto"/>
        <w:rPr>
          <w:sz w:val="24"/>
          <w:szCs w:val="24"/>
        </w:rPr>
      </w:pPr>
      <w:bookmarkStart w:id="0" w:name="_Toc237419894"/>
      <w:r w:rsidRPr="00DA0568">
        <w:rPr>
          <w:sz w:val="24"/>
          <w:szCs w:val="24"/>
        </w:rPr>
        <w:lastRenderedPageBreak/>
        <w:t>Section 1 Strategic Evaluation &amp; Recommendations</w:t>
      </w:r>
      <w:bookmarkEnd w:id="0"/>
    </w:p>
    <w:p w14:paraId="1937B67D" w14:textId="08637B9D" w:rsidR="003A4FC7" w:rsidRPr="00DA0568" w:rsidRDefault="003A4FC7" w:rsidP="00950D93">
      <w:pPr>
        <w:pStyle w:val="Heading1"/>
        <w:spacing w:line="360" w:lineRule="auto"/>
        <w:rPr>
          <w:sz w:val="24"/>
          <w:szCs w:val="24"/>
        </w:rPr>
      </w:pPr>
      <w:bookmarkStart w:id="1" w:name="_Toc237419895"/>
      <w:r w:rsidRPr="00DA0568">
        <w:rPr>
          <w:sz w:val="24"/>
          <w:szCs w:val="24"/>
        </w:rPr>
        <w:t>1.Organisation Context and Overview</w:t>
      </w:r>
      <w:bookmarkEnd w:id="1"/>
    </w:p>
    <w:p w14:paraId="5A4AA4BD" w14:textId="05B86FE3" w:rsidR="003A4FC7" w:rsidRPr="00C77A47" w:rsidRDefault="003A4FC7" w:rsidP="00950D93">
      <w:pPr>
        <w:pStyle w:val="Heading2"/>
        <w:spacing w:line="360" w:lineRule="auto"/>
        <w:rPr>
          <w:sz w:val="24"/>
          <w:szCs w:val="24"/>
        </w:rPr>
      </w:pPr>
      <w:bookmarkStart w:id="2" w:name="_Toc237419896"/>
      <w:r w:rsidRPr="00DA0568">
        <w:rPr>
          <w:sz w:val="24"/>
          <w:szCs w:val="24"/>
        </w:rPr>
        <w:t>1.1 Historical Evaluation and strategic foundations</w:t>
      </w:r>
      <w:bookmarkEnd w:id="2"/>
    </w:p>
    <w:p w14:paraId="25619D12" w14:textId="283D7F55" w:rsidR="00054A84" w:rsidRDefault="00D347E2" w:rsidP="00950D93">
      <w:pPr>
        <w:spacing w:line="360" w:lineRule="auto"/>
        <w:jc w:val="both"/>
        <w:rPr>
          <w:rFonts w:ascii="Arial" w:hAnsi="Arial" w:cs="Arial"/>
        </w:rPr>
      </w:pPr>
      <w:r w:rsidRPr="00D347E2">
        <w:rPr>
          <w:rFonts w:ascii="Arial" w:hAnsi="Arial" w:cs="Arial"/>
        </w:rPr>
        <w:t xml:space="preserve">BP plc is one of the world's six supermajors of oil and gas with over a century of corporate history dating back to 1909 as Anglo-Persian Oil Company (BP, 2024a). Originally, the major area of operations of the company was extraction of fossil fuels in the Middle East region. But throughout decades of its existence, BP turned into an energy company operating in upstream, midstream, downstream and fuel retail (Grant, 2021). Importantly, BP has made a major step on its path in February 2020 when its CEO Bernard Looney has promised to make the company carbon net-zero by 2050 or earlier (BP, 2024a). It led to the revision of BP's mission statement as 'Reimagining energy for people and our planet'. The strategy implies transformation of the company from the International Oil Company (IOC) to the Integrated Energy Company (IEC) offering low carbon energy services (Helm, 2021). </w:t>
      </w:r>
      <w:proofErr w:type="gramStart"/>
      <w:r w:rsidRPr="00D347E2">
        <w:rPr>
          <w:rFonts w:ascii="Arial" w:hAnsi="Arial" w:cs="Arial"/>
        </w:rPr>
        <w:t>At the moment</w:t>
      </w:r>
      <w:proofErr w:type="gramEnd"/>
      <w:r w:rsidRPr="00D347E2">
        <w:rPr>
          <w:rFonts w:ascii="Arial" w:hAnsi="Arial" w:cs="Arial"/>
        </w:rPr>
        <w:t>, BP operates its business through the following three pillars: Resilient Hydrocarbons, Transition Growth Engines (that include EV charging, bioenergy, hydrogen, renewables, and convenience retail) and Integrated Energy Systems (BP, 2024a). But the problem is that there is a huge tension in this strategy due to the need to ensure the profitability</w:t>
      </w:r>
      <w:r>
        <w:rPr>
          <w:rFonts w:ascii="Arial" w:hAnsi="Arial" w:cs="Arial"/>
        </w:rPr>
        <w:t xml:space="preserve"> </w:t>
      </w:r>
      <w:r w:rsidRPr="00D347E2">
        <w:rPr>
          <w:rFonts w:ascii="Arial" w:hAnsi="Arial" w:cs="Arial"/>
        </w:rPr>
        <w:t>hydrocarbon yields and allocating capital toward high-growth, lower-margin green assets.</w:t>
      </w:r>
    </w:p>
    <w:p w14:paraId="76D188E9" w14:textId="4AC2F111" w:rsidR="00D347E2" w:rsidRDefault="00D347E2" w:rsidP="00950D93">
      <w:pPr>
        <w:spacing w:line="360" w:lineRule="auto"/>
        <w:jc w:val="both"/>
        <w:rPr>
          <w:rFonts w:ascii="Arial" w:hAnsi="Arial" w:cs="Arial"/>
        </w:rPr>
      </w:pPr>
      <w:r w:rsidRPr="00D347E2">
        <w:rPr>
          <w:rFonts w:ascii="Arial" w:hAnsi="Arial" w:cs="Arial"/>
        </w:rPr>
        <w:t xml:space="preserve">In assessing BP's past strategy, the shift in BP's direction toward green energy became necessary due to climate challenges and changes in European regulations. It is worth mentioning that BP's dynamic strategy included setting ambitious goals to reduce oil and gas production by 40% by 2030 compared to 2019 figures (BP, 2024a). At the same time, macroeconomic challenges, particularly the Russian attack on Ukraine in 2022, made BP adjust its strategy in response to new challenges. In early 2023, with new management in place, BP changed the hydrocarbons reduction target to reducing it by 25% by 2030 for the reasons of maintaining global energy security and immediate need to return dividends to its shareholders (DESNZ, 2024). It became obvious that BP had to balance its activities. The very business model of the company is based on receiving significant revenues from hydrocarbons to fund multibillion-pound infrastructure investments in renewables. The case with the UK market </w:t>
      </w:r>
      <w:r w:rsidRPr="00D347E2">
        <w:rPr>
          <w:rFonts w:ascii="Arial" w:hAnsi="Arial" w:cs="Arial"/>
        </w:rPr>
        <w:lastRenderedPageBreak/>
        <w:t>demonstrates the dual strategy of BP. While producing natural gas from the North Sea, it should increase capacity of its offshore wind power generation facilities and EV charging stations. Thus, BP is still a transitional organization.</w:t>
      </w:r>
    </w:p>
    <w:p w14:paraId="680D9EDD" w14:textId="41472276" w:rsidR="003A4FC7" w:rsidRPr="00DA0568" w:rsidRDefault="003A4FC7" w:rsidP="00950D93">
      <w:pPr>
        <w:pStyle w:val="Heading2"/>
        <w:spacing w:line="360" w:lineRule="auto"/>
        <w:rPr>
          <w:sz w:val="24"/>
          <w:szCs w:val="24"/>
        </w:rPr>
      </w:pPr>
      <w:bookmarkStart w:id="3" w:name="_Toc237419897"/>
      <w:r w:rsidRPr="00DA0568">
        <w:rPr>
          <w:sz w:val="24"/>
          <w:szCs w:val="24"/>
        </w:rPr>
        <w:t>1.2 Industry Dynamics and British Petroleum’s UK Market Position</w:t>
      </w:r>
      <w:bookmarkEnd w:id="3"/>
    </w:p>
    <w:p w14:paraId="1EF31BFB" w14:textId="79118E2C" w:rsidR="003A4FC7" w:rsidRDefault="00A76C45" w:rsidP="00950D93">
      <w:pPr>
        <w:spacing w:line="360" w:lineRule="auto"/>
        <w:jc w:val="both"/>
        <w:rPr>
          <w:rFonts w:ascii="Arial" w:hAnsi="Arial" w:cs="Arial"/>
        </w:rPr>
      </w:pPr>
      <w:r w:rsidRPr="00A76C45">
        <w:rPr>
          <w:rFonts w:ascii="Arial" w:hAnsi="Arial" w:cs="Arial"/>
        </w:rPr>
        <w:t>The UK energy sector is currently experiencing a structural change being compelled by the legally binding commitment of the UK Government to deliver Net Zero carbon emissions by 2050 (Climate Change Committee, 2023). In the context of the domestic market, BP represents a systemically significant player in the upstream offshore exploration, commercial fuels, and rapidly growing low-carbon energy infrastructure sectors. In terms of upstream energy extraction in the North Sea, BP continues to be a significant player, operating in competition with other energy giants, including Shell plc and TotalEnergies (BEIS, 2023). At the same time, in the UK fuel retail and convenience sector, BP runs about 1,200 petrol stations, representing a leading player alongside the supermarkets' fuel chains (CMA, 2023). The strengths of the downstream sector of the business are complemented by the partnership with the retailer Marks &amp; Spencer through 'BP Connect'.</w:t>
      </w:r>
    </w:p>
    <w:p w14:paraId="058BEDA6" w14:textId="6881E6CF" w:rsidR="00A76C45" w:rsidRDefault="009C4651" w:rsidP="00950D93">
      <w:pPr>
        <w:spacing w:line="360" w:lineRule="auto"/>
        <w:jc w:val="both"/>
        <w:rPr>
          <w:rFonts w:ascii="Arial" w:hAnsi="Arial" w:cs="Arial"/>
        </w:rPr>
      </w:pPr>
      <w:r w:rsidRPr="009C4651">
        <w:rPr>
          <w:rFonts w:ascii="Arial" w:hAnsi="Arial" w:cs="Arial"/>
        </w:rPr>
        <w:t>Nevertheless, a review of BP’s competitive position in the market suggests that BP faces many vulnerabilities regarding its competitors in the fast-growing electric vehicle (EV) market. In this regard, even though BP Pulse can be considered among the top operators of public EV charging stations in the UK with over 10,000 charging points (</w:t>
      </w:r>
      <w:proofErr w:type="spellStart"/>
      <w:r w:rsidRPr="009C4651">
        <w:rPr>
          <w:rFonts w:ascii="Arial" w:hAnsi="Arial" w:cs="Arial"/>
        </w:rPr>
        <w:t>Zapmap</w:t>
      </w:r>
      <w:proofErr w:type="spellEnd"/>
      <w:r w:rsidRPr="009C4651">
        <w:rPr>
          <w:rFonts w:ascii="Arial" w:hAnsi="Arial" w:cs="Arial"/>
        </w:rPr>
        <w:t xml:space="preserve">, 2024), the competition coming from dedicated charge point providers like </w:t>
      </w:r>
      <w:proofErr w:type="spellStart"/>
      <w:r w:rsidRPr="009C4651">
        <w:rPr>
          <w:rFonts w:ascii="Arial" w:hAnsi="Arial" w:cs="Arial"/>
        </w:rPr>
        <w:t>Gridserve</w:t>
      </w:r>
      <w:proofErr w:type="spellEnd"/>
      <w:r w:rsidRPr="009C4651">
        <w:rPr>
          <w:rFonts w:ascii="Arial" w:hAnsi="Arial" w:cs="Arial"/>
        </w:rPr>
        <w:t xml:space="preserve">, </w:t>
      </w:r>
      <w:proofErr w:type="spellStart"/>
      <w:r w:rsidRPr="009C4651">
        <w:rPr>
          <w:rFonts w:ascii="Arial" w:hAnsi="Arial" w:cs="Arial"/>
        </w:rPr>
        <w:t>InstaVolt</w:t>
      </w:r>
      <w:proofErr w:type="spellEnd"/>
      <w:r w:rsidRPr="009C4651">
        <w:rPr>
          <w:rFonts w:ascii="Arial" w:hAnsi="Arial" w:cs="Arial"/>
        </w:rPr>
        <w:t>, and Tesla Supercharger is very fierce (</w:t>
      </w:r>
      <w:proofErr w:type="spellStart"/>
      <w:r w:rsidRPr="009C4651">
        <w:rPr>
          <w:rFonts w:ascii="Arial" w:hAnsi="Arial" w:cs="Arial"/>
        </w:rPr>
        <w:t>Zapmap</w:t>
      </w:r>
      <w:proofErr w:type="spellEnd"/>
      <w:r w:rsidRPr="009C4651">
        <w:rPr>
          <w:rFonts w:ascii="Arial" w:hAnsi="Arial" w:cs="Arial"/>
        </w:rPr>
        <w:t>, 2024). According to my analysis of the market share trends, dedicated charging firms are implementing ultra-rapid charging stations much more quickly than major oil players (</w:t>
      </w:r>
      <w:proofErr w:type="spellStart"/>
      <w:r w:rsidRPr="009C4651">
        <w:rPr>
          <w:rFonts w:ascii="Arial" w:hAnsi="Arial" w:cs="Arial"/>
        </w:rPr>
        <w:t>Zapmap</w:t>
      </w:r>
      <w:proofErr w:type="spellEnd"/>
      <w:r w:rsidRPr="009C4651">
        <w:rPr>
          <w:rFonts w:ascii="Arial" w:hAnsi="Arial" w:cs="Arial"/>
        </w:rPr>
        <w:t>, 2024). Moreover, when it comes to UK offshore wind power generation, BP won development opportunities for the Morgan and Mona offshore wind farms in the Irish Sea (combined capacity of 3GW) within the Round 4 lease offered by the Crown Estate (Crown Estate, 2021). However, due to the high costs of seabed lease options and offshore wind power inflation, IRR of these projects fell to 6-8%, compared to 15-20% returns on North Sea oil projects (IEA, 2023).</w:t>
      </w:r>
      <w:r w:rsidRPr="009C4651">
        <w:t xml:space="preserve"> </w:t>
      </w:r>
      <w:r w:rsidRPr="009C4651">
        <w:rPr>
          <w:rFonts w:ascii="Arial" w:hAnsi="Arial" w:cs="Arial"/>
        </w:rPr>
        <w:t>Consequently, while BP enjoys top-tier brand recognition and formidable balance sheet power in the UK, its strategic positioning requires rapid optimization to safeguard competitive advantage.</w:t>
      </w:r>
    </w:p>
    <w:p w14:paraId="40E816B8" w14:textId="47E27BED" w:rsidR="00D347E2" w:rsidRPr="00DA0568" w:rsidRDefault="009C4651" w:rsidP="00950D93">
      <w:pPr>
        <w:pStyle w:val="Heading1"/>
        <w:spacing w:line="360" w:lineRule="auto"/>
        <w:rPr>
          <w:sz w:val="24"/>
          <w:szCs w:val="24"/>
        </w:rPr>
      </w:pPr>
      <w:bookmarkStart w:id="4" w:name="_Toc237419898"/>
      <w:r w:rsidRPr="00DA0568">
        <w:rPr>
          <w:sz w:val="24"/>
          <w:szCs w:val="24"/>
        </w:rPr>
        <w:lastRenderedPageBreak/>
        <w:t>2. External and Internal Analysis</w:t>
      </w:r>
      <w:bookmarkEnd w:id="4"/>
    </w:p>
    <w:p w14:paraId="171D833D" w14:textId="5528E9FB" w:rsidR="009C4651" w:rsidRPr="00DA0568" w:rsidRDefault="009C4651" w:rsidP="00950D93">
      <w:pPr>
        <w:pStyle w:val="Heading2"/>
        <w:spacing w:line="360" w:lineRule="auto"/>
        <w:rPr>
          <w:sz w:val="24"/>
          <w:szCs w:val="24"/>
        </w:rPr>
      </w:pPr>
      <w:bookmarkStart w:id="5" w:name="_Toc237419899"/>
      <w:r w:rsidRPr="00DA0568">
        <w:rPr>
          <w:sz w:val="24"/>
          <w:szCs w:val="24"/>
        </w:rPr>
        <w:t>2.1 PESTEL Framework: Uk Energy Landscape</w:t>
      </w:r>
      <w:bookmarkEnd w:id="5"/>
      <w:r w:rsidRPr="00DA0568">
        <w:rPr>
          <w:sz w:val="24"/>
          <w:szCs w:val="24"/>
        </w:rPr>
        <w:t xml:space="preserve"> </w:t>
      </w:r>
    </w:p>
    <w:p w14:paraId="6250826D" w14:textId="2D708C0F" w:rsidR="009C4651" w:rsidRDefault="009C4651" w:rsidP="00950D93">
      <w:pPr>
        <w:spacing w:line="360" w:lineRule="auto"/>
        <w:jc w:val="both"/>
        <w:rPr>
          <w:rFonts w:ascii="Arial" w:hAnsi="Arial" w:cs="Arial"/>
        </w:rPr>
      </w:pPr>
      <w:r w:rsidRPr="009C4651">
        <w:rPr>
          <w:rFonts w:ascii="Arial" w:hAnsi="Arial" w:cs="Arial"/>
        </w:rPr>
        <w:t>Political considerations in the UK offer both structural backing as well as regulatory threats to BP's strategic stance. DESNZ ensures the maintenance of a policy agenda that seeks to decarbonize the UK's electricity generation network by 2030 and offers considerable legislative support to BP's strategies regarding hydrogen as well as carbon capture (DESNZ, 2024). On the other hand, volatility in domestic politics has been characterized by arbitrary fiscal policies. The introduction and escalation of the Energy Profits Levy (EPL) – windfall tax on oil and gas production activities in the UK up to 78% – has affected long-term planning of North Sea ventures (HM Treasury, 2024). The company management stated that tax unpredictability will lead to capital allocation elsewhere, including the US Gulf of Mexico (BP, 2024a). Additionally, discussions around the grant of new exploration licenses in the North Sea through the Offshore Petroleum Licensing Bill are causing operation uncertainty, and are directly affecting the upstream capital spending strategy of BP.</w:t>
      </w:r>
    </w:p>
    <w:p w14:paraId="04DCB578" w14:textId="7D0869AF" w:rsidR="00711340" w:rsidRDefault="00711340" w:rsidP="00950D93">
      <w:pPr>
        <w:spacing w:line="360" w:lineRule="auto"/>
        <w:jc w:val="both"/>
        <w:rPr>
          <w:rFonts w:ascii="Arial" w:hAnsi="Arial" w:cs="Arial"/>
        </w:rPr>
      </w:pPr>
      <w:r w:rsidRPr="00711340">
        <w:rPr>
          <w:rFonts w:ascii="Arial" w:hAnsi="Arial" w:cs="Arial"/>
        </w:rPr>
        <w:t xml:space="preserve">The economy in the United Kingdom is a challenging macroeconomic environment, marked by inflationary trends and high capital costs. The Bank of England's monetary policies kept the base interest rate high </w:t>
      </w:r>
      <w:proofErr w:type="gramStart"/>
      <w:r w:rsidRPr="00711340">
        <w:rPr>
          <w:rFonts w:ascii="Arial" w:hAnsi="Arial" w:cs="Arial"/>
        </w:rPr>
        <w:t>in order to</w:t>
      </w:r>
      <w:proofErr w:type="gramEnd"/>
      <w:r w:rsidRPr="00711340">
        <w:rPr>
          <w:rFonts w:ascii="Arial" w:hAnsi="Arial" w:cs="Arial"/>
        </w:rPr>
        <w:t xml:space="preserve"> mitigate inflation after the pandemic, thus resulting in a significant increase in the WACC of renewable energy infrastructures for long durations (Bank of England, 2024). High inflation has caused an increase in EPC costs, especially with offshore wind turbines having a 20% increase in price from 2021 to 2024 (IRENA, 2024). At the same time, the volatility of wholesale energy price </w:t>
      </w:r>
      <w:proofErr w:type="gramStart"/>
      <w:r w:rsidRPr="00711340">
        <w:rPr>
          <w:rFonts w:ascii="Arial" w:hAnsi="Arial" w:cs="Arial"/>
        </w:rPr>
        <w:t>as a result of</w:t>
      </w:r>
      <w:proofErr w:type="gramEnd"/>
      <w:r w:rsidRPr="00711340">
        <w:rPr>
          <w:rFonts w:ascii="Arial" w:hAnsi="Arial" w:cs="Arial"/>
        </w:rPr>
        <w:t xml:space="preserve"> geopolitical unrest in the Middle East and the European gas market changes has provided fluctuating cash flows for BP's trading business segment. Although high natural gas prices used to be advantageous in terms of profitability, the high energy costs in the UK have negatively affected consumers' discretionary income, making electric vehicle adoption rates slower (SMMT, 2024).</w:t>
      </w:r>
    </w:p>
    <w:p w14:paraId="30B20DD3" w14:textId="70A8C0BB" w:rsidR="00711340" w:rsidRDefault="002560F6" w:rsidP="00950D93">
      <w:pPr>
        <w:spacing w:line="360" w:lineRule="auto"/>
        <w:jc w:val="both"/>
        <w:rPr>
          <w:rFonts w:ascii="Arial" w:hAnsi="Arial" w:cs="Arial"/>
        </w:rPr>
      </w:pPr>
      <w:r w:rsidRPr="002560F6">
        <w:rPr>
          <w:rFonts w:ascii="Arial" w:hAnsi="Arial" w:cs="Arial"/>
        </w:rPr>
        <w:t xml:space="preserve">The socio-cultural context in the UK highlights the profound changes in expectations towards corporate climate accountability and responsibility. In particular, the UK's population, institutional investors, and shareholder activists put significant pressure on energy corporations in terms of their ESG criteria (ClientEarth, 2023). The demand for environmentally friendly mobility solutions is growing, which can be seen in the fact </w:t>
      </w:r>
      <w:r w:rsidRPr="002560F6">
        <w:rPr>
          <w:rFonts w:ascii="Arial" w:hAnsi="Arial" w:cs="Arial"/>
        </w:rPr>
        <w:lastRenderedPageBreak/>
        <w:t>that the share of battery electric vehicles (BEV) in UK cars sold in 2024 is over 18% (SMMT, 2024). At the same time, BP faces considerable reputation damage due to criticism from the environmental lobby because of alleged greenwashing. Namely, despite the company's efforts to promote the concept of a clean transition through marketing campaigns, its investment still heavily relies on oil and gas (ClientEarth, 2023). This leads to a negative impact on brand equity among young people and challenges the process of hiring graduates.</w:t>
      </w:r>
    </w:p>
    <w:p w14:paraId="5592B2B5" w14:textId="16AA425D" w:rsidR="002560F6" w:rsidRDefault="002560F6" w:rsidP="00950D93">
      <w:pPr>
        <w:spacing w:line="360" w:lineRule="auto"/>
        <w:jc w:val="both"/>
        <w:rPr>
          <w:rFonts w:ascii="Arial" w:hAnsi="Arial" w:cs="Arial"/>
        </w:rPr>
      </w:pPr>
      <w:r w:rsidRPr="002560F6">
        <w:rPr>
          <w:rFonts w:ascii="Arial" w:hAnsi="Arial" w:cs="Arial"/>
        </w:rPr>
        <w:t xml:space="preserve">Innovation in technology is transforming the energy industry's competitive environment with an unprecedented speed. Green hydrogen technology based on PEM electrolysers, CCS technology, and high-performance lithium-iron-phosphate (LFP) batteries are creating new business opportunities (IEA, 2024). BP in the UK is taking advantage of innovation and positioning itself as an early mover with such projects as H2Teesside, the planned 1.2GW low-carbon hydrogen production plant, and Net Zero Teesside Power project, employing CCS on an industrial scale (BP, 2024b). Yet, fast pace of technological obsolescence is one of the main threats. Solid state batteries can make existing EV standards obsolete, and digital grid management systems will require heavy investments in software. Digital analytics, energy trading algorithms powered by artificial intelligence, and smart grid systems </w:t>
      </w:r>
      <w:proofErr w:type="gramStart"/>
      <w:r w:rsidRPr="002560F6">
        <w:rPr>
          <w:rFonts w:ascii="Arial" w:hAnsi="Arial" w:cs="Arial"/>
        </w:rPr>
        <w:t>have to</w:t>
      </w:r>
      <w:proofErr w:type="gramEnd"/>
      <w:r w:rsidRPr="002560F6">
        <w:rPr>
          <w:rFonts w:ascii="Arial" w:hAnsi="Arial" w:cs="Arial"/>
        </w:rPr>
        <w:t xml:space="preserve"> be developed rapidly to supplement BP's traditional strength in mechanical engineering (Grant, 2021).</w:t>
      </w:r>
    </w:p>
    <w:p w14:paraId="2474E3FB" w14:textId="5647AAF7" w:rsidR="002560F6" w:rsidRDefault="002560F6" w:rsidP="00950D93">
      <w:pPr>
        <w:spacing w:line="360" w:lineRule="auto"/>
        <w:jc w:val="both"/>
        <w:rPr>
          <w:rFonts w:ascii="Arial" w:hAnsi="Arial" w:cs="Arial"/>
        </w:rPr>
      </w:pPr>
      <w:r w:rsidRPr="002560F6">
        <w:rPr>
          <w:rFonts w:ascii="Arial" w:hAnsi="Arial" w:cs="Arial"/>
        </w:rPr>
        <w:t>Environmental drivers become the most significant strategic driver that shapes BP’s restructuring in the UK market. The increase in the occurrence of severe weather phenomena in Europe makes it essential for organizations to comply with the 1.5°C temperature rise limit stated in the Paris Agreement (IPCC, 2023). Stringent requirements for the achievement of biodiversity net gains and regulations on marine spatial planning in the UK impede offshore wind farms’ and onshore pipelines' development. In addition to that, the carbon emission reporting framework covering Scope 1, 2, and 3 emissions set by international organizations forces BP to decrease the carbon intensity of its operations substantially (Climate Change Committee, 2023).</w:t>
      </w:r>
    </w:p>
    <w:p w14:paraId="6F6DD2F5" w14:textId="14CD1D02" w:rsidR="002560F6" w:rsidRDefault="002560F6" w:rsidP="00950D93">
      <w:pPr>
        <w:spacing w:line="360" w:lineRule="auto"/>
        <w:jc w:val="both"/>
        <w:rPr>
          <w:rFonts w:ascii="Arial" w:hAnsi="Arial" w:cs="Arial"/>
        </w:rPr>
      </w:pPr>
      <w:r w:rsidRPr="002560F6">
        <w:rPr>
          <w:rFonts w:ascii="Arial" w:hAnsi="Arial" w:cs="Arial"/>
        </w:rPr>
        <w:t xml:space="preserve">Regulatory compliance is enforced stringently throughout all aspects of BP's business in the UK via the legal and regulatory framework of the country. The CMA in the UK keeps track of the retail fuel pricing mechanisms of BP to ensure that consumers are not exploited due to rigorous scrutiny of BP's downstream pricing mechanisms (CMA, </w:t>
      </w:r>
      <w:r w:rsidRPr="002560F6">
        <w:rPr>
          <w:rFonts w:ascii="Arial" w:hAnsi="Arial" w:cs="Arial"/>
        </w:rPr>
        <w:lastRenderedPageBreak/>
        <w:t>2023). Simultaneously, the risk of environmental lawsuits has seen a massive surge. There have been historic legal battles in the UK High Court where environmental non-governmental organizations have filed lawsuits against corporate boards for failing to address systematic climate risks under the Companies Act 2006 (ClientEarth, 2023). Further, there are very stringent compliance provisions under the UK Automated and Electric Vehicles Act 2018 which need BP Pulse to maintain an operational uptime of 99% and clear pricing in their charging networks (</w:t>
      </w:r>
      <w:proofErr w:type="spellStart"/>
      <w:r w:rsidRPr="002560F6">
        <w:rPr>
          <w:rFonts w:ascii="Arial" w:hAnsi="Arial" w:cs="Arial"/>
        </w:rPr>
        <w:t>Zapmap</w:t>
      </w:r>
      <w:proofErr w:type="spellEnd"/>
      <w:r w:rsidRPr="002560F6">
        <w:rPr>
          <w:rFonts w:ascii="Arial" w:hAnsi="Arial" w:cs="Arial"/>
        </w:rPr>
        <w:t>, 2024).</w:t>
      </w:r>
    </w:p>
    <w:p w14:paraId="10799EAB" w14:textId="64D84665" w:rsidR="002560F6" w:rsidRPr="00DA0568" w:rsidRDefault="002560F6" w:rsidP="00950D93">
      <w:pPr>
        <w:pStyle w:val="Heading2"/>
        <w:spacing w:line="360" w:lineRule="auto"/>
        <w:rPr>
          <w:sz w:val="24"/>
          <w:szCs w:val="24"/>
        </w:rPr>
      </w:pPr>
      <w:bookmarkStart w:id="6" w:name="_Toc237419900"/>
      <w:r w:rsidRPr="00DA0568">
        <w:rPr>
          <w:sz w:val="24"/>
          <w:szCs w:val="24"/>
        </w:rPr>
        <w:t>2.2 VRIO Framework: Core Resource and Capability Audit</w:t>
      </w:r>
      <w:bookmarkEnd w:id="6"/>
      <w:r w:rsidRPr="00DA0568">
        <w:rPr>
          <w:sz w:val="24"/>
          <w:szCs w:val="24"/>
        </w:rPr>
        <w:t xml:space="preserve"> </w:t>
      </w:r>
    </w:p>
    <w:p w14:paraId="2F58F345" w14:textId="66558917" w:rsidR="002560F6" w:rsidRDefault="002560F6" w:rsidP="00950D93">
      <w:pPr>
        <w:spacing w:line="360" w:lineRule="auto"/>
        <w:jc w:val="both"/>
        <w:rPr>
          <w:rFonts w:ascii="Arial" w:hAnsi="Arial" w:cs="Arial"/>
        </w:rPr>
      </w:pPr>
      <w:proofErr w:type="gramStart"/>
      <w:r w:rsidRPr="002560F6">
        <w:rPr>
          <w:rFonts w:ascii="Arial" w:hAnsi="Arial" w:cs="Arial"/>
        </w:rPr>
        <w:t>In order to</w:t>
      </w:r>
      <w:proofErr w:type="gramEnd"/>
      <w:r w:rsidRPr="002560F6">
        <w:rPr>
          <w:rFonts w:ascii="Arial" w:hAnsi="Arial" w:cs="Arial"/>
        </w:rPr>
        <w:t xml:space="preserve"> determine if BP is endowed with internal capabilities that can create a sustainable competitive advantage in the UK, the VRIO model proposed by Barney (1991) should be used for analysis of four key organizational capabilities of BP. These include North Sea Upstream Assets, Integrated Global Energy Trading, BP Pulse EV Infrastructure, and Brand Equity.</w:t>
      </w:r>
    </w:p>
    <w:p w14:paraId="12F9ECCD" w14:textId="07045CD2" w:rsidR="002560F6" w:rsidRDefault="002560F6" w:rsidP="00950D93">
      <w:pPr>
        <w:spacing w:line="360" w:lineRule="auto"/>
        <w:jc w:val="both"/>
        <w:rPr>
          <w:rFonts w:ascii="Arial" w:hAnsi="Arial" w:cs="Arial"/>
        </w:rPr>
      </w:pPr>
      <w:r w:rsidRPr="002560F6">
        <w:rPr>
          <w:rFonts w:ascii="Arial" w:hAnsi="Arial" w:cs="Arial"/>
        </w:rPr>
        <w:t>The Valuable resources associated with BP's North Sea Upstream Production Assets consist of facilities which allow the firm to extract hydrocarbons at low costs and generate operating cash flows worth billions of pounds per year (BP, 2024a). These resources, however, are not Rare since other supermajors such as Shell and TotalEnergies also have access to geological reservoirs as well as offshore facilities in the UK continental shelf (BEIS, 2023). Also, these resources are not Inimitable, since rivals can license exploration blocks, obtain seismic data, and buy extraction technologies from oilfield service companies. BP is well Organized enough to leverage these resources due to years of optimization and subsurface knowledge (Barney, 1991). Thus, according to the VRIO framework, these assets of BP provide Competitive Parity.</w:t>
      </w:r>
    </w:p>
    <w:p w14:paraId="65327FEB" w14:textId="62C5603B" w:rsidR="002560F6" w:rsidRDefault="002560F6" w:rsidP="00950D93">
      <w:pPr>
        <w:spacing w:line="360" w:lineRule="auto"/>
        <w:jc w:val="both"/>
        <w:rPr>
          <w:rFonts w:ascii="Arial" w:hAnsi="Arial" w:cs="Arial"/>
        </w:rPr>
      </w:pPr>
      <w:r w:rsidRPr="002560F6">
        <w:rPr>
          <w:rFonts w:ascii="Arial" w:hAnsi="Arial" w:cs="Arial"/>
        </w:rPr>
        <w:t xml:space="preserve">The BP division for Integrated Global Energy Trading &amp; Optimization constitutes a strategically significant and extremely valuable capability. The trading business unit of BP is extremely valuable since it enables the company to arbitrage its way to making excess profits by managing risks associated with energy commodities, optimizing flows, and mitigating dislocations (BP, 2024a). The resource is rare since very few global firms have the required capabilities in terms of owning physical assets, market information, global energy supply chains, and trading infrastructure (Grant, 2021). The resource is also difficult to imitate due to the issues of complexity and path </w:t>
      </w:r>
      <w:r w:rsidRPr="002560F6">
        <w:rPr>
          <w:rFonts w:ascii="Arial" w:hAnsi="Arial" w:cs="Arial"/>
        </w:rPr>
        <w:lastRenderedPageBreak/>
        <w:t>dependency, as well as the fact that risk management algorithms developed by the company have been built through years. Finally, the firm is well-organized for leveraging the resources by bringing traders together with producers and distributors (Barney, 1991).</w:t>
      </w:r>
    </w:p>
    <w:p w14:paraId="0F815752" w14:textId="66400AA3" w:rsidR="002560F6" w:rsidRDefault="00D150B0" w:rsidP="00950D93">
      <w:pPr>
        <w:spacing w:line="360" w:lineRule="auto"/>
        <w:jc w:val="both"/>
        <w:rPr>
          <w:rFonts w:ascii="Arial" w:hAnsi="Arial" w:cs="Arial"/>
        </w:rPr>
      </w:pPr>
      <w:r w:rsidRPr="00D150B0">
        <w:rPr>
          <w:rFonts w:ascii="Arial" w:hAnsi="Arial" w:cs="Arial"/>
        </w:rPr>
        <w:t xml:space="preserve">The BP Pulse EV Charging Network and accompanying land rights throughout the UK are an essential capability within the transition growth engine capability portfolio. The network is Valuable in that it meets the increasing national need for public rapid charging points on major highways and urban </w:t>
      </w:r>
      <w:proofErr w:type="spellStart"/>
      <w:r w:rsidRPr="00D150B0">
        <w:rPr>
          <w:rFonts w:ascii="Arial" w:hAnsi="Arial" w:cs="Arial"/>
        </w:rPr>
        <w:t>centers</w:t>
      </w:r>
      <w:proofErr w:type="spellEnd"/>
      <w:r w:rsidRPr="00D150B0">
        <w:rPr>
          <w:rFonts w:ascii="Arial" w:hAnsi="Arial" w:cs="Arial"/>
        </w:rPr>
        <w:t xml:space="preserve"> (</w:t>
      </w:r>
      <w:proofErr w:type="spellStart"/>
      <w:r w:rsidRPr="00D150B0">
        <w:rPr>
          <w:rFonts w:ascii="Arial" w:hAnsi="Arial" w:cs="Arial"/>
        </w:rPr>
        <w:t>Zapmap</w:t>
      </w:r>
      <w:proofErr w:type="spellEnd"/>
      <w:r w:rsidRPr="00D150B0">
        <w:rPr>
          <w:rFonts w:ascii="Arial" w:hAnsi="Arial" w:cs="Arial"/>
        </w:rPr>
        <w:t xml:space="preserve">, 2024). However, the charging hardware that </w:t>
      </w:r>
      <w:proofErr w:type="gramStart"/>
      <w:r w:rsidRPr="00D150B0">
        <w:rPr>
          <w:rFonts w:ascii="Arial" w:hAnsi="Arial" w:cs="Arial"/>
        </w:rPr>
        <w:t>actually provides</w:t>
      </w:r>
      <w:proofErr w:type="gramEnd"/>
      <w:r w:rsidRPr="00D150B0">
        <w:rPr>
          <w:rFonts w:ascii="Arial" w:hAnsi="Arial" w:cs="Arial"/>
        </w:rPr>
        <w:t xml:space="preserve"> the charge is not Rare since commercial providers exist for such devices. The part that is Rare is the ownership by BP of prime forecourt land sites at 1,200 prime UK service station locations (CMA, 2023). The replication of such sites is very Inimitable since highway land and high-capacity electricity grid connections are in limited supply due to local grid constraints (National Grid, 2023). BP is becoming more Organized to utilize the asset through digital app integration, fleet deals, and M&amp;S retail co-location (BP, 2024b). Thus, while the basic charging hardware provides parity, the combination of both prime real estate and grid connections gives BP a Temporary Competitive Advantage that may be made sustainable through grid access bottlenecks.</w:t>
      </w:r>
    </w:p>
    <w:p w14:paraId="0C58851E" w14:textId="4EE52994" w:rsidR="00D150B0" w:rsidRDefault="00D150B0" w:rsidP="00950D93">
      <w:pPr>
        <w:spacing w:line="360" w:lineRule="auto"/>
        <w:jc w:val="both"/>
        <w:rPr>
          <w:rFonts w:ascii="Arial" w:hAnsi="Arial" w:cs="Arial"/>
        </w:rPr>
      </w:pPr>
      <w:r w:rsidRPr="00D150B0">
        <w:rPr>
          <w:rFonts w:ascii="Arial" w:hAnsi="Arial" w:cs="Arial"/>
        </w:rPr>
        <w:t xml:space="preserve">BP's brand equity and retail footprint (BP Connect / M&amp;S) can be seen as a two-edged asset for the UK market. The physical retail network can be considered valuable in the sense that it attracts millions of </w:t>
      </w:r>
      <w:proofErr w:type="gramStart"/>
      <w:r w:rsidRPr="00D150B0">
        <w:rPr>
          <w:rFonts w:ascii="Arial" w:hAnsi="Arial" w:cs="Arial"/>
        </w:rPr>
        <w:t>consumer</w:t>
      </w:r>
      <w:proofErr w:type="gramEnd"/>
      <w:r w:rsidRPr="00D150B0">
        <w:rPr>
          <w:rFonts w:ascii="Arial" w:hAnsi="Arial" w:cs="Arial"/>
        </w:rPr>
        <w:t xml:space="preserve"> visits each day and produces high-margin retail sales through its alliance with Marks &amp; Spencer (CMA, 2023). Yet, brand equity does not make the asset rare because both Shell and Esso have equally widespread retail footprints across the UK road network. Moreover, brand loyalty in retail fuel is highly prone to changes in consumer pricing behaviour, making it replicable via co-branding partnerships. Most importantly, BP's brand has had negative externalities in the past and faces continued criticism because of oil company profits amid cost-of-living problems (ClientEarth, 2023). Whereas BP is Organised enough to make use of its retail network effectively, its brand asset provides Competitive Parity in retail fuel.</w:t>
      </w:r>
    </w:p>
    <w:p w14:paraId="7D818349" w14:textId="5B595D23" w:rsidR="00F86058" w:rsidRPr="00DA0568" w:rsidRDefault="00F86058" w:rsidP="00950D93">
      <w:pPr>
        <w:pStyle w:val="Heading2"/>
        <w:spacing w:line="360" w:lineRule="auto"/>
        <w:rPr>
          <w:sz w:val="24"/>
          <w:szCs w:val="24"/>
        </w:rPr>
      </w:pPr>
      <w:bookmarkStart w:id="7" w:name="_Toc237419901"/>
      <w:r w:rsidRPr="00DA0568">
        <w:rPr>
          <w:sz w:val="24"/>
          <w:szCs w:val="24"/>
        </w:rPr>
        <w:lastRenderedPageBreak/>
        <w:t>2.3 Strategic synthesis: SWOT Matrix</w:t>
      </w:r>
      <w:bookmarkEnd w:id="7"/>
    </w:p>
    <w:p w14:paraId="3AE05F2A" w14:textId="081DE809" w:rsidR="00F86058" w:rsidRDefault="00F86058" w:rsidP="00950D93">
      <w:pPr>
        <w:spacing w:line="360" w:lineRule="auto"/>
        <w:jc w:val="both"/>
        <w:rPr>
          <w:rFonts w:ascii="Arial" w:hAnsi="Arial" w:cs="Arial"/>
        </w:rPr>
      </w:pPr>
      <w:r w:rsidRPr="00F86058">
        <w:rPr>
          <w:rFonts w:ascii="Arial" w:hAnsi="Arial" w:cs="Arial"/>
        </w:rPr>
        <w:t>SWOT analysis integrates the external and internal factors to create a comprehensive picture of the strategic position of BP in the UK's energy sector. It is very important for both external and internal analysis.</w:t>
      </w:r>
    </w:p>
    <w:p w14:paraId="0F9E42C5" w14:textId="77777777" w:rsidR="00F86058" w:rsidRDefault="00F86058" w:rsidP="00950D93">
      <w:pPr>
        <w:spacing w:line="360" w:lineRule="auto"/>
        <w:rPr>
          <w:rFonts w:ascii="Arial" w:hAnsi="Arial" w:cs="Arial"/>
        </w:rPr>
      </w:pPr>
    </w:p>
    <w:tbl>
      <w:tblPr>
        <w:tblW w:w="0" w:type="auto"/>
        <w:jc w:val="center"/>
        <w:tblLook w:val="04A0" w:firstRow="1" w:lastRow="0" w:firstColumn="1" w:lastColumn="0" w:noHBand="0" w:noVBand="1"/>
      </w:tblPr>
      <w:tblGrid>
        <w:gridCol w:w="4520"/>
        <w:gridCol w:w="4506"/>
      </w:tblGrid>
      <w:tr w:rsidR="00F86058" w14:paraId="6933F488" w14:textId="77777777" w:rsidTr="00F86058">
        <w:trPr>
          <w:jc w:val="center"/>
        </w:trPr>
        <w:tc>
          <w:tcPr>
            <w:tcW w:w="4520" w:type="dxa"/>
            <w:shd w:val="clear" w:color="auto" w:fill="003366"/>
            <w:tcMar>
              <w:top w:w="120" w:type="dxa"/>
              <w:left w:w="150" w:type="dxa"/>
              <w:bottom w:w="120" w:type="dxa"/>
              <w:right w:w="150" w:type="dxa"/>
            </w:tcMar>
          </w:tcPr>
          <w:p w14:paraId="21986AA0" w14:textId="77777777" w:rsidR="00F86058" w:rsidRDefault="00F86058" w:rsidP="00950D93">
            <w:pPr>
              <w:spacing w:line="360" w:lineRule="auto"/>
            </w:pPr>
            <w:r>
              <w:rPr>
                <w:rFonts w:ascii="Arial" w:hAnsi="Arial"/>
                <w:b/>
                <w:color w:val="FFFFFF"/>
                <w:sz w:val="22"/>
              </w:rPr>
              <w:t>STRENGTHS (Internal)</w:t>
            </w:r>
          </w:p>
        </w:tc>
        <w:tc>
          <w:tcPr>
            <w:tcW w:w="4506" w:type="dxa"/>
            <w:shd w:val="clear" w:color="auto" w:fill="003366"/>
            <w:tcMar>
              <w:top w:w="120" w:type="dxa"/>
              <w:left w:w="150" w:type="dxa"/>
              <w:bottom w:w="120" w:type="dxa"/>
              <w:right w:w="150" w:type="dxa"/>
            </w:tcMar>
          </w:tcPr>
          <w:p w14:paraId="6F3F4481" w14:textId="77777777" w:rsidR="00F86058" w:rsidRDefault="00F86058" w:rsidP="00950D93">
            <w:pPr>
              <w:spacing w:line="360" w:lineRule="auto"/>
            </w:pPr>
            <w:r>
              <w:rPr>
                <w:rFonts w:ascii="Arial" w:hAnsi="Arial"/>
                <w:b/>
                <w:color w:val="FFFFFF"/>
                <w:sz w:val="22"/>
              </w:rPr>
              <w:t>WEAKNESSES (Internal)</w:t>
            </w:r>
          </w:p>
        </w:tc>
      </w:tr>
      <w:tr w:rsidR="00F86058" w14:paraId="36E24344" w14:textId="77777777" w:rsidTr="00F86058">
        <w:trPr>
          <w:jc w:val="center"/>
        </w:trPr>
        <w:tc>
          <w:tcPr>
            <w:tcW w:w="4520" w:type="dxa"/>
            <w:shd w:val="clear" w:color="auto" w:fill="F4F6F9"/>
            <w:tcMar>
              <w:top w:w="120" w:type="dxa"/>
              <w:left w:w="150" w:type="dxa"/>
              <w:bottom w:w="120" w:type="dxa"/>
              <w:right w:w="150" w:type="dxa"/>
            </w:tcMar>
          </w:tcPr>
          <w:p w14:paraId="3E47458E" w14:textId="77777777" w:rsidR="00F86058" w:rsidRPr="00F86058" w:rsidRDefault="00F86058" w:rsidP="00950D93">
            <w:pPr>
              <w:spacing w:line="360" w:lineRule="auto"/>
              <w:rPr>
                <w:rFonts w:ascii="Arial" w:hAnsi="Arial"/>
                <w:sz w:val="21"/>
              </w:rPr>
            </w:pPr>
            <w:r>
              <w:rPr>
                <w:rFonts w:ascii="Arial" w:hAnsi="Arial"/>
                <w:sz w:val="21"/>
              </w:rPr>
              <w:t xml:space="preserve">• </w:t>
            </w:r>
            <w:r w:rsidRPr="00F86058">
              <w:rPr>
                <w:rFonts w:ascii="Arial" w:hAnsi="Arial"/>
                <w:sz w:val="21"/>
              </w:rPr>
              <w:t>Class-leading global energy trading business with resilient cash flows from operations.</w:t>
            </w:r>
          </w:p>
          <w:p w14:paraId="4F443DAA" w14:textId="77777777" w:rsidR="00F86058" w:rsidRPr="00F86058" w:rsidRDefault="00F86058" w:rsidP="00950D93">
            <w:pPr>
              <w:spacing w:line="360" w:lineRule="auto"/>
              <w:rPr>
                <w:rFonts w:ascii="Arial" w:hAnsi="Arial"/>
                <w:sz w:val="21"/>
              </w:rPr>
            </w:pPr>
            <w:r w:rsidRPr="00F86058">
              <w:rPr>
                <w:rFonts w:ascii="Arial" w:hAnsi="Arial"/>
                <w:sz w:val="21"/>
              </w:rPr>
              <w:t>• World-class network of 1,200 premium UK fuel stations with strong M&amp;S retail partnerships.</w:t>
            </w:r>
          </w:p>
          <w:p w14:paraId="07FE7DE0" w14:textId="77777777" w:rsidR="00F86058" w:rsidRPr="00F86058" w:rsidRDefault="00F86058" w:rsidP="00950D93">
            <w:pPr>
              <w:spacing w:line="360" w:lineRule="auto"/>
              <w:rPr>
                <w:rFonts w:ascii="Arial" w:hAnsi="Arial"/>
                <w:sz w:val="21"/>
              </w:rPr>
            </w:pPr>
            <w:r w:rsidRPr="00F86058">
              <w:rPr>
                <w:rFonts w:ascii="Arial" w:hAnsi="Arial"/>
                <w:sz w:val="21"/>
              </w:rPr>
              <w:t>• Existing upstream capability in the UK North Sea that provides instant gas security.</w:t>
            </w:r>
          </w:p>
          <w:p w14:paraId="0939065D" w14:textId="492FA90E" w:rsidR="00F86058" w:rsidRDefault="00F86058" w:rsidP="00950D93">
            <w:pPr>
              <w:spacing w:line="360" w:lineRule="auto"/>
            </w:pPr>
            <w:r w:rsidRPr="00F86058">
              <w:rPr>
                <w:rFonts w:ascii="Arial" w:hAnsi="Arial"/>
                <w:sz w:val="21"/>
              </w:rPr>
              <w:t>• Market leader in public EV charge points through BP Pulse with more than 10,000 points.</w:t>
            </w:r>
          </w:p>
        </w:tc>
        <w:tc>
          <w:tcPr>
            <w:tcW w:w="4506" w:type="dxa"/>
            <w:shd w:val="clear" w:color="auto" w:fill="F4F6F9"/>
            <w:tcMar>
              <w:top w:w="120" w:type="dxa"/>
              <w:left w:w="150" w:type="dxa"/>
              <w:bottom w:w="120" w:type="dxa"/>
              <w:right w:w="150" w:type="dxa"/>
            </w:tcMar>
          </w:tcPr>
          <w:p w14:paraId="51625847" w14:textId="77777777" w:rsidR="00F86058" w:rsidRPr="00F86058" w:rsidRDefault="00F86058" w:rsidP="00950D93">
            <w:pPr>
              <w:spacing w:line="360" w:lineRule="auto"/>
              <w:rPr>
                <w:rFonts w:ascii="Arial" w:hAnsi="Arial"/>
                <w:sz w:val="21"/>
              </w:rPr>
            </w:pPr>
            <w:r>
              <w:rPr>
                <w:rFonts w:ascii="Arial" w:hAnsi="Arial"/>
                <w:sz w:val="21"/>
              </w:rPr>
              <w:t xml:space="preserve">• </w:t>
            </w:r>
            <w:r w:rsidRPr="00F86058">
              <w:rPr>
                <w:rFonts w:ascii="Arial" w:hAnsi="Arial"/>
                <w:sz w:val="21"/>
              </w:rPr>
              <w:t>Conflict over capital allocation between profitable hydrocarbons and less profitable renewable energy sources.</w:t>
            </w:r>
          </w:p>
          <w:p w14:paraId="44E18EF5" w14:textId="77777777" w:rsidR="00F86058" w:rsidRPr="00F86058" w:rsidRDefault="00F86058" w:rsidP="00950D93">
            <w:pPr>
              <w:spacing w:line="360" w:lineRule="auto"/>
              <w:rPr>
                <w:rFonts w:ascii="Arial" w:hAnsi="Arial"/>
                <w:sz w:val="21"/>
              </w:rPr>
            </w:pPr>
            <w:r w:rsidRPr="00F86058">
              <w:rPr>
                <w:rFonts w:ascii="Arial" w:hAnsi="Arial"/>
                <w:sz w:val="21"/>
              </w:rPr>
              <w:t>• High exposure to the UK Energy Profits Levy (effective tax rate of 78%).</w:t>
            </w:r>
          </w:p>
          <w:p w14:paraId="02FC82E5" w14:textId="77777777" w:rsidR="00F86058" w:rsidRDefault="00F86058" w:rsidP="00950D93">
            <w:pPr>
              <w:spacing w:line="360" w:lineRule="auto"/>
              <w:rPr>
                <w:rFonts w:ascii="Arial" w:hAnsi="Arial"/>
                <w:sz w:val="21"/>
              </w:rPr>
            </w:pPr>
            <w:r w:rsidRPr="00F86058">
              <w:rPr>
                <w:rFonts w:ascii="Arial" w:hAnsi="Arial"/>
                <w:sz w:val="21"/>
              </w:rPr>
              <w:t>• Image problems and liability for 'greenwashing' lawsuits.</w:t>
            </w:r>
          </w:p>
          <w:p w14:paraId="6BB5C20C" w14:textId="22C1E1B4" w:rsidR="00F86058" w:rsidRPr="00F86058" w:rsidRDefault="00F86058" w:rsidP="00950D93">
            <w:pPr>
              <w:spacing w:line="360" w:lineRule="auto"/>
              <w:rPr>
                <w:rFonts w:ascii="Arial" w:hAnsi="Arial"/>
                <w:sz w:val="21"/>
              </w:rPr>
            </w:pPr>
            <w:r w:rsidRPr="00F86058">
              <w:rPr>
                <w:rFonts w:ascii="Arial" w:hAnsi="Arial"/>
                <w:sz w:val="21"/>
              </w:rPr>
              <w:t>•</w:t>
            </w:r>
            <w:r>
              <w:rPr>
                <w:rFonts w:ascii="Arial" w:hAnsi="Arial"/>
                <w:sz w:val="21"/>
              </w:rPr>
              <w:t xml:space="preserve"> </w:t>
            </w:r>
            <w:r w:rsidRPr="00F86058">
              <w:rPr>
                <w:rFonts w:ascii="Arial" w:hAnsi="Arial"/>
                <w:sz w:val="21"/>
              </w:rPr>
              <w:t>Difficulty in managing legacy costs relative to nimble green energy companies.</w:t>
            </w:r>
          </w:p>
        </w:tc>
      </w:tr>
      <w:tr w:rsidR="00F86058" w14:paraId="7591BD61" w14:textId="77777777" w:rsidTr="00F86058">
        <w:trPr>
          <w:jc w:val="center"/>
        </w:trPr>
        <w:tc>
          <w:tcPr>
            <w:tcW w:w="4520" w:type="dxa"/>
            <w:shd w:val="clear" w:color="auto" w:fill="003366"/>
            <w:tcMar>
              <w:top w:w="120" w:type="dxa"/>
              <w:left w:w="150" w:type="dxa"/>
              <w:bottom w:w="120" w:type="dxa"/>
              <w:right w:w="150" w:type="dxa"/>
            </w:tcMar>
          </w:tcPr>
          <w:p w14:paraId="213B59C0" w14:textId="77777777" w:rsidR="00F86058" w:rsidRDefault="00F86058" w:rsidP="00950D93">
            <w:pPr>
              <w:spacing w:line="360" w:lineRule="auto"/>
            </w:pPr>
            <w:r>
              <w:rPr>
                <w:rFonts w:ascii="Arial" w:hAnsi="Arial"/>
                <w:b/>
                <w:color w:val="FFFFFF"/>
                <w:sz w:val="22"/>
              </w:rPr>
              <w:t>OPPORTUNITIES (External)</w:t>
            </w:r>
          </w:p>
        </w:tc>
        <w:tc>
          <w:tcPr>
            <w:tcW w:w="4506" w:type="dxa"/>
            <w:shd w:val="clear" w:color="auto" w:fill="003366"/>
            <w:tcMar>
              <w:top w:w="120" w:type="dxa"/>
              <w:left w:w="150" w:type="dxa"/>
              <w:bottom w:w="120" w:type="dxa"/>
              <w:right w:w="150" w:type="dxa"/>
            </w:tcMar>
          </w:tcPr>
          <w:p w14:paraId="7CEEF09D" w14:textId="77777777" w:rsidR="00F86058" w:rsidRDefault="00F86058" w:rsidP="00950D93">
            <w:pPr>
              <w:spacing w:line="360" w:lineRule="auto"/>
            </w:pPr>
            <w:r>
              <w:rPr>
                <w:rFonts w:ascii="Arial" w:hAnsi="Arial"/>
                <w:b/>
                <w:color w:val="FFFFFF"/>
                <w:sz w:val="22"/>
              </w:rPr>
              <w:t>THREATS (External)</w:t>
            </w:r>
          </w:p>
        </w:tc>
      </w:tr>
      <w:tr w:rsidR="00F86058" w14:paraId="592F7241" w14:textId="77777777" w:rsidTr="00F86058">
        <w:trPr>
          <w:jc w:val="center"/>
        </w:trPr>
        <w:tc>
          <w:tcPr>
            <w:tcW w:w="4520" w:type="dxa"/>
            <w:shd w:val="clear" w:color="auto" w:fill="F4F6F9"/>
            <w:tcMar>
              <w:top w:w="120" w:type="dxa"/>
              <w:left w:w="150" w:type="dxa"/>
              <w:bottom w:w="120" w:type="dxa"/>
              <w:right w:w="150" w:type="dxa"/>
            </w:tcMar>
          </w:tcPr>
          <w:p w14:paraId="7DB45496" w14:textId="77777777" w:rsidR="00F86058" w:rsidRPr="00F86058" w:rsidRDefault="00F86058" w:rsidP="00950D93">
            <w:pPr>
              <w:spacing w:line="360" w:lineRule="auto"/>
              <w:rPr>
                <w:rFonts w:ascii="Arial" w:hAnsi="Arial"/>
                <w:sz w:val="21"/>
              </w:rPr>
            </w:pPr>
            <w:r>
              <w:rPr>
                <w:rFonts w:ascii="Arial" w:hAnsi="Arial"/>
                <w:sz w:val="21"/>
              </w:rPr>
              <w:t xml:space="preserve">• </w:t>
            </w:r>
            <w:r w:rsidRPr="00F86058">
              <w:rPr>
                <w:rFonts w:ascii="Arial" w:hAnsi="Arial"/>
                <w:sz w:val="21"/>
              </w:rPr>
              <w:t>Expand offshore wind farm capacity in Irish Sea (Morgan &amp; Mona 3GW project).</w:t>
            </w:r>
          </w:p>
          <w:p w14:paraId="0A1DF149" w14:textId="77777777" w:rsidR="00F86058" w:rsidRPr="00F86058" w:rsidRDefault="00F86058" w:rsidP="00950D93">
            <w:pPr>
              <w:spacing w:line="360" w:lineRule="auto"/>
              <w:rPr>
                <w:rFonts w:ascii="Arial" w:hAnsi="Arial"/>
                <w:sz w:val="21"/>
              </w:rPr>
            </w:pPr>
            <w:r w:rsidRPr="00F86058">
              <w:rPr>
                <w:rFonts w:ascii="Arial" w:hAnsi="Arial"/>
                <w:sz w:val="21"/>
              </w:rPr>
              <w:t>• First mover advantage for industrial hydrogen projects in UK (H2Teesside 1.2GW and CCS).</w:t>
            </w:r>
          </w:p>
          <w:p w14:paraId="39BE3B7C" w14:textId="77777777" w:rsidR="00F86058" w:rsidRPr="00F86058" w:rsidRDefault="00F86058" w:rsidP="00950D93">
            <w:pPr>
              <w:spacing w:line="360" w:lineRule="auto"/>
              <w:rPr>
                <w:rFonts w:ascii="Arial" w:hAnsi="Arial"/>
                <w:sz w:val="21"/>
              </w:rPr>
            </w:pPr>
            <w:r w:rsidRPr="00F86058">
              <w:rPr>
                <w:rFonts w:ascii="Arial" w:hAnsi="Arial"/>
                <w:sz w:val="21"/>
              </w:rPr>
              <w:t>• Quick build-out of ultra-fast charging stations for increasing UK electric vehicle fleet.</w:t>
            </w:r>
          </w:p>
          <w:p w14:paraId="731B264D" w14:textId="51FCE634" w:rsidR="00F86058" w:rsidRDefault="00F86058" w:rsidP="00950D93">
            <w:pPr>
              <w:spacing w:line="360" w:lineRule="auto"/>
            </w:pPr>
            <w:r w:rsidRPr="00F86058">
              <w:rPr>
                <w:rFonts w:ascii="Arial" w:hAnsi="Arial"/>
                <w:sz w:val="21"/>
              </w:rPr>
              <w:t>• Government subsidies and contracts for difference (</w:t>
            </w:r>
            <w:proofErr w:type="spellStart"/>
            <w:r w:rsidRPr="00F86058">
              <w:rPr>
                <w:rFonts w:ascii="Arial" w:hAnsi="Arial"/>
                <w:sz w:val="21"/>
              </w:rPr>
              <w:t>CfD</w:t>
            </w:r>
            <w:proofErr w:type="spellEnd"/>
            <w:r w:rsidRPr="00F86058">
              <w:rPr>
                <w:rFonts w:ascii="Arial" w:hAnsi="Arial"/>
                <w:sz w:val="21"/>
              </w:rPr>
              <w:t xml:space="preserve">) for low carbon energy </w:t>
            </w:r>
            <w:proofErr w:type="gramStart"/>
            <w:r w:rsidRPr="00F86058">
              <w:rPr>
                <w:rFonts w:ascii="Arial" w:hAnsi="Arial"/>
                <w:sz w:val="21"/>
              </w:rPr>
              <w:t>projects.</w:t>
            </w:r>
            <w:r>
              <w:rPr>
                <w:rFonts w:ascii="Arial" w:hAnsi="Arial"/>
                <w:sz w:val="21"/>
              </w:rPr>
              <w:t>.</w:t>
            </w:r>
            <w:proofErr w:type="gramEnd"/>
          </w:p>
        </w:tc>
        <w:tc>
          <w:tcPr>
            <w:tcW w:w="4506" w:type="dxa"/>
            <w:shd w:val="clear" w:color="auto" w:fill="F4F6F9"/>
            <w:tcMar>
              <w:top w:w="120" w:type="dxa"/>
              <w:left w:w="150" w:type="dxa"/>
              <w:bottom w:w="120" w:type="dxa"/>
              <w:right w:w="150" w:type="dxa"/>
            </w:tcMar>
          </w:tcPr>
          <w:p w14:paraId="287EE01C" w14:textId="77777777" w:rsidR="00F86058" w:rsidRPr="00F86058" w:rsidRDefault="00F86058" w:rsidP="00950D93">
            <w:pPr>
              <w:spacing w:line="360" w:lineRule="auto"/>
              <w:rPr>
                <w:rFonts w:ascii="Arial" w:hAnsi="Arial"/>
                <w:sz w:val="21"/>
              </w:rPr>
            </w:pPr>
            <w:r>
              <w:rPr>
                <w:rFonts w:ascii="Arial" w:hAnsi="Arial"/>
                <w:sz w:val="21"/>
              </w:rPr>
              <w:t xml:space="preserve">• </w:t>
            </w:r>
            <w:r w:rsidRPr="00F86058">
              <w:rPr>
                <w:rFonts w:ascii="Arial" w:hAnsi="Arial"/>
                <w:sz w:val="21"/>
              </w:rPr>
              <w:t>Unpredictability in UK fiscal policy and possible imposition of further windfall tax on energy revenues.</w:t>
            </w:r>
          </w:p>
          <w:p w14:paraId="266869D7" w14:textId="77777777" w:rsidR="00F86058" w:rsidRPr="00F86058" w:rsidRDefault="00F86058" w:rsidP="00950D93">
            <w:pPr>
              <w:spacing w:line="360" w:lineRule="auto"/>
              <w:rPr>
                <w:rFonts w:ascii="Arial" w:hAnsi="Arial"/>
                <w:sz w:val="21"/>
              </w:rPr>
            </w:pPr>
            <w:r w:rsidRPr="00F86058">
              <w:rPr>
                <w:rFonts w:ascii="Arial" w:hAnsi="Arial"/>
                <w:sz w:val="21"/>
              </w:rPr>
              <w:t>• Extreme offshore wind supply chain inflation and increased seabed lease prices driving down IRR.</w:t>
            </w:r>
          </w:p>
          <w:p w14:paraId="0EB12484" w14:textId="77777777" w:rsidR="00F86058" w:rsidRPr="00F86058" w:rsidRDefault="00F86058" w:rsidP="00950D93">
            <w:pPr>
              <w:spacing w:line="360" w:lineRule="auto"/>
              <w:rPr>
                <w:rFonts w:ascii="Arial" w:hAnsi="Arial"/>
                <w:sz w:val="21"/>
              </w:rPr>
            </w:pPr>
            <w:r w:rsidRPr="00F86058">
              <w:rPr>
                <w:rFonts w:ascii="Arial" w:hAnsi="Arial"/>
                <w:sz w:val="21"/>
              </w:rPr>
              <w:t>• Fierce competition in UK EV charging by pure play firms (</w:t>
            </w:r>
            <w:proofErr w:type="spellStart"/>
            <w:r w:rsidRPr="00F86058">
              <w:rPr>
                <w:rFonts w:ascii="Arial" w:hAnsi="Arial"/>
                <w:sz w:val="21"/>
              </w:rPr>
              <w:t>Gridserve</w:t>
            </w:r>
            <w:proofErr w:type="spellEnd"/>
            <w:r w:rsidRPr="00F86058">
              <w:rPr>
                <w:rFonts w:ascii="Arial" w:hAnsi="Arial"/>
                <w:sz w:val="21"/>
              </w:rPr>
              <w:t xml:space="preserve">, </w:t>
            </w:r>
            <w:proofErr w:type="spellStart"/>
            <w:r w:rsidRPr="00F86058">
              <w:rPr>
                <w:rFonts w:ascii="Arial" w:hAnsi="Arial"/>
                <w:sz w:val="21"/>
              </w:rPr>
              <w:t>InstaVolt</w:t>
            </w:r>
            <w:proofErr w:type="spellEnd"/>
            <w:r w:rsidRPr="00F86058">
              <w:rPr>
                <w:rFonts w:ascii="Arial" w:hAnsi="Arial"/>
                <w:sz w:val="21"/>
              </w:rPr>
              <w:t>).</w:t>
            </w:r>
          </w:p>
          <w:p w14:paraId="73993FBF" w14:textId="3CD29367" w:rsidR="00F86058" w:rsidRDefault="00F86058" w:rsidP="00950D93">
            <w:pPr>
              <w:spacing w:line="360" w:lineRule="auto"/>
            </w:pPr>
            <w:r w:rsidRPr="00F86058">
              <w:rPr>
                <w:rFonts w:ascii="Arial" w:hAnsi="Arial"/>
                <w:sz w:val="21"/>
              </w:rPr>
              <w:t>• UK National Grid delays in connecting renewable power.</w:t>
            </w:r>
          </w:p>
        </w:tc>
      </w:tr>
    </w:tbl>
    <w:p w14:paraId="17FEE5D7" w14:textId="6741ED65" w:rsidR="00F86058" w:rsidRDefault="00F86058" w:rsidP="00950D93">
      <w:pPr>
        <w:spacing w:line="360" w:lineRule="auto"/>
        <w:jc w:val="both"/>
        <w:rPr>
          <w:rFonts w:ascii="Arial" w:hAnsi="Arial" w:cs="Arial"/>
        </w:rPr>
      </w:pPr>
      <w:r w:rsidRPr="00F86058">
        <w:rPr>
          <w:rFonts w:ascii="Arial" w:hAnsi="Arial" w:cs="Arial"/>
        </w:rPr>
        <w:lastRenderedPageBreak/>
        <w:t>An analysis of the above SWOT matrix indicates that the key strategic goal for BP is to use its internal strength in terms of financial resources as well as the company’s dominance in international trades to secure early-mover benefits through investments in UK hydrogen and EV charging facilities. The critical strategic issue for BP is overcoming the capability gap between legacy hydrocarbon profit stream and clean power facilities.</w:t>
      </w:r>
    </w:p>
    <w:p w14:paraId="3D430F05" w14:textId="713E3793" w:rsidR="00F86058" w:rsidRPr="00C10D9A" w:rsidRDefault="00F86058" w:rsidP="00950D93">
      <w:pPr>
        <w:pStyle w:val="Heading1"/>
        <w:spacing w:line="360" w:lineRule="auto"/>
        <w:rPr>
          <w:sz w:val="24"/>
          <w:szCs w:val="24"/>
        </w:rPr>
      </w:pPr>
      <w:bookmarkStart w:id="8" w:name="_Toc237419902"/>
      <w:r w:rsidRPr="00C10D9A">
        <w:rPr>
          <w:sz w:val="24"/>
          <w:szCs w:val="24"/>
        </w:rPr>
        <w:t>3. Comprehensive and Holistic View of Organisation</w:t>
      </w:r>
      <w:bookmarkEnd w:id="8"/>
      <w:r w:rsidRPr="00C10D9A">
        <w:rPr>
          <w:sz w:val="24"/>
          <w:szCs w:val="24"/>
        </w:rPr>
        <w:t xml:space="preserve"> </w:t>
      </w:r>
    </w:p>
    <w:p w14:paraId="0A78B033" w14:textId="1D3DACEC" w:rsidR="00F86058" w:rsidRPr="00C10D9A" w:rsidRDefault="00F86058" w:rsidP="00950D93">
      <w:pPr>
        <w:pStyle w:val="Heading2"/>
        <w:spacing w:line="360" w:lineRule="auto"/>
        <w:rPr>
          <w:sz w:val="24"/>
          <w:szCs w:val="24"/>
        </w:rPr>
      </w:pPr>
      <w:bookmarkStart w:id="9" w:name="_Toc237419903"/>
      <w:r w:rsidRPr="00C10D9A">
        <w:rPr>
          <w:sz w:val="24"/>
          <w:szCs w:val="24"/>
        </w:rPr>
        <w:t xml:space="preserve">3.1 Corporate Social Responsibility (CSR) and Energy </w:t>
      </w:r>
      <w:r w:rsidR="00E967C4" w:rsidRPr="00C10D9A">
        <w:rPr>
          <w:sz w:val="24"/>
          <w:szCs w:val="24"/>
        </w:rPr>
        <w:t>Transition Alignment</w:t>
      </w:r>
      <w:bookmarkEnd w:id="9"/>
    </w:p>
    <w:p w14:paraId="70DAB261" w14:textId="5735CB53" w:rsidR="00E967C4" w:rsidRDefault="00FD155F" w:rsidP="00950D93">
      <w:pPr>
        <w:spacing w:line="360" w:lineRule="auto"/>
        <w:jc w:val="both"/>
        <w:rPr>
          <w:rFonts w:ascii="Arial" w:hAnsi="Arial" w:cs="Arial"/>
        </w:rPr>
      </w:pPr>
      <w:r w:rsidRPr="00FD155F">
        <w:rPr>
          <w:rFonts w:ascii="Arial" w:hAnsi="Arial" w:cs="Arial"/>
        </w:rPr>
        <w:t>The corporate social responsibility (CSR) strategy of BP is officially described via the Sustainability Frame and is based on three main pillars – Getting to Net Zero, Improving People's Lives, and Caring for Our Planet (BP, 2024a). At the national level in the UK, the above strategy is linked to national climate targets via investment in industrial decarbonization, for instance, via the Net Zero Teesside project to capture up to two million tonnes of CO2 each year (BP, 2024b). Nevertheless, a more in-depth analysis reveals the huge discrepancy between the CSR strategy of the company and its capital allocation. While marketing its initiatives in the sphere of sustainable development and claiming that BP leads in the sphere of clean energy, the company invested $16.2 billion in capital expenditures in 2023, with only around $3.8 billion, i.e., 23.5%, being dedicated to transition growth engines and the rest (76.5%) to oil, gas, and refining (BP, 2024a).</w:t>
      </w:r>
    </w:p>
    <w:p w14:paraId="5998C6D7" w14:textId="01D9A4D8" w:rsidR="00FD155F" w:rsidRDefault="00FD155F" w:rsidP="00950D93">
      <w:pPr>
        <w:spacing w:line="360" w:lineRule="auto"/>
        <w:jc w:val="both"/>
        <w:rPr>
          <w:rFonts w:ascii="Arial" w:hAnsi="Arial" w:cs="Arial"/>
        </w:rPr>
      </w:pPr>
      <w:r w:rsidRPr="00FD155F">
        <w:rPr>
          <w:rFonts w:ascii="Arial" w:hAnsi="Arial" w:cs="Arial"/>
        </w:rPr>
        <w:t xml:space="preserve">Moreover, the misalignment is seen through stakeholder conflict, ESG rating volatility, and legal risks. According to academic literature on corporate sustainability, whenever there is a mismatch between the operational strategy of a company and its CSR rhetoric, there would be a decline in stakeholder trust, leading to accusations of greenwashing (Elkington, 1997; Porter &amp; Kramer, 2011). In 2023, the environmental activist organization ClientEarth filed a lawsuit against the board of directors of BP </w:t>
      </w:r>
      <w:proofErr w:type="gramStart"/>
      <w:r w:rsidRPr="00FD155F">
        <w:rPr>
          <w:rFonts w:ascii="Arial" w:hAnsi="Arial" w:cs="Arial"/>
        </w:rPr>
        <w:t>based on the fact that</w:t>
      </w:r>
      <w:proofErr w:type="gramEnd"/>
      <w:r w:rsidRPr="00FD155F">
        <w:rPr>
          <w:rFonts w:ascii="Arial" w:hAnsi="Arial" w:cs="Arial"/>
        </w:rPr>
        <w:t xml:space="preserve"> they violated their duty of care as per the UK Companies Act because of inadequate management of climate risks and false green claims (ClientEarth, 2023). In addition to this, many prominent investors in the UK, such as the Church Commissioners for England and several pension funds, voted against executive re-elections due to BP’s weakened 2030 emissions reduction targets (DESNZ, 2024). The solution to aligning CSR strategy with the business goal will be </w:t>
      </w:r>
      <w:r w:rsidRPr="00FD155F">
        <w:rPr>
          <w:rFonts w:ascii="Arial" w:hAnsi="Arial" w:cs="Arial"/>
        </w:rPr>
        <w:lastRenderedPageBreak/>
        <w:t>for BP to shift from greenwashing to investing in transition engines through capital spending.</w:t>
      </w:r>
    </w:p>
    <w:p w14:paraId="290646D9" w14:textId="56844991" w:rsidR="00FD155F" w:rsidRPr="00C10D9A" w:rsidRDefault="00FD155F" w:rsidP="00950D93">
      <w:pPr>
        <w:pStyle w:val="Heading2"/>
        <w:spacing w:line="360" w:lineRule="auto"/>
        <w:rPr>
          <w:sz w:val="24"/>
          <w:szCs w:val="24"/>
        </w:rPr>
      </w:pPr>
      <w:bookmarkStart w:id="10" w:name="_Toc237419904"/>
      <w:r w:rsidRPr="00C10D9A">
        <w:rPr>
          <w:sz w:val="24"/>
          <w:szCs w:val="24"/>
        </w:rPr>
        <w:t>3.2 Strategic Balanced Scorecard Implementation</w:t>
      </w:r>
      <w:bookmarkEnd w:id="10"/>
    </w:p>
    <w:p w14:paraId="194DA444" w14:textId="55A88C30" w:rsidR="00FD155F" w:rsidRDefault="00FD155F" w:rsidP="00950D93">
      <w:pPr>
        <w:spacing w:line="360" w:lineRule="auto"/>
        <w:jc w:val="both"/>
        <w:rPr>
          <w:rFonts w:ascii="Arial" w:hAnsi="Arial" w:cs="Arial"/>
        </w:rPr>
      </w:pPr>
      <w:r w:rsidRPr="00FD155F">
        <w:rPr>
          <w:rFonts w:ascii="Arial" w:hAnsi="Arial" w:cs="Arial"/>
        </w:rPr>
        <w:t>Operationalization of BP's Strategic Transformation from being an International Oil Company to becoming an Integrated Energy Company within the context of the UK Market is done using Kaplan and Norton's (1992) Balanced Scorecard approach. The Balanced Scorecard approach converts the company's strategy into operational objectives through four linked dimensions: Financial, Customer, Internal Business Processes, and Learning &amp; Growth.</w:t>
      </w:r>
    </w:p>
    <w:tbl>
      <w:tblPr>
        <w:tblW w:w="0" w:type="auto"/>
        <w:jc w:val="center"/>
        <w:tblLook w:val="04A0" w:firstRow="1" w:lastRow="0" w:firstColumn="1" w:lastColumn="0" w:noHBand="0" w:noVBand="1"/>
      </w:tblPr>
      <w:tblGrid>
        <w:gridCol w:w="1791"/>
        <w:gridCol w:w="1803"/>
        <w:gridCol w:w="1810"/>
        <w:gridCol w:w="1824"/>
        <w:gridCol w:w="1798"/>
      </w:tblGrid>
      <w:tr w:rsidR="00FD155F" w14:paraId="5B145A30" w14:textId="77777777" w:rsidTr="00FD155F">
        <w:trPr>
          <w:jc w:val="center"/>
        </w:trPr>
        <w:tc>
          <w:tcPr>
            <w:tcW w:w="1791" w:type="dxa"/>
            <w:shd w:val="clear" w:color="auto" w:fill="003366"/>
            <w:tcMar>
              <w:top w:w="100" w:type="dxa"/>
              <w:left w:w="100" w:type="dxa"/>
              <w:bottom w:w="100" w:type="dxa"/>
              <w:right w:w="100" w:type="dxa"/>
            </w:tcMar>
          </w:tcPr>
          <w:p w14:paraId="18B1EC6F" w14:textId="77777777" w:rsidR="00FD155F" w:rsidRDefault="00FD155F" w:rsidP="00950D93">
            <w:pPr>
              <w:spacing w:line="360" w:lineRule="auto"/>
            </w:pPr>
            <w:r>
              <w:rPr>
                <w:rFonts w:ascii="Arial" w:hAnsi="Arial"/>
                <w:b/>
                <w:color w:val="FFFFFF"/>
                <w:sz w:val="20"/>
              </w:rPr>
              <w:t>Perspective</w:t>
            </w:r>
          </w:p>
        </w:tc>
        <w:tc>
          <w:tcPr>
            <w:tcW w:w="1803" w:type="dxa"/>
            <w:shd w:val="clear" w:color="auto" w:fill="003366"/>
            <w:tcMar>
              <w:top w:w="100" w:type="dxa"/>
              <w:left w:w="100" w:type="dxa"/>
              <w:bottom w:w="100" w:type="dxa"/>
              <w:right w:w="100" w:type="dxa"/>
            </w:tcMar>
          </w:tcPr>
          <w:p w14:paraId="7CC80EF3" w14:textId="77777777" w:rsidR="00FD155F" w:rsidRDefault="00FD155F" w:rsidP="00950D93">
            <w:pPr>
              <w:spacing w:line="360" w:lineRule="auto"/>
            </w:pPr>
            <w:r>
              <w:rPr>
                <w:rFonts w:ascii="Arial" w:hAnsi="Arial"/>
                <w:b/>
                <w:color w:val="FFFFFF"/>
                <w:sz w:val="20"/>
              </w:rPr>
              <w:t>Strategic Objectives</w:t>
            </w:r>
          </w:p>
        </w:tc>
        <w:tc>
          <w:tcPr>
            <w:tcW w:w="1810" w:type="dxa"/>
            <w:shd w:val="clear" w:color="auto" w:fill="003366"/>
            <w:tcMar>
              <w:top w:w="100" w:type="dxa"/>
              <w:left w:w="100" w:type="dxa"/>
              <w:bottom w:w="100" w:type="dxa"/>
              <w:right w:w="100" w:type="dxa"/>
            </w:tcMar>
          </w:tcPr>
          <w:p w14:paraId="21F27C10" w14:textId="77777777" w:rsidR="00FD155F" w:rsidRDefault="00FD155F" w:rsidP="00950D93">
            <w:pPr>
              <w:spacing w:line="360" w:lineRule="auto"/>
            </w:pPr>
            <w:r>
              <w:rPr>
                <w:rFonts w:ascii="Arial" w:hAnsi="Arial"/>
                <w:b/>
                <w:color w:val="FFFFFF"/>
                <w:sz w:val="20"/>
              </w:rPr>
              <w:t>Key Performance Indicators (KPIs)</w:t>
            </w:r>
          </w:p>
        </w:tc>
        <w:tc>
          <w:tcPr>
            <w:tcW w:w="1824" w:type="dxa"/>
            <w:shd w:val="clear" w:color="auto" w:fill="003366"/>
            <w:tcMar>
              <w:top w:w="100" w:type="dxa"/>
              <w:left w:w="100" w:type="dxa"/>
              <w:bottom w:w="100" w:type="dxa"/>
              <w:right w:w="100" w:type="dxa"/>
            </w:tcMar>
          </w:tcPr>
          <w:p w14:paraId="6E8E27FC" w14:textId="77777777" w:rsidR="00FD155F" w:rsidRDefault="00FD155F" w:rsidP="00950D93">
            <w:pPr>
              <w:spacing w:line="360" w:lineRule="auto"/>
            </w:pPr>
            <w:r>
              <w:rPr>
                <w:rFonts w:ascii="Arial" w:hAnsi="Arial"/>
                <w:b/>
                <w:color w:val="FFFFFF"/>
                <w:sz w:val="20"/>
              </w:rPr>
              <w:t>Targets (by 2028/2030)</w:t>
            </w:r>
          </w:p>
        </w:tc>
        <w:tc>
          <w:tcPr>
            <w:tcW w:w="1798" w:type="dxa"/>
            <w:shd w:val="clear" w:color="auto" w:fill="003366"/>
            <w:tcMar>
              <w:top w:w="100" w:type="dxa"/>
              <w:left w:w="100" w:type="dxa"/>
              <w:bottom w:w="100" w:type="dxa"/>
              <w:right w:w="100" w:type="dxa"/>
            </w:tcMar>
          </w:tcPr>
          <w:p w14:paraId="5EA0D4E6" w14:textId="77777777" w:rsidR="00FD155F" w:rsidRDefault="00FD155F" w:rsidP="00950D93">
            <w:pPr>
              <w:spacing w:line="360" w:lineRule="auto"/>
            </w:pPr>
            <w:r>
              <w:rPr>
                <w:rFonts w:ascii="Arial" w:hAnsi="Arial"/>
                <w:b/>
                <w:color w:val="FFFFFF"/>
                <w:sz w:val="20"/>
              </w:rPr>
              <w:t>Strategic Initiatives</w:t>
            </w:r>
          </w:p>
        </w:tc>
      </w:tr>
      <w:tr w:rsidR="00FD155F" w14:paraId="34DD58DE" w14:textId="77777777" w:rsidTr="00FD155F">
        <w:trPr>
          <w:jc w:val="center"/>
        </w:trPr>
        <w:tc>
          <w:tcPr>
            <w:tcW w:w="1791" w:type="dxa"/>
            <w:shd w:val="clear" w:color="auto" w:fill="F4F6F9"/>
            <w:tcMar>
              <w:top w:w="100" w:type="dxa"/>
              <w:left w:w="100" w:type="dxa"/>
              <w:bottom w:w="100" w:type="dxa"/>
              <w:right w:w="100" w:type="dxa"/>
            </w:tcMar>
          </w:tcPr>
          <w:p w14:paraId="36D4CD16" w14:textId="77777777" w:rsidR="00FD155F" w:rsidRDefault="00FD155F" w:rsidP="00950D93">
            <w:pPr>
              <w:spacing w:line="360" w:lineRule="auto"/>
            </w:pPr>
            <w:r>
              <w:rPr>
                <w:rFonts w:ascii="Arial" w:hAnsi="Arial"/>
                <w:sz w:val="19"/>
              </w:rPr>
              <w:t>Financial</w:t>
            </w:r>
          </w:p>
        </w:tc>
        <w:tc>
          <w:tcPr>
            <w:tcW w:w="1803" w:type="dxa"/>
            <w:shd w:val="clear" w:color="auto" w:fill="F4F6F9"/>
            <w:tcMar>
              <w:top w:w="100" w:type="dxa"/>
              <w:left w:w="100" w:type="dxa"/>
              <w:bottom w:w="100" w:type="dxa"/>
              <w:right w:w="100" w:type="dxa"/>
            </w:tcMar>
          </w:tcPr>
          <w:p w14:paraId="1CCCA32E" w14:textId="77777777" w:rsidR="00FD155F" w:rsidRDefault="00FD155F" w:rsidP="00950D93">
            <w:pPr>
              <w:spacing w:line="360" w:lineRule="auto"/>
            </w:pPr>
            <w:r>
              <w:rPr>
                <w:rFonts w:ascii="Arial" w:hAnsi="Arial"/>
                <w:sz w:val="19"/>
              </w:rPr>
              <w:t>• Maximize cash flow from resilient hydrocarbons.</w:t>
            </w:r>
            <w:r>
              <w:rPr>
                <w:rFonts w:ascii="Arial" w:hAnsi="Arial"/>
                <w:sz w:val="19"/>
              </w:rPr>
              <w:br/>
              <w:t>• Increase capital allocation to UK green transition.</w:t>
            </w:r>
          </w:p>
        </w:tc>
        <w:tc>
          <w:tcPr>
            <w:tcW w:w="1810" w:type="dxa"/>
            <w:shd w:val="clear" w:color="auto" w:fill="F4F6F9"/>
            <w:tcMar>
              <w:top w:w="100" w:type="dxa"/>
              <w:left w:w="100" w:type="dxa"/>
              <w:bottom w:w="100" w:type="dxa"/>
              <w:right w:w="100" w:type="dxa"/>
            </w:tcMar>
          </w:tcPr>
          <w:p w14:paraId="719CDB8C" w14:textId="77777777" w:rsidR="00FD155F" w:rsidRDefault="00FD155F" w:rsidP="00950D93">
            <w:pPr>
              <w:spacing w:line="360" w:lineRule="auto"/>
            </w:pPr>
            <w:r>
              <w:rPr>
                <w:rFonts w:ascii="Arial" w:hAnsi="Arial"/>
                <w:sz w:val="19"/>
              </w:rPr>
              <w:t>• ROACE (%)</w:t>
            </w:r>
            <w:r>
              <w:rPr>
                <w:rFonts w:ascii="Arial" w:hAnsi="Arial"/>
                <w:sz w:val="19"/>
              </w:rPr>
              <w:br/>
              <w:t xml:space="preserve">• Transition </w:t>
            </w:r>
            <w:proofErr w:type="spellStart"/>
            <w:r>
              <w:rPr>
                <w:rFonts w:ascii="Arial" w:hAnsi="Arial"/>
                <w:sz w:val="19"/>
              </w:rPr>
              <w:t>CapEx</w:t>
            </w:r>
            <w:proofErr w:type="spellEnd"/>
            <w:r>
              <w:rPr>
                <w:rFonts w:ascii="Arial" w:hAnsi="Arial"/>
                <w:sz w:val="19"/>
              </w:rPr>
              <w:t xml:space="preserve"> ratio (% of total </w:t>
            </w:r>
            <w:proofErr w:type="spellStart"/>
            <w:r>
              <w:rPr>
                <w:rFonts w:ascii="Arial" w:hAnsi="Arial"/>
                <w:sz w:val="19"/>
              </w:rPr>
              <w:t>CapEx</w:t>
            </w:r>
            <w:proofErr w:type="spellEnd"/>
            <w:r>
              <w:rPr>
                <w:rFonts w:ascii="Arial" w:hAnsi="Arial"/>
                <w:sz w:val="19"/>
              </w:rPr>
              <w:t>)</w:t>
            </w:r>
            <w:r>
              <w:rPr>
                <w:rFonts w:ascii="Arial" w:hAnsi="Arial"/>
                <w:sz w:val="19"/>
              </w:rPr>
              <w:br/>
              <w:t>• Free Cash Flow (£bn)</w:t>
            </w:r>
          </w:p>
        </w:tc>
        <w:tc>
          <w:tcPr>
            <w:tcW w:w="1824" w:type="dxa"/>
            <w:shd w:val="clear" w:color="auto" w:fill="F4F6F9"/>
            <w:tcMar>
              <w:top w:w="100" w:type="dxa"/>
              <w:left w:w="100" w:type="dxa"/>
              <w:bottom w:w="100" w:type="dxa"/>
              <w:right w:w="100" w:type="dxa"/>
            </w:tcMar>
          </w:tcPr>
          <w:p w14:paraId="299F80C6" w14:textId="77777777" w:rsidR="00FD155F" w:rsidRDefault="00FD155F" w:rsidP="00950D93">
            <w:pPr>
              <w:spacing w:line="360" w:lineRule="auto"/>
            </w:pPr>
            <w:r>
              <w:rPr>
                <w:rFonts w:ascii="Arial" w:hAnsi="Arial"/>
                <w:sz w:val="19"/>
              </w:rPr>
              <w:t>• ROACE &gt; 15%</w:t>
            </w:r>
            <w:r>
              <w:rPr>
                <w:rFonts w:ascii="Arial" w:hAnsi="Arial"/>
                <w:sz w:val="19"/>
              </w:rPr>
              <w:br/>
              <w:t xml:space="preserve">• &gt; 40% </w:t>
            </w:r>
            <w:proofErr w:type="spellStart"/>
            <w:r>
              <w:rPr>
                <w:rFonts w:ascii="Arial" w:hAnsi="Arial"/>
                <w:sz w:val="19"/>
              </w:rPr>
              <w:t>CapEx</w:t>
            </w:r>
            <w:proofErr w:type="spellEnd"/>
            <w:r>
              <w:rPr>
                <w:rFonts w:ascii="Arial" w:hAnsi="Arial"/>
                <w:sz w:val="19"/>
              </w:rPr>
              <w:t xml:space="preserve"> in Transition Engines by 2028</w:t>
            </w:r>
            <w:r>
              <w:rPr>
                <w:rFonts w:ascii="Arial" w:hAnsi="Arial"/>
                <w:sz w:val="19"/>
              </w:rPr>
              <w:br/>
              <w:t>• FCF &gt; £10bn p.a.</w:t>
            </w:r>
          </w:p>
        </w:tc>
        <w:tc>
          <w:tcPr>
            <w:tcW w:w="1798" w:type="dxa"/>
            <w:shd w:val="clear" w:color="auto" w:fill="F4F6F9"/>
            <w:tcMar>
              <w:top w:w="100" w:type="dxa"/>
              <w:left w:w="100" w:type="dxa"/>
              <w:bottom w:w="100" w:type="dxa"/>
              <w:right w:w="100" w:type="dxa"/>
            </w:tcMar>
          </w:tcPr>
          <w:p w14:paraId="671BE998" w14:textId="77777777" w:rsidR="00FD155F" w:rsidRDefault="00FD155F" w:rsidP="00950D93">
            <w:pPr>
              <w:spacing w:line="360" w:lineRule="auto"/>
            </w:pPr>
            <w:r>
              <w:rPr>
                <w:rFonts w:ascii="Arial" w:hAnsi="Arial"/>
                <w:sz w:val="19"/>
              </w:rPr>
              <w:t>• Strict capital discipline on North Sea upstream.</w:t>
            </w:r>
            <w:r>
              <w:rPr>
                <w:rFonts w:ascii="Arial" w:hAnsi="Arial"/>
                <w:sz w:val="19"/>
              </w:rPr>
              <w:br/>
              <w:t>• Re-invest hydrocarbon surplus into UK renewables.</w:t>
            </w:r>
          </w:p>
        </w:tc>
      </w:tr>
      <w:tr w:rsidR="00FD155F" w14:paraId="25843639" w14:textId="77777777" w:rsidTr="00FD155F">
        <w:trPr>
          <w:jc w:val="center"/>
        </w:trPr>
        <w:tc>
          <w:tcPr>
            <w:tcW w:w="1791" w:type="dxa"/>
            <w:shd w:val="clear" w:color="auto" w:fill="FFFFFF"/>
            <w:tcMar>
              <w:top w:w="100" w:type="dxa"/>
              <w:left w:w="100" w:type="dxa"/>
              <w:bottom w:w="100" w:type="dxa"/>
              <w:right w:w="100" w:type="dxa"/>
            </w:tcMar>
          </w:tcPr>
          <w:p w14:paraId="2AA6FEA9" w14:textId="77777777" w:rsidR="00FD155F" w:rsidRDefault="00FD155F" w:rsidP="00950D93">
            <w:pPr>
              <w:spacing w:line="360" w:lineRule="auto"/>
            </w:pPr>
            <w:r>
              <w:rPr>
                <w:rFonts w:ascii="Arial" w:hAnsi="Arial"/>
                <w:sz w:val="19"/>
              </w:rPr>
              <w:t>Customer</w:t>
            </w:r>
          </w:p>
        </w:tc>
        <w:tc>
          <w:tcPr>
            <w:tcW w:w="1803" w:type="dxa"/>
            <w:shd w:val="clear" w:color="auto" w:fill="FFFFFF"/>
            <w:tcMar>
              <w:top w:w="100" w:type="dxa"/>
              <w:left w:w="100" w:type="dxa"/>
              <w:bottom w:w="100" w:type="dxa"/>
              <w:right w:w="100" w:type="dxa"/>
            </w:tcMar>
          </w:tcPr>
          <w:p w14:paraId="63847435" w14:textId="77777777" w:rsidR="00FD155F" w:rsidRDefault="00FD155F" w:rsidP="00950D93">
            <w:pPr>
              <w:spacing w:line="360" w:lineRule="auto"/>
            </w:pPr>
            <w:r>
              <w:rPr>
                <w:rFonts w:ascii="Arial" w:hAnsi="Arial"/>
                <w:sz w:val="19"/>
              </w:rPr>
              <w:t>• Establish BP Pulse as UK's most reliable EV network.</w:t>
            </w:r>
            <w:r>
              <w:rPr>
                <w:rFonts w:ascii="Arial" w:hAnsi="Arial"/>
                <w:sz w:val="19"/>
              </w:rPr>
              <w:br/>
              <w:t>• Expand convenience retail leadership.</w:t>
            </w:r>
          </w:p>
        </w:tc>
        <w:tc>
          <w:tcPr>
            <w:tcW w:w="1810" w:type="dxa"/>
            <w:shd w:val="clear" w:color="auto" w:fill="FFFFFF"/>
            <w:tcMar>
              <w:top w:w="100" w:type="dxa"/>
              <w:left w:w="100" w:type="dxa"/>
              <w:bottom w:w="100" w:type="dxa"/>
              <w:right w:w="100" w:type="dxa"/>
            </w:tcMar>
          </w:tcPr>
          <w:p w14:paraId="6B6AF4C9" w14:textId="77777777" w:rsidR="00FD155F" w:rsidRDefault="00FD155F" w:rsidP="00950D93">
            <w:pPr>
              <w:spacing w:line="360" w:lineRule="auto"/>
            </w:pPr>
            <w:r>
              <w:rPr>
                <w:rFonts w:ascii="Arial" w:hAnsi="Arial"/>
                <w:sz w:val="19"/>
              </w:rPr>
              <w:t>• EV charger operational uptime (%)</w:t>
            </w:r>
            <w:r>
              <w:rPr>
                <w:rFonts w:ascii="Arial" w:hAnsi="Arial"/>
                <w:sz w:val="19"/>
              </w:rPr>
              <w:br/>
              <w:t>• Active BP Pulse app users</w:t>
            </w:r>
            <w:r>
              <w:rPr>
                <w:rFonts w:ascii="Arial" w:hAnsi="Arial"/>
                <w:sz w:val="19"/>
              </w:rPr>
              <w:br/>
              <w:t>• Retail customer basket size (£)</w:t>
            </w:r>
          </w:p>
        </w:tc>
        <w:tc>
          <w:tcPr>
            <w:tcW w:w="1824" w:type="dxa"/>
            <w:shd w:val="clear" w:color="auto" w:fill="FFFFFF"/>
            <w:tcMar>
              <w:top w:w="100" w:type="dxa"/>
              <w:left w:w="100" w:type="dxa"/>
              <w:bottom w:w="100" w:type="dxa"/>
              <w:right w:w="100" w:type="dxa"/>
            </w:tcMar>
          </w:tcPr>
          <w:p w14:paraId="013DB391" w14:textId="77777777" w:rsidR="00FD155F" w:rsidRDefault="00FD155F" w:rsidP="00950D93">
            <w:pPr>
              <w:spacing w:line="360" w:lineRule="auto"/>
            </w:pPr>
            <w:r>
              <w:rPr>
                <w:rFonts w:ascii="Arial" w:hAnsi="Arial"/>
                <w:sz w:val="19"/>
              </w:rPr>
              <w:t>• &gt; 99.0% network uptime</w:t>
            </w:r>
            <w:r>
              <w:rPr>
                <w:rFonts w:ascii="Arial" w:hAnsi="Arial"/>
                <w:sz w:val="19"/>
              </w:rPr>
              <w:br/>
              <w:t>• 2.5 million active UK users</w:t>
            </w:r>
            <w:r>
              <w:rPr>
                <w:rFonts w:ascii="Arial" w:hAnsi="Arial"/>
                <w:sz w:val="19"/>
              </w:rPr>
              <w:br/>
              <w:t>• +15% retail gross margin via M&amp;S</w:t>
            </w:r>
          </w:p>
        </w:tc>
        <w:tc>
          <w:tcPr>
            <w:tcW w:w="1798" w:type="dxa"/>
            <w:shd w:val="clear" w:color="auto" w:fill="FFFFFF"/>
            <w:tcMar>
              <w:top w:w="100" w:type="dxa"/>
              <w:left w:w="100" w:type="dxa"/>
              <w:bottom w:w="100" w:type="dxa"/>
              <w:right w:w="100" w:type="dxa"/>
            </w:tcMar>
          </w:tcPr>
          <w:p w14:paraId="371E6E8F" w14:textId="77777777" w:rsidR="00FD155F" w:rsidRDefault="00FD155F" w:rsidP="00950D93">
            <w:pPr>
              <w:spacing w:line="360" w:lineRule="auto"/>
            </w:pPr>
            <w:r>
              <w:rPr>
                <w:rFonts w:ascii="Arial" w:hAnsi="Arial"/>
                <w:sz w:val="19"/>
              </w:rPr>
              <w:t>• Deploy ultra-rapid charging hubs at key highway sites.</w:t>
            </w:r>
            <w:r>
              <w:rPr>
                <w:rFonts w:ascii="Arial" w:hAnsi="Arial"/>
                <w:sz w:val="19"/>
              </w:rPr>
              <w:br/>
              <w:t>• Upgrade BP Connect store digital loyalty programs.</w:t>
            </w:r>
          </w:p>
        </w:tc>
      </w:tr>
      <w:tr w:rsidR="00FD155F" w14:paraId="0FD15E10" w14:textId="77777777" w:rsidTr="00FD155F">
        <w:trPr>
          <w:jc w:val="center"/>
        </w:trPr>
        <w:tc>
          <w:tcPr>
            <w:tcW w:w="1791" w:type="dxa"/>
            <w:shd w:val="clear" w:color="auto" w:fill="F4F6F9"/>
            <w:tcMar>
              <w:top w:w="100" w:type="dxa"/>
              <w:left w:w="100" w:type="dxa"/>
              <w:bottom w:w="100" w:type="dxa"/>
              <w:right w:w="100" w:type="dxa"/>
            </w:tcMar>
          </w:tcPr>
          <w:p w14:paraId="5C20F894" w14:textId="77777777" w:rsidR="00FD155F" w:rsidRDefault="00FD155F" w:rsidP="00950D93">
            <w:pPr>
              <w:spacing w:line="360" w:lineRule="auto"/>
            </w:pPr>
            <w:r>
              <w:rPr>
                <w:rFonts w:ascii="Arial" w:hAnsi="Arial"/>
                <w:sz w:val="19"/>
              </w:rPr>
              <w:t>Internal Business Processes</w:t>
            </w:r>
          </w:p>
        </w:tc>
        <w:tc>
          <w:tcPr>
            <w:tcW w:w="1803" w:type="dxa"/>
            <w:shd w:val="clear" w:color="auto" w:fill="F4F6F9"/>
            <w:tcMar>
              <w:top w:w="100" w:type="dxa"/>
              <w:left w:w="100" w:type="dxa"/>
              <w:bottom w:w="100" w:type="dxa"/>
              <w:right w:w="100" w:type="dxa"/>
            </w:tcMar>
          </w:tcPr>
          <w:p w14:paraId="77ED37BA" w14:textId="77777777" w:rsidR="00FD155F" w:rsidRDefault="00FD155F" w:rsidP="00950D93">
            <w:pPr>
              <w:spacing w:line="360" w:lineRule="auto"/>
            </w:pPr>
            <w:r>
              <w:rPr>
                <w:rFonts w:ascii="Arial" w:hAnsi="Arial"/>
                <w:sz w:val="19"/>
              </w:rPr>
              <w:t>• Accelerate UK offshore wind &amp; hydrogen delivery.</w:t>
            </w:r>
            <w:r>
              <w:rPr>
                <w:rFonts w:ascii="Arial" w:hAnsi="Arial"/>
                <w:sz w:val="19"/>
              </w:rPr>
              <w:br/>
              <w:t>• Reduce operational Scope 1 &amp; 2 carbon intensity.</w:t>
            </w:r>
          </w:p>
        </w:tc>
        <w:tc>
          <w:tcPr>
            <w:tcW w:w="1810" w:type="dxa"/>
            <w:shd w:val="clear" w:color="auto" w:fill="F4F6F9"/>
            <w:tcMar>
              <w:top w:w="100" w:type="dxa"/>
              <w:left w:w="100" w:type="dxa"/>
              <w:bottom w:w="100" w:type="dxa"/>
              <w:right w:w="100" w:type="dxa"/>
            </w:tcMar>
          </w:tcPr>
          <w:p w14:paraId="627FE556" w14:textId="77777777" w:rsidR="00FD155F" w:rsidRDefault="00FD155F" w:rsidP="00950D93">
            <w:pPr>
              <w:spacing w:line="360" w:lineRule="auto"/>
            </w:pPr>
            <w:r>
              <w:rPr>
                <w:rFonts w:ascii="Arial" w:hAnsi="Arial"/>
                <w:sz w:val="19"/>
              </w:rPr>
              <w:t>• Offshore wind commissioning capacity (GW)</w:t>
            </w:r>
            <w:r>
              <w:rPr>
                <w:rFonts w:ascii="Arial" w:hAnsi="Arial"/>
                <w:sz w:val="19"/>
              </w:rPr>
              <w:br/>
              <w:t>• Industrial CO2 capture volume (Mt p.a.)</w:t>
            </w:r>
            <w:r>
              <w:rPr>
                <w:rFonts w:ascii="Arial" w:hAnsi="Arial"/>
                <w:sz w:val="19"/>
              </w:rPr>
              <w:br/>
              <w:t xml:space="preserve">• Scope 1 &amp; 2 </w:t>
            </w:r>
            <w:r>
              <w:rPr>
                <w:rFonts w:ascii="Arial" w:hAnsi="Arial"/>
                <w:sz w:val="19"/>
              </w:rPr>
              <w:lastRenderedPageBreak/>
              <w:t>GHG reduction (%)</w:t>
            </w:r>
          </w:p>
        </w:tc>
        <w:tc>
          <w:tcPr>
            <w:tcW w:w="1824" w:type="dxa"/>
            <w:shd w:val="clear" w:color="auto" w:fill="F4F6F9"/>
            <w:tcMar>
              <w:top w:w="100" w:type="dxa"/>
              <w:left w:w="100" w:type="dxa"/>
              <w:bottom w:w="100" w:type="dxa"/>
              <w:right w:w="100" w:type="dxa"/>
            </w:tcMar>
          </w:tcPr>
          <w:p w14:paraId="5F8DFD5D" w14:textId="77777777" w:rsidR="00FD155F" w:rsidRDefault="00FD155F" w:rsidP="00950D93">
            <w:pPr>
              <w:spacing w:line="360" w:lineRule="auto"/>
            </w:pPr>
            <w:r>
              <w:rPr>
                <w:rFonts w:ascii="Arial" w:hAnsi="Arial"/>
                <w:sz w:val="19"/>
              </w:rPr>
              <w:lastRenderedPageBreak/>
              <w:t>• 3.0 GW offshore wind in development</w:t>
            </w:r>
            <w:r>
              <w:rPr>
                <w:rFonts w:ascii="Arial" w:hAnsi="Arial"/>
                <w:sz w:val="19"/>
              </w:rPr>
              <w:br/>
              <w:t>• 2.0 Mt CO2 captured via Teesside</w:t>
            </w:r>
            <w:r>
              <w:rPr>
                <w:rFonts w:ascii="Arial" w:hAnsi="Arial"/>
                <w:sz w:val="19"/>
              </w:rPr>
              <w:br/>
              <w:t xml:space="preserve">• 30% absolute </w:t>
            </w:r>
            <w:r>
              <w:rPr>
                <w:rFonts w:ascii="Arial" w:hAnsi="Arial"/>
                <w:sz w:val="19"/>
              </w:rPr>
              <w:lastRenderedPageBreak/>
              <w:t>GHG reduction by 2030</w:t>
            </w:r>
          </w:p>
        </w:tc>
        <w:tc>
          <w:tcPr>
            <w:tcW w:w="1798" w:type="dxa"/>
            <w:shd w:val="clear" w:color="auto" w:fill="F4F6F9"/>
            <w:tcMar>
              <w:top w:w="100" w:type="dxa"/>
              <w:left w:w="100" w:type="dxa"/>
              <w:bottom w:w="100" w:type="dxa"/>
              <w:right w:w="100" w:type="dxa"/>
            </w:tcMar>
          </w:tcPr>
          <w:p w14:paraId="653DD2EB" w14:textId="77777777" w:rsidR="00FD155F" w:rsidRDefault="00FD155F" w:rsidP="00950D93">
            <w:pPr>
              <w:spacing w:line="360" w:lineRule="auto"/>
            </w:pPr>
            <w:r>
              <w:rPr>
                <w:rFonts w:ascii="Arial" w:hAnsi="Arial"/>
                <w:sz w:val="19"/>
              </w:rPr>
              <w:lastRenderedPageBreak/>
              <w:t>• Fast-track Irish Sea Morgan/Mona project execution.</w:t>
            </w:r>
            <w:r>
              <w:rPr>
                <w:rFonts w:ascii="Arial" w:hAnsi="Arial"/>
                <w:sz w:val="19"/>
              </w:rPr>
              <w:br/>
              <w:t xml:space="preserve">• Execute H2Teesside industrial </w:t>
            </w:r>
            <w:r>
              <w:rPr>
                <w:rFonts w:ascii="Arial" w:hAnsi="Arial"/>
                <w:sz w:val="19"/>
              </w:rPr>
              <w:lastRenderedPageBreak/>
              <w:t>hydrogen plant buildout.</w:t>
            </w:r>
          </w:p>
        </w:tc>
      </w:tr>
      <w:tr w:rsidR="00FD155F" w14:paraId="04CFA698" w14:textId="77777777" w:rsidTr="00FD155F">
        <w:trPr>
          <w:jc w:val="center"/>
        </w:trPr>
        <w:tc>
          <w:tcPr>
            <w:tcW w:w="1791" w:type="dxa"/>
            <w:shd w:val="clear" w:color="auto" w:fill="FFFFFF"/>
            <w:tcMar>
              <w:top w:w="100" w:type="dxa"/>
              <w:left w:w="100" w:type="dxa"/>
              <w:bottom w:w="100" w:type="dxa"/>
              <w:right w:w="100" w:type="dxa"/>
            </w:tcMar>
          </w:tcPr>
          <w:p w14:paraId="6E12335F" w14:textId="77777777" w:rsidR="00FD155F" w:rsidRDefault="00FD155F" w:rsidP="00950D93">
            <w:pPr>
              <w:spacing w:line="360" w:lineRule="auto"/>
            </w:pPr>
            <w:r>
              <w:rPr>
                <w:rFonts w:ascii="Arial" w:hAnsi="Arial"/>
                <w:sz w:val="19"/>
              </w:rPr>
              <w:lastRenderedPageBreak/>
              <w:t>Learning &amp; Growth</w:t>
            </w:r>
          </w:p>
        </w:tc>
        <w:tc>
          <w:tcPr>
            <w:tcW w:w="1803" w:type="dxa"/>
            <w:shd w:val="clear" w:color="auto" w:fill="FFFFFF"/>
            <w:tcMar>
              <w:top w:w="100" w:type="dxa"/>
              <w:left w:w="100" w:type="dxa"/>
              <w:bottom w:w="100" w:type="dxa"/>
              <w:right w:w="100" w:type="dxa"/>
            </w:tcMar>
          </w:tcPr>
          <w:p w14:paraId="4B49C01E" w14:textId="77777777" w:rsidR="00FD155F" w:rsidRDefault="00FD155F" w:rsidP="00950D93">
            <w:pPr>
              <w:spacing w:line="360" w:lineRule="auto"/>
            </w:pPr>
            <w:r>
              <w:rPr>
                <w:rFonts w:ascii="Arial" w:hAnsi="Arial"/>
                <w:sz w:val="19"/>
              </w:rPr>
              <w:t>• Reskill workforce for clean energy transition.</w:t>
            </w:r>
            <w:r>
              <w:rPr>
                <w:rFonts w:ascii="Arial" w:hAnsi="Arial"/>
                <w:sz w:val="19"/>
              </w:rPr>
              <w:br/>
              <w:t>• Enhance digital capability in energy trading.</w:t>
            </w:r>
          </w:p>
        </w:tc>
        <w:tc>
          <w:tcPr>
            <w:tcW w:w="1810" w:type="dxa"/>
            <w:shd w:val="clear" w:color="auto" w:fill="FFFFFF"/>
            <w:tcMar>
              <w:top w:w="100" w:type="dxa"/>
              <w:left w:w="100" w:type="dxa"/>
              <w:bottom w:w="100" w:type="dxa"/>
              <w:right w:w="100" w:type="dxa"/>
            </w:tcMar>
          </w:tcPr>
          <w:p w14:paraId="675C1B6F" w14:textId="77777777" w:rsidR="00FD155F" w:rsidRDefault="00FD155F" w:rsidP="00950D93">
            <w:pPr>
              <w:spacing w:line="360" w:lineRule="auto"/>
            </w:pPr>
            <w:r>
              <w:rPr>
                <w:rFonts w:ascii="Arial" w:hAnsi="Arial"/>
                <w:sz w:val="19"/>
              </w:rPr>
              <w:t>• Employee reskilling completion rate (%)</w:t>
            </w:r>
            <w:r>
              <w:rPr>
                <w:rFonts w:ascii="Arial" w:hAnsi="Arial"/>
                <w:sz w:val="19"/>
              </w:rPr>
              <w:br/>
              <w:t>• Digital &amp; AI engineering recruitment count</w:t>
            </w:r>
            <w:r>
              <w:rPr>
                <w:rFonts w:ascii="Arial" w:hAnsi="Arial"/>
                <w:sz w:val="19"/>
              </w:rPr>
              <w:br/>
              <w:t>• Safety Total Recordable Injury Frequency (TRIF)</w:t>
            </w:r>
          </w:p>
        </w:tc>
        <w:tc>
          <w:tcPr>
            <w:tcW w:w="1824" w:type="dxa"/>
            <w:shd w:val="clear" w:color="auto" w:fill="FFFFFF"/>
            <w:tcMar>
              <w:top w:w="100" w:type="dxa"/>
              <w:left w:w="100" w:type="dxa"/>
              <w:bottom w:w="100" w:type="dxa"/>
              <w:right w:w="100" w:type="dxa"/>
            </w:tcMar>
          </w:tcPr>
          <w:p w14:paraId="539557AD" w14:textId="77777777" w:rsidR="00FD155F" w:rsidRDefault="00FD155F" w:rsidP="00950D93">
            <w:pPr>
              <w:spacing w:line="360" w:lineRule="auto"/>
            </w:pPr>
            <w:r>
              <w:rPr>
                <w:rFonts w:ascii="Arial" w:hAnsi="Arial"/>
                <w:sz w:val="19"/>
              </w:rPr>
              <w:t>• 80% upstream staff reskilled in renewables</w:t>
            </w:r>
            <w:r>
              <w:rPr>
                <w:rFonts w:ascii="Arial" w:hAnsi="Arial"/>
                <w:sz w:val="19"/>
              </w:rPr>
              <w:br/>
              <w:t>• +500 software/trading engineers</w:t>
            </w:r>
            <w:r>
              <w:rPr>
                <w:rFonts w:ascii="Arial" w:hAnsi="Arial"/>
                <w:sz w:val="19"/>
              </w:rPr>
              <w:br/>
              <w:t>• TRIF &lt; 0.25 per million hours</w:t>
            </w:r>
          </w:p>
        </w:tc>
        <w:tc>
          <w:tcPr>
            <w:tcW w:w="1798" w:type="dxa"/>
            <w:shd w:val="clear" w:color="auto" w:fill="FFFFFF"/>
            <w:tcMar>
              <w:top w:w="100" w:type="dxa"/>
              <w:left w:w="100" w:type="dxa"/>
              <w:bottom w:w="100" w:type="dxa"/>
              <w:right w:w="100" w:type="dxa"/>
            </w:tcMar>
          </w:tcPr>
          <w:p w14:paraId="23516656" w14:textId="77777777" w:rsidR="00FD155F" w:rsidRDefault="00FD155F" w:rsidP="00950D93">
            <w:pPr>
              <w:spacing w:line="360" w:lineRule="auto"/>
            </w:pPr>
            <w:r>
              <w:rPr>
                <w:rFonts w:ascii="Arial" w:hAnsi="Arial"/>
                <w:sz w:val="19"/>
              </w:rPr>
              <w:t>• Launch BP UK Renewable Academy training program.</w:t>
            </w:r>
            <w:r>
              <w:rPr>
                <w:rFonts w:ascii="Arial" w:hAnsi="Arial"/>
                <w:sz w:val="19"/>
              </w:rPr>
              <w:br/>
              <w:t>• Partner with top UK universities for AI energy algorithms.</w:t>
            </w:r>
          </w:p>
        </w:tc>
      </w:tr>
    </w:tbl>
    <w:p w14:paraId="0F0CA7F8" w14:textId="17CBBE2B" w:rsidR="00FD155F" w:rsidRDefault="00FD155F" w:rsidP="00950D93">
      <w:pPr>
        <w:spacing w:line="360" w:lineRule="auto"/>
        <w:jc w:val="both"/>
        <w:rPr>
          <w:rFonts w:ascii="Arial" w:hAnsi="Arial" w:cs="Arial"/>
        </w:rPr>
      </w:pPr>
      <w:r w:rsidRPr="00FD155F">
        <w:rPr>
          <w:rFonts w:ascii="Arial" w:hAnsi="Arial" w:cs="Arial"/>
        </w:rPr>
        <w:t>The analysis of the Financial Perspective shows that for BP the financial objective should be to ensure that it maintains a return on average capital employed (ROACE) of more than 15% while gradually increasing the transition capital expenditure ratio to more than 40% by 2028 (BP, 2024a). The high upstream returns from the North Sea oil and gas can generate the necessary liquidity that will enable BP to invest in the long-gestation green projects without reducing the dividends yields of the shareholders. Nevertheless, achieving this balance is subject to strong capital discipline; otherwise, the green investments will result in underperformance, and consequently, diluting the overall ROACE of the company.</w:t>
      </w:r>
    </w:p>
    <w:p w14:paraId="29337C8B" w14:textId="760AD304" w:rsidR="00FD155F" w:rsidRDefault="00FD155F" w:rsidP="00950D93">
      <w:pPr>
        <w:spacing w:line="360" w:lineRule="auto"/>
        <w:jc w:val="both"/>
        <w:rPr>
          <w:rFonts w:ascii="Arial" w:hAnsi="Arial" w:cs="Arial"/>
        </w:rPr>
      </w:pPr>
      <w:r w:rsidRPr="00FD155F">
        <w:rPr>
          <w:rFonts w:ascii="Arial" w:hAnsi="Arial" w:cs="Arial"/>
        </w:rPr>
        <w:t>The Customer Perspective focuses on establishing BP Pulse as the most dependable ultra-fast charging brand in the UK, even as it increases downstream retail basket size via the M&amp;S relationship. Satisfaction among customers for EV charging is primarily reliant upon charger availability and simplicity in conducting transactions (</w:t>
      </w:r>
      <w:proofErr w:type="spellStart"/>
      <w:r w:rsidRPr="00FD155F">
        <w:rPr>
          <w:rFonts w:ascii="Arial" w:hAnsi="Arial" w:cs="Arial"/>
        </w:rPr>
        <w:t>Zapmap</w:t>
      </w:r>
      <w:proofErr w:type="spellEnd"/>
      <w:r w:rsidRPr="00FD155F">
        <w:rPr>
          <w:rFonts w:ascii="Arial" w:hAnsi="Arial" w:cs="Arial"/>
        </w:rPr>
        <w:t xml:space="preserve">, 2024). The target of 99% uptime for the chargers speaks to the major concern of the customer when it comes to charging infrastructure in the UK. Moreover, the utilization of 1,200 BP retail forecourts </w:t>
      </w:r>
      <w:proofErr w:type="gramStart"/>
      <w:r w:rsidRPr="00FD155F">
        <w:rPr>
          <w:rFonts w:ascii="Arial" w:hAnsi="Arial" w:cs="Arial"/>
        </w:rPr>
        <w:t>through the use of</w:t>
      </w:r>
      <w:proofErr w:type="gramEnd"/>
      <w:r w:rsidRPr="00FD155F">
        <w:rPr>
          <w:rFonts w:ascii="Arial" w:hAnsi="Arial" w:cs="Arial"/>
        </w:rPr>
        <w:t xml:space="preserve"> ultra-rapid 150kW+ chargers in combination with premium M&amp;S stores turns idle time into high-margin retail sales.</w:t>
      </w:r>
    </w:p>
    <w:p w14:paraId="0DFC143B" w14:textId="5355693C" w:rsidR="00FD155F" w:rsidRDefault="00FD155F" w:rsidP="00950D93">
      <w:pPr>
        <w:spacing w:line="360" w:lineRule="auto"/>
        <w:jc w:val="both"/>
        <w:rPr>
          <w:rFonts w:ascii="Arial" w:hAnsi="Arial" w:cs="Arial"/>
        </w:rPr>
      </w:pPr>
      <w:r w:rsidRPr="00FD155F">
        <w:rPr>
          <w:rFonts w:ascii="Arial" w:hAnsi="Arial" w:cs="Arial"/>
        </w:rPr>
        <w:t xml:space="preserve">From the Internal Business Processes Perspective, BP will need to address operations execution in its key infrastructure projects in the UK, which include the 3GW Morgan and Mona offshore wind farm projects in the Irish Sea and the 1.2GW H2Teesside hydrogen hub (BP, 2024b). The KPIs will have to track project milestone completion, CO2 capture, and absolute Scope 1 and 2 emissions reduction in operations. </w:t>
      </w:r>
      <w:r w:rsidRPr="00FD155F">
        <w:rPr>
          <w:rFonts w:ascii="Arial" w:hAnsi="Arial" w:cs="Arial"/>
        </w:rPr>
        <w:lastRenderedPageBreak/>
        <w:t>Reaching a target of 30% absolute emissions reduction in UK operations by 2030 will demand intense efforts towards decarbonizing platform operations in the North Sea, involving the electrification of offshore production platforms via shore power (DESNZ, 2024). Streamlining internal engineering processes and working through complicated UK planning consent processes will be key internal capabilities to prevent costly delays (Kaplan and Norton, 1992).</w:t>
      </w:r>
    </w:p>
    <w:p w14:paraId="04FCFA98" w14:textId="28572169" w:rsidR="00FD155F" w:rsidRDefault="00FD155F" w:rsidP="00950D93">
      <w:pPr>
        <w:spacing w:line="360" w:lineRule="auto"/>
        <w:jc w:val="both"/>
        <w:rPr>
          <w:rFonts w:ascii="Arial" w:hAnsi="Arial" w:cs="Arial"/>
        </w:rPr>
      </w:pPr>
      <w:r w:rsidRPr="00FD155F">
        <w:rPr>
          <w:rFonts w:ascii="Arial" w:hAnsi="Arial" w:cs="Arial"/>
        </w:rPr>
        <w:t xml:space="preserve">Lastly, the Learning and Growth Perspective will focus on the human capital and technical capabilities that are critical for implementing the change within BP. Shifting from being oil-centric and based on engineering to being a digitalized multi-energy company will require a massive reskilling of the workforce (World Economic Forum, 2023). The goal of BP is to reskill 80% of its upstream engineering workforce in the UK to work in offshore wind, hydrogen, and carbon capture by 2028. At the same time, hiring more than 500 digital and artificial intelligence software engineers will be necessary to improve BP's algorithm-based energy trading system </w:t>
      </w:r>
      <w:proofErr w:type="gramStart"/>
      <w:r w:rsidRPr="00FD155F">
        <w:rPr>
          <w:rFonts w:ascii="Arial" w:hAnsi="Arial" w:cs="Arial"/>
        </w:rPr>
        <w:t>in order to</w:t>
      </w:r>
      <w:proofErr w:type="gramEnd"/>
      <w:r w:rsidRPr="00FD155F">
        <w:rPr>
          <w:rFonts w:ascii="Arial" w:hAnsi="Arial" w:cs="Arial"/>
        </w:rPr>
        <w:t xml:space="preserve"> achieve optimization of energy transfer from offshore wind farms straight into the national grid and EV charging network (Grant, 2021).</w:t>
      </w:r>
    </w:p>
    <w:p w14:paraId="4E0E7BC6" w14:textId="28A8305A" w:rsidR="009E3240" w:rsidRPr="00C10D9A" w:rsidRDefault="009E3240" w:rsidP="00950D93">
      <w:pPr>
        <w:pStyle w:val="Heading1"/>
        <w:spacing w:line="360" w:lineRule="auto"/>
        <w:rPr>
          <w:sz w:val="24"/>
          <w:szCs w:val="24"/>
        </w:rPr>
      </w:pPr>
      <w:bookmarkStart w:id="11" w:name="_Toc237419905"/>
      <w:r w:rsidRPr="00C10D9A">
        <w:rPr>
          <w:sz w:val="24"/>
          <w:szCs w:val="24"/>
        </w:rPr>
        <w:t>4. Strategic Choices and Implementation</w:t>
      </w:r>
      <w:bookmarkEnd w:id="11"/>
      <w:r w:rsidRPr="00C10D9A">
        <w:rPr>
          <w:sz w:val="24"/>
          <w:szCs w:val="24"/>
        </w:rPr>
        <w:t xml:space="preserve"> </w:t>
      </w:r>
    </w:p>
    <w:p w14:paraId="40EC2A5C" w14:textId="00282FF7" w:rsidR="009E3240" w:rsidRPr="00C10D9A" w:rsidRDefault="009E3240" w:rsidP="00950D93">
      <w:pPr>
        <w:pStyle w:val="Heading2"/>
        <w:spacing w:line="360" w:lineRule="auto"/>
        <w:rPr>
          <w:sz w:val="24"/>
          <w:szCs w:val="24"/>
        </w:rPr>
      </w:pPr>
      <w:bookmarkStart w:id="12" w:name="_Toc237419906"/>
      <w:r w:rsidRPr="00C10D9A">
        <w:rPr>
          <w:sz w:val="24"/>
          <w:szCs w:val="24"/>
        </w:rPr>
        <w:t>4.1 Evaluation of Business Level Strategic Choices</w:t>
      </w:r>
      <w:bookmarkEnd w:id="12"/>
    </w:p>
    <w:p w14:paraId="36BC79E1" w14:textId="2B062E6A" w:rsidR="009E3240" w:rsidRDefault="001977E6" w:rsidP="00950D93">
      <w:pPr>
        <w:spacing w:line="360" w:lineRule="auto"/>
        <w:jc w:val="both"/>
        <w:rPr>
          <w:rFonts w:ascii="Arial" w:hAnsi="Arial" w:cs="Arial"/>
        </w:rPr>
      </w:pPr>
      <w:r w:rsidRPr="001977E6">
        <w:rPr>
          <w:rFonts w:ascii="Arial" w:hAnsi="Arial" w:cs="Arial"/>
        </w:rPr>
        <w:t>As part of the analysis of business-level strategic options using Porter's (1985) generic strategies, BP will need to select between Cost Leadership, Differentiation, and Focus strategies from among the UK energy market options. Pure Cost Leadership Strategy of being the lowest cost producer of electricity and fuel in the UK would be a nonviable option for BP. The cost of renewable energy production in the UK wholesale electricity market is dictated by competitive contracts for difference (</w:t>
      </w:r>
      <w:proofErr w:type="spellStart"/>
      <w:r w:rsidRPr="001977E6">
        <w:rPr>
          <w:rFonts w:ascii="Arial" w:hAnsi="Arial" w:cs="Arial"/>
        </w:rPr>
        <w:t>CfD</w:t>
      </w:r>
      <w:proofErr w:type="spellEnd"/>
      <w:r w:rsidRPr="001977E6">
        <w:rPr>
          <w:rFonts w:ascii="Arial" w:hAnsi="Arial" w:cs="Arial"/>
        </w:rPr>
        <w:t>) auction, whereby specialist pure play offshore wind firms have managed to achieve low levelized cost of energy (LCOE) by specializing extremely (BEIS, 2023). Moreover, the retail fuel sector involves supermarket groups running fuel forecourts as loss leaders to attract customers in the supermarkets, thereby cutting margins in retail fuel to bare minimums (CMA, 2023).</w:t>
      </w:r>
    </w:p>
    <w:p w14:paraId="600F2B5A" w14:textId="412794F7" w:rsidR="001977E6" w:rsidRDefault="006D26B8" w:rsidP="00950D93">
      <w:pPr>
        <w:spacing w:line="360" w:lineRule="auto"/>
        <w:jc w:val="both"/>
        <w:rPr>
          <w:rFonts w:ascii="Arial" w:hAnsi="Arial" w:cs="Arial"/>
        </w:rPr>
      </w:pPr>
      <w:r w:rsidRPr="006D26B8">
        <w:rPr>
          <w:rFonts w:ascii="Arial" w:hAnsi="Arial" w:cs="Arial"/>
        </w:rPr>
        <w:t xml:space="preserve">On the contrary, a generic Differentiation strategy using just brand marketing runs into many restrictions within the physical energy industry because electricity and natural </w:t>
      </w:r>
      <w:r w:rsidRPr="006D26B8">
        <w:rPr>
          <w:rFonts w:ascii="Arial" w:hAnsi="Arial" w:cs="Arial"/>
        </w:rPr>
        <w:lastRenderedPageBreak/>
        <w:t>gas have similar properties as homogeneous goods. The UK end-consumers and enterprise customers can hardly differentiate electricity produced by BP from that produced by competing companies when using electricity (DESNZ, 2024). Although BP tries to achieve brand differentiation through its convenience fuel sites called BP Connect and premium ultimate fuels, the effects of such retail differentiation will diminish as vehicle fleets become electrified (SMMT, 2024). In addition, using a niche/focus strategy that narrows down BP's business scope would not be suitable for BP considering its worldwide scale and capital volumes required to finance BP's valuation (Porter, 1985).</w:t>
      </w:r>
    </w:p>
    <w:p w14:paraId="2D9C2446" w14:textId="26758558" w:rsidR="006D26B8" w:rsidRDefault="006D26B8" w:rsidP="00950D93">
      <w:pPr>
        <w:spacing w:line="360" w:lineRule="auto"/>
        <w:jc w:val="both"/>
        <w:rPr>
          <w:rFonts w:ascii="Arial" w:hAnsi="Arial" w:cs="Arial"/>
        </w:rPr>
      </w:pPr>
      <w:r w:rsidRPr="006D26B8">
        <w:rPr>
          <w:rFonts w:ascii="Arial" w:hAnsi="Arial" w:cs="Arial"/>
        </w:rPr>
        <w:t>In contrast, the most suitable strategic option for BP in the UK is that of a Hybrid Differentiation-Integration Strategy that will be implemented in the form of an "Integrated Energy Hub" strategy. Through this hybrid strategy, BP will differentiate itself from the competition through a differentiated ecosystem rather than a commodity by bundling low carbon power generation (offshore wind), firming capacity (hydrogen/gas), physical access network (BP Pulse EV network), convenience retail (M&amp;S), all integrated with their own energy trading function (Porter, 1985; Spender, 2014). In doing so, BP will earn premium margins on fleet EV charging and corporate green CPPAs while using their global trading capabilities to hedge against volatility and hence generate better risk-adjusted returns than individual asset players.</w:t>
      </w:r>
    </w:p>
    <w:p w14:paraId="7DB053EF" w14:textId="36C2AEBE" w:rsidR="006D26B8" w:rsidRPr="00C10D9A" w:rsidRDefault="006D26B8" w:rsidP="00950D93">
      <w:pPr>
        <w:pStyle w:val="Heading2"/>
        <w:spacing w:line="360" w:lineRule="auto"/>
        <w:rPr>
          <w:sz w:val="24"/>
          <w:szCs w:val="24"/>
        </w:rPr>
      </w:pPr>
      <w:bookmarkStart w:id="13" w:name="_Toc237419907"/>
      <w:r w:rsidRPr="00C10D9A">
        <w:rPr>
          <w:sz w:val="24"/>
          <w:szCs w:val="24"/>
        </w:rPr>
        <w:t>4.2 strategy Validation using Porter’s Five forces</w:t>
      </w:r>
      <w:bookmarkEnd w:id="13"/>
      <w:r w:rsidRPr="00C10D9A">
        <w:rPr>
          <w:sz w:val="24"/>
          <w:szCs w:val="24"/>
        </w:rPr>
        <w:t xml:space="preserve"> </w:t>
      </w:r>
    </w:p>
    <w:p w14:paraId="7324AA1C" w14:textId="77777777" w:rsidR="006D26B8" w:rsidRPr="006D26B8" w:rsidRDefault="006D26B8" w:rsidP="00950D93">
      <w:pPr>
        <w:spacing w:line="360" w:lineRule="auto"/>
        <w:jc w:val="both"/>
        <w:rPr>
          <w:rFonts w:ascii="Arial" w:hAnsi="Arial" w:cs="Arial"/>
        </w:rPr>
      </w:pPr>
      <w:proofErr w:type="gramStart"/>
      <w:r w:rsidRPr="006D26B8">
        <w:rPr>
          <w:rFonts w:ascii="Arial" w:hAnsi="Arial" w:cs="Arial"/>
        </w:rPr>
        <w:t>In order to</w:t>
      </w:r>
      <w:proofErr w:type="gramEnd"/>
      <w:r w:rsidRPr="006D26B8">
        <w:rPr>
          <w:rFonts w:ascii="Arial" w:hAnsi="Arial" w:cs="Arial"/>
        </w:rPr>
        <w:t xml:space="preserve"> test the recommended Hybrid Integrated Energy Hub strategy against the UK energy market, Porter's (1979) Five Forces tool will be used to evaluate the attractiveness of the industry structure.</w:t>
      </w:r>
    </w:p>
    <w:p w14:paraId="4D346C55" w14:textId="609EDD85" w:rsidR="006D26B8" w:rsidRDefault="006D26B8" w:rsidP="00950D93">
      <w:pPr>
        <w:spacing w:line="360" w:lineRule="auto"/>
        <w:jc w:val="both"/>
        <w:rPr>
          <w:rFonts w:ascii="Arial" w:hAnsi="Arial" w:cs="Arial"/>
        </w:rPr>
      </w:pPr>
      <w:r w:rsidRPr="006D26B8">
        <w:rPr>
          <w:rFonts w:ascii="Arial" w:hAnsi="Arial" w:cs="Arial"/>
        </w:rPr>
        <w:t xml:space="preserve">New Entrant Threat in the UK energy infrastructure market </w:t>
      </w:r>
      <w:proofErr w:type="gramStart"/>
      <w:r w:rsidRPr="006D26B8">
        <w:rPr>
          <w:rFonts w:ascii="Arial" w:hAnsi="Arial" w:cs="Arial"/>
        </w:rPr>
        <w:t>is considered to be</w:t>
      </w:r>
      <w:proofErr w:type="gramEnd"/>
      <w:r w:rsidRPr="006D26B8">
        <w:rPr>
          <w:rFonts w:ascii="Arial" w:hAnsi="Arial" w:cs="Arial"/>
        </w:rPr>
        <w:t xml:space="preserve"> low to medium. The entry into the segments of utility-scale renewable energy generation and national EV charging infrastructure requires enormous capital investments, </w:t>
      </w:r>
      <w:proofErr w:type="gramStart"/>
      <w:r w:rsidRPr="006D26B8">
        <w:rPr>
          <w:rFonts w:ascii="Arial" w:hAnsi="Arial" w:cs="Arial"/>
        </w:rPr>
        <w:t>highly-specialized</w:t>
      </w:r>
      <w:proofErr w:type="gramEnd"/>
      <w:r w:rsidRPr="006D26B8">
        <w:rPr>
          <w:rFonts w:ascii="Arial" w:hAnsi="Arial" w:cs="Arial"/>
        </w:rPr>
        <w:t xml:space="preserve"> technology, and many years of going through regulatory hurdles (BEIS, 2023). In addition, the creation of 1,200 sites across the country for the retail forecourts is an almost impossible barrier to entry for any new entrant (CMA, 2023). However, the Buyer Power </w:t>
      </w:r>
      <w:proofErr w:type="gramStart"/>
      <w:r w:rsidRPr="006D26B8">
        <w:rPr>
          <w:rFonts w:ascii="Arial" w:hAnsi="Arial" w:cs="Arial"/>
        </w:rPr>
        <w:t>is considered to be</w:t>
      </w:r>
      <w:proofErr w:type="gramEnd"/>
      <w:r w:rsidRPr="006D26B8">
        <w:rPr>
          <w:rFonts w:ascii="Arial" w:hAnsi="Arial" w:cs="Arial"/>
        </w:rPr>
        <w:t xml:space="preserve"> high and increasing. The UK retail customers show low switching cost when choosing fuel stations or public EV chargers due to price comparison apps such as </w:t>
      </w:r>
      <w:proofErr w:type="spellStart"/>
      <w:r w:rsidRPr="006D26B8">
        <w:rPr>
          <w:rFonts w:ascii="Arial" w:hAnsi="Arial" w:cs="Arial"/>
        </w:rPr>
        <w:t>Zapmap</w:t>
      </w:r>
      <w:proofErr w:type="spellEnd"/>
      <w:r w:rsidRPr="006D26B8">
        <w:rPr>
          <w:rFonts w:ascii="Arial" w:hAnsi="Arial" w:cs="Arial"/>
        </w:rPr>
        <w:t xml:space="preserve"> and </w:t>
      </w:r>
      <w:proofErr w:type="spellStart"/>
      <w:r w:rsidRPr="006D26B8">
        <w:rPr>
          <w:rFonts w:ascii="Arial" w:hAnsi="Arial" w:cs="Arial"/>
        </w:rPr>
        <w:t>PetrolPrices</w:t>
      </w:r>
      <w:proofErr w:type="spellEnd"/>
      <w:r w:rsidRPr="006D26B8">
        <w:rPr>
          <w:rFonts w:ascii="Arial" w:hAnsi="Arial" w:cs="Arial"/>
        </w:rPr>
        <w:t xml:space="preserve"> (</w:t>
      </w:r>
      <w:proofErr w:type="spellStart"/>
      <w:r w:rsidRPr="006D26B8">
        <w:rPr>
          <w:rFonts w:ascii="Arial" w:hAnsi="Arial" w:cs="Arial"/>
        </w:rPr>
        <w:t>Zapmap</w:t>
      </w:r>
      <w:proofErr w:type="spellEnd"/>
      <w:r w:rsidRPr="006D26B8">
        <w:rPr>
          <w:rFonts w:ascii="Arial" w:hAnsi="Arial" w:cs="Arial"/>
        </w:rPr>
        <w:t>, 2024).</w:t>
      </w:r>
    </w:p>
    <w:p w14:paraId="536479EF" w14:textId="2E6CC682" w:rsidR="006D26B8" w:rsidRDefault="00560AE9" w:rsidP="00950D93">
      <w:pPr>
        <w:spacing w:line="360" w:lineRule="auto"/>
        <w:jc w:val="both"/>
        <w:rPr>
          <w:rFonts w:ascii="Arial" w:hAnsi="Arial" w:cs="Arial"/>
        </w:rPr>
      </w:pPr>
      <w:r w:rsidRPr="00560AE9">
        <w:rPr>
          <w:rFonts w:ascii="Arial" w:hAnsi="Arial" w:cs="Arial"/>
        </w:rPr>
        <w:lastRenderedPageBreak/>
        <w:t>There is a High Bargaining Power of Suppliers along the renewable energy supply chain. A handful of worldwide wind turbine OEMs and battery cell suppliers have significant market power in the industry, thereby transferring any inflation or supply chain costs directly to the developers (IRENA, 2024). Simultaneously, UK National Grid ESO has total structural bargaining power when it comes to connecting projects to the grid (National Grid, 2023). The Threat of Substitutes is extremely high in case of BP's oil legacy business due to rapid technological substitution by electric vehicles, green hydrogen, and domestic heat pumps (SMMT, 2024). Finally, there is Fierce Competitive Rivalry among all UK energy sectors, including international supermajors, green utilities, and EV charge point operators (</w:t>
      </w:r>
      <w:proofErr w:type="spellStart"/>
      <w:r w:rsidRPr="00560AE9">
        <w:rPr>
          <w:rFonts w:ascii="Arial" w:hAnsi="Arial" w:cs="Arial"/>
        </w:rPr>
        <w:t>Zapmap</w:t>
      </w:r>
      <w:proofErr w:type="spellEnd"/>
      <w:r w:rsidRPr="00560AE9">
        <w:rPr>
          <w:rFonts w:ascii="Arial" w:hAnsi="Arial" w:cs="Arial"/>
        </w:rPr>
        <w:t>, 2024). In accordance with Porter's (1979) Five Forces model, there is significant competitive rivalry in commodity generation business, which confirms the necessity for BP to use the integrated approach.</w:t>
      </w:r>
    </w:p>
    <w:p w14:paraId="3D861A69" w14:textId="156B11D9" w:rsidR="00560AE9" w:rsidRDefault="00560AE9" w:rsidP="00950D93">
      <w:pPr>
        <w:spacing w:line="360" w:lineRule="auto"/>
        <w:jc w:val="both"/>
        <w:rPr>
          <w:rFonts w:ascii="Arial" w:hAnsi="Arial" w:cs="Arial"/>
        </w:rPr>
      </w:pPr>
      <w:r w:rsidRPr="00560AE9">
        <w:rPr>
          <w:rFonts w:ascii="Arial" w:hAnsi="Arial" w:cs="Arial"/>
        </w:rPr>
        <w:t>Supplier Power is strong along the entire renewable energy supply chain, as there is a dominant position taken by a few global OEM wind turbine suppliers and battery cell manufacturers with the direct pass-through of price increases and supply chain shortages to the developers of projects (IRENA, 2024). At the same time, the UK National Grid ESO is structurally in absolute control of the process of connecting renewable generation assets to the grid (National Grid, 2023). The Power of Substitute Products is extremely high for the legacy oil production division of BP, given the fast technological substitution with electric vehicles, green hydrogen, and residential heat pumps (SMMT, 2024). Lastly, Competitive Rivalry is high in all UK energy sectors, including the presence of international supermajors, green utilities, and companies specializing in providing EV charge points (</w:t>
      </w:r>
      <w:proofErr w:type="spellStart"/>
      <w:r w:rsidRPr="00560AE9">
        <w:rPr>
          <w:rFonts w:ascii="Arial" w:hAnsi="Arial" w:cs="Arial"/>
        </w:rPr>
        <w:t>Zapmap</w:t>
      </w:r>
      <w:proofErr w:type="spellEnd"/>
      <w:r w:rsidRPr="00560AE9">
        <w:rPr>
          <w:rFonts w:ascii="Arial" w:hAnsi="Arial" w:cs="Arial"/>
        </w:rPr>
        <w:t>, 2024). Porter's (1979) Five Forces framework proves that commodity energy production is in a tough competitive environment and margins pressure, thus supporting BP's integrated approach.</w:t>
      </w:r>
    </w:p>
    <w:p w14:paraId="2BB5A942" w14:textId="3935DB23" w:rsidR="00560AE9" w:rsidRPr="00C10D9A" w:rsidRDefault="009D4447" w:rsidP="00950D93">
      <w:pPr>
        <w:pStyle w:val="Heading2"/>
        <w:spacing w:line="360" w:lineRule="auto"/>
        <w:rPr>
          <w:sz w:val="24"/>
          <w:szCs w:val="24"/>
        </w:rPr>
      </w:pPr>
      <w:bookmarkStart w:id="14" w:name="_Toc237419908"/>
      <w:r w:rsidRPr="00C10D9A">
        <w:rPr>
          <w:sz w:val="24"/>
          <w:szCs w:val="24"/>
        </w:rPr>
        <w:t>4.3 Execution Roadmap, Competitive Advantage and Risk Mitigation</w:t>
      </w:r>
      <w:bookmarkEnd w:id="14"/>
    </w:p>
    <w:p w14:paraId="330EC654" w14:textId="338FB888" w:rsidR="009D4447" w:rsidRDefault="00385EB4" w:rsidP="00950D93">
      <w:pPr>
        <w:spacing w:line="360" w:lineRule="auto"/>
        <w:jc w:val="both"/>
        <w:rPr>
          <w:rFonts w:ascii="Arial" w:hAnsi="Arial" w:cs="Arial"/>
        </w:rPr>
      </w:pPr>
      <w:r w:rsidRPr="00385EB4">
        <w:rPr>
          <w:rFonts w:ascii="Arial" w:hAnsi="Arial" w:cs="Arial"/>
        </w:rPr>
        <w:t xml:space="preserve">Implementing the suggested Hybrid Integrated Energy Hub approach can result in optimal results due to the creation of a strategically self-propelled fly-wheel mechanism which will increase BP's competitive advantage in the UK. With the integration of offshore wind power generation with gas firming, hydrogen production for industrial purposes, and EV charging networks, BP removes intermediaries and extracts value from each stage of the energy value chain (Spender, 2014). Whenever </w:t>
      </w:r>
      <w:r w:rsidRPr="00385EB4">
        <w:rPr>
          <w:rFonts w:ascii="Arial" w:hAnsi="Arial" w:cs="Arial"/>
        </w:rPr>
        <w:lastRenderedPageBreak/>
        <w:t>there is an oversupply of power generated by UK offshore wind farms, BP's trading operation has the capability of using the surplus electricity in the production of green hydrogen in electrolysers in H2Teesside or charging BP Pulse ultra-rapid charging hubs. On the other hand, whenever there is underproduction of power, BP uses its flexible gas portfolio and its energy trading book to meet its green PPA obligations without suffering any penalty in the market.</w:t>
      </w:r>
    </w:p>
    <w:p w14:paraId="64EAD22B" w14:textId="3DF65C35" w:rsidR="00385EB4" w:rsidRDefault="000E6A7D" w:rsidP="00950D93">
      <w:pPr>
        <w:spacing w:line="360" w:lineRule="auto"/>
        <w:jc w:val="both"/>
        <w:rPr>
          <w:rFonts w:ascii="Arial" w:hAnsi="Arial" w:cs="Arial"/>
        </w:rPr>
      </w:pPr>
      <w:r w:rsidRPr="000E6A7D">
        <w:rPr>
          <w:rFonts w:ascii="Arial" w:hAnsi="Arial" w:cs="Arial"/>
        </w:rPr>
        <w:t xml:space="preserve">However, adopting such a complex approach will come with many operational, regulatory, and financial problems in the UK. The first challenge to be overcome is the serious UK National Grid connection queue delay problem, whereby renewable and storage projects have grid connection delays that take as long as 10-15 years because of transmission grid capacity problems (National Grid, 2023). </w:t>
      </w:r>
      <w:proofErr w:type="gramStart"/>
      <w:r w:rsidRPr="000E6A7D">
        <w:rPr>
          <w:rFonts w:ascii="Arial" w:hAnsi="Arial" w:cs="Arial"/>
        </w:rPr>
        <w:t>In order to</w:t>
      </w:r>
      <w:proofErr w:type="gramEnd"/>
      <w:r w:rsidRPr="000E6A7D">
        <w:rPr>
          <w:rFonts w:ascii="Arial" w:hAnsi="Arial" w:cs="Arial"/>
        </w:rPr>
        <w:t xml:space="preserve"> solve the above bottleneck of the grid, BP needs to have a co-location and microgrid strategy. By co-locating offshore wind landfall locations and solar energy projects with local industrial hydrogen electrolysers (H2Teesside) and BESS, BP can use the electricity generated without relying on the main grid network.</w:t>
      </w:r>
    </w:p>
    <w:p w14:paraId="337F2C60" w14:textId="3BF2CC3D" w:rsidR="000E6A7D" w:rsidRDefault="000E6A7D" w:rsidP="00950D93">
      <w:pPr>
        <w:spacing w:line="360" w:lineRule="auto"/>
        <w:jc w:val="both"/>
        <w:rPr>
          <w:rFonts w:ascii="Arial" w:hAnsi="Arial" w:cs="Arial"/>
        </w:rPr>
      </w:pPr>
      <w:r w:rsidRPr="000E6A7D">
        <w:rPr>
          <w:rFonts w:ascii="Arial" w:hAnsi="Arial" w:cs="Arial"/>
        </w:rPr>
        <w:t>The second significant issue in question is cost inflation and delays in turbine supplies through the European offshore wind industry, which poses a threat to projects' IRR (IRENA, 2024). The solution for BP to prevent this is to enter into long-term procurement agreements and joint venture investments with top-tier manufacturers of wind turbines and companies involved in the marine installation of such turbines. Additionally, in order to avoid fiscal risks associated with the unexpected tax adjustment in the UK, more specifically, in terms of the Energy Profits Levy in the UK, BP must invest in dual-fuel hybrid financing structures which include co-investments from the UK Infrastructure Bank and issuance of green bonds (HM Treasury, 2024).</w:t>
      </w:r>
    </w:p>
    <w:p w14:paraId="5335D222" w14:textId="00BD6377" w:rsidR="000E6A7D" w:rsidRPr="00C10D9A" w:rsidRDefault="009C1CF7" w:rsidP="00950D93">
      <w:pPr>
        <w:pStyle w:val="Heading1"/>
        <w:spacing w:line="360" w:lineRule="auto"/>
        <w:rPr>
          <w:sz w:val="24"/>
          <w:szCs w:val="24"/>
        </w:rPr>
      </w:pPr>
      <w:bookmarkStart w:id="15" w:name="_Toc237419909"/>
      <w:r w:rsidRPr="00C10D9A">
        <w:rPr>
          <w:sz w:val="24"/>
          <w:szCs w:val="24"/>
        </w:rPr>
        <w:t>Section 2 Reflection Account of Research and Analytical Process</w:t>
      </w:r>
      <w:bookmarkEnd w:id="15"/>
      <w:r w:rsidRPr="00C10D9A">
        <w:rPr>
          <w:sz w:val="24"/>
          <w:szCs w:val="24"/>
        </w:rPr>
        <w:t xml:space="preserve"> </w:t>
      </w:r>
    </w:p>
    <w:p w14:paraId="27D51F4F" w14:textId="6AAFD277" w:rsidR="00FD155F" w:rsidRPr="00C10D9A" w:rsidRDefault="009C1CF7" w:rsidP="00950D93">
      <w:pPr>
        <w:pStyle w:val="Heading1"/>
        <w:spacing w:line="360" w:lineRule="auto"/>
        <w:rPr>
          <w:sz w:val="24"/>
          <w:szCs w:val="24"/>
        </w:rPr>
      </w:pPr>
      <w:bookmarkStart w:id="16" w:name="_Toc237419910"/>
      <w:r w:rsidRPr="00C10D9A">
        <w:rPr>
          <w:sz w:val="24"/>
          <w:szCs w:val="24"/>
        </w:rPr>
        <w:t>5. Reflection Practice using Gibbs Reflection Cycle</w:t>
      </w:r>
      <w:bookmarkEnd w:id="16"/>
    </w:p>
    <w:p w14:paraId="45DA1B77" w14:textId="558DBFCB" w:rsidR="009C1CF7" w:rsidRDefault="009C1CF7" w:rsidP="00950D93">
      <w:pPr>
        <w:spacing w:line="360" w:lineRule="auto"/>
        <w:jc w:val="both"/>
        <w:rPr>
          <w:rFonts w:ascii="Arial" w:hAnsi="Arial" w:cs="Arial"/>
        </w:rPr>
      </w:pPr>
      <w:proofErr w:type="gramStart"/>
      <w:r w:rsidRPr="009C1CF7">
        <w:rPr>
          <w:rFonts w:ascii="Arial" w:hAnsi="Arial" w:cs="Arial"/>
        </w:rPr>
        <w:t>In order to</w:t>
      </w:r>
      <w:proofErr w:type="gramEnd"/>
      <w:r w:rsidRPr="009C1CF7">
        <w:rPr>
          <w:rFonts w:ascii="Arial" w:hAnsi="Arial" w:cs="Arial"/>
        </w:rPr>
        <w:t xml:space="preserve"> assess critically my own personal learning process, analytical approach, and professional skills development while working on this strategic report, I use the framework provided by Gibbs' (1988) Reflective Cycle. The cycle consists of six stages: Description, Feelings, Evaluation, Analysis, Conclusion, and Action Plan.</w:t>
      </w:r>
    </w:p>
    <w:p w14:paraId="08F741D5" w14:textId="4430056B" w:rsidR="007F689B" w:rsidRPr="00C10D9A" w:rsidRDefault="007F689B" w:rsidP="00950D93">
      <w:pPr>
        <w:pStyle w:val="Heading2"/>
        <w:spacing w:line="360" w:lineRule="auto"/>
        <w:rPr>
          <w:sz w:val="24"/>
          <w:szCs w:val="24"/>
        </w:rPr>
      </w:pPr>
      <w:bookmarkStart w:id="17" w:name="_Toc237419911"/>
      <w:r w:rsidRPr="00C10D9A">
        <w:rPr>
          <w:sz w:val="24"/>
          <w:szCs w:val="24"/>
        </w:rPr>
        <w:lastRenderedPageBreak/>
        <w:t>5.1 Description</w:t>
      </w:r>
      <w:bookmarkEnd w:id="17"/>
      <w:r w:rsidRPr="00C10D9A">
        <w:rPr>
          <w:sz w:val="24"/>
          <w:szCs w:val="24"/>
        </w:rPr>
        <w:t xml:space="preserve"> </w:t>
      </w:r>
    </w:p>
    <w:p w14:paraId="1F0CCD1B" w14:textId="2C2BAA53" w:rsidR="007F689B" w:rsidRDefault="007F689B" w:rsidP="00950D93">
      <w:pPr>
        <w:spacing w:line="360" w:lineRule="auto"/>
        <w:jc w:val="both"/>
        <w:rPr>
          <w:rFonts w:ascii="Arial" w:hAnsi="Arial" w:cs="Arial"/>
        </w:rPr>
      </w:pPr>
      <w:r w:rsidRPr="007F689B">
        <w:rPr>
          <w:rFonts w:ascii="Arial" w:hAnsi="Arial" w:cs="Arial"/>
        </w:rPr>
        <w:t xml:space="preserve">This assignment involved taking up the position of a strategic management consultant, which meant conducting an elaborate strategic analysis of British Petroleum (BP plc), especially </w:t>
      </w:r>
      <w:proofErr w:type="gramStart"/>
      <w:r w:rsidRPr="007F689B">
        <w:rPr>
          <w:rFonts w:ascii="Arial" w:hAnsi="Arial" w:cs="Arial"/>
        </w:rPr>
        <w:t>with regard to</w:t>
      </w:r>
      <w:proofErr w:type="gramEnd"/>
      <w:r w:rsidRPr="007F689B">
        <w:rPr>
          <w:rFonts w:ascii="Arial" w:hAnsi="Arial" w:cs="Arial"/>
        </w:rPr>
        <w:t xml:space="preserve"> its operational strategy, competitive positioning, and energy transition within the UK. Strategic tools such as PESTLE analysis, VRIO analysis, SWOT Matrix, Balanced Scorecard, Porter's Five Forces and Ansoff's Growth Matrix had to be used to come up with practical business level suggestions, </w:t>
      </w:r>
      <w:proofErr w:type="gramStart"/>
      <w:r w:rsidRPr="007F689B">
        <w:rPr>
          <w:rFonts w:ascii="Arial" w:hAnsi="Arial" w:cs="Arial"/>
        </w:rPr>
        <w:t>This</w:t>
      </w:r>
      <w:proofErr w:type="gramEnd"/>
      <w:r w:rsidRPr="007F689B">
        <w:rPr>
          <w:rFonts w:ascii="Arial" w:hAnsi="Arial" w:cs="Arial"/>
        </w:rPr>
        <w:t xml:space="preserve"> was achieved by carrying out a review of secondary sources like the BP annual financial report, UK government policies (DESNZ, HM Treasury) and the energy sector databases, amongst others.</w:t>
      </w:r>
    </w:p>
    <w:p w14:paraId="351640A2" w14:textId="38B25565" w:rsidR="001E07EE" w:rsidRPr="00C10D9A" w:rsidRDefault="001E07EE" w:rsidP="00950D93">
      <w:pPr>
        <w:pStyle w:val="Heading2"/>
        <w:spacing w:line="360" w:lineRule="auto"/>
        <w:rPr>
          <w:sz w:val="24"/>
          <w:szCs w:val="24"/>
        </w:rPr>
      </w:pPr>
      <w:bookmarkStart w:id="18" w:name="_Toc237419912"/>
      <w:r w:rsidRPr="00C10D9A">
        <w:rPr>
          <w:sz w:val="24"/>
          <w:szCs w:val="24"/>
        </w:rPr>
        <w:t>5.2 Feelings</w:t>
      </w:r>
      <w:bookmarkEnd w:id="18"/>
    </w:p>
    <w:p w14:paraId="3384FB90" w14:textId="0F438400" w:rsidR="001E07EE" w:rsidRDefault="001E07EE" w:rsidP="00950D93">
      <w:pPr>
        <w:spacing w:line="360" w:lineRule="auto"/>
        <w:jc w:val="both"/>
        <w:rPr>
          <w:rFonts w:ascii="Arial" w:hAnsi="Arial" w:cs="Arial"/>
        </w:rPr>
      </w:pPr>
      <w:r w:rsidRPr="001E07EE">
        <w:rPr>
          <w:rFonts w:ascii="Arial" w:hAnsi="Arial" w:cs="Arial"/>
        </w:rPr>
        <w:t>In the beginning of the research process, I felt a great deal of intellectual motivation along with anxiety concerning the inherent complexity of the dual model approach of BP. BP is a company operating in a rather controversial business environment where green strategies proclaimed publicly tend to clash with the old-fashioned use of fossil fuels. Initially, I felt a little bit scared by the amount of contradicting information that I had to deal with</w:t>
      </w:r>
      <w:r w:rsidR="00BF55E6">
        <w:rPr>
          <w:rFonts w:ascii="Arial" w:hAnsi="Arial" w:cs="Arial"/>
        </w:rPr>
        <w:t xml:space="preserve"> </w:t>
      </w:r>
      <w:r w:rsidRPr="001E07EE">
        <w:rPr>
          <w:rFonts w:ascii="Arial" w:hAnsi="Arial" w:cs="Arial"/>
        </w:rPr>
        <w:t>this ranged from positive corporate ESG PR messages to criticisms of environmentalists and analysts (ClientEarth, 2023). I was afraid to be unbiased in the evaluation and to stick to objective scientific principles throughout the process. But once I formulated my analytical approach based on theoretical framework, I gained confidence (Gibbs, 1988).</w:t>
      </w:r>
    </w:p>
    <w:p w14:paraId="7AA9A695" w14:textId="34C59A30" w:rsidR="001E07EE" w:rsidRPr="00C10D9A" w:rsidRDefault="001E07EE" w:rsidP="00950D93">
      <w:pPr>
        <w:pStyle w:val="Heading2"/>
        <w:spacing w:line="360" w:lineRule="auto"/>
        <w:rPr>
          <w:sz w:val="24"/>
          <w:szCs w:val="24"/>
        </w:rPr>
      </w:pPr>
      <w:bookmarkStart w:id="19" w:name="_Toc237419913"/>
      <w:r w:rsidRPr="00C10D9A">
        <w:rPr>
          <w:sz w:val="24"/>
          <w:szCs w:val="24"/>
        </w:rPr>
        <w:t>5.3 Evaluation</w:t>
      </w:r>
      <w:bookmarkEnd w:id="19"/>
    </w:p>
    <w:p w14:paraId="20191E27" w14:textId="5145C5B3" w:rsidR="001E07EE" w:rsidRDefault="001E07EE" w:rsidP="00950D93">
      <w:pPr>
        <w:spacing w:line="360" w:lineRule="auto"/>
        <w:jc w:val="both"/>
        <w:rPr>
          <w:rFonts w:ascii="Arial" w:hAnsi="Arial" w:cs="Arial"/>
        </w:rPr>
      </w:pPr>
      <w:r w:rsidRPr="001E07EE">
        <w:rPr>
          <w:rFonts w:ascii="Arial" w:hAnsi="Arial" w:cs="Arial"/>
        </w:rPr>
        <w:t>In examining the research process, there have been both some notable strengths and methodological difficulties. On the one hand, the synthesis of different theories made it possible for me to develop a well-grounded argument on the integrated energy strategy of BP. This especially refers to the use of VRIO by Barney (1991), which helped me to differentiate the temporary competitive advantage of BP at physical retail forecourts from its sustainable competitive advantage in global energy trading. At the same time, a problem was the processing of a large amount of secondary data in accordance with the given word count restrictions. I faced a difficulty to find the balance between the description of the history of the corporation and critical analysis of the information provided.</w:t>
      </w:r>
    </w:p>
    <w:p w14:paraId="2D2F5318" w14:textId="4A0F8104" w:rsidR="001E07EE" w:rsidRPr="00C10D9A" w:rsidRDefault="001E07EE" w:rsidP="00950D93">
      <w:pPr>
        <w:pStyle w:val="Heading2"/>
        <w:spacing w:line="360" w:lineRule="auto"/>
        <w:rPr>
          <w:sz w:val="24"/>
          <w:szCs w:val="24"/>
        </w:rPr>
      </w:pPr>
      <w:bookmarkStart w:id="20" w:name="_Toc237419914"/>
      <w:r w:rsidRPr="00C10D9A">
        <w:rPr>
          <w:sz w:val="24"/>
          <w:szCs w:val="24"/>
        </w:rPr>
        <w:lastRenderedPageBreak/>
        <w:t>5.4 Analysis</w:t>
      </w:r>
      <w:bookmarkEnd w:id="20"/>
      <w:r w:rsidRPr="00C10D9A">
        <w:rPr>
          <w:sz w:val="24"/>
          <w:szCs w:val="24"/>
        </w:rPr>
        <w:t xml:space="preserve"> </w:t>
      </w:r>
    </w:p>
    <w:p w14:paraId="47F72214" w14:textId="20DAD80C" w:rsidR="001E07EE" w:rsidRDefault="001E07EE" w:rsidP="00950D93">
      <w:pPr>
        <w:spacing w:line="360" w:lineRule="auto"/>
        <w:jc w:val="both"/>
        <w:rPr>
          <w:rFonts w:ascii="Arial" w:hAnsi="Arial" w:cs="Arial"/>
        </w:rPr>
      </w:pPr>
      <w:r w:rsidRPr="001E07EE">
        <w:rPr>
          <w:rFonts w:ascii="Arial" w:hAnsi="Arial" w:cs="Arial"/>
        </w:rPr>
        <w:t xml:space="preserve">After considering why such instances occurred, it became evident that application of strategic management concepts to actual energy companies calls for going beyond linear reasoning. While writing earlier versions, I considered the PESTLE elements as separate external considerations. Nonetheless, the literature on strategy management (Grant, 2021) enlightened me about how the political elements of the environment (like the UK Energy Profits Levy) interrelate with internal competencies to allocate capital (Barney, 1991), which then determine strategies according to the Ansoff's (1957) matrix. </w:t>
      </w:r>
    </w:p>
    <w:p w14:paraId="0647B7C1" w14:textId="529761E3" w:rsidR="001E07EE" w:rsidRPr="00C10D9A" w:rsidRDefault="001E07EE" w:rsidP="00950D93">
      <w:pPr>
        <w:pStyle w:val="Heading2"/>
        <w:spacing w:line="360" w:lineRule="auto"/>
        <w:rPr>
          <w:sz w:val="24"/>
          <w:szCs w:val="24"/>
        </w:rPr>
      </w:pPr>
      <w:bookmarkStart w:id="21" w:name="_Toc237419915"/>
      <w:r w:rsidRPr="00C10D9A">
        <w:rPr>
          <w:sz w:val="24"/>
          <w:szCs w:val="24"/>
        </w:rPr>
        <w:t>5.5 Conclusion</w:t>
      </w:r>
      <w:bookmarkEnd w:id="21"/>
    </w:p>
    <w:p w14:paraId="4973DB20" w14:textId="08611C2B" w:rsidR="001E07EE" w:rsidRDefault="001E07EE" w:rsidP="00950D93">
      <w:pPr>
        <w:spacing w:line="360" w:lineRule="auto"/>
        <w:jc w:val="both"/>
        <w:rPr>
          <w:rFonts w:ascii="Arial" w:hAnsi="Arial" w:cs="Arial"/>
        </w:rPr>
      </w:pPr>
      <w:r w:rsidRPr="001E07EE">
        <w:rPr>
          <w:rFonts w:ascii="Arial" w:hAnsi="Arial" w:cs="Arial"/>
        </w:rPr>
        <w:t xml:space="preserve">In summary, this research and analysis process was a profoundly enriching experience that has tremendously improved my ability in strategic thinking, data synthesis, and management consultancy. I came to know that successful strategic consultancy is not about blindly implementing the theories through rigid </w:t>
      </w:r>
      <w:proofErr w:type="gramStart"/>
      <w:r w:rsidRPr="001E07EE">
        <w:rPr>
          <w:rFonts w:ascii="Arial" w:hAnsi="Arial" w:cs="Arial"/>
        </w:rPr>
        <w:t>frameworks, but</w:t>
      </w:r>
      <w:proofErr w:type="gramEnd"/>
      <w:r w:rsidRPr="001E07EE">
        <w:rPr>
          <w:rFonts w:ascii="Arial" w:hAnsi="Arial" w:cs="Arial"/>
        </w:rPr>
        <w:t xml:space="preserve"> rather using frameworks in a dynamic manner for </w:t>
      </w:r>
      <w:proofErr w:type="spellStart"/>
      <w:r w:rsidRPr="001E07EE">
        <w:rPr>
          <w:rFonts w:ascii="Arial" w:hAnsi="Arial" w:cs="Arial"/>
        </w:rPr>
        <w:t>analyzing</w:t>
      </w:r>
      <w:proofErr w:type="spellEnd"/>
      <w:r w:rsidRPr="001E07EE">
        <w:rPr>
          <w:rFonts w:ascii="Arial" w:hAnsi="Arial" w:cs="Arial"/>
        </w:rPr>
        <w:t xml:space="preserve"> complex business problems and trade-offs in an uncertain environment and arriving at actionable recommendations from these analyses (Spender, 2014). I also understood the importance of ensuring complete consistency between the CSR goals and the firm’s capital allocation strategy.</w:t>
      </w:r>
    </w:p>
    <w:p w14:paraId="70239822" w14:textId="7176731D" w:rsidR="001E07EE" w:rsidRPr="00C10D9A" w:rsidRDefault="001E07EE" w:rsidP="00950D93">
      <w:pPr>
        <w:pStyle w:val="Heading2"/>
        <w:spacing w:line="360" w:lineRule="auto"/>
        <w:rPr>
          <w:sz w:val="24"/>
          <w:szCs w:val="24"/>
        </w:rPr>
      </w:pPr>
      <w:bookmarkStart w:id="22" w:name="_Toc237419916"/>
      <w:r w:rsidRPr="00C10D9A">
        <w:rPr>
          <w:sz w:val="24"/>
          <w:szCs w:val="24"/>
        </w:rPr>
        <w:t>5.6 Action Plan</w:t>
      </w:r>
      <w:bookmarkEnd w:id="22"/>
    </w:p>
    <w:p w14:paraId="59A12514" w14:textId="0FE721AB" w:rsidR="001E07EE" w:rsidRDefault="001E07EE" w:rsidP="00950D93">
      <w:pPr>
        <w:spacing w:line="360" w:lineRule="auto"/>
        <w:jc w:val="both"/>
        <w:rPr>
          <w:rFonts w:ascii="Arial" w:hAnsi="Arial" w:cs="Arial"/>
        </w:rPr>
      </w:pPr>
      <w:r w:rsidRPr="001E07EE">
        <w:rPr>
          <w:rFonts w:ascii="Arial" w:hAnsi="Arial" w:cs="Arial"/>
        </w:rPr>
        <w:t xml:space="preserve">To expand on this learning experience through future strategic management evaluations and in my professional business career, I have come up with an effective three-step plan that I intend to put into practice </w:t>
      </w:r>
      <w:proofErr w:type="gramStart"/>
      <w:r w:rsidRPr="001E07EE">
        <w:rPr>
          <w:rFonts w:ascii="Arial" w:hAnsi="Arial" w:cs="Arial"/>
        </w:rPr>
        <w:t>in order to</w:t>
      </w:r>
      <w:proofErr w:type="gramEnd"/>
      <w:r w:rsidRPr="001E07EE">
        <w:rPr>
          <w:rFonts w:ascii="Arial" w:hAnsi="Arial" w:cs="Arial"/>
        </w:rPr>
        <w:t xml:space="preserve"> improve myself in the future. Firstly, I will set up a proper data screening process right at the beginning of my research using bibliographic tools for finding influential academic sources and primary industry data to avoid information overflow (Gibbs, 1988). </w:t>
      </w:r>
    </w:p>
    <w:p w14:paraId="28A30997" w14:textId="77777777" w:rsidR="001E07EE" w:rsidRDefault="001E07EE" w:rsidP="00950D93">
      <w:pPr>
        <w:spacing w:line="360" w:lineRule="auto"/>
        <w:rPr>
          <w:rFonts w:ascii="Arial" w:hAnsi="Arial" w:cs="Arial"/>
        </w:rPr>
      </w:pPr>
    </w:p>
    <w:p w14:paraId="5F59ECB3" w14:textId="77777777" w:rsidR="00C10D9A" w:rsidRDefault="00C10D9A" w:rsidP="00950D93">
      <w:pPr>
        <w:spacing w:line="360" w:lineRule="auto"/>
        <w:rPr>
          <w:rFonts w:ascii="Arial" w:hAnsi="Arial" w:cs="Arial"/>
        </w:rPr>
      </w:pPr>
    </w:p>
    <w:p w14:paraId="002BD719" w14:textId="77777777" w:rsidR="00C10D9A" w:rsidRDefault="00C10D9A" w:rsidP="00950D93">
      <w:pPr>
        <w:spacing w:line="360" w:lineRule="auto"/>
        <w:rPr>
          <w:rFonts w:ascii="Arial" w:hAnsi="Arial" w:cs="Arial"/>
        </w:rPr>
      </w:pPr>
    </w:p>
    <w:p w14:paraId="5BD35739" w14:textId="012523C9" w:rsidR="00B9647F" w:rsidRPr="00C10D9A" w:rsidRDefault="00B9647F" w:rsidP="00950D93">
      <w:pPr>
        <w:pStyle w:val="Heading1"/>
        <w:spacing w:line="360" w:lineRule="auto"/>
        <w:rPr>
          <w:sz w:val="24"/>
          <w:szCs w:val="24"/>
        </w:rPr>
      </w:pPr>
      <w:bookmarkStart w:id="23" w:name="_Toc237419917"/>
      <w:r w:rsidRPr="00C10D9A">
        <w:rPr>
          <w:sz w:val="24"/>
          <w:szCs w:val="24"/>
        </w:rPr>
        <w:lastRenderedPageBreak/>
        <w:t>Reference</w:t>
      </w:r>
      <w:bookmarkEnd w:id="23"/>
      <w:r w:rsidRPr="00C10D9A">
        <w:rPr>
          <w:sz w:val="24"/>
          <w:szCs w:val="24"/>
        </w:rPr>
        <w:t xml:space="preserve"> </w:t>
      </w:r>
    </w:p>
    <w:p w14:paraId="0C73F676" w14:textId="77777777" w:rsidR="00A004F4" w:rsidRDefault="00A004F4" w:rsidP="00F06468">
      <w:pPr>
        <w:spacing w:after="120" w:line="360" w:lineRule="auto"/>
        <w:ind w:left="720" w:hanging="720"/>
        <w:jc w:val="both"/>
      </w:pPr>
      <w:r>
        <w:t xml:space="preserve">Ansoff, H.I. (1957) ‘Strategies for Diversification’, </w:t>
      </w:r>
      <w:r>
        <w:rPr>
          <w:i/>
        </w:rPr>
        <w:t>Harvard Business Review</w:t>
      </w:r>
      <w:r>
        <w:t>, 35(5), pp. 113–124.</w:t>
      </w:r>
    </w:p>
    <w:p w14:paraId="57C2B780" w14:textId="77777777" w:rsidR="00A004F4" w:rsidRDefault="00A004F4" w:rsidP="00F06468">
      <w:pPr>
        <w:spacing w:after="120" w:line="360" w:lineRule="auto"/>
        <w:ind w:left="720" w:hanging="720"/>
        <w:jc w:val="both"/>
      </w:pPr>
      <w:r>
        <w:t xml:space="preserve">Bank of England (2024) Monetary Policy Report – February 2024. </w:t>
      </w:r>
      <w:r>
        <w:rPr>
          <w:i/>
        </w:rPr>
        <w:t>London: Bank of England.</w:t>
      </w:r>
    </w:p>
    <w:p w14:paraId="640690E6" w14:textId="77777777" w:rsidR="00A004F4" w:rsidRDefault="00A004F4" w:rsidP="00F06468">
      <w:pPr>
        <w:spacing w:after="120" w:line="360" w:lineRule="auto"/>
        <w:ind w:left="720" w:hanging="720"/>
        <w:jc w:val="both"/>
      </w:pPr>
      <w:r>
        <w:t xml:space="preserve">Barney, J.B. (1991) ‘Firm Resources and Sustained Competitive Advantage’, </w:t>
      </w:r>
      <w:r>
        <w:rPr>
          <w:i/>
        </w:rPr>
        <w:t>Journal of Management</w:t>
      </w:r>
      <w:r>
        <w:t>, 17(1), pp. 99–120.</w:t>
      </w:r>
    </w:p>
    <w:p w14:paraId="6AF1BADE" w14:textId="77777777" w:rsidR="00A004F4" w:rsidRDefault="00A004F4" w:rsidP="00F06468">
      <w:pPr>
        <w:spacing w:after="120" w:line="360" w:lineRule="auto"/>
        <w:ind w:left="720" w:hanging="720"/>
        <w:jc w:val="both"/>
      </w:pPr>
      <w:r>
        <w:t xml:space="preserve">BEIS (2023) Electricity Generation Costs 2023. </w:t>
      </w:r>
      <w:r>
        <w:rPr>
          <w:i/>
        </w:rPr>
        <w:t>London: Department for Business, Energy &amp; Industrial Strategy.</w:t>
      </w:r>
    </w:p>
    <w:p w14:paraId="569AC564" w14:textId="77777777" w:rsidR="00A004F4" w:rsidRDefault="00A004F4" w:rsidP="00F06468">
      <w:pPr>
        <w:spacing w:after="120" w:line="360" w:lineRule="auto"/>
        <w:ind w:left="720" w:hanging="720"/>
        <w:jc w:val="both"/>
      </w:pPr>
      <w:r>
        <w:t xml:space="preserve">BP (2024a) BP Annual Report and Form 20-F 2023. </w:t>
      </w:r>
      <w:r>
        <w:rPr>
          <w:i/>
        </w:rPr>
        <w:t>London: BP plc.</w:t>
      </w:r>
    </w:p>
    <w:p w14:paraId="0A937927" w14:textId="77777777" w:rsidR="00A004F4" w:rsidRDefault="00A004F4" w:rsidP="00F06468">
      <w:pPr>
        <w:spacing w:after="120" w:line="360" w:lineRule="auto"/>
        <w:ind w:left="720" w:hanging="720"/>
        <w:jc w:val="both"/>
      </w:pPr>
      <w:r>
        <w:t xml:space="preserve">BP (2024b) BP in the UK: Transforming Energy Systems. </w:t>
      </w:r>
      <w:r>
        <w:rPr>
          <w:i/>
        </w:rPr>
        <w:t>London: BP plc.</w:t>
      </w:r>
    </w:p>
    <w:p w14:paraId="569B8F41" w14:textId="77777777" w:rsidR="00A004F4" w:rsidRDefault="00A004F4" w:rsidP="00F06468">
      <w:pPr>
        <w:spacing w:after="120" w:line="360" w:lineRule="auto"/>
        <w:ind w:left="720" w:hanging="720"/>
        <w:jc w:val="both"/>
      </w:pPr>
      <w:r>
        <w:t xml:space="preserve">Climate Change Committee (2023) Progress in Reducing Emissions: 2023 Report to Parliament. </w:t>
      </w:r>
      <w:r>
        <w:rPr>
          <w:i/>
        </w:rPr>
        <w:t>London: Climate Change Committee.</w:t>
      </w:r>
    </w:p>
    <w:p w14:paraId="28D39265" w14:textId="77777777" w:rsidR="00A004F4" w:rsidRDefault="00A004F4" w:rsidP="00F06468">
      <w:pPr>
        <w:spacing w:after="120" w:line="360" w:lineRule="auto"/>
        <w:ind w:left="720" w:hanging="720"/>
        <w:jc w:val="both"/>
      </w:pPr>
      <w:r>
        <w:t xml:space="preserve">ClientEarth (2023) Legal Action Against BP Directors Over Climate Risk Management. </w:t>
      </w:r>
      <w:r>
        <w:rPr>
          <w:i/>
        </w:rPr>
        <w:t>London: ClientEarth Communications.</w:t>
      </w:r>
    </w:p>
    <w:p w14:paraId="57A4081A" w14:textId="77777777" w:rsidR="00A004F4" w:rsidRDefault="00A004F4" w:rsidP="00F06468">
      <w:pPr>
        <w:spacing w:after="120" w:line="360" w:lineRule="auto"/>
        <w:ind w:left="720" w:hanging="720"/>
        <w:jc w:val="both"/>
      </w:pPr>
      <w:r>
        <w:t xml:space="preserve">CMA (2023) Supply of Road Fuel in the UK Market Study: Final Report. </w:t>
      </w:r>
      <w:r>
        <w:rPr>
          <w:i/>
        </w:rPr>
        <w:t>London: Competition and Markets Authority.</w:t>
      </w:r>
    </w:p>
    <w:p w14:paraId="4AD7BE5D" w14:textId="77777777" w:rsidR="00A004F4" w:rsidRDefault="00A004F4" w:rsidP="00F06468">
      <w:pPr>
        <w:spacing w:after="120" w:line="360" w:lineRule="auto"/>
        <w:ind w:left="720" w:hanging="720"/>
        <w:jc w:val="both"/>
      </w:pPr>
      <w:r>
        <w:t xml:space="preserve">Crown Estate (2021) Offshore Wind Leasing Round 4: Opportunity Assessment. </w:t>
      </w:r>
      <w:r>
        <w:rPr>
          <w:i/>
        </w:rPr>
        <w:t>London: The Crown Estate.</w:t>
      </w:r>
    </w:p>
    <w:p w14:paraId="51AEC55C" w14:textId="77777777" w:rsidR="00A004F4" w:rsidRDefault="00A004F4" w:rsidP="00F06468">
      <w:pPr>
        <w:spacing w:after="120" w:line="360" w:lineRule="auto"/>
        <w:ind w:left="720" w:hanging="720"/>
        <w:jc w:val="both"/>
      </w:pPr>
      <w:r>
        <w:t xml:space="preserve">DESNZ (2024) Delivering Net Zero: UK Energy Policy Strategy 2024. </w:t>
      </w:r>
      <w:r>
        <w:rPr>
          <w:i/>
        </w:rPr>
        <w:t>London: Department for Energy Security and Net Zero.</w:t>
      </w:r>
    </w:p>
    <w:p w14:paraId="38D63084" w14:textId="77777777" w:rsidR="00A004F4" w:rsidRDefault="00A004F4" w:rsidP="00F06468">
      <w:pPr>
        <w:spacing w:after="120" w:line="360" w:lineRule="auto"/>
        <w:ind w:left="720" w:hanging="720"/>
        <w:jc w:val="both"/>
      </w:pPr>
      <w:r>
        <w:t xml:space="preserve">Elkington, J. (1997) Cannibals with Forks: The Triple Bottom Line of 21st Century Business. </w:t>
      </w:r>
      <w:r>
        <w:rPr>
          <w:i/>
        </w:rPr>
        <w:t>Oxford: Capstone Publishing.</w:t>
      </w:r>
    </w:p>
    <w:p w14:paraId="0C10067B" w14:textId="77777777" w:rsidR="00A004F4" w:rsidRDefault="00A004F4" w:rsidP="00F06468">
      <w:pPr>
        <w:spacing w:after="120" w:line="360" w:lineRule="auto"/>
        <w:ind w:left="720" w:hanging="720"/>
        <w:jc w:val="both"/>
      </w:pPr>
      <w:r>
        <w:t>Gibbs, G. (1988) Learning by Doing: A Guide to Teaching and Learning Methods.  Further Education Unit. Oxford: Oxford Polytechnic.</w:t>
      </w:r>
    </w:p>
    <w:p w14:paraId="5DD55DF2" w14:textId="77777777" w:rsidR="00A004F4" w:rsidRDefault="00A004F4" w:rsidP="00F06468">
      <w:pPr>
        <w:spacing w:after="120" w:line="360" w:lineRule="auto"/>
        <w:ind w:left="720" w:hanging="720"/>
        <w:jc w:val="both"/>
      </w:pPr>
      <w:r>
        <w:t xml:space="preserve">Grant, R.M. (2021) Contemporary Strategy Analysis. </w:t>
      </w:r>
      <w:r>
        <w:rPr>
          <w:i/>
        </w:rPr>
        <w:t xml:space="preserve">11th </w:t>
      </w:r>
      <w:proofErr w:type="spellStart"/>
      <w:r>
        <w:rPr>
          <w:i/>
        </w:rPr>
        <w:t>edn</w:t>
      </w:r>
      <w:proofErr w:type="spellEnd"/>
      <w:r>
        <w:t>. Chichester: John Wiley &amp; Sons.</w:t>
      </w:r>
    </w:p>
    <w:p w14:paraId="5D81EEC5" w14:textId="77777777" w:rsidR="00A004F4" w:rsidRDefault="00A004F4" w:rsidP="00F06468">
      <w:pPr>
        <w:spacing w:after="120" w:line="360" w:lineRule="auto"/>
        <w:ind w:left="720" w:hanging="720"/>
        <w:jc w:val="both"/>
      </w:pPr>
      <w:r>
        <w:t xml:space="preserve">Helm, D. (2021) Net Zero: How We Stop Climate Change. </w:t>
      </w:r>
      <w:r>
        <w:rPr>
          <w:i/>
        </w:rPr>
        <w:t>London: William Collins.</w:t>
      </w:r>
    </w:p>
    <w:p w14:paraId="5CB1DDF2" w14:textId="77777777" w:rsidR="00A004F4" w:rsidRDefault="00A004F4" w:rsidP="00F06468">
      <w:pPr>
        <w:spacing w:after="120" w:line="360" w:lineRule="auto"/>
        <w:ind w:left="720" w:hanging="720"/>
        <w:jc w:val="both"/>
      </w:pPr>
      <w:r>
        <w:lastRenderedPageBreak/>
        <w:t xml:space="preserve">HM Treasury (2024) Energy Profits Levy Guidance and Autumn Statement Adjustments. </w:t>
      </w:r>
      <w:r>
        <w:rPr>
          <w:i/>
        </w:rPr>
        <w:t>London: HM Treasury.</w:t>
      </w:r>
    </w:p>
    <w:p w14:paraId="2E9C79B6" w14:textId="77777777" w:rsidR="00A004F4" w:rsidRDefault="00A004F4" w:rsidP="00F06468">
      <w:pPr>
        <w:spacing w:after="120" w:line="360" w:lineRule="auto"/>
        <w:ind w:left="720" w:hanging="720"/>
        <w:jc w:val="both"/>
      </w:pPr>
      <w:r>
        <w:t xml:space="preserve">IEA (2023) Renewable Energy Market Update: Outlook for 2023 and 2024. </w:t>
      </w:r>
      <w:r>
        <w:rPr>
          <w:i/>
        </w:rPr>
        <w:t>Paris: International Energy Agency.</w:t>
      </w:r>
    </w:p>
    <w:p w14:paraId="43F60B11" w14:textId="77777777" w:rsidR="00A004F4" w:rsidRDefault="00A004F4" w:rsidP="00F06468">
      <w:pPr>
        <w:spacing w:after="120" w:line="360" w:lineRule="auto"/>
        <w:ind w:left="720" w:hanging="720"/>
        <w:jc w:val="both"/>
      </w:pPr>
      <w:r>
        <w:t xml:space="preserve">IRENA (2024) Renewable Power Generation Costs in 2023. </w:t>
      </w:r>
      <w:r>
        <w:rPr>
          <w:i/>
        </w:rPr>
        <w:t>Abu Dhabi: International Renewable Energy Agency.</w:t>
      </w:r>
    </w:p>
    <w:p w14:paraId="51135DBF" w14:textId="77777777" w:rsidR="00A004F4" w:rsidRDefault="00A004F4" w:rsidP="00F06468">
      <w:pPr>
        <w:spacing w:after="120" w:line="360" w:lineRule="auto"/>
        <w:ind w:left="720" w:hanging="720"/>
        <w:jc w:val="both"/>
      </w:pPr>
      <w:r>
        <w:t xml:space="preserve">Kaplan, R.S. and Norton, D.P. (1992) ‘The Balanced Scorecard – Measures that Drive Performance’, </w:t>
      </w:r>
      <w:r>
        <w:rPr>
          <w:i/>
        </w:rPr>
        <w:t>Harvard Business Review</w:t>
      </w:r>
      <w:r>
        <w:t>, 70(1), pp. 71–79.</w:t>
      </w:r>
    </w:p>
    <w:p w14:paraId="6F0048AB" w14:textId="77777777" w:rsidR="00A004F4" w:rsidRDefault="00A004F4" w:rsidP="00F06468">
      <w:pPr>
        <w:spacing w:after="120" w:line="360" w:lineRule="auto"/>
        <w:ind w:left="720" w:hanging="720"/>
        <w:jc w:val="both"/>
      </w:pPr>
      <w:r>
        <w:t xml:space="preserve">National Grid (2023) Electricity </w:t>
      </w:r>
      <w:proofErr w:type="gramStart"/>
      <w:r>
        <w:t>Ten Year</w:t>
      </w:r>
      <w:proofErr w:type="gramEnd"/>
      <w:r>
        <w:t xml:space="preserve"> Statement 2023. </w:t>
      </w:r>
      <w:r>
        <w:rPr>
          <w:i/>
        </w:rPr>
        <w:t>Warwick: National Grid ESO.</w:t>
      </w:r>
    </w:p>
    <w:p w14:paraId="78F0B19E" w14:textId="77777777" w:rsidR="00A004F4" w:rsidRDefault="00A004F4" w:rsidP="00F06468">
      <w:pPr>
        <w:spacing w:after="120" w:line="360" w:lineRule="auto"/>
        <w:ind w:left="720" w:hanging="720"/>
        <w:jc w:val="both"/>
      </w:pPr>
      <w:r>
        <w:t xml:space="preserve">Porter, M.E. (1979) ‘How Competitive Forces Shape Strategy’, </w:t>
      </w:r>
      <w:r>
        <w:rPr>
          <w:i/>
        </w:rPr>
        <w:t>Harvard Business Review</w:t>
      </w:r>
      <w:r>
        <w:t>, 57(2), pp. 137–145.</w:t>
      </w:r>
    </w:p>
    <w:p w14:paraId="44DAF103" w14:textId="77777777" w:rsidR="00A004F4" w:rsidRDefault="00A004F4" w:rsidP="00F06468">
      <w:pPr>
        <w:spacing w:after="120" w:line="360" w:lineRule="auto"/>
        <w:ind w:left="720" w:hanging="720"/>
        <w:jc w:val="both"/>
      </w:pPr>
      <w:r>
        <w:t xml:space="preserve">Porter, M.E. (1985) Competitive Advantage: Creating and Sustaining Superior Performance. </w:t>
      </w:r>
      <w:r>
        <w:rPr>
          <w:i/>
        </w:rPr>
        <w:t>New York: Free Press.</w:t>
      </w:r>
    </w:p>
    <w:p w14:paraId="1E5CC840" w14:textId="77777777" w:rsidR="00A004F4" w:rsidRDefault="00A004F4" w:rsidP="00F06468">
      <w:pPr>
        <w:spacing w:after="120" w:line="360" w:lineRule="auto"/>
        <w:ind w:left="720" w:hanging="720"/>
        <w:jc w:val="both"/>
      </w:pPr>
      <w:r>
        <w:t xml:space="preserve">Porter, M.E. and Kramer, M.R. (2011) ‘Creating Shared Value’, </w:t>
      </w:r>
      <w:r>
        <w:rPr>
          <w:i/>
        </w:rPr>
        <w:t>Harvard Business Review</w:t>
      </w:r>
      <w:r>
        <w:t>, 89(1/2), pp. 62–77.</w:t>
      </w:r>
    </w:p>
    <w:p w14:paraId="687AEFA7" w14:textId="77777777" w:rsidR="00A004F4" w:rsidRDefault="00A004F4" w:rsidP="00F06468">
      <w:pPr>
        <w:spacing w:after="120" w:line="360" w:lineRule="auto"/>
        <w:ind w:left="720" w:hanging="720"/>
        <w:jc w:val="both"/>
      </w:pPr>
      <w:r>
        <w:t xml:space="preserve">Spender, J.C. (2014) Business Strategy: Managing Uncertainty, Opportunity, and Enterprise. </w:t>
      </w:r>
      <w:r>
        <w:rPr>
          <w:i/>
        </w:rPr>
        <w:t>Oxford: Oxford University Press.</w:t>
      </w:r>
    </w:p>
    <w:p w14:paraId="4F48C08B" w14:textId="77777777" w:rsidR="00A004F4" w:rsidRDefault="00A004F4" w:rsidP="00F06468">
      <w:pPr>
        <w:spacing w:after="120" w:line="360" w:lineRule="auto"/>
        <w:ind w:left="720" w:hanging="720"/>
        <w:jc w:val="both"/>
        <w:rPr>
          <w:i/>
        </w:rPr>
      </w:pPr>
      <w:proofErr w:type="spellStart"/>
      <w:r>
        <w:t>Zapmap</w:t>
      </w:r>
      <w:proofErr w:type="spellEnd"/>
      <w:r>
        <w:t xml:space="preserve"> (2024) EV Charging Infrastructure Statistics 2024. </w:t>
      </w:r>
      <w:r>
        <w:rPr>
          <w:i/>
        </w:rPr>
        <w:t xml:space="preserve">Bristol: </w:t>
      </w:r>
      <w:proofErr w:type="spellStart"/>
      <w:r>
        <w:rPr>
          <w:i/>
        </w:rPr>
        <w:t>Zapmap</w:t>
      </w:r>
      <w:proofErr w:type="spellEnd"/>
      <w:r>
        <w:rPr>
          <w:i/>
        </w:rPr>
        <w:t xml:space="preserve"> Ltd.</w:t>
      </w:r>
    </w:p>
    <w:p w14:paraId="2CDFA523" w14:textId="29A7CF9D" w:rsidR="003B4741" w:rsidRPr="003B4741" w:rsidRDefault="003B4741" w:rsidP="00F06468">
      <w:pPr>
        <w:spacing w:line="360" w:lineRule="auto"/>
        <w:ind w:left="720" w:hanging="720"/>
        <w:jc w:val="both"/>
        <w:rPr>
          <w:i/>
          <w:iCs/>
        </w:rPr>
      </w:pPr>
      <w:r>
        <w:t xml:space="preserve">Intergovernmental Panel on Climate Change (IPCC) (2023) </w:t>
      </w:r>
      <w:r w:rsidRPr="003B4741">
        <w:rPr>
          <w:i/>
          <w:iCs/>
        </w:rPr>
        <w:t xml:space="preserve">Climate Change 2023: Synthesis Report. </w:t>
      </w:r>
    </w:p>
    <w:p w14:paraId="1ACEF6E6" w14:textId="4F87D94A" w:rsidR="003B4741" w:rsidRDefault="003B4741" w:rsidP="00F06468">
      <w:pPr>
        <w:spacing w:line="360" w:lineRule="auto"/>
        <w:ind w:left="720" w:hanging="720"/>
        <w:jc w:val="both"/>
      </w:pPr>
      <w:r>
        <w:t xml:space="preserve">Society of Motor Manufacturers and Traders (SMMT) (2024) ‘Two straight years of growth for new car market’. </w:t>
      </w:r>
    </w:p>
    <w:p w14:paraId="1F19690C" w14:textId="77777777" w:rsidR="003B4741" w:rsidRPr="003B4741" w:rsidRDefault="003B4741" w:rsidP="00A004F4">
      <w:pPr>
        <w:spacing w:after="120" w:line="360" w:lineRule="auto"/>
        <w:ind w:left="720" w:hanging="720"/>
        <w:rPr>
          <w:iCs/>
        </w:rPr>
      </w:pPr>
    </w:p>
    <w:p w14:paraId="4204E861" w14:textId="5933B583" w:rsidR="00B9647F" w:rsidRPr="00D347E2" w:rsidRDefault="00B9647F" w:rsidP="00950D93">
      <w:pPr>
        <w:pStyle w:val="NoSpacing"/>
        <w:spacing w:line="360" w:lineRule="auto"/>
        <w:rPr>
          <w:rFonts w:cs="Arial"/>
        </w:rPr>
      </w:pPr>
      <w:r>
        <w:br/>
      </w:r>
      <w:r>
        <w:br/>
      </w:r>
    </w:p>
    <w:sectPr w:rsidR="00B9647F" w:rsidRPr="00D347E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35C3C" w14:textId="77777777" w:rsidR="00A53241" w:rsidRDefault="00A53241" w:rsidP="00253FD1">
      <w:pPr>
        <w:spacing w:after="0" w:line="240" w:lineRule="auto"/>
      </w:pPr>
      <w:r>
        <w:separator/>
      </w:r>
    </w:p>
  </w:endnote>
  <w:endnote w:type="continuationSeparator" w:id="0">
    <w:p w14:paraId="348A2F3C" w14:textId="77777777" w:rsidR="00A53241" w:rsidRDefault="00A53241" w:rsidP="00253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4475491"/>
      <w:docPartObj>
        <w:docPartGallery w:val="Page Numbers (Bottom of Page)"/>
        <w:docPartUnique/>
      </w:docPartObj>
    </w:sdtPr>
    <w:sdtEndPr>
      <w:rPr>
        <w:color w:val="7F7F7F" w:themeColor="background1" w:themeShade="7F"/>
        <w:spacing w:val="60"/>
      </w:rPr>
    </w:sdtEndPr>
    <w:sdtContent>
      <w:p w14:paraId="22779C7D" w14:textId="645C241C" w:rsidR="00253FD1" w:rsidRDefault="00253FD1">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3246712" w14:textId="77777777" w:rsidR="00253FD1" w:rsidRDefault="00253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F5DFB" w14:textId="77777777" w:rsidR="00A53241" w:rsidRDefault="00A53241" w:rsidP="00253FD1">
      <w:pPr>
        <w:spacing w:after="0" w:line="240" w:lineRule="auto"/>
      </w:pPr>
      <w:r>
        <w:separator/>
      </w:r>
    </w:p>
  </w:footnote>
  <w:footnote w:type="continuationSeparator" w:id="0">
    <w:p w14:paraId="50DF2A8C" w14:textId="77777777" w:rsidR="00A53241" w:rsidRDefault="00A53241" w:rsidP="00253F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A84"/>
    <w:rsid w:val="00043386"/>
    <w:rsid w:val="00054A84"/>
    <w:rsid w:val="000E1B71"/>
    <w:rsid w:val="000E6A7D"/>
    <w:rsid w:val="00144C63"/>
    <w:rsid w:val="001977E6"/>
    <w:rsid w:val="001E07EE"/>
    <w:rsid w:val="002004AA"/>
    <w:rsid w:val="00233A09"/>
    <w:rsid w:val="00253FD1"/>
    <w:rsid w:val="002560F6"/>
    <w:rsid w:val="00385EB4"/>
    <w:rsid w:val="003A4FC7"/>
    <w:rsid w:val="003B4741"/>
    <w:rsid w:val="00560AE9"/>
    <w:rsid w:val="005C3468"/>
    <w:rsid w:val="006C4117"/>
    <w:rsid w:val="006D100D"/>
    <w:rsid w:val="006D26B8"/>
    <w:rsid w:val="006F2FD5"/>
    <w:rsid w:val="00711340"/>
    <w:rsid w:val="00796569"/>
    <w:rsid w:val="007E637D"/>
    <w:rsid w:val="007F689B"/>
    <w:rsid w:val="008264D4"/>
    <w:rsid w:val="008947DF"/>
    <w:rsid w:val="008D578B"/>
    <w:rsid w:val="00950D93"/>
    <w:rsid w:val="009A7134"/>
    <w:rsid w:val="009C1CF7"/>
    <w:rsid w:val="009C4651"/>
    <w:rsid w:val="009D4447"/>
    <w:rsid w:val="009E3240"/>
    <w:rsid w:val="009E5EE0"/>
    <w:rsid w:val="00A004F4"/>
    <w:rsid w:val="00A53241"/>
    <w:rsid w:val="00A6770B"/>
    <w:rsid w:val="00A74AC9"/>
    <w:rsid w:val="00A76C45"/>
    <w:rsid w:val="00AA0CD7"/>
    <w:rsid w:val="00AD3D9F"/>
    <w:rsid w:val="00B20EBB"/>
    <w:rsid w:val="00B9647F"/>
    <w:rsid w:val="00BF55E6"/>
    <w:rsid w:val="00C016E9"/>
    <w:rsid w:val="00C10D9A"/>
    <w:rsid w:val="00C77A47"/>
    <w:rsid w:val="00C77B70"/>
    <w:rsid w:val="00CA035C"/>
    <w:rsid w:val="00D150B0"/>
    <w:rsid w:val="00D347E2"/>
    <w:rsid w:val="00D50B7D"/>
    <w:rsid w:val="00DA0568"/>
    <w:rsid w:val="00E01B00"/>
    <w:rsid w:val="00E51E94"/>
    <w:rsid w:val="00E741C4"/>
    <w:rsid w:val="00E826F0"/>
    <w:rsid w:val="00E967C4"/>
    <w:rsid w:val="00F06468"/>
    <w:rsid w:val="00F86058"/>
    <w:rsid w:val="00FD1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F57BC"/>
  <w15:chartTrackingRefBased/>
  <w15:docId w15:val="{E111BD91-897B-441C-8566-9561742E0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4A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4A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4A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4A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4A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4A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4A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4A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4A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A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4A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4A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4A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4A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4A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4A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4A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4A84"/>
    <w:rPr>
      <w:rFonts w:eastAsiaTheme="majorEastAsia" w:cstheme="majorBidi"/>
      <w:color w:val="272727" w:themeColor="text1" w:themeTint="D8"/>
    </w:rPr>
  </w:style>
  <w:style w:type="paragraph" w:styleId="Title">
    <w:name w:val="Title"/>
    <w:basedOn w:val="Normal"/>
    <w:next w:val="Normal"/>
    <w:link w:val="TitleChar"/>
    <w:uiPriority w:val="10"/>
    <w:qFormat/>
    <w:rsid w:val="00054A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4A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4A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4A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4A84"/>
    <w:pPr>
      <w:spacing w:before="160"/>
      <w:jc w:val="center"/>
    </w:pPr>
    <w:rPr>
      <w:i/>
      <w:iCs/>
      <w:color w:val="404040" w:themeColor="text1" w:themeTint="BF"/>
    </w:rPr>
  </w:style>
  <w:style w:type="character" w:customStyle="1" w:styleId="QuoteChar">
    <w:name w:val="Quote Char"/>
    <w:basedOn w:val="DefaultParagraphFont"/>
    <w:link w:val="Quote"/>
    <w:uiPriority w:val="29"/>
    <w:rsid w:val="00054A84"/>
    <w:rPr>
      <w:i/>
      <w:iCs/>
      <w:color w:val="404040" w:themeColor="text1" w:themeTint="BF"/>
    </w:rPr>
  </w:style>
  <w:style w:type="paragraph" w:styleId="ListParagraph">
    <w:name w:val="List Paragraph"/>
    <w:basedOn w:val="Normal"/>
    <w:uiPriority w:val="34"/>
    <w:qFormat/>
    <w:rsid w:val="00054A84"/>
    <w:pPr>
      <w:ind w:left="720"/>
      <w:contextualSpacing/>
    </w:pPr>
  </w:style>
  <w:style w:type="character" w:styleId="IntenseEmphasis">
    <w:name w:val="Intense Emphasis"/>
    <w:basedOn w:val="DefaultParagraphFont"/>
    <w:uiPriority w:val="21"/>
    <w:qFormat/>
    <w:rsid w:val="00054A84"/>
    <w:rPr>
      <w:i/>
      <w:iCs/>
      <w:color w:val="0F4761" w:themeColor="accent1" w:themeShade="BF"/>
    </w:rPr>
  </w:style>
  <w:style w:type="paragraph" w:styleId="IntenseQuote">
    <w:name w:val="Intense Quote"/>
    <w:basedOn w:val="Normal"/>
    <w:next w:val="Normal"/>
    <w:link w:val="IntenseQuoteChar"/>
    <w:uiPriority w:val="30"/>
    <w:qFormat/>
    <w:rsid w:val="00054A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4A84"/>
    <w:rPr>
      <w:i/>
      <w:iCs/>
      <w:color w:val="0F4761" w:themeColor="accent1" w:themeShade="BF"/>
    </w:rPr>
  </w:style>
  <w:style w:type="character" w:styleId="IntenseReference">
    <w:name w:val="Intense Reference"/>
    <w:basedOn w:val="DefaultParagraphFont"/>
    <w:uiPriority w:val="32"/>
    <w:qFormat/>
    <w:rsid w:val="00054A84"/>
    <w:rPr>
      <w:b/>
      <w:bCs/>
      <w:smallCaps/>
      <w:color w:val="0F4761" w:themeColor="accent1" w:themeShade="BF"/>
      <w:spacing w:val="5"/>
    </w:rPr>
  </w:style>
  <w:style w:type="paragraph" w:styleId="NoSpacing">
    <w:name w:val="No Spacing"/>
    <w:uiPriority w:val="1"/>
    <w:qFormat/>
    <w:rsid w:val="00B9647F"/>
    <w:pPr>
      <w:spacing w:after="0" w:line="240" w:lineRule="auto"/>
    </w:pPr>
  </w:style>
  <w:style w:type="paragraph" w:styleId="TOCHeading">
    <w:name w:val="TOC Heading"/>
    <w:basedOn w:val="Heading1"/>
    <w:next w:val="Normal"/>
    <w:uiPriority w:val="39"/>
    <w:unhideWhenUsed/>
    <w:qFormat/>
    <w:rsid w:val="00E01B0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01B00"/>
    <w:pPr>
      <w:spacing w:after="100"/>
    </w:pPr>
  </w:style>
  <w:style w:type="paragraph" w:styleId="TOC2">
    <w:name w:val="toc 2"/>
    <w:basedOn w:val="Normal"/>
    <w:next w:val="Normal"/>
    <w:autoRedefine/>
    <w:uiPriority w:val="39"/>
    <w:unhideWhenUsed/>
    <w:rsid w:val="00E01B00"/>
    <w:pPr>
      <w:spacing w:after="100"/>
      <w:ind w:left="240"/>
    </w:pPr>
  </w:style>
  <w:style w:type="character" w:styleId="Hyperlink">
    <w:name w:val="Hyperlink"/>
    <w:basedOn w:val="DefaultParagraphFont"/>
    <w:uiPriority w:val="99"/>
    <w:unhideWhenUsed/>
    <w:rsid w:val="00E01B00"/>
    <w:rPr>
      <w:color w:val="467886" w:themeColor="hyperlink"/>
      <w:u w:val="single"/>
    </w:rPr>
  </w:style>
  <w:style w:type="paragraph" w:styleId="Header">
    <w:name w:val="header"/>
    <w:basedOn w:val="Normal"/>
    <w:link w:val="HeaderChar"/>
    <w:uiPriority w:val="99"/>
    <w:unhideWhenUsed/>
    <w:rsid w:val="00253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FD1"/>
  </w:style>
  <w:style w:type="paragraph" w:styleId="Footer">
    <w:name w:val="footer"/>
    <w:basedOn w:val="Normal"/>
    <w:link w:val="FooterChar"/>
    <w:uiPriority w:val="99"/>
    <w:unhideWhenUsed/>
    <w:rsid w:val="00253F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8C878-9CC5-470C-9BC4-3A0336B01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6702</Words>
  <Characters>38205</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vivek Patel</dc:creator>
  <cp:keywords/>
  <dc:description/>
  <cp:lastModifiedBy>vivek Patel</cp:lastModifiedBy>
  <cp:revision>40</cp:revision>
  <dcterms:created xsi:type="dcterms:W3CDTF">2026-08-10T18:17:00Z</dcterms:created>
  <dcterms:modified xsi:type="dcterms:W3CDTF">2026-08-12T08:38:00Z</dcterms:modified>
</cp:coreProperties>
</file>