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C5EED94" w14:textId="77777777" w:rsidR="00643E6A" w:rsidRDefault="00643E6A">
      <w:pPr>
        <w:pStyle w:val="Title"/>
        <w:rPr>
          <w:sz w:val="36"/>
          <w:szCs w:val="36"/>
          <w:lang w:val="en-GB"/>
        </w:rPr>
      </w:pPr>
      <w:bookmarkStart w:id="0" w:name="_2kumdxe70kae" w:colFirst="0" w:colLast="0"/>
      <w:bookmarkEnd w:id="0"/>
    </w:p>
    <w:p w14:paraId="574938E9" w14:textId="77777777" w:rsidR="00643E6A" w:rsidRDefault="00643E6A">
      <w:pPr>
        <w:pStyle w:val="Title"/>
        <w:rPr>
          <w:sz w:val="36"/>
          <w:szCs w:val="36"/>
          <w:lang w:val="en-GB"/>
        </w:rPr>
      </w:pPr>
    </w:p>
    <w:p w14:paraId="3E273A8E" w14:textId="00CD191E" w:rsidR="00643E6A" w:rsidRDefault="00643E6A">
      <w:pPr>
        <w:pStyle w:val="Title"/>
        <w:rPr>
          <w:sz w:val="36"/>
          <w:szCs w:val="36"/>
        </w:rPr>
      </w:pPr>
      <w:r w:rsidRPr="00643E6A">
        <w:rPr>
          <w:sz w:val="36"/>
          <w:szCs w:val="36"/>
          <w:lang w:val="en-GB"/>
        </w:rPr>
        <w:t xml:space="preserve">Assessment Component </w:t>
      </w:r>
      <w:r w:rsidRPr="00643E6A">
        <w:rPr>
          <w:sz w:val="36"/>
          <w:szCs w:val="36"/>
          <w:lang w:val="en-GB"/>
        </w:rPr>
        <w:t>2</w:t>
      </w:r>
      <w:r>
        <w:rPr>
          <w:sz w:val="36"/>
          <w:szCs w:val="36"/>
          <w:lang w:val="en-GB"/>
        </w:rPr>
        <w:t>.</w:t>
      </w:r>
      <w:r w:rsidRPr="00643E6A">
        <w:rPr>
          <w:sz w:val="36"/>
          <w:szCs w:val="36"/>
          <w:lang w:val="en-GB"/>
        </w:rPr>
        <w:t xml:space="preserve"> Individual report</w:t>
      </w:r>
      <w:r w:rsidRPr="00643E6A">
        <w:rPr>
          <w:sz w:val="36"/>
          <w:szCs w:val="36"/>
        </w:rPr>
        <w:t xml:space="preserve">  </w:t>
      </w:r>
    </w:p>
    <w:p w14:paraId="6439097A" w14:textId="77777777" w:rsidR="00643E6A" w:rsidRPr="00643E6A" w:rsidRDefault="00643E6A" w:rsidP="00643E6A"/>
    <w:p w14:paraId="00000001" w14:textId="207AEB0E" w:rsidR="003A21F6" w:rsidRPr="00643E6A" w:rsidRDefault="00643E6A" w:rsidP="00643E6A">
      <w:pPr>
        <w:pStyle w:val="Title"/>
        <w:rPr>
          <w:bCs/>
          <w:sz w:val="36"/>
          <w:szCs w:val="36"/>
        </w:rPr>
      </w:pPr>
      <w:r w:rsidRPr="00643E6A">
        <w:rPr>
          <w:bCs/>
          <w:sz w:val="36"/>
          <w:szCs w:val="36"/>
        </w:rPr>
        <w:t>BA Business Management</w:t>
      </w:r>
      <w:r>
        <w:rPr>
          <w:bCs/>
          <w:sz w:val="36"/>
          <w:szCs w:val="36"/>
        </w:rPr>
        <w:t xml:space="preserve">                                                </w:t>
      </w:r>
      <w:r w:rsidR="00276BEA" w:rsidRPr="00643E6A">
        <w:rPr>
          <w:sz w:val="36"/>
          <w:szCs w:val="36"/>
          <w:lang w:val="en-GB"/>
        </w:rPr>
        <w:t xml:space="preserve">Managing People </w:t>
      </w:r>
      <w:r w:rsidRPr="00643E6A">
        <w:rPr>
          <w:sz w:val="36"/>
          <w:szCs w:val="36"/>
          <w:lang w:val="en-GB"/>
        </w:rPr>
        <w:t>LCBB5004</w:t>
      </w:r>
    </w:p>
    <w:p w14:paraId="2DA2E9CD" w14:textId="0ACB5E08" w:rsidR="00643E6A" w:rsidRPr="00643E6A" w:rsidRDefault="00643E6A" w:rsidP="00643E6A">
      <w:pPr>
        <w:jc w:val="center"/>
        <w:rPr>
          <w:b/>
          <w:sz w:val="36"/>
          <w:szCs w:val="36"/>
          <w:lang w:val="en-GB"/>
        </w:rPr>
      </w:pPr>
      <w:r>
        <w:rPr>
          <w:lang w:val="en-GB"/>
        </w:rPr>
        <w:t xml:space="preserve">    </w:t>
      </w:r>
      <w:r w:rsidRPr="00643E6A">
        <w:rPr>
          <w:b/>
          <w:sz w:val="36"/>
          <w:szCs w:val="36"/>
          <w:lang w:val="en-GB"/>
        </w:rPr>
        <w:t>Student Name:</w:t>
      </w:r>
      <w:r>
        <w:rPr>
          <w:b/>
          <w:sz w:val="36"/>
          <w:szCs w:val="36"/>
          <w:lang w:val="en-GB"/>
        </w:rPr>
        <w:t xml:space="preserve"> Marian Giani Jianu</w:t>
      </w:r>
    </w:p>
    <w:p w14:paraId="5DF01764" w14:textId="24D59E20" w:rsidR="00643E6A" w:rsidRPr="00643E6A" w:rsidRDefault="00643E6A" w:rsidP="00643E6A">
      <w:pPr>
        <w:spacing w:before="200" w:after="200"/>
        <w:jc w:val="center"/>
        <w:rPr>
          <w:b/>
          <w:sz w:val="36"/>
          <w:szCs w:val="36"/>
          <w:lang w:val="en-GB"/>
        </w:rPr>
      </w:pPr>
      <w:r w:rsidRPr="00643E6A">
        <w:rPr>
          <w:b/>
          <w:sz w:val="36"/>
          <w:szCs w:val="36"/>
          <w:lang w:val="en-GB"/>
        </w:rPr>
        <w:t>Student ID:</w:t>
      </w:r>
      <w:r>
        <w:rPr>
          <w:b/>
          <w:sz w:val="36"/>
          <w:szCs w:val="36"/>
          <w:lang w:val="en-GB"/>
        </w:rPr>
        <w:t xml:space="preserve"> 2231436</w:t>
      </w:r>
    </w:p>
    <w:p w14:paraId="2B1B55EC" w14:textId="1F19EC1D" w:rsidR="00643E6A" w:rsidRPr="00643E6A" w:rsidRDefault="00643E6A" w:rsidP="00643E6A">
      <w:pPr>
        <w:rPr>
          <w:b/>
          <w:bCs/>
          <w:sz w:val="36"/>
          <w:szCs w:val="36"/>
          <w:lang w:val="en-GB"/>
        </w:rPr>
      </w:pPr>
      <w:r>
        <w:rPr>
          <w:b/>
          <w:bCs/>
          <w:sz w:val="36"/>
          <w:szCs w:val="36"/>
          <w:lang w:val="en-GB"/>
        </w:rPr>
        <w:t xml:space="preserve">                            Lecturer DR. IMO ENANG</w:t>
      </w:r>
    </w:p>
    <w:p w14:paraId="00000002" w14:textId="2BBC7682" w:rsidR="003A21F6" w:rsidRPr="003B782D" w:rsidRDefault="00276BEA">
      <w:pPr>
        <w:pStyle w:val="Title"/>
        <w:rPr>
          <w:lang w:val="en-GB"/>
        </w:rPr>
      </w:pPr>
      <w:bookmarkStart w:id="1" w:name="_n6y0kxmxmdm9" w:colFirst="0" w:colLast="0"/>
      <w:bookmarkEnd w:id="1"/>
      <w:r w:rsidRPr="003B782D">
        <w:rPr>
          <w:lang w:val="en-GB"/>
        </w:rPr>
        <w:br w:type="page"/>
      </w:r>
    </w:p>
    <w:p w14:paraId="00000003" w14:textId="77777777" w:rsidR="003A21F6" w:rsidRPr="003B782D" w:rsidRDefault="00276BEA">
      <w:pPr>
        <w:jc w:val="center"/>
        <w:rPr>
          <w:b/>
          <w:lang w:val="en-GB"/>
        </w:rPr>
      </w:pPr>
      <w:r w:rsidRPr="003B782D">
        <w:rPr>
          <w:b/>
          <w:lang w:val="en-GB"/>
        </w:rPr>
        <w:lastRenderedPageBreak/>
        <w:t xml:space="preserve">Table of contents </w:t>
      </w:r>
    </w:p>
    <w:p w14:paraId="00000004" w14:textId="77777777" w:rsidR="003A21F6" w:rsidRPr="003B782D" w:rsidRDefault="003A21F6">
      <w:pPr>
        <w:jc w:val="center"/>
        <w:rPr>
          <w:lang w:val="en-GB"/>
        </w:rPr>
      </w:pPr>
    </w:p>
    <w:sdt>
      <w:sdtPr>
        <w:rPr>
          <w:lang w:val="en-GB"/>
        </w:rPr>
        <w:id w:val="1588035837"/>
        <w:docPartObj>
          <w:docPartGallery w:val="Table of Contents"/>
          <w:docPartUnique/>
        </w:docPartObj>
      </w:sdtPr>
      <w:sdtContent>
        <w:p w14:paraId="00000005" w14:textId="77777777" w:rsidR="003A21F6" w:rsidRPr="003B782D" w:rsidRDefault="00276BEA">
          <w:pPr>
            <w:widowControl w:val="0"/>
            <w:tabs>
              <w:tab w:val="right" w:pos="12000"/>
            </w:tabs>
            <w:spacing w:before="60"/>
            <w:jc w:val="left"/>
            <w:rPr>
              <w:color w:val="000000"/>
              <w:lang w:val="en-GB"/>
            </w:rPr>
          </w:pPr>
          <w:r w:rsidRPr="003B782D">
            <w:rPr>
              <w:lang w:val="en-GB"/>
            </w:rPr>
            <w:fldChar w:fldCharType="begin"/>
          </w:r>
          <w:r w:rsidRPr="003B782D">
            <w:rPr>
              <w:lang w:val="en-GB"/>
            </w:rPr>
            <w:instrText xml:space="preserve"> TOC \h \u \z \t "Heading 1,1,Heading 2,2,Heading 3,3,Heading 4,4,Heading 5,5,Heading 6,6,"</w:instrText>
          </w:r>
          <w:r w:rsidRPr="003B782D">
            <w:rPr>
              <w:lang w:val="en-GB"/>
            </w:rPr>
            <w:fldChar w:fldCharType="separate"/>
          </w:r>
          <w:hyperlink w:anchor="_qkbuvex9zqoz">
            <w:r w:rsidRPr="003B782D">
              <w:rPr>
                <w:color w:val="000000"/>
                <w:lang w:val="en-GB"/>
              </w:rPr>
              <w:t>Introduction</w:t>
            </w:r>
            <w:r w:rsidRPr="003B782D">
              <w:rPr>
                <w:color w:val="000000"/>
                <w:lang w:val="en-GB"/>
              </w:rPr>
              <w:tab/>
              <w:t>3</w:t>
            </w:r>
          </w:hyperlink>
        </w:p>
        <w:p w14:paraId="00000006" w14:textId="77777777" w:rsidR="003A21F6" w:rsidRPr="003B782D" w:rsidRDefault="00000000">
          <w:pPr>
            <w:widowControl w:val="0"/>
            <w:tabs>
              <w:tab w:val="right" w:pos="12000"/>
            </w:tabs>
            <w:spacing w:before="60"/>
            <w:jc w:val="left"/>
            <w:rPr>
              <w:color w:val="000000"/>
              <w:lang w:val="en-GB"/>
            </w:rPr>
          </w:pPr>
          <w:hyperlink w:anchor="_4xbnfo5ug6zs">
            <w:r w:rsidR="00276BEA" w:rsidRPr="003B782D">
              <w:rPr>
                <w:color w:val="000000"/>
                <w:lang w:val="en-GB"/>
              </w:rPr>
              <w:t>Outline the benefits of implementing flexible working strategies in the organisation.</w:t>
            </w:r>
            <w:r w:rsidR="00276BEA" w:rsidRPr="003B782D">
              <w:rPr>
                <w:color w:val="000000"/>
                <w:lang w:val="en-GB"/>
              </w:rPr>
              <w:tab/>
              <w:t>4</w:t>
            </w:r>
          </w:hyperlink>
        </w:p>
        <w:p w14:paraId="00000007" w14:textId="77777777" w:rsidR="003A21F6" w:rsidRPr="003B782D" w:rsidRDefault="00000000">
          <w:pPr>
            <w:widowControl w:val="0"/>
            <w:tabs>
              <w:tab w:val="right" w:pos="12000"/>
            </w:tabs>
            <w:spacing w:before="60"/>
            <w:jc w:val="left"/>
            <w:rPr>
              <w:color w:val="000000"/>
              <w:lang w:val="en-GB"/>
            </w:rPr>
          </w:pPr>
          <w:hyperlink w:anchor="_j5zflasg2gy3">
            <w:r w:rsidR="00276BEA" w:rsidRPr="003B782D">
              <w:rPr>
                <w:color w:val="000000"/>
                <w:lang w:val="en-GB"/>
              </w:rPr>
              <w:t>The facts must be considered by the organisation and the HR team before implementing flexible working in the employee workforce.</w:t>
            </w:r>
            <w:r w:rsidR="00276BEA" w:rsidRPr="003B782D">
              <w:rPr>
                <w:color w:val="000000"/>
                <w:lang w:val="en-GB"/>
              </w:rPr>
              <w:tab/>
              <w:t>5</w:t>
            </w:r>
          </w:hyperlink>
        </w:p>
        <w:p w14:paraId="00000008" w14:textId="77777777" w:rsidR="003A21F6" w:rsidRPr="003B782D" w:rsidRDefault="00000000">
          <w:pPr>
            <w:widowControl w:val="0"/>
            <w:tabs>
              <w:tab w:val="right" w:pos="12000"/>
            </w:tabs>
            <w:spacing w:before="60"/>
            <w:jc w:val="left"/>
            <w:rPr>
              <w:color w:val="000000"/>
              <w:lang w:val="en-GB"/>
            </w:rPr>
          </w:pPr>
          <w:hyperlink w:anchor="_ei6j85f5thmf">
            <w:r w:rsidR="00276BEA" w:rsidRPr="003B782D">
              <w:rPr>
                <w:color w:val="000000"/>
                <w:lang w:val="en-GB"/>
              </w:rPr>
              <w:t>Reconfiguration of the pay structure before implementing the flexible work model.</w:t>
            </w:r>
            <w:r w:rsidR="00276BEA" w:rsidRPr="003B782D">
              <w:rPr>
                <w:color w:val="000000"/>
                <w:lang w:val="en-GB"/>
              </w:rPr>
              <w:tab/>
              <w:t>7</w:t>
            </w:r>
          </w:hyperlink>
        </w:p>
        <w:p w14:paraId="00000009" w14:textId="77777777" w:rsidR="003A21F6" w:rsidRPr="003B782D" w:rsidRDefault="00000000">
          <w:pPr>
            <w:widowControl w:val="0"/>
            <w:tabs>
              <w:tab w:val="right" w:pos="12000"/>
            </w:tabs>
            <w:spacing w:before="60"/>
            <w:jc w:val="left"/>
            <w:rPr>
              <w:color w:val="000000"/>
              <w:lang w:val="en-GB"/>
            </w:rPr>
          </w:pPr>
          <w:hyperlink w:anchor="_2y5g11hxlegu">
            <w:r w:rsidR="00276BEA" w:rsidRPr="003B782D">
              <w:rPr>
                <w:color w:val="000000"/>
                <w:lang w:val="en-GB"/>
              </w:rPr>
              <w:t>Evaluate strategies to promote employee engagement while implementing flexible working.</w:t>
            </w:r>
            <w:r w:rsidR="00276BEA" w:rsidRPr="003B782D">
              <w:rPr>
                <w:color w:val="000000"/>
                <w:lang w:val="en-GB"/>
              </w:rPr>
              <w:tab/>
              <w:t>9</w:t>
            </w:r>
          </w:hyperlink>
        </w:p>
        <w:p w14:paraId="0000000A" w14:textId="77777777" w:rsidR="003A21F6" w:rsidRPr="003B782D" w:rsidRDefault="00000000">
          <w:pPr>
            <w:widowControl w:val="0"/>
            <w:tabs>
              <w:tab w:val="right" w:pos="12000"/>
            </w:tabs>
            <w:spacing w:before="60"/>
            <w:jc w:val="left"/>
            <w:rPr>
              <w:color w:val="000000"/>
              <w:lang w:val="en-GB"/>
            </w:rPr>
          </w:pPr>
          <w:hyperlink w:anchor="_me1ivkq31te8">
            <w:r w:rsidR="00276BEA" w:rsidRPr="003B782D">
              <w:rPr>
                <w:color w:val="000000"/>
                <w:lang w:val="en-GB"/>
              </w:rPr>
              <w:t>Conclusion</w:t>
            </w:r>
            <w:r w:rsidR="00276BEA" w:rsidRPr="003B782D">
              <w:rPr>
                <w:color w:val="000000"/>
                <w:lang w:val="en-GB"/>
              </w:rPr>
              <w:tab/>
              <w:t>10</w:t>
            </w:r>
          </w:hyperlink>
        </w:p>
        <w:p w14:paraId="0000000B" w14:textId="77777777" w:rsidR="003A21F6" w:rsidRPr="003B782D" w:rsidRDefault="00000000">
          <w:pPr>
            <w:widowControl w:val="0"/>
            <w:tabs>
              <w:tab w:val="right" w:pos="12000"/>
            </w:tabs>
            <w:spacing w:before="60"/>
            <w:jc w:val="left"/>
            <w:rPr>
              <w:color w:val="000000"/>
              <w:lang w:val="en-GB"/>
            </w:rPr>
          </w:pPr>
          <w:hyperlink w:anchor="_tvsxx7hybira">
            <w:r w:rsidR="00276BEA" w:rsidRPr="003B782D">
              <w:rPr>
                <w:color w:val="000000"/>
                <w:lang w:val="en-GB"/>
              </w:rPr>
              <w:t>References</w:t>
            </w:r>
            <w:r w:rsidR="00276BEA" w:rsidRPr="003B782D">
              <w:rPr>
                <w:color w:val="000000"/>
                <w:lang w:val="en-GB"/>
              </w:rPr>
              <w:tab/>
              <w:t>11</w:t>
            </w:r>
          </w:hyperlink>
          <w:r w:rsidR="00276BEA" w:rsidRPr="003B782D">
            <w:rPr>
              <w:lang w:val="en-GB"/>
            </w:rPr>
            <w:fldChar w:fldCharType="end"/>
          </w:r>
        </w:p>
      </w:sdtContent>
    </w:sdt>
    <w:p w14:paraId="0000000C" w14:textId="77777777" w:rsidR="003A21F6" w:rsidRPr="003B782D" w:rsidRDefault="00276BEA">
      <w:pPr>
        <w:jc w:val="center"/>
        <w:rPr>
          <w:lang w:val="en-GB"/>
        </w:rPr>
      </w:pPr>
      <w:r w:rsidRPr="003B782D">
        <w:rPr>
          <w:lang w:val="en-GB"/>
        </w:rPr>
        <w:br w:type="page"/>
      </w:r>
    </w:p>
    <w:p w14:paraId="0000000D" w14:textId="77777777" w:rsidR="003A21F6" w:rsidRPr="003B782D" w:rsidRDefault="00276BEA">
      <w:pPr>
        <w:pStyle w:val="Heading1"/>
        <w:rPr>
          <w:lang w:val="en-GB"/>
        </w:rPr>
      </w:pPr>
      <w:bookmarkStart w:id="2" w:name="_qkbuvex9zqoz" w:colFirst="0" w:colLast="0"/>
      <w:bookmarkEnd w:id="2"/>
      <w:r w:rsidRPr="003B782D">
        <w:rPr>
          <w:lang w:val="en-GB"/>
        </w:rPr>
        <w:lastRenderedPageBreak/>
        <w:t>Introduction</w:t>
      </w:r>
    </w:p>
    <w:p w14:paraId="0000000E" w14:textId="1FF8B4C1" w:rsidR="003A21F6" w:rsidRPr="003B782D" w:rsidRDefault="00276BEA">
      <w:pPr>
        <w:rPr>
          <w:color w:val="222222"/>
          <w:highlight w:val="white"/>
          <w:lang w:val="en-GB"/>
        </w:rPr>
      </w:pPr>
      <w:r w:rsidRPr="003B782D">
        <w:rPr>
          <w:color w:val="222222"/>
          <w:highlight w:val="white"/>
          <w:lang w:val="en-GB"/>
        </w:rPr>
        <w:t xml:space="preserve">The following report will discuss the modern business environment and the practices done by companies in order to attract employees. Flexible work culture is a practice which is being done by companies to attract talents from all over the world. It has allowed the companies to have access to additional talents who are not available to the company to close the skills gaps. The following report will discuss the importance of a flexible work culture at </w:t>
      </w:r>
      <w:r w:rsidR="003B782D" w:rsidRPr="003B782D">
        <w:rPr>
          <w:color w:val="222222"/>
          <w:highlight w:val="white"/>
          <w:lang w:val="en-GB"/>
        </w:rPr>
        <w:t>Agro Tools</w:t>
      </w:r>
      <w:r w:rsidRPr="003B782D">
        <w:rPr>
          <w:color w:val="222222"/>
          <w:highlight w:val="white"/>
          <w:lang w:val="en-GB"/>
        </w:rPr>
        <w:t>, an agriculture tools supplier company. The report will discuss why the flexible work environment is beneficial for the company and how the organisation, specifically the HR department can successfully implement the work culture. The report will also explain how the pay structure must be reconfigured to balance the wages of employees under the new work culture. The report will use theory to explain why the company must consider different pay structures. The report will also explain how successfully the company can include the employees in the new hybrid work culture while also promoting growth.</w:t>
      </w:r>
    </w:p>
    <w:p w14:paraId="0000000F" w14:textId="77777777" w:rsidR="003A21F6" w:rsidRPr="003B782D" w:rsidRDefault="003A21F6">
      <w:pPr>
        <w:rPr>
          <w:color w:val="222222"/>
          <w:highlight w:val="white"/>
          <w:lang w:val="en-GB"/>
        </w:rPr>
      </w:pPr>
    </w:p>
    <w:p w14:paraId="00000010" w14:textId="77777777" w:rsidR="003A21F6" w:rsidRPr="003B782D" w:rsidRDefault="00276BEA">
      <w:pPr>
        <w:rPr>
          <w:lang w:val="en-GB"/>
        </w:rPr>
      </w:pPr>
      <w:r w:rsidRPr="003B782D">
        <w:rPr>
          <w:lang w:val="en-GB"/>
        </w:rPr>
        <w:br w:type="page"/>
      </w:r>
    </w:p>
    <w:p w14:paraId="00000011" w14:textId="77777777" w:rsidR="003A21F6" w:rsidRPr="003B782D" w:rsidRDefault="00276BEA">
      <w:pPr>
        <w:pStyle w:val="Heading1"/>
        <w:rPr>
          <w:lang w:val="en-GB"/>
        </w:rPr>
      </w:pPr>
      <w:bookmarkStart w:id="3" w:name="_4xbnfo5ug6zs" w:colFirst="0" w:colLast="0"/>
      <w:bookmarkEnd w:id="3"/>
      <w:r w:rsidRPr="003B782D">
        <w:rPr>
          <w:lang w:val="en-GB"/>
        </w:rPr>
        <w:lastRenderedPageBreak/>
        <w:t>Outline the benefits of implementing flexible working strategies in the organisation.</w:t>
      </w:r>
    </w:p>
    <w:p w14:paraId="00000012" w14:textId="54EFAB03" w:rsidR="003A21F6" w:rsidRPr="003B782D" w:rsidRDefault="00276BEA">
      <w:pPr>
        <w:rPr>
          <w:lang w:val="en-GB"/>
        </w:rPr>
      </w:pPr>
      <w:r w:rsidRPr="003B782D">
        <w:rPr>
          <w:b/>
          <w:i/>
          <w:lang w:val="en-GB"/>
        </w:rPr>
        <w:t>Flexible Work Arrangements</w:t>
      </w:r>
      <w:r w:rsidRPr="003B782D">
        <w:rPr>
          <w:lang w:val="en-GB"/>
        </w:rPr>
        <w:t xml:space="preserve"> is a hybrid work theory that explains that employees can perform better when they have the freedom to work in flexible work </w:t>
      </w:r>
      <w:r w:rsidR="006F25E2" w:rsidRPr="003B782D">
        <w:rPr>
          <w:lang w:val="en-GB"/>
        </w:rPr>
        <w:t>shifts (</w:t>
      </w:r>
      <w:r w:rsidRPr="003B782D">
        <w:rPr>
          <w:color w:val="222222"/>
          <w:highlight w:val="white"/>
          <w:lang w:val="en-GB"/>
        </w:rPr>
        <w:t>Weideman and Hofmeyr, 2020)</w:t>
      </w:r>
      <w:r w:rsidRPr="003B782D">
        <w:rPr>
          <w:lang w:val="en-GB"/>
        </w:rPr>
        <w:t xml:space="preserve">. The theory explains that this model provides employees with the benefits of maintaining a healthy work-life balance that is essential for their mental health. AgroTools is a capital goods company which operates in providing solutions associated with agriculture products and has a lot of potential in implementing a flexible work culture. The company has three premises each carrying out different operations such as manufacturing, warehousing and selling. Flexible working strategies mean a hybrid work culture where a significant portion of the total workforce can work remotely from other locations. It has been implemented by many organisations to encourage the freedom of working with less pressure. AgroTools has been involved in manufacturing products and introducing tools which have revolutionised the agriculture industry. For the company, this will mean hiring workers from a large pool of workers available on the job portals from all over the globe. This way the company can have valuable suggestions from experts from different geographies who are not in reach of the company. These employees will help the company manage back-office operations and provide technical IT support. </w:t>
      </w:r>
    </w:p>
    <w:p w14:paraId="00000013" w14:textId="77777777" w:rsidR="003A21F6" w:rsidRPr="003B782D" w:rsidRDefault="00276BEA">
      <w:pPr>
        <w:rPr>
          <w:lang w:val="en-GB"/>
        </w:rPr>
      </w:pPr>
      <w:r w:rsidRPr="003B782D">
        <w:rPr>
          <w:lang w:val="en-GB"/>
        </w:rPr>
        <w:t>A flexible work culture allows the engineers and pioneers involved in creating strategies for the products or innovation to have enough rest. This also allows them to maintain a proper work-life balance. A proper work-life balance is crucial to energise employees and motivate them towards putting in more dedication by managing their mental health and work-related stress. Therefore, the strategy will help the company to bring more innovation and improve productivity. The company can also reduce a lot of operational costs as it will accommodate fewer employees inside the premises. This way the company can avoid costs associated with employee expenses.</w:t>
      </w:r>
    </w:p>
    <w:p w14:paraId="00000014" w14:textId="77777777" w:rsidR="003A21F6" w:rsidRPr="003B782D" w:rsidRDefault="00276BEA">
      <w:pPr>
        <w:rPr>
          <w:b/>
          <w:lang w:val="en-GB"/>
        </w:rPr>
      </w:pPr>
      <w:r w:rsidRPr="003B782D">
        <w:rPr>
          <w:lang w:val="en-GB"/>
        </w:rPr>
        <w:br w:type="page"/>
      </w:r>
    </w:p>
    <w:p w14:paraId="00000015" w14:textId="77777777" w:rsidR="003A21F6" w:rsidRPr="003B782D" w:rsidRDefault="00276BEA">
      <w:pPr>
        <w:pStyle w:val="Heading1"/>
        <w:rPr>
          <w:lang w:val="en-GB"/>
        </w:rPr>
      </w:pPr>
      <w:bookmarkStart w:id="4" w:name="_j5zflasg2gy3" w:colFirst="0" w:colLast="0"/>
      <w:bookmarkEnd w:id="4"/>
      <w:r w:rsidRPr="003B782D">
        <w:rPr>
          <w:lang w:val="en-GB"/>
        </w:rPr>
        <w:lastRenderedPageBreak/>
        <w:t xml:space="preserve">The facts must be considered by the organisation and the HR team before implementing flexible working in the employee workforce. </w:t>
      </w:r>
    </w:p>
    <w:p w14:paraId="00000016" w14:textId="77777777" w:rsidR="003A21F6" w:rsidRPr="003B782D" w:rsidRDefault="00276BEA">
      <w:pPr>
        <w:rPr>
          <w:lang w:val="en-GB"/>
        </w:rPr>
      </w:pPr>
      <w:r w:rsidRPr="003B782D">
        <w:rPr>
          <w:lang w:val="en-GB"/>
        </w:rPr>
        <w:t>As AgroTools has three different departments, different policies must be considered before implementing the flexible work environment. The company must understand what flexible work culture will fit best for each department and implement it accordingly. However, the company must also ensure that the new plans do not interfere with the overall organisational plans and continue to support the growth of the company. Therefore, AgroTools should consider creating an open communication channel to limit the barriers. Each department must be able to communicate efficiently under the new work culture. Therefore, AgroTools should be willing to implement plans that sync with the overall objectives of the company. For instance, the manufacturing units will be allowed to work in different shifts which can take a lot of stress off their heads and improve their mental health. Teams must be created where each team will be performing specific tasks and the work must be carried on by the other team joining the next shift. The open communication channel will enable the employees to interact with each other should there be concerns. The employees working at the warehouses should be allowed to manage stocks by using its tools. This way they can order new stocks remotely. For the sales team, a different work style must be developed (</w:t>
      </w:r>
      <w:r w:rsidRPr="003B782D">
        <w:rPr>
          <w:color w:val="222222"/>
          <w:highlight w:val="white"/>
          <w:lang w:val="en-GB"/>
        </w:rPr>
        <w:t>Chung and Van der Lippe, 2020)</w:t>
      </w:r>
      <w:r w:rsidRPr="003B782D">
        <w:rPr>
          <w:lang w:val="en-GB"/>
        </w:rPr>
        <w:t xml:space="preserve">. </w:t>
      </w:r>
    </w:p>
    <w:p w14:paraId="00000017" w14:textId="77777777" w:rsidR="003A21F6" w:rsidRPr="003B782D" w:rsidRDefault="00276BEA">
      <w:pPr>
        <w:rPr>
          <w:lang w:val="en-GB"/>
        </w:rPr>
      </w:pPr>
      <w:r w:rsidRPr="003B782D">
        <w:rPr>
          <w:lang w:val="en-GB"/>
        </w:rPr>
        <w:t xml:space="preserve">AgroTools must also consider that there may be conflicts regarding the difference in pay structure. The hybrid workers are expected to be paid less as they will be working remotely. Therefore, they may resist the pay structure offered by the company. Therefore, the company should consider including them in a team meeting and explain the reasons for the pay gap. </w:t>
      </w:r>
    </w:p>
    <w:p w14:paraId="00000018" w14:textId="77777777" w:rsidR="003A21F6" w:rsidRPr="003B782D" w:rsidRDefault="00276BEA">
      <w:pPr>
        <w:rPr>
          <w:lang w:val="en-GB"/>
        </w:rPr>
      </w:pPr>
      <w:r w:rsidRPr="003B782D">
        <w:rPr>
          <w:lang w:val="en-GB"/>
        </w:rPr>
        <w:t xml:space="preserve">The other thing AgroTools should consider is the fact that the employees may also have different opinions on the shifts which will be allocated to them. Therefore, the employees must be allowed to work in rotational shifts where each employee will be allowed to work on a different shift each week. This way they will be able to maintain a good work-life balance. This will also help them manage stress and put more effort into working. The employees will also be allowed to communicate with the company managers while they are unavailable via the online meeting tools. By following the above strategies, AgroTools can successfully implement a flexible work culture across all three departments. </w:t>
      </w:r>
    </w:p>
    <w:p w14:paraId="00000019" w14:textId="77777777" w:rsidR="003A21F6" w:rsidRPr="003B782D" w:rsidRDefault="00276BEA">
      <w:pPr>
        <w:rPr>
          <w:lang w:val="en-GB"/>
        </w:rPr>
      </w:pPr>
      <w:r w:rsidRPr="003B782D">
        <w:rPr>
          <w:lang w:val="en-GB"/>
        </w:rPr>
        <w:t xml:space="preserve">The company should also consider that not all the departments will provide the opportunity for remote work. The company and its human resources team must work closely to analyse the areas </w:t>
      </w:r>
      <w:r w:rsidRPr="003B782D">
        <w:rPr>
          <w:lang w:val="en-GB"/>
        </w:rPr>
        <w:lastRenderedPageBreak/>
        <w:t>which present a better chance for implementing flexible work strategies. The HR department must consider the fact that few employees may resist the plans and hence should inform the employees before implementing the plans (</w:t>
      </w:r>
      <w:r w:rsidRPr="003B782D">
        <w:rPr>
          <w:color w:val="222222"/>
          <w:highlight w:val="white"/>
          <w:lang w:val="en-GB"/>
        </w:rPr>
        <w:t xml:space="preserve">Davidescu </w:t>
      </w:r>
      <w:r w:rsidRPr="003B782D">
        <w:rPr>
          <w:i/>
          <w:color w:val="222222"/>
          <w:highlight w:val="white"/>
          <w:lang w:val="en-GB"/>
        </w:rPr>
        <w:t>et al.</w:t>
      </w:r>
      <w:r w:rsidRPr="003B782D">
        <w:rPr>
          <w:color w:val="222222"/>
          <w:highlight w:val="white"/>
          <w:lang w:val="en-GB"/>
        </w:rPr>
        <w:t>, 2020)</w:t>
      </w:r>
      <w:r w:rsidRPr="003B782D">
        <w:rPr>
          <w:lang w:val="en-GB"/>
        </w:rPr>
        <w:t xml:space="preserve">. The HR team can consider including the employees in a discussion where it informs them about the plan. The discussion will also allow the HR team to learn about recommendations and specific suggestions. The HR team should also consider explaining the benefits to the employees which will increase their participation in the plan. The company must also discuss the new improved pay structure which will justify the hybrid work culture. </w:t>
      </w:r>
    </w:p>
    <w:p w14:paraId="0000001A" w14:textId="74BCCD37" w:rsidR="003A21F6" w:rsidRPr="003B782D" w:rsidRDefault="00276BEA">
      <w:pPr>
        <w:rPr>
          <w:lang w:val="en-GB"/>
        </w:rPr>
      </w:pPr>
      <w:r w:rsidRPr="003B782D">
        <w:rPr>
          <w:lang w:val="en-GB"/>
        </w:rPr>
        <w:t>The HR team must consider implementing a personalised hybrid work culture in the organisation which will also be valuable as each department will be able to have individual hybrid routines. As there are three departments involved in manufacturing and selling, the company should consider identifying the employees who will be required to be present in order to run the operations. This way AgroTools can identify the workers who can function while working remotely (</w:t>
      </w:r>
      <w:r w:rsidRPr="003B782D">
        <w:rPr>
          <w:color w:val="222222"/>
          <w:highlight w:val="white"/>
          <w:lang w:val="en-GB"/>
        </w:rPr>
        <w:t>Weideman and Hofmeyr, 2020)</w:t>
      </w:r>
      <w:r w:rsidRPr="003B782D">
        <w:rPr>
          <w:lang w:val="en-GB"/>
        </w:rPr>
        <w:t xml:space="preserve">. Further, the company must also consider running a skill test where it can run trials to learn whether the employees possess the skills which are required to work remotely such as communication skills, collaborative skills and IT skills. </w:t>
      </w:r>
      <w:r w:rsidR="003B782D" w:rsidRPr="003B782D">
        <w:rPr>
          <w:lang w:val="en-GB"/>
        </w:rPr>
        <w:t>Agro tools</w:t>
      </w:r>
      <w:r w:rsidRPr="003B782D">
        <w:rPr>
          <w:lang w:val="en-GB"/>
        </w:rPr>
        <w:t xml:space="preserve"> should also consider training the identified employees before allowing them to work remotely.  Few IT skills such as team meeting skills using online tools, and time management skills will be essential to help the employees work in a hybrid work culture. </w:t>
      </w:r>
    </w:p>
    <w:p w14:paraId="0000001B" w14:textId="77777777" w:rsidR="003A21F6" w:rsidRPr="003B782D" w:rsidRDefault="00276BEA">
      <w:pPr>
        <w:rPr>
          <w:b/>
          <w:lang w:val="en-GB"/>
        </w:rPr>
      </w:pPr>
      <w:r w:rsidRPr="003B782D">
        <w:rPr>
          <w:lang w:val="en-GB"/>
        </w:rPr>
        <w:br w:type="page"/>
      </w:r>
    </w:p>
    <w:p w14:paraId="0000001C" w14:textId="77777777" w:rsidR="003A21F6" w:rsidRPr="003B782D" w:rsidRDefault="00276BEA">
      <w:pPr>
        <w:pStyle w:val="Heading1"/>
        <w:rPr>
          <w:lang w:val="en-GB"/>
        </w:rPr>
      </w:pPr>
      <w:bookmarkStart w:id="5" w:name="_ei6j85f5thmf" w:colFirst="0" w:colLast="0"/>
      <w:bookmarkEnd w:id="5"/>
      <w:r w:rsidRPr="003B782D">
        <w:rPr>
          <w:lang w:val="en-GB"/>
        </w:rPr>
        <w:lastRenderedPageBreak/>
        <w:t>Reconfiguration of the pay structure before implementing the flexible work model.</w:t>
      </w:r>
    </w:p>
    <w:p w14:paraId="0000001D" w14:textId="77777777" w:rsidR="003A21F6" w:rsidRPr="003B782D" w:rsidRDefault="00276BEA">
      <w:pPr>
        <w:rPr>
          <w:color w:val="222222"/>
          <w:highlight w:val="white"/>
          <w:lang w:val="en-GB"/>
        </w:rPr>
      </w:pPr>
      <w:r w:rsidRPr="003B782D">
        <w:rPr>
          <w:color w:val="222222"/>
          <w:highlight w:val="white"/>
          <w:lang w:val="en-GB"/>
        </w:rPr>
        <w:t xml:space="preserve">Atkinson's </w:t>
      </w:r>
      <w:r w:rsidRPr="003B782D">
        <w:rPr>
          <w:b/>
          <w:i/>
          <w:color w:val="222222"/>
          <w:highlight w:val="white"/>
          <w:lang w:val="en-GB"/>
        </w:rPr>
        <w:t xml:space="preserve">flexible firm model </w:t>
      </w:r>
      <w:r w:rsidRPr="003B782D">
        <w:rPr>
          <w:color w:val="222222"/>
          <w:highlight w:val="white"/>
          <w:lang w:val="en-GB"/>
        </w:rPr>
        <w:t xml:space="preserve">theory describes that employees can become more productive when the workforce is segmented into groups (Atkinson </w:t>
      </w:r>
      <w:r w:rsidRPr="003B782D">
        <w:rPr>
          <w:i/>
          <w:color w:val="222222"/>
          <w:highlight w:val="white"/>
          <w:lang w:val="en-GB"/>
        </w:rPr>
        <w:t>et al.</w:t>
      </w:r>
      <w:r w:rsidRPr="003B782D">
        <w:rPr>
          <w:color w:val="222222"/>
          <w:highlight w:val="white"/>
          <w:lang w:val="en-GB"/>
        </w:rPr>
        <w:t xml:space="preserve">, 2022). The theory describes that employees should be divided into two groups based on their importance to the company. This model can be considered before deciding on the new pay structure. The first group is the core group consisting of employees who are essential to the company's running operations. These employees are difficult to replace by the company and hence must be given more importance. The manufacturing unit operators, the employees associated with the supply chain and moving the products from the factories to the warehouses are the employees who fall under the core group. The second group of peripheral group which consists of employees who are not frequently required in order to run the operations. Based on this, the company must decide the pay structure while promoting a hybrid work culture. The remote workers who will be hired must have a different pay structure. The very first step will be to evaluate the cost of living in areas where AgroTools will be hiring employees for hybrid work. Based on that information, the company can introduce different pay structures. The employees from the metro cities should be paid more than the rural areas. This will apply to the employees working remotely who provide the company with solutions regarding manufacturing and innovation. </w:t>
      </w:r>
    </w:p>
    <w:p w14:paraId="0000001E" w14:textId="17AAD3C4" w:rsidR="003A21F6" w:rsidRPr="003B782D" w:rsidRDefault="00276BEA">
      <w:pPr>
        <w:rPr>
          <w:color w:val="222222"/>
          <w:highlight w:val="white"/>
          <w:lang w:val="en-GB"/>
        </w:rPr>
      </w:pPr>
      <w:r w:rsidRPr="003B782D">
        <w:rPr>
          <w:color w:val="222222"/>
          <w:highlight w:val="white"/>
          <w:lang w:val="en-GB"/>
        </w:rPr>
        <w:t>For the warehouse and manufacturing teams, the company should make sure employees are paid equally for each day of the month regardless of where they work (Hazell and Taska, 2020). These are the core employees who are valuable to the company. The hybrid workers who will be working remotely while managing warehouse stocks fall under the peripheral group according to the Atkinson</w:t>
      </w:r>
      <w:r w:rsidR="003331C9" w:rsidRPr="003B782D">
        <w:rPr>
          <w:color w:val="222222"/>
          <w:highlight w:val="white"/>
          <w:lang w:val="en-GB"/>
        </w:rPr>
        <w:t>’</w:t>
      </w:r>
      <w:r w:rsidRPr="003B782D">
        <w:rPr>
          <w:color w:val="222222"/>
          <w:highlight w:val="white"/>
          <w:lang w:val="en-GB"/>
        </w:rPr>
        <w:t xml:space="preserve">s theory. Hence, they will also be paid less than the workers present at the warehouses. However, the company should also have a plan where employees may wish to work for extended hours for extra pay. This will only be applied to remote workers as they are expected to work with more accuracy. </w:t>
      </w:r>
    </w:p>
    <w:p w14:paraId="0000001F" w14:textId="77777777" w:rsidR="003A21F6" w:rsidRPr="003B782D" w:rsidRDefault="00276BEA">
      <w:pPr>
        <w:rPr>
          <w:color w:val="222222"/>
          <w:highlight w:val="white"/>
          <w:lang w:val="en-GB"/>
        </w:rPr>
      </w:pPr>
      <w:r w:rsidRPr="003B782D">
        <w:rPr>
          <w:color w:val="222222"/>
          <w:highlight w:val="white"/>
          <w:lang w:val="en-GB"/>
        </w:rPr>
        <w:t xml:space="preserve">For the sales premise, a unique pay structure should be introduced. The company must maintain a balance in pay structures between one employee present physically to face the clients and the employees working remotely. The employees who will be working remotely such as the technical support teams that manage the servers for payments and back office teams that support the sales operations must be paid according to their contracts. As the company will be hiring remote workers for these external support and suggestions, AgroTools must hire them under short-term contracts. </w:t>
      </w:r>
      <w:r w:rsidRPr="003B782D">
        <w:rPr>
          <w:color w:val="222222"/>
          <w:highlight w:val="white"/>
          <w:lang w:val="en-GB"/>
        </w:rPr>
        <w:lastRenderedPageBreak/>
        <w:t>This way the company can save a lot of expenses from earlier when it needed to pay regular salaries for technical support.</w:t>
      </w:r>
    </w:p>
    <w:p w14:paraId="00000020" w14:textId="77777777" w:rsidR="003A21F6" w:rsidRPr="003B782D" w:rsidRDefault="003A21F6">
      <w:pPr>
        <w:rPr>
          <w:b/>
          <w:lang w:val="en-GB"/>
        </w:rPr>
      </w:pPr>
    </w:p>
    <w:p w14:paraId="00000021" w14:textId="77777777" w:rsidR="003A21F6" w:rsidRPr="003B782D" w:rsidRDefault="00276BEA">
      <w:pPr>
        <w:rPr>
          <w:b/>
          <w:lang w:val="en-GB"/>
        </w:rPr>
      </w:pPr>
      <w:r w:rsidRPr="003B782D">
        <w:rPr>
          <w:lang w:val="en-GB"/>
        </w:rPr>
        <w:br w:type="page"/>
      </w:r>
    </w:p>
    <w:p w14:paraId="00000022" w14:textId="77777777" w:rsidR="003A21F6" w:rsidRPr="003B782D" w:rsidRDefault="00276BEA">
      <w:pPr>
        <w:pStyle w:val="Heading1"/>
        <w:rPr>
          <w:lang w:val="en-GB"/>
        </w:rPr>
      </w:pPr>
      <w:bookmarkStart w:id="6" w:name="_2y5g11hxlegu" w:colFirst="0" w:colLast="0"/>
      <w:bookmarkEnd w:id="6"/>
      <w:r w:rsidRPr="003B782D">
        <w:rPr>
          <w:lang w:val="en-GB"/>
        </w:rPr>
        <w:lastRenderedPageBreak/>
        <w:t>Evaluate strategies to promote employee engagement while implementing flexible working.</w:t>
      </w:r>
    </w:p>
    <w:p w14:paraId="00000023" w14:textId="77777777" w:rsidR="003A21F6" w:rsidRPr="003B782D" w:rsidRDefault="00276BEA">
      <w:pPr>
        <w:rPr>
          <w:b/>
          <w:lang w:val="en-GB"/>
        </w:rPr>
      </w:pPr>
      <w:r w:rsidRPr="003B782D">
        <w:rPr>
          <w:color w:val="222222"/>
          <w:highlight w:val="white"/>
          <w:lang w:val="en-GB"/>
        </w:rPr>
        <w:t xml:space="preserve">Open communication is the first step that will be required to foster employee engagement while promoting hybrid work. Open communication will enable employees to interact with others while working on the same project (Yu </w:t>
      </w:r>
      <w:r w:rsidRPr="003B782D">
        <w:rPr>
          <w:i/>
          <w:color w:val="222222"/>
          <w:highlight w:val="white"/>
          <w:lang w:val="en-GB"/>
        </w:rPr>
        <w:t>et al.</w:t>
      </w:r>
      <w:r w:rsidRPr="003B782D">
        <w:rPr>
          <w:color w:val="222222"/>
          <w:highlight w:val="white"/>
          <w:lang w:val="en-GB"/>
        </w:rPr>
        <w:t>, 2022). This way the work will not be interrupted and employee engagement will be maintained. Collaboration is another strategy that can greatly help. Virtual team building is a strategy that can be useful for the teams involved in manufacturing. Virtual team building will help in creating bonding and belongingness. This way the employees will become more dedicated towards working with each other and share ideas through the open platform to bring innovation while working in a hybrid environment. This can also be applied to the warehouse and sales team as frequent communication via open communication channels will enable the existing employees to interact with the external workforce. This way they can solve doubts and learn additional skills that will also help increase participation from both sides.</w:t>
      </w:r>
      <w:r w:rsidRPr="003B782D">
        <w:rPr>
          <w:lang w:val="en-GB"/>
        </w:rPr>
        <w:br w:type="page"/>
      </w:r>
    </w:p>
    <w:p w14:paraId="00000024" w14:textId="77777777" w:rsidR="003A21F6" w:rsidRPr="003B782D" w:rsidRDefault="00276BEA">
      <w:pPr>
        <w:pStyle w:val="Heading1"/>
        <w:rPr>
          <w:lang w:val="en-GB"/>
        </w:rPr>
      </w:pPr>
      <w:bookmarkStart w:id="7" w:name="_me1ivkq31te8" w:colFirst="0" w:colLast="0"/>
      <w:bookmarkEnd w:id="7"/>
      <w:r w:rsidRPr="003B782D">
        <w:rPr>
          <w:lang w:val="en-GB"/>
        </w:rPr>
        <w:lastRenderedPageBreak/>
        <w:t>Conclusion</w:t>
      </w:r>
    </w:p>
    <w:p w14:paraId="00000025" w14:textId="77777777" w:rsidR="003A21F6" w:rsidRPr="003B782D" w:rsidRDefault="00276BEA">
      <w:pPr>
        <w:rPr>
          <w:lang w:val="en-GB"/>
        </w:rPr>
      </w:pPr>
      <w:r w:rsidRPr="003B782D">
        <w:rPr>
          <w:color w:val="222222"/>
          <w:highlight w:val="white"/>
          <w:lang w:val="en-GB"/>
        </w:rPr>
        <w:t>The above report has helped to understand the need for a hybrid work culture across different departments in companies. The report has discussed how a hybrid work culture can be beneficial for AgroTools, an agriculture tools supplier company which mostly operates in the West Midlands. The report has also discussed how effectively the company can implement those strategies into regular practices. It has been found from the report that the HR department plays a major role in promoting a hybrid work culture in the company. The report has also explained how the company must reconfigure its pay structure that suit the new flexible work culture. The report has also highlighted the actions that need to be taken in order to encourage the employees to engage in a flexible work environment. It has been found from the report that open communication channels and virtual groups can help promote employees' engage in the plan.</w:t>
      </w:r>
      <w:r w:rsidRPr="003B782D">
        <w:rPr>
          <w:lang w:val="en-GB"/>
        </w:rPr>
        <w:br w:type="page"/>
      </w:r>
    </w:p>
    <w:p w14:paraId="00000026" w14:textId="77777777" w:rsidR="003A21F6" w:rsidRPr="003B782D" w:rsidRDefault="00276BEA">
      <w:pPr>
        <w:pStyle w:val="Heading1"/>
        <w:rPr>
          <w:lang w:val="en-GB"/>
        </w:rPr>
      </w:pPr>
      <w:bookmarkStart w:id="8" w:name="_tvsxx7hybira" w:colFirst="0" w:colLast="0"/>
      <w:bookmarkEnd w:id="8"/>
      <w:r w:rsidRPr="003B782D">
        <w:rPr>
          <w:lang w:val="en-GB"/>
        </w:rPr>
        <w:lastRenderedPageBreak/>
        <w:t>References</w:t>
      </w:r>
    </w:p>
    <w:p w14:paraId="36B6CB09" w14:textId="77777777" w:rsidR="0099518E" w:rsidRPr="003B782D" w:rsidRDefault="0099518E">
      <w:pPr>
        <w:rPr>
          <w:lang w:val="en-GB"/>
        </w:rPr>
      </w:pPr>
      <w:r w:rsidRPr="003B782D">
        <w:rPr>
          <w:color w:val="222222"/>
          <w:highlight w:val="white"/>
          <w:lang w:val="en-GB"/>
        </w:rPr>
        <w:t>Atkinson, P., Hizaji, M., Nazarian, A. and Abasi, A., (2022). Attaining organisational agility through competitive intelligence: the roles of strategic flexibility and organisational innovation. Total Quality Management &amp; Business Excellence, 33(3-4), pp.297-317.</w:t>
      </w:r>
    </w:p>
    <w:p w14:paraId="2D0C537B" w14:textId="12FAB322" w:rsidR="0099518E" w:rsidRPr="003B782D" w:rsidRDefault="0099518E">
      <w:pPr>
        <w:rPr>
          <w:color w:val="222222"/>
          <w:highlight w:val="white"/>
          <w:lang w:val="en-GB"/>
        </w:rPr>
      </w:pPr>
      <w:r w:rsidRPr="003B782D">
        <w:rPr>
          <w:color w:val="222222"/>
          <w:highlight w:val="white"/>
          <w:lang w:val="en-GB"/>
        </w:rPr>
        <w:t>Chung, H. and Van der Lippe, T., (2020). Flexible working, work–life balance, and gender equality: Introduction. Social indicators research, 151(2), pp.365-381.</w:t>
      </w:r>
    </w:p>
    <w:p w14:paraId="4CEB4F74" w14:textId="77777777" w:rsidR="0099518E" w:rsidRPr="003B782D" w:rsidRDefault="0099518E">
      <w:pPr>
        <w:rPr>
          <w:color w:val="222222"/>
          <w:highlight w:val="white"/>
          <w:lang w:val="en-GB"/>
        </w:rPr>
      </w:pPr>
      <w:r w:rsidRPr="003B782D">
        <w:rPr>
          <w:color w:val="222222"/>
          <w:highlight w:val="white"/>
          <w:lang w:val="en-GB"/>
        </w:rPr>
        <w:t>Davidescu, A.A., Apostu, S.A., Paul, A. and Casuneanu, I., (2020). Work flexibility, job satisfaction, and job performance among Romanian employees—Implications for sustainable human resource management. Sustainability, 12(15), p.6086.</w:t>
      </w:r>
    </w:p>
    <w:p w14:paraId="7A53F0B3" w14:textId="77777777" w:rsidR="0099518E" w:rsidRPr="003B782D" w:rsidRDefault="0099518E">
      <w:pPr>
        <w:rPr>
          <w:color w:val="222222"/>
          <w:highlight w:val="white"/>
          <w:lang w:val="en-GB"/>
        </w:rPr>
      </w:pPr>
      <w:r w:rsidRPr="003B782D">
        <w:rPr>
          <w:color w:val="222222"/>
          <w:highlight w:val="white"/>
          <w:lang w:val="en-GB"/>
        </w:rPr>
        <w:t>Weideman, M. and Hofmeyr, K.B., (2020). The influence of flexible work arrangements on employee engagement: An exploratory study. SA Journal of Human Resource Management, 18(1), pp.1-18.</w:t>
      </w:r>
    </w:p>
    <w:p w14:paraId="0000002B" w14:textId="77777777" w:rsidR="003A21F6" w:rsidRPr="003B782D" w:rsidRDefault="00276BEA">
      <w:pPr>
        <w:rPr>
          <w:color w:val="222222"/>
          <w:highlight w:val="white"/>
          <w:lang w:val="en-GB"/>
        </w:rPr>
      </w:pPr>
      <w:r w:rsidRPr="003B782D">
        <w:rPr>
          <w:color w:val="222222"/>
          <w:highlight w:val="white"/>
          <w:lang w:val="en-GB"/>
        </w:rPr>
        <w:t>Hazell, J. and Taska, B., (2020). Downward rigidity in the wage for new hires. Available at SSRN 3728939.</w:t>
      </w:r>
    </w:p>
    <w:p w14:paraId="0000002C" w14:textId="77777777" w:rsidR="003A21F6" w:rsidRPr="003B782D" w:rsidRDefault="00276BEA">
      <w:pPr>
        <w:rPr>
          <w:lang w:val="en-GB"/>
        </w:rPr>
      </w:pPr>
      <w:r w:rsidRPr="003B782D">
        <w:rPr>
          <w:color w:val="222222"/>
          <w:highlight w:val="white"/>
          <w:lang w:val="en-GB"/>
        </w:rPr>
        <w:t>Yu, W., Chavez, R., Jacobs, M.A. and Wong, C.Y., (2022). Openness to technological innovation, supply chain resilience, and operational performance: exploring the role of information processing capabilities. IEEE Transactions on Engineering Management.</w:t>
      </w:r>
    </w:p>
    <w:p w14:paraId="0000002D" w14:textId="77777777" w:rsidR="003A21F6" w:rsidRPr="003B782D" w:rsidRDefault="00276BEA">
      <w:pPr>
        <w:rPr>
          <w:lang w:val="en-GB"/>
        </w:rPr>
      </w:pPr>
      <w:r w:rsidRPr="003B782D">
        <w:rPr>
          <w:lang w:val="en-GB"/>
        </w:rPr>
        <w:t xml:space="preserve"> </w:t>
      </w:r>
    </w:p>
    <w:p w14:paraId="0000002E" w14:textId="77777777" w:rsidR="003A21F6" w:rsidRPr="003B782D" w:rsidRDefault="003A21F6">
      <w:pPr>
        <w:rPr>
          <w:lang w:val="en-GB"/>
        </w:rPr>
      </w:pPr>
    </w:p>
    <w:p w14:paraId="0000002F" w14:textId="77777777" w:rsidR="003A21F6" w:rsidRPr="003B782D" w:rsidRDefault="003A21F6">
      <w:pPr>
        <w:rPr>
          <w:lang w:val="en-GB"/>
        </w:rPr>
      </w:pPr>
    </w:p>
    <w:sectPr w:rsidR="003A21F6" w:rsidRPr="003B782D">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FAEABB" w14:textId="77777777" w:rsidR="00607C53" w:rsidRDefault="00607C53" w:rsidP="0099518E">
      <w:pPr>
        <w:spacing w:line="240" w:lineRule="auto"/>
      </w:pPr>
      <w:r>
        <w:separator/>
      </w:r>
    </w:p>
  </w:endnote>
  <w:endnote w:type="continuationSeparator" w:id="0">
    <w:p w14:paraId="0831B6FC" w14:textId="77777777" w:rsidR="00607C53" w:rsidRDefault="00607C53" w:rsidP="009951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60619"/>
      <w:docPartObj>
        <w:docPartGallery w:val="Page Numbers (Bottom of Page)"/>
        <w:docPartUnique/>
      </w:docPartObj>
    </w:sdtPr>
    <w:sdtEndPr>
      <w:rPr>
        <w:noProof/>
      </w:rPr>
    </w:sdtEndPr>
    <w:sdtContent>
      <w:p w14:paraId="54C1F972" w14:textId="59193C01" w:rsidR="0099518E" w:rsidRDefault="0099518E">
        <w:pPr>
          <w:pStyle w:val="Footer"/>
          <w:jc w:val="right"/>
        </w:pPr>
        <w:r>
          <w:fldChar w:fldCharType="begin"/>
        </w:r>
        <w:r>
          <w:instrText xml:space="preserve"> PAGE   \* MERGEFORMAT </w:instrText>
        </w:r>
        <w:r>
          <w:fldChar w:fldCharType="separate"/>
        </w:r>
        <w:r w:rsidR="003B782D">
          <w:rPr>
            <w:noProof/>
          </w:rPr>
          <w:t>11</w:t>
        </w:r>
        <w:r>
          <w:rPr>
            <w:noProof/>
          </w:rPr>
          <w:fldChar w:fldCharType="end"/>
        </w:r>
      </w:p>
    </w:sdtContent>
  </w:sdt>
  <w:p w14:paraId="04D45F64" w14:textId="77777777" w:rsidR="0099518E" w:rsidRDefault="00995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4646CE" w14:textId="77777777" w:rsidR="00607C53" w:rsidRDefault="00607C53" w:rsidP="0099518E">
      <w:pPr>
        <w:spacing w:line="240" w:lineRule="auto"/>
      </w:pPr>
      <w:r>
        <w:separator/>
      </w:r>
    </w:p>
  </w:footnote>
  <w:footnote w:type="continuationSeparator" w:id="0">
    <w:p w14:paraId="1C106009" w14:textId="77777777" w:rsidR="00607C53" w:rsidRDefault="00607C53" w:rsidP="0099518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1F6"/>
    <w:rsid w:val="000030FB"/>
    <w:rsid w:val="00263682"/>
    <w:rsid w:val="00276BEA"/>
    <w:rsid w:val="0033147C"/>
    <w:rsid w:val="003331C9"/>
    <w:rsid w:val="003A21F6"/>
    <w:rsid w:val="003B782D"/>
    <w:rsid w:val="00607C53"/>
    <w:rsid w:val="00643E6A"/>
    <w:rsid w:val="006F25E2"/>
    <w:rsid w:val="009951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A490"/>
  <w15:docId w15:val="{D7D15F4B-3C9A-4692-95EE-123436ADE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9518E"/>
    <w:pPr>
      <w:tabs>
        <w:tab w:val="center" w:pos="4680"/>
        <w:tab w:val="right" w:pos="9360"/>
      </w:tabs>
      <w:spacing w:line="240" w:lineRule="auto"/>
    </w:pPr>
  </w:style>
  <w:style w:type="character" w:customStyle="1" w:styleId="HeaderChar">
    <w:name w:val="Header Char"/>
    <w:basedOn w:val="DefaultParagraphFont"/>
    <w:link w:val="Header"/>
    <w:uiPriority w:val="99"/>
    <w:rsid w:val="0099518E"/>
  </w:style>
  <w:style w:type="paragraph" w:styleId="Footer">
    <w:name w:val="footer"/>
    <w:basedOn w:val="Normal"/>
    <w:link w:val="FooterChar"/>
    <w:uiPriority w:val="99"/>
    <w:unhideWhenUsed/>
    <w:rsid w:val="0099518E"/>
    <w:pPr>
      <w:tabs>
        <w:tab w:val="center" w:pos="4680"/>
        <w:tab w:val="right" w:pos="9360"/>
      </w:tabs>
      <w:spacing w:line="240" w:lineRule="auto"/>
    </w:pPr>
  </w:style>
  <w:style w:type="character" w:customStyle="1" w:styleId="FooterChar">
    <w:name w:val="Footer Char"/>
    <w:basedOn w:val="DefaultParagraphFont"/>
    <w:link w:val="Footer"/>
    <w:uiPriority w:val="99"/>
    <w:rsid w:val="0099518E"/>
  </w:style>
  <w:style w:type="table" w:customStyle="1" w:styleId="TableGrid1">
    <w:name w:val="Table Grid1"/>
    <w:rsid w:val="00643E6A"/>
    <w:pPr>
      <w:spacing w:line="240" w:lineRule="auto"/>
      <w:jc w:val="left"/>
    </w:pPr>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25740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11</Pages>
  <Words>2223</Words>
  <Characters>12672</Characters>
  <Application>Microsoft Office Word</Application>
  <DocSecurity>0</DocSecurity>
  <Lines>105</Lines>
  <Paragraphs>29</Paragraphs>
  <ScaleCrop>false</ScaleCrop>
  <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8</cp:revision>
  <dcterms:created xsi:type="dcterms:W3CDTF">2024-03-19T06:10:00Z</dcterms:created>
  <dcterms:modified xsi:type="dcterms:W3CDTF">2024-03-27T09:50:00Z</dcterms:modified>
</cp:coreProperties>
</file>