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DBC993F" w:rsidP="461E9761" w:rsidRDefault="1DBC993F" w14:paraId="724C754C" w14:textId="75C9016C">
      <w:pPr>
        <w:shd w:val="clear" w:color="auto" w:fill="FFFFFF" w:themeFill="background1"/>
        <w:spacing w:before="0" w:beforeAutospacing="off" w:after="0" w:afterAutospacing="off"/>
        <w:jc w:val="center"/>
      </w:pPr>
      <w:r w:rsidRPr="461E9761" w:rsidR="1DBC993F">
        <w:rPr>
          <w:rFonts w:ascii="Arial" w:hAnsi="Arial" w:eastAsia="Arial" w:cs="Arial"/>
          <w:b w:val="0"/>
          <w:bCs w:val="0"/>
          <w:i w:val="0"/>
          <w:iCs w:val="0"/>
          <w:strike w:val="0"/>
          <w:dstrike w:val="0"/>
          <w:noProof w:val="0"/>
          <w:color w:val="000000" w:themeColor="text1" w:themeTint="FF" w:themeShade="FF"/>
          <w:sz w:val="52"/>
          <w:szCs w:val="52"/>
          <w:u w:val="none"/>
          <w:lang w:val="en-US"/>
        </w:rPr>
        <w:t xml:space="preserve">The Future of AI-Assisted Writing:  </w:t>
      </w:r>
    </w:p>
    <w:p w:rsidR="1DBC993F" w:rsidP="461E9761" w:rsidRDefault="1DBC993F" w14:paraId="4F8EB4A7" w14:textId="4EE19A64">
      <w:pPr>
        <w:shd w:val="clear" w:color="auto" w:fill="FFFFFF" w:themeFill="background1"/>
        <w:spacing w:before="0" w:beforeAutospacing="off" w:after="0" w:afterAutospacing="off"/>
        <w:jc w:val="center"/>
      </w:pPr>
      <w:r w:rsidRPr="461E9761" w:rsidR="1DBC993F">
        <w:rPr>
          <w:rFonts w:ascii="Arial" w:hAnsi="Arial" w:eastAsia="Arial" w:cs="Arial"/>
          <w:b w:val="0"/>
          <w:bCs w:val="0"/>
          <w:i w:val="0"/>
          <w:iCs w:val="0"/>
          <w:strike w:val="0"/>
          <w:dstrike w:val="0"/>
          <w:noProof w:val="0"/>
          <w:color w:val="000000" w:themeColor="text1" w:themeTint="FF" w:themeShade="FF"/>
          <w:sz w:val="52"/>
          <w:szCs w:val="52"/>
          <w:u w:val="none"/>
          <w:lang w:val="en-US"/>
        </w:rPr>
        <w:t xml:space="preserve">Supporting or Stifling Creativity? </w:t>
      </w:r>
    </w:p>
    <w:p w:rsidR="1DBC993F" w:rsidP="461E9761" w:rsidRDefault="1DBC993F" w14:paraId="6FB7D7BA" w14:textId="5D35FD5B">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 recent years, we have seen </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more and more</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artificial intelligence (AI) tools coming into the market and becoming widely used in higher education. While people take advantage of it, debates about its advantages and disadvantages continue. For example, one major issue is whether the future of AI-Assisted writing tools supports or reduces creativity. In this essay I will present how AI tools affect students’ writing work and argue AI tools hinder academic writing by stifling creativity and reducing the personal engagement of students' work. </w:t>
      </w:r>
    </w:p>
    <w:p w:rsidR="1DBC993F" w:rsidP="461E9761" w:rsidRDefault="1DBC993F" w14:paraId="78ABC928" w14:textId="30BFD1A5">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w:rsidR="1DBC993F" w:rsidP="461E9761" w:rsidRDefault="1DBC993F" w14:paraId="715D2BF9" w14:textId="3C780784">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term “artificial intelligence” was first invented by John McCarthy in 1956 (McCarthy, 2006). The purpose of AI aims to combine human knowledge with computer technology to serve better lives (Abdullah et al., 2023). In the last few years, many AI writing tools have been available to students online and usually for free. </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More and more</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students use such tools for their academic writings, like final research projects, essays, even dissertations and variable journal articles. (Prentice and Kinden, 2018) </w:t>
      </w:r>
    </w:p>
    <w:p w:rsidR="1DBC993F" w:rsidP="461E9761" w:rsidRDefault="1DBC993F" w14:paraId="670B65B0" w14:textId="08F1DF01">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w:rsidR="1DBC993F" w:rsidP="461E9761" w:rsidRDefault="1DBC993F" w14:paraId="4F0E356D" w14:textId="5662F40E">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 we know, academic writing is one of the important study skills which can be improved by reading, </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practice</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many traditional ways. However, this essential skill can be improved by using modern technology like AI tools, for example, ChatGPT. According to </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Alkamel</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et al. (2024) research among EFL students in Yemen University, AI writing tool ChatGPT helped EFL students by improving “their</w:t>
      </w:r>
      <w:r w:rsidRPr="461E9761" w:rsidR="1DBC993F">
        <w:rPr>
          <w:rFonts w:ascii="Arial" w:hAnsi="Arial" w:eastAsia="Arial" w:cs="Arial"/>
          <w:b w:val="0"/>
          <w:bCs w:val="0"/>
          <w:i w:val="0"/>
          <w:iCs w:val="0"/>
          <w:strike w:val="0"/>
          <w:dstrike w:val="0"/>
          <w:noProof w:val="0"/>
          <w:color w:val="1F1F1F"/>
          <w:sz w:val="24"/>
          <w:szCs w:val="24"/>
          <w:u w:val="none"/>
          <w:lang w:val="en-US"/>
        </w:rPr>
        <w:t xml:space="preserve"> writing fluency, accuracy, and overall quality of their academic writing.</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students took advantage of AI to correct their language errors, grammar mistakes and make the writing clearer and more organized. </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The quality of the writing has improved but the origin of the text was a question.</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Whether the students have learned from errors and mistakes was also a question. Hence, AI tools reduced personal investment in learning. </w:t>
      </w:r>
    </w:p>
    <w:p w:rsidR="1DBC993F" w:rsidP="461E9761" w:rsidRDefault="1DBC993F" w14:paraId="600A06E7" w14:textId="0D0C89C5">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This study also reported that the students saved time searching for resources. While students focused on saving time, they lost the chance to dig into more details about the topics. They might use AI generated text instead of reading primary resources and forming original conclusions. AI writing tools reduce the personal engagement of students in their writing</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w:rsidR="1DBC993F" w:rsidP="461E9761" w:rsidRDefault="1DBC993F" w14:paraId="1E5471E2" w14:textId="4D5DA183">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61E9761" w:rsidR="1DBC993F">
        <w:rPr>
          <w:rFonts w:ascii="Arial" w:hAnsi="Arial" w:eastAsia="Arial" w:cs="Arial"/>
          <w:b w:val="0"/>
          <w:bCs w:val="0"/>
          <w:i w:val="0"/>
          <w:iCs w:val="0"/>
          <w:strike w:val="0"/>
          <w:dstrike w:val="0"/>
          <w:noProof w:val="0"/>
          <w:color w:val="222222"/>
          <w:sz w:val="24"/>
          <w:szCs w:val="24"/>
          <w:u w:val="none"/>
          <w:lang w:val="en-US"/>
        </w:rPr>
        <w:t xml:space="preserve">Nguyen A. et al. (2024) found in their </w:t>
      </w:r>
      <w:r w:rsidRPr="461E9761" w:rsidR="0214650E">
        <w:rPr>
          <w:rFonts w:ascii="Arial" w:hAnsi="Arial" w:eastAsia="Arial" w:cs="Arial"/>
          <w:b w:val="0"/>
          <w:bCs w:val="0"/>
          <w:i w:val="0"/>
          <w:iCs w:val="0"/>
          <w:strike w:val="0"/>
          <w:dstrike w:val="0"/>
          <w:noProof w:val="0"/>
          <w:color w:val="222222"/>
          <w:sz w:val="24"/>
          <w:szCs w:val="24"/>
          <w:u w:val="none"/>
          <w:lang w:val="en-US"/>
        </w:rPr>
        <w:t>study that</w:t>
      </w:r>
      <w:r w:rsidRPr="461E9761" w:rsidR="1DBC993F">
        <w:rPr>
          <w:rFonts w:ascii="Arial" w:hAnsi="Arial" w:eastAsia="Arial" w:cs="Arial"/>
          <w:b w:val="0"/>
          <w:bCs w:val="0"/>
          <w:i w:val="0"/>
          <w:iCs w:val="0"/>
          <w:strike w:val="0"/>
          <w:dstrike w:val="0"/>
          <w:noProof w:val="0"/>
          <w:color w:val="222222"/>
          <w:sz w:val="24"/>
          <w:szCs w:val="24"/>
          <w:u w:val="none"/>
          <w:lang w:val="en-US"/>
        </w:rPr>
        <w:t xml:space="preserve"> two groups of doctoral </w:t>
      </w:r>
      <w:r w:rsidRPr="461E9761" w:rsidR="7384B263">
        <w:rPr>
          <w:rFonts w:ascii="Arial" w:hAnsi="Arial" w:eastAsia="Arial" w:cs="Arial"/>
          <w:b w:val="0"/>
          <w:bCs w:val="0"/>
          <w:i w:val="0"/>
          <w:iCs w:val="0"/>
          <w:strike w:val="0"/>
          <w:dstrike w:val="0"/>
          <w:noProof w:val="0"/>
          <w:color w:val="222222"/>
          <w:sz w:val="24"/>
          <w:szCs w:val="24"/>
          <w:u w:val="none"/>
          <w:lang w:val="en-US"/>
        </w:rPr>
        <w:t>students</w:t>
      </w:r>
      <w:r w:rsidRPr="461E9761" w:rsidR="1DBC993F">
        <w:rPr>
          <w:rFonts w:ascii="Arial" w:hAnsi="Arial" w:eastAsia="Arial" w:cs="Arial"/>
          <w:b w:val="0"/>
          <w:bCs w:val="0"/>
          <w:i w:val="0"/>
          <w:iCs w:val="0"/>
          <w:strike w:val="0"/>
          <w:dstrike w:val="0"/>
          <w:noProof w:val="0"/>
          <w:color w:val="222222"/>
          <w:sz w:val="24"/>
          <w:szCs w:val="24"/>
          <w:u w:val="none"/>
          <w:lang w:val="en-US"/>
        </w:rPr>
        <w:t xml:space="preserve"> used generative AI writing tools differently, and the quality of the paper </w:t>
      </w:r>
      <w:r w:rsidRPr="461E9761" w:rsidR="152131C4">
        <w:rPr>
          <w:rFonts w:ascii="Arial" w:hAnsi="Arial" w:eastAsia="Arial" w:cs="Arial"/>
          <w:b w:val="0"/>
          <w:bCs w:val="0"/>
          <w:i w:val="0"/>
          <w:iCs w:val="0"/>
          <w:strike w:val="0"/>
          <w:dstrike w:val="0"/>
          <w:noProof w:val="0"/>
          <w:color w:val="222222"/>
          <w:sz w:val="24"/>
          <w:szCs w:val="24"/>
          <w:u w:val="none"/>
          <w:lang w:val="en-US"/>
        </w:rPr>
        <w:t>was</w:t>
      </w:r>
      <w:r w:rsidRPr="461E9761" w:rsidR="1DBC993F">
        <w:rPr>
          <w:rFonts w:ascii="Arial" w:hAnsi="Arial" w:eastAsia="Arial" w:cs="Arial"/>
          <w:b w:val="0"/>
          <w:bCs w:val="0"/>
          <w:i w:val="0"/>
          <w:iCs w:val="0"/>
          <w:strike w:val="0"/>
          <w:dstrike w:val="0"/>
          <w:noProof w:val="0"/>
          <w:color w:val="222222"/>
          <w:sz w:val="24"/>
          <w:szCs w:val="24"/>
          <w:u w:val="none"/>
          <w:lang w:val="en-US"/>
        </w:rPr>
        <w:t xml:space="preserve"> also </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different. When the students actively collaborate with the GAI-powered writing tool—engaging in repeated, dynamic interactions—they tend to produce higher-quality writing. Conversely, those who treat GAI as a passive reference tool, following a rigid, step-by-step writing process, often achieve weaker results. In this </w:t>
      </w:r>
      <w:r w:rsidRPr="461E9761" w:rsidR="3F3BDF14">
        <w:rPr>
          <w:rFonts w:ascii="Arial" w:hAnsi="Arial" w:eastAsia="Arial" w:cs="Arial"/>
          <w:b w:val="0"/>
          <w:bCs w:val="0"/>
          <w:i w:val="0"/>
          <w:iCs w:val="0"/>
          <w:strike w:val="0"/>
          <w:dstrike w:val="0"/>
          <w:noProof w:val="0"/>
          <w:color w:val="000000" w:themeColor="text1" w:themeTint="FF" w:themeShade="FF"/>
          <w:sz w:val="24"/>
          <w:szCs w:val="24"/>
          <w:u w:val="none"/>
          <w:lang w:val="en-US"/>
        </w:rPr>
        <w:t>research, it</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61E9761" w:rsidR="01302624">
        <w:rPr>
          <w:rFonts w:ascii="Arial" w:hAnsi="Arial" w:eastAsia="Arial" w:cs="Arial"/>
          <w:b w:val="0"/>
          <w:bCs w:val="0"/>
          <w:i w:val="0"/>
          <w:iCs w:val="0"/>
          <w:strike w:val="0"/>
          <w:dstrike w:val="0"/>
          <w:noProof w:val="0"/>
          <w:color w:val="000000" w:themeColor="text1" w:themeTint="FF" w:themeShade="FF"/>
          <w:sz w:val="24"/>
          <w:szCs w:val="24"/>
          <w:u w:val="none"/>
          <w:lang w:val="en-US"/>
        </w:rPr>
        <w:t>points</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out there is a challenge on how to use AI writing tools and </w:t>
      </w:r>
      <w:r w:rsidRPr="461E9761" w:rsidR="12DA422A">
        <w:rPr>
          <w:rFonts w:ascii="Arial" w:hAnsi="Arial" w:eastAsia="Arial" w:cs="Arial"/>
          <w:b w:val="0"/>
          <w:bCs w:val="0"/>
          <w:i w:val="0"/>
          <w:iCs w:val="0"/>
          <w:strike w:val="0"/>
          <w:dstrike w:val="0"/>
          <w:noProof w:val="0"/>
          <w:color w:val="000000" w:themeColor="text1" w:themeTint="FF" w:themeShade="FF"/>
          <w:sz w:val="24"/>
          <w:szCs w:val="24"/>
          <w:u w:val="none"/>
          <w:lang w:val="en-US"/>
        </w:rPr>
        <w:t>needs</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more investigation in AI-assisted writing tools in higher education.</w:t>
      </w:r>
    </w:p>
    <w:p w:rsidR="1DBC993F" w:rsidP="461E9761" w:rsidRDefault="1DBC993F" w14:paraId="35FF73D4" w14:textId="40B39FF4">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 conclusion, academic writing is not just about producing text, further it includes presenting more study skills such as analyzing resources, critical </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thinking</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logical expressions, it should </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contain</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original thoughts and ideas and be unique. A pilot study of Mondal et al. (2023) found the similarity index of text which ChatGPT generated is </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very high</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This can confirm that AI writing tools reduce people’s creativity. </w:t>
      </w:r>
    </w:p>
    <w:p w:rsidR="1DBC993F" w:rsidP="461E9761" w:rsidRDefault="1DBC993F" w14:paraId="4306D42F" w14:textId="612C87BA">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The advantages of using AI tools for academic writing were recognized by many studies as well. However, most of these studies found some challenges as well, like academic integrity and plagiarism, and reliability of information</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w:rsidR="1DBC993F" w:rsidP="461E9761" w:rsidRDefault="1DBC993F" w14:paraId="0BE1B2F4" w14:textId="2404B55C">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study of </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Alkamel</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et al. (2023) suggested that students who utilized ChatGPT should use AI writing tool as support tool beside their own efforts; learn from its suggestion to improve their writing but at the same time try to keep critical thinking; keep academic integrity when using AI tools; cite properly and reference any information that provided. </w:t>
      </w:r>
    </w:p>
    <w:p w:rsidR="1DBC993F" w:rsidP="461E9761" w:rsidRDefault="1DBC993F" w14:paraId="1702F51E" w14:textId="6AB10C63">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While students are taking its short-term benefits, they should not forget that AI </w:t>
      </w:r>
      <w:r w:rsidRPr="461E9761" w:rsidR="1359C2C9">
        <w:rPr>
          <w:rFonts w:ascii="Arial" w:hAnsi="Arial" w:eastAsia="Arial" w:cs="Arial"/>
          <w:b w:val="0"/>
          <w:bCs w:val="0"/>
          <w:i w:val="0"/>
          <w:iCs w:val="0"/>
          <w:strike w:val="0"/>
          <w:dstrike w:val="0"/>
          <w:noProof w:val="0"/>
          <w:color w:val="000000" w:themeColor="text1" w:themeTint="FF" w:themeShade="FF"/>
          <w:sz w:val="24"/>
          <w:szCs w:val="24"/>
          <w:u w:val="none"/>
          <w:lang w:val="en-US"/>
        </w:rPr>
        <w:t>actually ultimately</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damaged their creativity and reduced personal engagement. </w:t>
      </w:r>
    </w:p>
    <w:p w:rsidR="1DBC993F" w:rsidP="461E9761" w:rsidRDefault="1DBC993F" w14:paraId="29DD8821" w14:textId="60D15636">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References </w:t>
      </w:r>
    </w:p>
    <w:p w:rsidR="1DBC993F" w:rsidP="461E9761" w:rsidRDefault="1DBC993F" w14:paraId="59FED239" w14:textId="05C82666">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Abdullah, S., Amir, </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N.</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Khan, T.A. (2023) ‘WHAT IS ARTIFICIAL INTELLIGENCE AND HOW MUCH ARE PRIVATE PRACTITIONERS AWARE OF IT?’, </w:t>
      </w:r>
      <w:r w:rsidRPr="461E9761" w:rsidR="1DBC993F">
        <w:rPr>
          <w:rFonts w:ascii="Arial" w:hAnsi="Arial" w:eastAsia="Arial" w:cs="Arial"/>
          <w:b w:val="0"/>
          <w:bCs w:val="0"/>
          <w:i w:val="1"/>
          <w:iCs w:val="1"/>
          <w:strike w:val="0"/>
          <w:dstrike w:val="0"/>
          <w:noProof w:val="0"/>
          <w:color w:val="000000" w:themeColor="text1" w:themeTint="FF" w:themeShade="FF"/>
          <w:sz w:val="24"/>
          <w:szCs w:val="24"/>
          <w:u w:val="none"/>
          <w:lang w:val="en-US"/>
        </w:rPr>
        <w:t>Pakistan oral &amp; dental journal</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43(2), pp. 45-. </w:t>
      </w:r>
    </w:p>
    <w:p w:rsidR="1DBC993F" w:rsidP="461E9761" w:rsidRDefault="1DBC993F" w14:paraId="17BCAE10" w14:textId="5E8CEECA">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Alkamel</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M.A.A. and </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Alwagieh</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N.A.S. (2024) ‘Utilizing an adaptable artificial intelligence writing tool (ChatGPT) to enhance academic writing skills among Yemeni university EFL students’, </w:t>
      </w:r>
      <w:r w:rsidRPr="461E9761" w:rsidR="1DBC993F">
        <w:rPr>
          <w:rFonts w:ascii="Arial" w:hAnsi="Arial" w:eastAsia="Arial" w:cs="Arial"/>
          <w:b w:val="0"/>
          <w:bCs w:val="0"/>
          <w:i w:val="1"/>
          <w:iCs w:val="1"/>
          <w:strike w:val="0"/>
          <w:dstrike w:val="0"/>
          <w:noProof w:val="0"/>
          <w:color w:val="000000" w:themeColor="text1" w:themeTint="FF" w:themeShade="FF"/>
          <w:sz w:val="24"/>
          <w:szCs w:val="24"/>
          <w:u w:val="none"/>
          <w:lang w:val="en-US"/>
        </w:rPr>
        <w:t>Social</w:t>
      </w:r>
      <w:r w:rsidRPr="461E9761" w:rsidR="1DBC993F">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sciences &amp; humanities open</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10, pp. 101095-. Available at:</w:t>
      </w:r>
      <w:hyperlink r:id="R6dc38676b98e42ac">
        <w:r w:rsidRPr="461E9761" w:rsidR="1DBC993F">
          <w:rPr>
            <w:rStyle w:val="Hyperlink"/>
            <w:rFonts w:ascii="Arial" w:hAnsi="Arial" w:eastAsia="Arial" w:cs="Arial"/>
            <w:b w:val="0"/>
            <w:bCs w:val="0"/>
            <w:i w:val="0"/>
            <w:iCs w:val="0"/>
            <w:strike w:val="0"/>
            <w:dstrike w:val="0"/>
            <w:noProof w:val="0"/>
            <w:sz w:val="24"/>
            <w:szCs w:val="24"/>
            <w:lang w:val="en-US"/>
          </w:rPr>
          <w:t xml:space="preserve"> </w:t>
        </w:r>
        <w:r w:rsidRPr="461E9761" w:rsidR="1DBC993F">
          <w:rPr>
            <w:rStyle w:val="Hyperlink"/>
            <w:rFonts w:ascii="Arial" w:hAnsi="Arial" w:eastAsia="Arial" w:cs="Arial"/>
            <w:b w:val="0"/>
            <w:bCs w:val="0"/>
            <w:i w:val="0"/>
            <w:iCs w:val="0"/>
            <w:strike w:val="0"/>
            <w:dstrike w:val="0"/>
            <w:noProof w:val="0"/>
            <w:color w:val="1155CC"/>
            <w:sz w:val="24"/>
            <w:szCs w:val="24"/>
            <w:u w:val="none"/>
            <w:lang w:val="en-US"/>
          </w:rPr>
          <w:t>https://doi.org/10.1016/j.ssaho.2024.101095</w:t>
        </w:r>
      </w:hyperlink>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w:rsidR="1DBC993F" w:rsidP="461E9761" w:rsidRDefault="1DBC993F" w14:paraId="4C8E14A9" w14:textId="28938094">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McCarthy J, Minsky ML, Rochester N, Shannon CE. A proposal for the Dartmouth summer research project on artificial intelligence. AI Mag. 2006;27(4):12–4  </w:t>
      </w:r>
    </w:p>
    <w:p w:rsidR="1DBC993F" w:rsidP="461E9761" w:rsidRDefault="1DBC993F" w14:paraId="3D914A08" w14:textId="6D44F0CD">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Prentice, F.M. and Kinden, C.E., 2018. Paraphrasing tools, language translation </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tools</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plagiarism: an exploratory study. </w:t>
      </w:r>
      <w:r w:rsidRPr="461E9761" w:rsidR="1DBC993F">
        <w:rPr>
          <w:rFonts w:ascii="Arial" w:hAnsi="Arial" w:eastAsia="Arial" w:cs="Arial"/>
          <w:b w:val="0"/>
          <w:bCs w:val="0"/>
          <w:i w:val="1"/>
          <w:iCs w:val="1"/>
          <w:strike w:val="0"/>
          <w:dstrike w:val="0"/>
          <w:noProof w:val="0"/>
          <w:color w:val="000000" w:themeColor="text1" w:themeTint="FF" w:themeShade="FF"/>
          <w:sz w:val="24"/>
          <w:szCs w:val="24"/>
          <w:u w:val="none"/>
          <w:lang w:val="en-US"/>
        </w:rPr>
        <w:t>International Journal for Educational Integrity</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61E9761" w:rsidR="1DBC993F">
        <w:rPr>
          <w:rFonts w:ascii="Arial" w:hAnsi="Arial" w:eastAsia="Arial" w:cs="Arial"/>
          <w:b w:val="0"/>
          <w:bCs w:val="0"/>
          <w:i w:val="1"/>
          <w:iCs w:val="1"/>
          <w:strike w:val="0"/>
          <w:dstrike w:val="0"/>
          <w:noProof w:val="0"/>
          <w:color w:val="000000" w:themeColor="text1" w:themeTint="FF" w:themeShade="FF"/>
          <w:sz w:val="24"/>
          <w:szCs w:val="24"/>
          <w:u w:val="none"/>
          <w:lang w:val="en-US"/>
        </w:rPr>
        <w:t>14</w:t>
      </w:r>
      <w:r w:rsidRPr="461E9761" w:rsidR="1DBC99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(1), pp.1-16. </w:t>
      </w:r>
    </w:p>
    <w:p w:rsidR="1DBC993F" w:rsidP="461E9761" w:rsidRDefault="1DBC993F" w14:paraId="3512F7D0" w14:textId="1A19B2EE">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222222"/>
          <w:sz w:val="24"/>
          <w:szCs w:val="24"/>
          <w:u w:val="none"/>
          <w:lang w:val="en-US"/>
        </w:rPr>
      </w:pPr>
      <w:r w:rsidRPr="461E9761" w:rsidR="1DBC993F">
        <w:rPr>
          <w:rFonts w:ascii="Arial" w:hAnsi="Arial" w:eastAsia="Arial" w:cs="Arial"/>
          <w:b w:val="0"/>
          <w:bCs w:val="0"/>
          <w:i w:val="0"/>
          <w:iCs w:val="0"/>
          <w:strike w:val="0"/>
          <w:dstrike w:val="0"/>
          <w:noProof w:val="0"/>
          <w:color w:val="222222"/>
          <w:sz w:val="24"/>
          <w:szCs w:val="24"/>
          <w:u w:val="none"/>
          <w:lang w:val="en-US"/>
        </w:rPr>
        <w:t xml:space="preserve">Mondal, H., Mondal, S. and Podder, I., 2023. Using ChatGPT for writing articles for patients’ education for dermatological diseases: a pilot study. </w:t>
      </w:r>
      <w:r w:rsidRPr="461E9761" w:rsidR="1DBC993F">
        <w:rPr>
          <w:rFonts w:ascii="Arial" w:hAnsi="Arial" w:eastAsia="Arial" w:cs="Arial"/>
          <w:b w:val="0"/>
          <w:bCs w:val="0"/>
          <w:i w:val="1"/>
          <w:iCs w:val="1"/>
          <w:strike w:val="0"/>
          <w:dstrike w:val="0"/>
          <w:noProof w:val="0"/>
          <w:color w:val="222222"/>
          <w:sz w:val="24"/>
          <w:szCs w:val="24"/>
          <w:u w:val="none"/>
          <w:lang w:val="en-US"/>
        </w:rPr>
        <w:t>Indian Dermatology Online Journal</w:t>
      </w:r>
      <w:r w:rsidRPr="461E9761" w:rsidR="1DBC993F">
        <w:rPr>
          <w:rFonts w:ascii="Arial" w:hAnsi="Arial" w:eastAsia="Arial" w:cs="Arial"/>
          <w:b w:val="0"/>
          <w:bCs w:val="0"/>
          <w:i w:val="0"/>
          <w:iCs w:val="0"/>
          <w:strike w:val="0"/>
          <w:dstrike w:val="0"/>
          <w:noProof w:val="0"/>
          <w:color w:val="222222"/>
          <w:sz w:val="24"/>
          <w:szCs w:val="24"/>
          <w:u w:val="none"/>
          <w:lang w:val="en-US"/>
        </w:rPr>
        <w:t xml:space="preserve">, </w:t>
      </w:r>
      <w:r w:rsidRPr="461E9761" w:rsidR="1DBC993F">
        <w:rPr>
          <w:rFonts w:ascii="Arial" w:hAnsi="Arial" w:eastAsia="Arial" w:cs="Arial"/>
          <w:b w:val="0"/>
          <w:bCs w:val="0"/>
          <w:i w:val="1"/>
          <w:iCs w:val="1"/>
          <w:strike w:val="0"/>
          <w:dstrike w:val="0"/>
          <w:noProof w:val="0"/>
          <w:color w:val="222222"/>
          <w:sz w:val="24"/>
          <w:szCs w:val="24"/>
          <w:u w:val="none"/>
          <w:lang w:val="en-US"/>
        </w:rPr>
        <w:t>14</w:t>
      </w:r>
      <w:r w:rsidRPr="461E9761" w:rsidR="1DBC993F">
        <w:rPr>
          <w:rFonts w:ascii="Arial" w:hAnsi="Arial" w:eastAsia="Arial" w:cs="Arial"/>
          <w:b w:val="0"/>
          <w:bCs w:val="0"/>
          <w:i w:val="0"/>
          <w:iCs w:val="0"/>
          <w:strike w:val="0"/>
          <w:dstrike w:val="0"/>
          <w:noProof w:val="0"/>
          <w:color w:val="222222"/>
          <w:sz w:val="24"/>
          <w:szCs w:val="24"/>
          <w:u w:val="none"/>
          <w:lang w:val="en-US"/>
        </w:rPr>
        <w:t xml:space="preserve">(4), pp.482-486. </w:t>
      </w:r>
    </w:p>
    <w:p w:rsidR="1DBC993F" w:rsidP="461E9761" w:rsidRDefault="1DBC993F" w14:paraId="1D213082" w14:textId="5EC42E54">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222222"/>
          <w:sz w:val="24"/>
          <w:szCs w:val="24"/>
          <w:u w:val="none"/>
          <w:lang w:val="en-US"/>
        </w:rPr>
      </w:pPr>
      <w:r w:rsidRPr="461E9761" w:rsidR="1DBC993F">
        <w:rPr>
          <w:rFonts w:ascii="Arial" w:hAnsi="Arial" w:eastAsia="Arial" w:cs="Arial"/>
          <w:b w:val="0"/>
          <w:bCs w:val="0"/>
          <w:i w:val="0"/>
          <w:iCs w:val="0"/>
          <w:strike w:val="0"/>
          <w:dstrike w:val="0"/>
          <w:noProof w:val="0"/>
          <w:color w:val="222222"/>
          <w:sz w:val="24"/>
          <w:szCs w:val="24"/>
          <w:u w:val="none"/>
          <w:lang w:val="en-US"/>
        </w:rPr>
        <w:t xml:space="preserve">Nguyen, A. </w:t>
      </w:r>
      <w:r w:rsidRPr="461E9761" w:rsidR="1DBC993F">
        <w:rPr>
          <w:rFonts w:ascii="Arial" w:hAnsi="Arial" w:eastAsia="Arial" w:cs="Arial"/>
          <w:b w:val="0"/>
          <w:bCs w:val="0"/>
          <w:i w:val="1"/>
          <w:iCs w:val="1"/>
          <w:strike w:val="0"/>
          <w:dstrike w:val="0"/>
          <w:noProof w:val="0"/>
          <w:color w:val="222222"/>
          <w:sz w:val="24"/>
          <w:szCs w:val="24"/>
          <w:u w:val="none"/>
          <w:lang w:val="en-US"/>
        </w:rPr>
        <w:t>et al.</w:t>
      </w:r>
      <w:r w:rsidRPr="461E9761" w:rsidR="1DBC993F">
        <w:rPr>
          <w:rFonts w:ascii="Arial" w:hAnsi="Arial" w:eastAsia="Arial" w:cs="Arial"/>
          <w:b w:val="0"/>
          <w:bCs w:val="0"/>
          <w:i w:val="0"/>
          <w:iCs w:val="0"/>
          <w:strike w:val="0"/>
          <w:dstrike w:val="0"/>
          <w:noProof w:val="0"/>
          <w:color w:val="222222"/>
          <w:sz w:val="24"/>
          <w:szCs w:val="24"/>
          <w:u w:val="none"/>
          <w:lang w:val="en-US"/>
        </w:rPr>
        <w:t xml:space="preserve"> (2024) ‘Human-AI collaboration patterns in AI-assisted academic writing’, </w:t>
      </w:r>
      <w:r w:rsidRPr="461E9761" w:rsidR="1DBC993F">
        <w:rPr>
          <w:rFonts w:ascii="Arial" w:hAnsi="Arial" w:eastAsia="Arial" w:cs="Arial"/>
          <w:b w:val="0"/>
          <w:bCs w:val="0"/>
          <w:i w:val="1"/>
          <w:iCs w:val="1"/>
          <w:strike w:val="0"/>
          <w:dstrike w:val="0"/>
          <w:noProof w:val="0"/>
          <w:color w:val="222222"/>
          <w:sz w:val="24"/>
          <w:szCs w:val="24"/>
          <w:u w:val="none"/>
          <w:lang w:val="en-US"/>
        </w:rPr>
        <w:t>Studies in higher education (Dorchester-on-Thames)</w:t>
      </w:r>
      <w:r w:rsidRPr="461E9761" w:rsidR="1DBC993F">
        <w:rPr>
          <w:rFonts w:ascii="Arial" w:hAnsi="Arial" w:eastAsia="Arial" w:cs="Arial"/>
          <w:b w:val="0"/>
          <w:bCs w:val="0"/>
          <w:i w:val="0"/>
          <w:iCs w:val="0"/>
          <w:strike w:val="0"/>
          <w:dstrike w:val="0"/>
          <w:noProof w:val="0"/>
          <w:color w:val="222222"/>
          <w:sz w:val="24"/>
          <w:szCs w:val="24"/>
          <w:u w:val="none"/>
          <w:lang w:val="en-US"/>
        </w:rPr>
        <w:t xml:space="preserve">, 49(5), pp. 847–864. Available at: </w:t>
      </w:r>
      <w:hyperlink r:id="R3715e4d8870844f7">
        <w:r w:rsidRPr="461E9761" w:rsidR="1DBC993F">
          <w:rPr>
            <w:rStyle w:val="Hyperlink"/>
            <w:rFonts w:ascii="Arial" w:hAnsi="Arial" w:eastAsia="Arial" w:cs="Arial"/>
            <w:b w:val="0"/>
            <w:bCs w:val="0"/>
            <w:i w:val="0"/>
            <w:iCs w:val="0"/>
            <w:strike w:val="0"/>
            <w:dstrike w:val="0"/>
            <w:noProof w:val="0"/>
            <w:sz w:val="24"/>
            <w:szCs w:val="24"/>
            <w:lang w:val="en-US"/>
          </w:rPr>
          <w:t>https://doi.org/10.1080/03075079.2024.2323593</w:t>
        </w:r>
      </w:hyperlink>
      <w:r w:rsidRPr="461E9761" w:rsidR="1DBC993F">
        <w:rPr>
          <w:rFonts w:ascii="Arial" w:hAnsi="Arial" w:eastAsia="Arial" w:cs="Arial"/>
          <w:b w:val="0"/>
          <w:bCs w:val="0"/>
          <w:i w:val="0"/>
          <w:iCs w:val="0"/>
          <w:strike w:val="0"/>
          <w:dstrike w:val="0"/>
          <w:noProof w:val="0"/>
          <w:color w:val="222222"/>
          <w:sz w:val="24"/>
          <w:szCs w:val="24"/>
          <w:u w:val="none"/>
          <w:lang w:val="en-US"/>
        </w:rPr>
        <w:t>.</w:t>
      </w:r>
    </w:p>
    <w:p w:rsidR="461E9761" w:rsidP="461E9761" w:rsidRDefault="461E9761" w14:paraId="311EE5DD" w14:textId="0F5A8AC1">
      <w:pPr>
        <w:shd w:val="clear" w:color="auto" w:fill="FFFFFF" w:themeFill="background1"/>
        <w:spacing w:before="0" w:beforeAutospacing="off" w:after="0" w:afterAutospacing="off" w:line="360" w:lineRule="auto"/>
        <w:rPr>
          <w:rFonts w:ascii="Arial" w:hAnsi="Arial" w:eastAsia="Arial" w:cs="Arial"/>
        </w:rPr>
      </w:pPr>
    </w:p>
    <w:p w:rsidR="461E9761" w:rsidP="461E9761" w:rsidRDefault="461E9761" w14:paraId="618318D2" w14:textId="1024E82A">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sectPr>
      <w:pgSz w:w="12240" w:h="15840" w:orient="portrait"/>
      <w:pgMar w:top="1440" w:right="1440" w:bottom="1440" w:left="1440" w:header="720" w:footer="720" w:gutter="0"/>
      <w:cols w:space="720"/>
      <w:docGrid w:linePitch="360"/>
      <w:headerReference w:type="default" r:id="R9d0edd0115a241ed"/>
      <w:footerReference w:type="default" r:id="R4f556e4458d1484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F4882DC" w:rsidTr="0F4882DC" w14:paraId="1A3F01EC">
      <w:trPr>
        <w:trHeight w:val="300"/>
      </w:trPr>
      <w:tc>
        <w:tcPr>
          <w:tcW w:w="3120" w:type="dxa"/>
          <w:tcMar/>
        </w:tcPr>
        <w:p w:rsidR="0F4882DC" w:rsidP="0F4882DC" w:rsidRDefault="0F4882DC" w14:paraId="128B7478" w14:textId="00CD0811">
          <w:pPr>
            <w:pStyle w:val="Header"/>
            <w:bidi w:val="0"/>
            <w:ind w:left="-115"/>
            <w:jc w:val="left"/>
          </w:pPr>
        </w:p>
      </w:tc>
      <w:tc>
        <w:tcPr>
          <w:tcW w:w="3120" w:type="dxa"/>
          <w:tcMar/>
        </w:tcPr>
        <w:p w:rsidR="0F4882DC" w:rsidP="0F4882DC" w:rsidRDefault="0F4882DC" w14:paraId="4798F48B" w14:textId="017B4A89">
          <w:pPr>
            <w:pStyle w:val="Header"/>
            <w:bidi w:val="0"/>
            <w:jc w:val="center"/>
          </w:pPr>
        </w:p>
      </w:tc>
      <w:tc>
        <w:tcPr>
          <w:tcW w:w="3120" w:type="dxa"/>
          <w:tcMar/>
        </w:tcPr>
        <w:p w:rsidR="0F4882DC" w:rsidP="0F4882DC" w:rsidRDefault="0F4882DC" w14:paraId="14346319" w14:textId="742AD6F2">
          <w:pPr>
            <w:pStyle w:val="Header"/>
            <w:bidi w:val="0"/>
            <w:ind w:right="-115"/>
            <w:jc w:val="right"/>
          </w:pPr>
        </w:p>
      </w:tc>
    </w:tr>
  </w:tbl>
  <w:p w:rsidR="0F4882DC" w:rsidP="0F4882DC" w:rsidRDefault="0F4882DC" w14:paraId="5DF0C351" w14:textId="3B83B8C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F4882DC" w:rsidTr="0F4882DC" w14:paraId="1787395A">
      <w:trPr>
        <w:trHeight w:val="300"/>
      </w:trPr>
      <w:tc>
        <w:tcPr>
          <w:tcW w:w="3120" w:type="dxa"/>
          <w:tcMar/>
        </w:tcPr>
        <w:p w:rsidR="0F4882DC" w:rsidP="0F4882DC" w:rsidRDefault="0F4882DC" w14:paraId="067B4214" w14:textId="21F73C60">
          <w:pPr>
            <w:pStyle w:val="Header"/>
            <w:bidi w:val="0"/>
            <w:ind w:left="-115"/>
            <w:jc w:val="left"/>
          </w:pPr>
        </w:p>
      </w:tc>
      <w:tc>
        <w:tcPr>
          <w:tcW w:w="3120" w:type="dxa"/>
          <w:tcMar/>
        </w:tcPr>
        <w:p w:rsidR="0F4882DC" w:rsidP="0F4882DC" w:rsidRDefault="0F4882DC" w14:paraId="019D925C" w14:textId="049EB812">
          <w:pPr>
            <w:pStyle w:val="Header"/>
            <w:bidi w:val="0"/>
            <w:jc w:val="center"/>
          </w:pPr>
        </w:p>
      </w:tc>
      <w:tc>
        <w:tcPr>
          <w:tcW w:w="3120" w:type="dxa"/>
          <w:tcMar/>
        </w:tcPr>
        <w:p w:rsidR="0F4882DC" w:rsidP="0F4882DC" w:rsidRDefault="0F4882DC" w14:paraId="4918CC86" w14:textId="087F02A0">
          <w:pPr>
            <w:pStyle w:val="Header"/>
            <w:bidi w:val="0"/>
            <w:ind w:right="-115"/>
            <w:jc w:val="right"/>
          </w:pPr>
        </w:p>
      </w:tc>
    </w:tr>
  </w:tbl>
  <w:p w:rsidR="0F4882DC" w:rsidP="0F4882DC" w:rsidRDefault="0F4882DC" w14:paraId="25BC6A74" w14:textId="5CB9F0D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71F4E9"/>
    <w:rsid w:val="00A2C14F"/>
    <w:rsid w:val="01302624"/>
    <w:rsid w:val="0134C1A9"/>
    <w:rsid w:val="0214650E"/>
    <w:rsid w:val="03E77BA9"/>
    <w:rsid w:val="06D3C401"/>
    <w:rsid w:val="0A194808"/>
    <w:rsid w:val="0A1BC9AA"/>
    <w:rsid w:val="0A32B6DD"/>
    <w:rsid w:val="0D0C8EEC"/>
    <w:rsid w:val="0F066B9B"/>
    <w:rsid w:val="0F4882DC"/>
    <w:rsid w:val="0F72C1AE"/>
    <w:rsid w:val="10910546"/>
    <w:rsid w:val="10EBC63A"/>
    <w:rsid w:val="12DA422A"/>
    <w:rsid w:val="1359C2C9"/>
    <w:rsid w:val="152131C4"/>
    <w:rsid w:val="166875FE"/>
    <w:rsid w:val="170CBFCF"/>
    <w:rsid w:val="1784F6D1"/>
    <w:rsid w:val="1D6FCE50"/>
    <w:rsid w:val="1DBC993F"/>
    <w:rsid w:val="1DFCADD1"/>
    <w:rsid w:val="1ECCBFAA"/>
    <w:rsid w:val="1FBF9F39"/>
    <w:rsid w:val="2162E9BC"/>
    <w:rsid w:val="227CC1E1"/>
    <w:rsid w:val="22ABF73F"/>
    <w:rsid w:val="248E0E50"/>
    <w:rsid w:val="25DF874A"/>
    <w:rsid w:val="25FE571D"/>
    <w:rsid w:val="264A4349"/>
    <w:rsid w:val="2C918BE9"/>
    <w:rsid w:val="2DAEAB8E"/>
    <w:rsid w:val="32CC2EDD"/>
    <w:rsid w:val="3595F5AA"/>
    <w:rsid w:val="3672395A"/>
    <w:rsid w:val="37A20FF3"/>
    <w:rsid w:val="38A5D806"/>
    <w:rsid w:val="39BEC3A1"/>
    <w:rsid w:val="39F2291E"/>
    <w:rsid w:val="3F3BDF14"/>
    <w:rsid w:val="3F59DE13"/>
    <w:rsid w:val="3F627DF0"/>
    <w:rsid w:val="3F71F4E9"/>
    <w:rsid w:val="40EC76F4"/>
    <w:rsid w:val="41709B71"/>
    <w:rsid w:val="4305327D"/>
    <w:rsid w:val="461E9761"/>
    <w:rsid w:val="46DAA217"/>
    <w:rsid w:val="49011852"/>
    <w:rsid w:val="49667C65"/>
    <w:rsid w:val="4E6F2496"/>
    <w:rsid w:val="4E8823DC"/>
    <w:rsid w:val="4EF71321"/>
    <w:rsid w:val="4F396072"/>
    <w:rsid w:val="4F9DC048"/>
    <w:rsid w:val="520442DD"/>
    <w:rsid w:val="5508749C"/>
    <w:rsid w:val="5647679A"/>
    <w:rsid w:val="572B205F"/>
    <w:rsid w:val="5A81A143"/>
    <w:rsid w:val="5AA06004"/>
    <w:rsid w:val="5C237662"/>
    <w:rsid w:val="5C88F31F"/>
    <w:rsid w:val="5CAAF8F6"/>
    <w:rsid w:val="5E27A4B2"/>
    <w:rsid w:val="5F6A7580"/>
    <w:rsid w:val="62868D0E"/>
    <w:rsid w:val="64AE1F6A"/>
    <w:rsid w:val="64E88FF5"/>
    <w:rsid w:val="6951B800"/>
    <w:rsid w:val="6FC33877"/>
    <w:rsid w:val="703CE58C"/>
    <w:rsid w:val="72663D2F"/>
    <w:rsid w:val="7384B263"/>
    <w:rsid w:val="747344A1"/>
    <w:rsid w:val="74FDD629"/>
    <w:rsid w:val="76409CE4"/>
    <w:rsid w:val="765F531E"/>
    <w:rsid w:val="78AE9DE3"/>
    <w:rsid w:val="798A1A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1F4E9"/>
  <w15:chartTrackingRefBased/>
  <w15:docId w15:val="{659A8D72-E163-428B-8357-77B64B0EA0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F4882DC"/>
    <w:rPr>
      <w:color w:val="467886"/>
      <w:u w:val="single"/>
    </w:rPr>
  </w:style>
  <w:style w:type="paragraph" w:styleId="Header">
    <w:uiPriority w:val="99"/>
    <w:name w:val="header"/>
    <w:basedOn w:val="Normal"/>
    <w:unhideWhenUsed/>
    <w:rsid w:val="0F4882DC"/>
    <w:pPr>
      <w:tabs>
        <w:tab w:val="center" w:leader="none" w:pos="4680"/>
        <w:tab w:val="right" w:leader="none" w:pos="9360"/>
      </w:tabs>
      <w:spacing w:after="0" w:line="240" w:lineRule="auto"/>
    </w:pPr>
  </w:style>
  <w:style w:type="paragraph" w:styleId="Footer">
    <w:uiPriority w:val="99"/>
    <w:name w:val="footer"/>
    <w:basedOn w:val="Normal"/>
    <w:unhideWhenUsed/>
    <w:rsid w:val="0F4882D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d0edd0115a241ed" /><Relationship Type="http://schemas.openxmlformats.org/officeDocument/2006/relationships/footer" Target="footer.xml" Id="R4f556e4458d14842" /><Relationship Type="http://schemas.openxmlformats.org/officeDocument/2006/relationships/hyperlink" Target="https://doi.org/10.1016/j.ssaho.2024.101095" TargetMode="External" Id="R6dc38676b98e42ac" /><Relationship Type="http://schemas.openxmlformats.org/officeDocument/2006/relationships/hyperlink" Target="https://doi.org/10.1080/03075079.2024.2323593" TargetMode="External" Id="R3715e4d8870844f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2025-05-27T01:32:29.4939779Z</dcterms:created>
  <dcterms:modified xsi:type="dcterms:W3CDTF">2025-05-28T20:44:37.5195705Z</dcterms:modified>
  <dc:creator>Xiaoli Shao (2440261)</dc:creator>
  <lastModifiedBy>Xiaoli Shao (2440261)</lastModifiedBy>
</coreProperties>
</file>