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96303B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1E7E">
              <w:rPr>
                <w:rFonts w:ascii="Times New Roman" w:hAnsi="Times New Roman" w:cs="Times New Roman"/>
                <w:b/>
                <w:color w:val="auto"/>
                <w:sz w:val="48"/>
              </w:rPr>
              <w:br/>
            </w:r>
            <w:r w:rsidR="005C0AA9">
              <w:rPr>
                <w:rFonts w:ascii="Times New Roman" w:hAnsi="Times New Roman" w:cs="Times New Roman"/>
                <w:b/>
                <w:color w:val="auto"/>
                <w:sz w:val="48"/>
              </w:rPr>
              <w:t>Jade Redford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60BAF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90422">
              <w:t xml:space="preserve"> </w:t>
            </w:r>
            <w:r w:rsidR="009F1E7E">
              <w:br/>
            </w:r>
            <w:r w:rsidR="00590422" w:rsidRPr="00590422">
              <w:rPr>
                <w:rFonts w:ascii="Times New Roman" w:hAnsi="Times New Roman" w:cs="Times New Roman"/>
                <w:b/>
                <w:color w:val="auto"/>
                <w:sz w:val="48"/>
              </w:rPr>
              <w:t>2319173@student.uwtsd.ac.uk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73302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90422">
              <w:t xml:space="preserve"> </w:t>
            </w:r>
            <w:r w:rsidR="009F1E7E">
              <w:br/>
            </w:r>
            <w:r w:rsidR="00590422" w:rsidRPr="00590422">
              <w:rPr>
                <w:rFonts w:ascii="Times New Roman" w:hAnsi="Times New Roman" w:cs="Times New Roman"/>
                <w:b/>
                <w:color w:val="auto"/>
                <w:sz w:val="48"/>
              </w:rPr>
              <w:t>2319173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58EC7F72" w14:textId="77777777" w:rsidR="000A6BA8" w:rsidRPr="00092366" w:rsidRDefault="00BB7FD2" w:rsidP="00F91CCB">
            <w:pPr>
              <w:spacing w:after="160" w:line="360" w:lineRule="auto"/>
              <w:rPr>
                <w:sz w:val="24"/>
                <w:szCs w:val="24"/>
              </w:rPr>
            </w:pPr>
            <w:r w:rsidRPr="005C0AA9">
              <w:rPr>
                <w:sz w:val="24"/>
                <w:szCs w:val="24"/>
              </w:rPr>
              <w:t xml:space="preserve">In an area </w:t>
            </w:r>
            <w:r w:rsidRPr="005C0AA9">
              <w:rPr>
                <w:b/>
                <w:sz w:val="24"/>
                <w:szCs w:val="24"/>
              </w:rPr>
              <w:t xml:space="preserve">that is not your main focus of work </w:t>
            </w:r>
            <w:r w:rsidRPr="005C0AA9">
              <w:rPr>
                <w:sz w:val="24"/>
                <w:szCs w:val="24"/>
              </w:rPr>
              <w:t xml:space="preserve">(see guidance above), </w:t>
            </w:r>
            <w:r w:rsidR="0002440E" w:rsidRPr="005C0AA9">
              <w:rPr>
                <w:sz w:val="24"/>
                <w:szCs w:val="24"/>
              </w:rPr>
              <w:t>explain</w:t>
            </w:r>
            <w:r w:rsidR="008340BA" w:rsidRPr="005C0AA9">
              <w:rPr>
                <w:sz w:val="24"/>
                <w:szCs w:val="24"/>
              </w:rPr>
              <w:t xml:space="preserve"> </w:t>
            </w:r>
            <w:r w:rsidR="00DA22EC" w:rsidRPr="005C0AA9">
              <w:rPr>
                <w:sz w:val="24"/>
                <w:szCs w:val="24"/>
              </w:rPr>
              <w:t>the</w:t>
            </w:r>
            <w:r w:rsidR="005A545C" w:rsidRPr="005C0AA9">
              <w:rPr>
                <w:sz w:val="24"/>
                <w:szCs w:val="24"/>
              </w:rPr>
              <w:t xml:space="preserve"> relevant </w:t>
            </w:r>
            <w:r w:rsidRPr="005C0AA9">
              <w:rPr>
                <w:sz w:val="24"/>
                <w:szCs w:val="24"/>
              </w:rPr>
              <w:t xml:space="preserve">legislation, </w:t>
            </w:r>
            <w:r w:rsidR="0002440E" w:rsidRPr="005C0AA9">
              <w:rPr>
                <w:sz w:val="24"/>
                <w:szCs w:val="24"/>
              </w:rPr>
              <w:t>and</w:t>
            </w:r>
            <w:r w:rsidR="008340BA" w:rsidRPr="005C0AA9">
              <w:rPr>
                <w:sz w:val="24"/>
                <w:szCs w:val="24"/>
              </w:rPr>
              <w:t xml:space="preserve"> the </w:t>
            </w:r>
            <w:r w:rsidR="005A545C" w:rsidRPr="005C0AA9">
              <w:rPr>
                <w:sz w:val="24"/>
                <w:szCs w:val="24"/>
              </w:rPr>
              <w:t>national, local and organisational policies and procedures</w:t>
            </w:r>
            <w:r w:rsidRPr="005C0AA9">
              <w:rPr>
                <w:sz w:val="24"/>
                <w:szCs w:val="24"/>
              </w:rPr>
              <w:t xml:space="preserve"> for safeguarding.</w:t>
            </w:r>
            <w:r w:rsidR="000A6BA8" w:rsidRPr="005C0AA9">
              <w:rPr>
                <w:sz w:val="24"/>
                <w:szCs w:val="24"/>
              </w:rPr>
              <w:br/>
            </w:r>
            <w:r w:rsidR="000A6BA8" w:rsidRPr="005C0AA9">
              <w:rPr>
                <w:sz w:val="24"/>
                <w:szCs w:val="24"/>
              </w:rPr>
              <w:br/>
              <w:t>For</w:t>
            </w:r>
            <w:r w:rsidR="000A6BA8" w:rsidRPr="00092366">
              <w:rPr>
                <w:sz w:val="24"/>
                <w:szCs w:val="24"/>
              </w:rPr>
              <w:t xml:space="preserve"> this assignment, I will be exploring relevant legislation, policies, and procedures for adult safeguarding. Safeguarding adults is particularly important when they may be at increased risk due to factors such as age, disability, mental health issues, or substance misuse</w:t>
            </w:r>
            <w:r w:rsidR="000A6BA8" w:rsidRPr="005C0AA9">
              <w:rPr>
                <w:sz w:val="24"/>
                <w:szCs w:val="24"/>
              </w:rPr>
              <w:t xml:space="preserve"> and social workers play a crucial role in preventing harm and protecting and promoting the rights and wellbeing of individuals. </w:t>
            </w:r>
          </w:p>
          <w:p w14:paraId="03E20FB6" w14:textId="4C26A6A0" w:rsidR="000A6BA8" w:rsidRPr="00092366" w:rsidRDefault="000A6BA8" w:rsidP="00F91CCB">
            <w:pPr>
              <w:spacing w:after="160" w:line="360" w:lineRule="auto"/>
              <w:rPr>
                <w:sz w:val="24"/>
                <w:szCs w:val="24"/>
              </w:rPr>
            </w:pPr>
            <w:r w:rsidRPr="00092366">
              <w:rPr>
                <w:sz w:val="24"/>
                <w:szCs w:val="24"/>
              </w:rPr>
              <w:t>In accordance with the Social Services and Well-being (Wales) Act 2014, section 126</w:t>
            </w:r>
            <w:r w:rsidRPr="005C0AA9">
              <w:rPr>
                <w:sz w:val="24"/>
                <w:szCs w:val="24"/>
              </w:rPr>
              <w:t xml:space="preserve"> </w:t>
            </w:r>
            <w:r w:rsidRPr="00092366">
              <w:rPr>
                <w:sz w:val="24"/>
                <w:szCs w:val="24"/>
              </w:rPr>
              <w:t>(1) defines an adult at risk as someone who is experiencing or is at risk of abuse or neglect, has needs for care and support, and, as a result of those needs, is unable to protect themselves against the abuse or neglect or the risk of it. The Wales Safeguarding Procedures emphasi</w:t>
            </w:r>
            <w:r w:rsidRPr="005C0AA9">
              <w:rPr>
                <w:sz w:val="24"/>
                <w:szCs w:val="24"/>
              </w:rPr>
              <w:t>s</w:t>
            </w:r>
            <w:r w:rsidRPr="00092366">
              <w:rPr>
                <w:sz w:val="24"/>
                <w:szCs w:val="24"/>
              </w:rPr>
              <w:t xml:space="preserve">e that </w:t>
            </w:r>
            <w:r w:rsidRPr="005C0AA9">
              <w:rPr>
                <w:sz w:val="24"/>
                <w:szCs w:val="24"/>
              </w:rPr>
              <w:t>“</w:t>
            </w:r>
            <w:r w:rsidRPr="00092366">
              <w:rPr>
                <w:sz w:val="24"/>
                <w:szCs w:val="24"/>
              </w:rPr>
              <w:t xml:space="preserve">the term “at risk” means that abuse or neglect does not need to occur before practitioners intervene; rather, early interventions to protect an adult at risk should </w:t>
            </w:r>
            <w:proofErr w:type="gramStart"/>
            <w:r w:rsidRPr="00092366">
              <w:rPr>
                <w:sz w:val="24"/>
                <w:szCs w:val="24"/>
              </w:rPr>
              <w:t>be considered</w:t>
            </w:r>
            <w:proofErr w:type="gramEnd"/>
            <w:r w:rsidR="009F1E7E" w:rsidRPr="005C0AA9">
              <w:rPr>
                <w:sz w:val="24"/>
                <w:szCs w:val="24"/>
              </w:rPr>
              <w:t>.”</w:t>
            </w:r>
          </w:p>
          <w:p w14:paraId="12815DAF" w14:textId="78DB2BBF" w:rsidR="000A6BA8" w:rsidRPr="00092366" w:rsidRDefault="000A6BA8" w:rsidP="00F91CCB">
            <w:pPr>
              <w:spacing w:after="160" w:line="360" w:lineRule="auto"/>
              <w:rPr>
                <w:sz w:val="24"/>
                <w:szCs w:val="24"/>
              </w:rPr>
            </w:pPr>
            <w:r w:rsidRPr="00092366">
              <w:rPr>
                <w:sz w:val="24"/>
                <w:szCs w:val="24"/>
              </w:rPr>
              <w:t>The role of a social worker with adults involves identifying concerns and working in a person-</w:t>
            </w:r>
            <w:r w:rsidRPr="005C0AA9">
              <w:rPr>
                <w:sz w:val="24"/>
                <w:szCs w:val="24"/>
              </w:rPr>
              <w:t>centred</w:t>
            </w:r>
            <w:r w:rsidRPr="00092366">
              <w:rPr>
                <w:sz w:val="24"/>
                <w:szCs w:val="24"/>
              </w:rPr>
              <w:t xml:space="preserve"> way to gather information</w:t>
            </w:r>
            <w:r w:rsidRPr="005C0AA9">
              <w:rPr>
                <w:sz w:val="24"/>
                <w:szCs w:val="24"/>
              </w:rPr>
              <w:t xml:space="preserve">, </w:t>
            </w:r>
            <w:r w:rsidRPr="00092366">
              <w:rPr>
                <w:sz w:val="24"/>
                <w:szCs w:val="24"/>
              </w:rPr>
              <w:t>using a narrative approach</w:t>
            </w:r>
            <w:r w:rsidRPr="005C0AA9">
              <w:rPr>
                <w:sz w:val="24"/>
                <w:szCs w:val="24"/>
              </w:rPr>
              <w:t xml:space="preserve"> to consider their wishes and feelings</w:t>
            </w:r>
            <w:r w:rsidRPr="00092366">
              <w:rPr>
                <w:sz w:val="24"/>
                <w:szCs w:val="24"/>
              </w:rPr>
              <w:t xml:space="preserve">. </w:t>
            </w:r>
          </w:p>
          <w:p w14:paraId="5E343834" w14:textId="1CB0C80F" w:rsidR="000223C5" w:rsidRPr="005C0AA9" w:rsidRDefault="000A6BA8" w:rsidP="000223C5">
            <w:pPr>
              <w:spacing w:line="360" w:lineRule="auto"/>
              <w:rPr>
                <w:sz w:val="24"/>
                <w:szCs w:val="24"/>
              </w:rPr>
            </w:pPr>
            <w:bookmarkStart w:id="0" w:name="_Hlk176975477"/>
            <w:r w:rsidRPr="00092366">
              <w:rPr>
                <w:sz w:val="24"/>
                <w:szCs w:val="24"/>
              </w:rPr>
              <w:lastRenderedPageBreak/>
              <w:t xml:space="preserve">Working Together to Safeguard People: Volume 6 – Handling Individual Cases to Protect Adults at Risk </w:t>
            </w:r>
            <w:bookmarkEnd w:id="0"/>
            <w:r w:rsidRPr="00092366">
              <w:rPr>
                <w:sz w:val="24"/>
                <w:szCs w:val="24"/>
              </w:rPr>
              <w:t xml:space="preserve">is part of the </w:t>
            </w:r>
            <w:r w:rsidR="00524DE9">
              <w:rPr>
                <w:sz w:val="24"/>
                <w:szCs w:val="24"/>
              </w:rPr>
              <w:t xml:space="preserve">SSWB(W)A (2014) </w:t>
            </w:r>
            <w:r w:rsidRPr="00092366">
              <w:rPr>
                <w:sz w:val="24"/>
                <w:szCs w:val="24"/>
              </w:rPr>
              <w:t xml:space="preserve">and provides </w:t>
            </w:r>
            <w:r w:rsidRPr="000223C5">
              <w:rPr>
                <w:sz w:val="24"/>
                <w:szCs w:val="24"/>
              </w:rPr>
              <w:t>guidance to practitioners in Wales working with adults</w:t>
            </w:r>
            <w:r w:rsidR="00524DE9">
              <w:rPr>
                <w:sz w:val="24"/>
                <w:szCs w:val="24"/>
              </w:rPr>
              <w:t xml:space="preserve">. </w:t>
            </w:r>
            <w:r w:rsidRPr="000223C5">
              <w:rPr>
                <w:sz w:val="24"/>
                <w:szCs w:val="24"/>
              </w:rPr>
              <w:t>It “sets out clear expectations about the ways in which agencies and professionals should work together to safeguard adults at risk</w:t>
            </w:r>
            <w:r w:rsidR="009F1E7E" w:rsidRPr="000223C5">
              <w:rPr>
                <w:sz w:val="24"/>
                <w:szCs w:val="24"/>
              </w:rPr>
              <w:t>.”</w:t>
            </w:r>
            <w:r w:rsidR="000223C5" w:rsidRPr="000223C5">
              <w:rPr>
                <w:sz w:val="24"/>
                <w:szCs w:val="24"/>
              </w:rPr>
              <w:br/>
            </w:r>
            <w:r w:rsidR="000223C5" w:rsidRPr="000223C5">
              <w:rPr>
                <w:sz w:val="24"/>
                <w:szCs w:val="24"/>
              </w:rPr>
              <w:br/>
              <w:t xml:space="preserve">Legislation such as the Data Protection Act 2018 protects individuals’ rights to privacy, which means that professionals need to be more cautious in terms of information sharing. This does not mean however, that information </w:t>
            </w:r>
            <w:proofErr w:type="gramStart"/>
            <w:r w:rsidR="000223C5" w:rsidRPr="000223C5">
              <w:rPr>
                <w:sz w:val="24"/>
                <w:szCs w:val="24"/>
              </w:rPr>
              <w:t>is not shared</w:t>
            </w:r>
            <w:proofErr w:type="gramEnd"/>
            <w:r w:rsidR="000223C5" w:rsidRPr="000223C5">
              <w:rPr>
                <w:sz w:val="24"/>
                <w:szCs w:val="24"/>
              </w:rPr>
              <w:t xml:space="preserve"> between professionals; if information was not shared, then professionals would not be able to protect and consider what care and support needs could be implemented. The Working Together to Safeguard People: Volume 6 – Handling Individual Cases to Protect Adults at Risk suggests that in practitioners must share information in accordance with the Data Protection Act 1998 and in exceptional circumstances such as preventing abuse or harm to others, information can </w:t>
            </w:r>
            <w:proofErr w:type="gramStart"/>
            <w:r w:rsidR="000223C5" w:rsidRPr="000223C5">
              <w:rPr>
                <w:sz w:val="24"/>
                <w:szCs w:val="24"/>
              </w:rPr>
              <w:t>be shared</w:t>
            </w:r>
            <w:proofErr w:type="gramEnd"/>
            <w:r w:rsidR="000223C5" w:rsidRPr="000223C5">
              <w:rPr>
                <w:sz w:val="24"/>
                <w:szCs w:val="24"/>
              </w:rPr>
              <w:t xml:space="preserve">. </w:t>
            </w:r>
            <w:r w:rsidR="00BA06AF">
              <w:rPr>
                <w:sz w:val="24"/>
                <w:szCs w:val="24"/>
              </w:rPr>
              <w:br/>
            </w:r>
            <w:r w:rsidR="000223C5" w:rsidRPr="000223C5">
              <w:rPr>
                <w:sz w:val="24"/>
                <w:szCs w:val="24"/>
              </w:rPr>
              <w:br/>
              <w:t>Another important consideration in adult safeguarding is the recognition that adults have the right to make unwise decisions and may refuse to accept support. The Mental Capacity Act 2005 mandates that we should always assume an individual’s capacity unless proven otherwise. If an adult has the capacity, they have the right to refuse support. Additionally, the Human Rights Act 1998 reinforces that adults have the right to disengage and refuse support, emphasi</w:t>
            </w:r>
            <w:r w:rsidR="00A77231">
              <w:rPr>
                <w:sz w:val="24"/>
                <w:szCs w:val="24"/>
              </w:rPr>
              <w:t>s</w:t>
            </w:r>
            <w:r w:rsidR="000223C5" w:rsidRPr="000223C5">
              <w:rPr>
                <w:sz w:val="24"/>
                <w:szCs w:val="24"/>
              </w:rPr>
              <w:t>ing the importance of respecting their autonomy and choices.</w:t>
            </w:r>
          </w:p>
          <w:p w14:paraId="60D8C669" w14:textId="197E6DD6" w:rsidR="00FC0334" w:rsidRDefault="000223C5" w:rsidP="00E24821">
            <w:pPr>
              <w:spacing w:line="360" w:lineRule="auto"/>
              <w:rPr>
                <w:sz w:val="24"/>
                <w:szCs w:val="24"/>
              </w:rPr>
            </w:pPr>
            <w:bookmarkStart w:id="1" w:name="_Hlk176975143"/>
            <w:r>
              <w:rPr>
                <w:sz w:val="24"/>
                <w:szCs w:val="24"/>
              </w:rPr>
              <w:br/>
            </w:r>
            <w:r w:rsidR="000A6BA8" w:rsidRPr="005C0AA9">
              <w:rPr>
                <w:sz w:val="24"/>
                <w:szCs w:val="24"/>
              </w:rPr>
              <w:t xml:space="preserve">A crucial aspect of adult safeguarding is the implementation of anti-discriminatory and anti-oppressive practices. Therefore, it is imperative for social workers to strive towards practices that prioritise inclusion and equality. These values should be fundamental to their professional ethos, ensuring that all individuals receive fair and respectful treatment. In Wales, social workers </w:t>
            </w:r>
            <w:proofErr w:type="gramStart"/>
            <w:r w:rsidR="000A6BA8" w:rsidRPr="005C0AA9">
              <w:rPr>
                <w:sz w:val="24"/>
                <w:szCs w:val="24"/>
              </w:rPr>
              <w:t>are required</w:t>
            </w:r>
            <w:proofErr w:type="gramEnd"/>
            <w:r w:rsidR="000A6BA8" w:rsidRPr="005C0AA9">
              <w:rPr>
                <w:sz w:val="24"/>
                <w:szCs w:val="24"/>
              </w:rPr>
              <w:t xml:space="preserve"> to comply with the Code of Professional Practice (Social Care Wales, 2017), where the standards are set for professionals to adhere too. Code 3 of the Code of Professional Practice states, “promote the wellbeing voice and control of individuals while supporting them to stay safe” and “respect the rights of individuals while seeking to ensure that their behaviour does not harm themselves or other people”. </w:t>
            </w:r>
            <w:r w:rsidR="00BA06AF">
              <w:rPr>
                <w:sz w:val="24"/>
                <w:szCs w:val="24"/>
              </w:rPr>
              <w:br/>
            </w:r>
            <w:r w:rsidR="00BA06AF">
              <w:rPr>
                <w:sz w:val="24"/>
                <w:szCs w:val="24"/>
              </w:rPr>
              <w:lastRenderedPageBreak/>
              <w:br/>
            </w:r>
            <w:r w:rsidR="00BA06AF" w:rsidRPr="005C0AA9">
              <w:rPr>
                <w:sz w:val="24"/>
                <w:szCs w:val="24"/>
              </w:rPr>
              <w:t>Word Count - 54</w:t>
            </w:r>
            <w:r w:rsidR="00BA06AF">
              <w:rPr>
                <w:sz w:val="24"/>
                <w:szCs w:val="24"/>
              </w:rPr>
              <w:t>5</w:t>
            </w:r>
            <w:bookmarkEnd w:id="1"/>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8DA4A52" w14:textId="6C4404A5" w:rsidR="00364107" w:rsidRPr="00364107" w:rsidRDefault="00B77E90" w:rsidP="00364107">
            <w:pPr>
              <w:spacing w:after="160" w:line="278" w:lineRule="auto"/>
              <w:rPr>
                <w:sz w:val="24"/>
                <w:szCs w:val="24"/>
              </w:rPr>
            </w:pPr>
            <w:r>
              <w:rPr>
                <w:sz w:val="24"/>
                <w:szCs w:val="24"/>
              </w:rPr>
              <w:br/>
            </w:r>
            <w:r w:rsidR="00364107" w:rsidRPr="003A5B63">
              <w:rPr>
                <w:rFonts w:asciiTheme="minorHAnsi" w:hAnsiTheme="minorHAnsi"/>
                <w:sz w:val="24"/>
                <w:szCs w:val="24"/>
              </w:rPr>
              <w:t xml:space="preserve"> </w:t>
            </w:r>
            <w:r w:rsidR="00364107" w:rsidRPr="00364107">
              <w:rPr>
                <w:sz w:val="24"/>
                <w:szCs w:val="24"/>
              </w:rPr>
              <w:t>When reflecting the differences between safeguarding children and adults, one of the primary considerations is the legislative framework. The Wales Safeguarding Procedures highlight that, “whilst recognising commonalities in processes between safeguarding children and protecting adults at risk from abuse and neglect, there are some differences in legislation</w:t>
            </w:r>
            <w:r w:rsidR="009F1E7E" w:rsidRPr="00364107">
              <w:rPr>
                <w:sz w:val="24"/>
                <w:szCs w:val="24"/>
              </w:rPr>
              <w:t>.”</w:t>
            </w:r>
          </w:p>
          <w:p w14:paraId="6962179C" w14:textId="6025D65F" w:rsidR="00364107" w:rsidRPr="00364107" w:rsidRDefault="00364107" w:rsidP="00364107">
            <w:pPr>
              <w:spacing w:after="160" w:line="278" w:lineRule="auto"/>
              <w:rPr>
                <w:sz w:val="24"/>
                <w:szCs w:val="24"/>
              </w:rPr>
            </w:pPr>
            <w:r w:rsidRPr="00364107">
              <w:rPr>
                <w:sz w:val="24"/>
                <w:szCs w:val="24"/>
              </w:rPr>
              <w:t xml:space="preserve">For children, key legislation includes The Children Act (1989) and the Social Services and Wellbeing (Wales) Act 2014. These laws promote the safety and wellbeing of children and outline specific duties for local authorities to protect children from harm. In contrast, safeguarding legislation for adults includes The Care Act (2014) </w:t>
            </w:r>
            <w:r w:rsidR="007C3CF4" w:rsidRPr="00364107">
              <w:rPr>
                <w:sz w:val="24"/>
                <w:szCs w:val="24"/>
              </w:rPr>
              <w:t>and</w:t>
            </w:r>
            <w:r w:rsidRPr="00364107">
              <w:rPr>
                <w:sz w:val="24"/>
                <w:szCs w:val="24"/>
              </w:rPr>
              <w:t xml:space="preserve"> the Social Services and Wellbeing (Wales) Act 2014. These laws primarily aim to encourage and empower adults with autonomy and choice, while also protecting those who are unable to protect themselves.</w:t>
            </w:r>
          </w:p>
          <w:p w14:paraId="7330A432" w14:textId="54AEEB9C" w:rsidR="00364107" w:rsidRPr="00364107" w:rsidRDefault="00364107" w:rsidP="00364107">
            <w:pPr>
              <w:spacing w:after="160" w:line="278" w:lineRule="auto"/>
              <w:rPr>
                <w:sz w:val="24"/>
                <w:szCs w:val="24"/>
              </w:rPr>
            </w:pPr>
            <w:r w:rsidRPr="00364107">
              <w:rPr>
                <w:sz w:val="24"/>
                <w:szCs w:val="24"/>
              </w:rPr>
              <w:t xml:space="preserve">Another significant difference is the approach to capacity and consent. When working with children, their age often means they do not have the capacity to make certain decisions, and an adult must make decisions in their best interests. An important consideration </w:t>
            </w:r>
            <w:r w:rsidR="00D325EF" w:rsidRPr="00364107">
              <w:rPr>
                <w:sz w:val="24"/>
                <w:szCs w:val="24"/>
              </w:rPr>
              <w:t>here,</w:t>
            </w:r>
            <w:r w:rsidRPr="00364107">
              <w:rPr>
                <w:sz w:val="24"/>
                <w:szCs w:val="24"/>
              </w:rPr>
              <w:t xml:space="preserve"> however, is whether a child is Gillick competent. Gillick competence, often referred to in medical contexts, is a concept used within children’s services to assess whether a child can consent to their own care and support. The NSPCC notes that Gillick competency guidelines help practitioners balance the need to listen to children’s wishes with the responsibility to keep them safe, which is crucial in social work practice.</w:t>
            </w:r>
          </w:p>
          <w:p w14:paraId="2C17FAEA" w14:textId="5D6E0749" w:rsidR="00364107" w:rsidRDefault="00364107" w:rsidP="00364107">
            <w:pPr>
              <w:rPr>
                <w:sz w:val="24"/>
                <w:szCs w:val="24"/>
              </w:rPr>
            </w:pPr>
            <w:r w:rsidRPr="00364107">
              <w:rPr>
                <w:sz w:val="24"/>
                <w:szCs w:val="24"/>
              </w:rPr>
              <w:t xml:space="preserve">For adults, the presumption of capacity is a fundamental principle under Principle 1 of The Mental Capacity Act (2005) and therefore </w:t>
            </w:r>
            <w:proofErr w:type="gramStart"/>
            <w:r w:rsidRPr="00364107">
              <w:rPr>
                <w:sz w:val="24"/>
                <w:szCs w:val="24"/>
              </w:rPr>
              <w:t>are able to</w:t>
            </w:r>
            <w:proofErr w:type="gramEnd"/>
            <w:r w:rsidRPr="00364107">
              <w:rPr>
                <w:sz w:val="24"/>
                <w:szCs w:val="24"/>
              </w:rPr>
              <w:t xml:space="preserve"> make more decisions around their needs for care and support, as they can refuse the support or advise provided</w:t>
            </w:r>
            <w:r w:rsidR="009F1E7E" w:rsidRPr="00364107">
              <w:rPr>
                <w:sz w:val="24"/>
                <w:szCs w:val="24"/>
              </w:rPr>
              <w:t xml:space="preserve">. </w:t>
            </w:r>
            <w:r w:rsidRPr="00364107">
              <w:rPr>
                <w:sz w:val="24"/>
                <w:szCs w:val="24"/>
              </w:rPr>
              <w:t xml:space="preserve">If an adult </w:t>
            </w:r>
            <w:proofErr w:type="gramStart"/>
            <w:r w:rsidRPr="00364107">
              <w:rPr>
                <w:sz w:val="24"/>
                <w:szCs w:val="24"/>
              </w:rPr>
              <w:t>is considered</w:t>
            </w:r>
            <w:proofErr w:type="gramEnd"/>
            <w:r w:rsidRPr="00364107">
              <w:rPr>
                <w:sz w:val="24"/>
                <w:szCs w:val="24"/>
              </w:rPr>
              <w:t xml:space="preserve"> as being at risk, then professionals have a duty under section 126 of the Social Services and Wellbeing (Wales) Act 2014 to make enquiries. Information may </w:t>
            </w:r>
            <w:proofErr w:type="gramStart"/>
            <w:r w:rsidRPr="00364107">
              <w:rPr>
                <w:sz w:val="24"/>
                <w:szCs w:val="24"/>
              </w:rPr>
              <w:t>be shared</w:t>
            </w:r>
            <w:proofErr w:type="gramEnd"/>
            <w:r w:rsidRPr="00364107">
              <w:rPr>
                <w:sz w:val="24"/>
                <w:szCs w:val="24"/>
              </w:rPr>
              <w:t xml:space="preserve"> with professionals around the risk, as safeguarding concerns would override the need for consent. If an individual chose to refuse support, they have a right to do so and </w:t>
            </w:r>
            <w:r w:rsidR="007C3CF4" w:rsidRPr="00364107">
              <w:rPr>
                <w:sz w:val="24"/>
                <w:szCs w:val="24"/>
              </w:rPr>
              <w:t>can</w:t>
            </w:r>
            <w:r w:rsidRPr="00364107">
              <w:rPr>
                <w:sz w:val="24"/>
                <w:szCs w:val="24"/>
              </w:rPr>
              <w:t xml:space="preserve"> make unwise decisions, in line with Principle 3 of the Mental Capacity Act 2005. </w:t>
            </w:r>
            <w:r w:rsidRPr="00364107">
              <w:br/>
            </w:r>
            <w:r w:rsidRPr="00364107">
              <w:br/>
            </w:r>
            <w:r w:rsidRPr="00364107">
              <w:rPr>
                <w:sz w:val="24"/>
                <w:szCs w:val="24"/>
              </w:rPr>
              <w:lastRenderedPageBreak/>
              <w:t>In conclusion, while there are common factors in safeguarding children and adults, there are clear differences in policies and legislation that professionals must be knowledgeable about. Understanding these differences is crucial for effective safeguarding practice.</w:t>
            </w:r>
          </w:p>
          <w:p w14:paraId="25546C6A" w14:textId="77777777" w:rsidR="00364107" w:rsidRPr="00364107" w:rsidRDefault="00364107" w:rsidP="00364107">
            <w:pPr>
              <w:rPr>
                <w:sz w:val="24"/>
                <w:szCs w:val="24"/>
              </w:rPr>
            </w:pPr>
          </w:p>
          <w:p w14:paraId="1AA3081F" w14:textId="0236ACD3" w:rsidR="00FC0334" w:rsidRDefault="00B77E90" w:rsidP="00A77231">
            <w:pPr>
              <w:rPr>
                <w:sz w:val="24"/>
                <w:szCs w:val="24"/>
              </w:rPr>
            </w:pPr>
            <w:r w:rsidRPr="00D25DB0">
              <w:rPr>
                <w:sz w:val="24"/>
                <w:szCs w:val="24"/>
              </w:rPr>
              <w:t xml:space="preserve">Word Count </w:t>
            </w:r>
            <w:r w:rsidR="00D25DB0" w:rsidRPr="00D25DB0">
              <w:rPr>
                <w:sz w:val="24"/>
                <w:szCs w:val="24"/>
              </w:rPr>
              <w:t>–</w:t>
            </w:r>
            <w:r w:rsidRPr="00D25DB0">
              <w:rPr>
                <w:sz w:val="24"/>
                <w:szCs w:val="24"/>
              </w:rPr>
              <w:t xml:space="preserve"> </w:t>
            </w:r>
            <w:r w:rsidR="004D7010">
              <w:rPr>
                <w:sz w:val="24"/>
                <w:szCs w:val="24"/>
              </w:rPr>
              <w:t>3</w:t>
            </w:r>
            <w:r w:rsidR="00364107">
              <w:rPr>
                <w:sz w:val="24"/>
                <w:szCs w:val="24"/>
              </w:rPr>
              <w:t>96</w:t>
            </w:r>
            <w:r w:rsidR="00D25DB0">
              <w:rPr>
                <w:sz w:val="24"/>
                <w:szCs w:val="24"/>
              </w:rPr>
              <w:br/>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952E8D" w14:textId="77777777" w:rsidR="00566911" w:rsidRDefault="00566911">
      <w:r>
        <w:separator/>
      </w:r>
    </w:p>
  </w:endnote>
  <w:endnote w:type="continuationSeparator" w:id="0">
    <w:p w14:paraId="64C71DC6" w14:textId="77777777" w:rsidR="00566911" w:rsidRDefault="00566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altName w:val="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F644F1" w14:textId="77777777" w:rsidR="00566911" w:rsidRDefault="00566911">
      <w:r>
        <w:separator/>
      </w:r>
    </w:p>
  </w:footnote>
  <w:footnote w:type="continuationSeparator" w:id="0">
    <w:p w14:paraId="5EAAC1C0" w14:textId="77777777" w:rsidR="00566911" w:rsidRDefault="005669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3C5"/>
    <w:rsid w:val="0002440E"/>
    <w:rsid w:val="0002759A"/>
    <w:rsid w:val="00027B1F"/>
    <w:rsid w:val="0003088B"/>
    <w:rsid w:val="000325D9"/>
    <w:rsid w:val="000372B2"/>
    <w:rsid w:val="0004079F"/>
    <w:rsid w:val="00043017"/>
    <w:rsid w:val="00043543"/>
    <w:rsid w:val="00045B87"/>
    <w:rsid w:val="00045C07"/>
    <w:rsid w:val="00045C40"/>
    <w:rsid w:val="00046861"/>
    <w:rsid w:val="00054A07"/>
    <w:rsid w:val="00055D43"/>
    <w:rsid w:val="00056FAC"/>
    <w:rsid w:val="00057751"/>
    <w:rsid w:val="00062E39"/>
    <w:rsid w:val="00064063"/>
    <w:rsid w:val="0006581A"/>
    <w:rsid w:val="00065C2F"/>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BA8"/>
    <w:rsid w:val="000B220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6B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73A"/>
    <w:rsid w:val="002761F4"/>
    <w:rsid w:val="002775E1"/>
    <w:rsid w:val="00277979"/>
    <w:rsid w:val="0028553A"/>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E0F"/>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107"/>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845"/>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28F"/>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010"/>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DE9"/>
    <w:rsid w:val="005305C6"/>
    <w:rsid w:val="00540EEC"/>
    <w:rsid w:val="005414F4"/>
    <w:rsid w:val="00546187"/>
    <w:rsid w:val="00547B11"/>
    <w:rsid w:val="00557D77"/>
    <w:rsid w:val="00562EAA"/>
    <w:rsid w:val="00563B58"/>
    <w:rsid w:val="005640C4"/>
    <w:rsid w:val="0056684C"/>
    <w:rsid w:val="00566911"/>
    <w:rsid w:val="00574A0C"/>
    <w:rsid w:val="00575DA3"/>
    <w:rsid w:val="0057780F"/>
    <w:rsid w:val="00581E0A"/>
    <w:rsid w:val="00586D89"/>
    <w:rsid w:val="005877C8"/>
    <w:rsid w:val="00587923"/>
    <w:rsid w:val="00590422"/>
    <w:rsid w:val="00594F9F"/>
    <w:rsid w:val="005A1B4C"/>
    <w:rsid w:val="005A545C"/>
    <w:rsid w:val="005B271A"/>
    <w:rsid w:val="005B3A2D"/>
    <w:rsid w:val="005C0AA9"/>
    <w:rsid w:val="005C1567"/>
    <w:rsid w:val="005C28D3"/>
    <w:rsid w:val="005C3D81"/>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12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719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50A5"/>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4EA"/>
    <w:rsid w:val="007A1F6A"/>
    <w:rsid w:val="007A628F"/>
    <w:rsid w:val="007B0DE3"/>
    <w:rsid w:val="007B1BFD"/>
    <w:rsid w:val="007B7191"/>
    <w:rsid w:val="007C1D94"/>
    <w:rsid w:val="007C3CF4"/>
    <w:rsid w:val="007C4153"/>
    <w:rsid w:val="007C556F"/>
    <w:rsid w:val="007C5ABE"/>
    <w:rsid w:val="007C6A87"/>
    <w:rsid w:val="007D0A07"/>
    <w:rsid w:val="007D0F11"/>
    <w:rsid w:val="007D133D"/>
    <w:rsid w:val="007D3EB4"/>
    <w:rsid w:val="007D3F16"/>
    <w:rsid w:val="007E35D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509"/>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DBD"/>
    <w:rsid w:val="008E3195"/>
    <w:rsid w:val="008E5A35"/>
    <w:rsid w:val="008F127E"/>
    <w:rsid w:val="008F32D9"/>
    <w:rsid w:val="00902A65"/>
    <w:rsid w:val="00903932"/>
    <w:rsid w:val="009079BD"/>
    <w:rsid w:val="00912BD9"/>
    <w:rsid w:val="00915B05"/>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E7E"/>
    <w:rsid w:val="009F3AEC"/>
    <w:rsid w:val="009F6801"/>
    <w:rsid w:val="00A00081"/>
    <w:rsid w:val="00A06422"/>
    <w:rsid w:val="00A10D56"/>
    <w:rsid w:val="00A12AAE"/>
    <w:rsid w:val="00A12F22"/>
    <w:rsid w:val="00A1314C"/>
    <w:rsid w:val="00A1688C"/>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03E"/>
    <w:rsid w:val="00A732EA"/>
    <w:rsid w:val="00A7489E"/>
    <w:rsid w:val="00A77231"/>
    <w:rsid w:val="00A8015F"/>
    <w:rsid w:val="00A85039"/>
    <w:rsid w:val="00A906AA"/>
    <w:rsid w:val="00A94C5E"/>
    <w:rsid w:val="00AA252C"/>
    <w:rsid w:val="00AA666E"/>
    <w:rsid w:val="00AA7960"/>
    <w:rsid w:val="00AB1067"/>
    <w:rsid w:val="00AB4FF3"/>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21AE"/>
    <w:rsid w:val="00B6548F"/>
    <w:rsid w:val="00B71A32"/>
    <w:rsid w:val="00B7502A"/>
    <w:rsid w:val="00B77305"/>
    <w:rsid w:val="00B774BD"/>
    <w:rsid w:val="00B77E90"/>
    <w:rsid w:val="00B82CC2"/>
    <w:rsid w:val="00B84A89"/>
    <w:rsid w:val="00B9256C"/>
    <w:rsid w:val="00B92BEF"/>
    <w:rsid w:val="00B94443"/>
    <w:rsid w:val="00B9689A"/>
    <w:rsid w:val="00B97056"/>
    <w:rsid w:val="00BA06AF"/>
    <w:rsid w:val="00BA531E"/>
    <w:rsid w:val="00BA728B"/>
    <w:rsid w:val="00BB06CB"/>
    <w:rsid w:val="00BB261F"/>
    <w:rsid w:val="00BB2887"/>
    <w:rsid w:val="00BB3B56"/>
    <w:rsid w:val="00BB5EAA"/>
    <w:rsid w:val="00BB5F11"/>
    <w:rsid w:val="00BB6638"/>
    <w:rsid w:val="00BB6954"/>
    <w:rsid w:val="00BB7FD2"/>
    <w:rsid w:val="00BC04FA"/>
    <w:rsid w:val="00BC1C22"/>
    <w:rsid w:val="00BC460B"/>
    <w:rsid w:val="00BC4ED3"/>
    <w:rsid w:val="00BC5725"/>
    <w:rsid w:val="00BD30B1"/>
    <w:rsid w:val="00BD4AD0"/>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0E0"/>
    <w:rsid w:val="00C7108B"/>
    <w:rsid w:val="00C73710"/>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5DB0"/>
    <w:rsid w:val="00D3203C"/>
    <w:rsid w:val="00D325EF"/>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3247"/>
    <w:rsid w:val="00DC1B10"/>
    <w:rsid w:val="00DC2924"/>
    <w:rsid w:val="00DC4729"/>
    <w:rsid w:val="00DD31C5"/>
    <w:rsid w:val="00DD5020"/>
    <w:rsid w:val="00DD63BE"/>
    <w:rsid w:val="00DE4296"/>
    <w:rsid w:val="00DF2469"/>
    <w:rsid w:val="00DF5E23"/>
    <w:rsid w:val="00DF7899"/>
    <w:rsid w:val="00E001AA"/>
    <w:rsid w:val="00E0524C"/>
    <w:rsid w:val="00E15751"/>
    <w:rsid w:val="00E17160"/>
    <w:rsid w:val="00E17D41"/>
    <w:rsid w:val="00E231D1"/>
    <w:rsid w:val="00E24821"/>
    <w:rsid w:val="00E3288D"/>
    <w:rsid w:val="00E35112"/>
    <w:rsid w:val="00E35BEC"/>
    <w:rsid w:val="00E3738A"/>
    <w:rsid w:val="00E414CA"/>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E7F"/>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65F5"/>
    <w:rsid w:val="00F4043E"/>
    <w:rsid w:val="00F41795"/>
    <w:rsid w:val="00F41BBC"/>
    <w:rsid w:val="00F444F0"/>
    <w:rsid w:val="00F446FF"/>
    <w:rsid w:val="00F45521"/>
    <w:rsid w:val="00F50847"/>
    <w:rsid w:val="00F53F27"/>
    <w:rsid w:val="00F546D1"/>
    <w:rsid w:val="00F60281"/>
    <w:rsid w:val="00F66272"/>
    <w:rsid w:val="00F709C0"/>
    <w:rsid w:val="00F8003F"/>
    <w:rsid w:val="00F81FEC"/>
    <w:rsid w:val="00F91CCB"/>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819"/>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1116</Words>
  <Characters>6363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Redford</cp:lastModifiedBy>
  <cp:revision>2</cp:revision>
  <cp:lastPrinted>2020-02-11T19:20:00Z</cp:lastPrinted>
  <dcterms:created xsi:type="dcterms:W3CDTF">2024-09-16T10:35:00Z</dcterms:created>
  <dcterms:modified xsi:type="dcterms:W3CDTF">2024-09-16T10:35:00Z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