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E773" w14:textId="2DB4C7FB"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2EC4343" w:rsidR="7908378C" w:rsidRDefault="7908378C" w:rsidP="33572C6E">
            <w:pPr>
              <w:ind w:right="237"/>
              <w:rPr>
                <w:b/>
                <w:bCs/>
                <w:color w:val="auto"/>
                <w:sz w:val="32"/>
                <w:szCs w:val="32"/>
              </w:rPr>
            </w:pPr>
            <w:r w:rsidRPr="33572C6E">
              <w:rPr>
                <w:b/>
                <w:bCs/>
                <w:color w:val="auto"/>
                <w:sz w:val="32"/>
                <w:szCs w:val="32"/>
              </w:rPr>
              <w:t xml:space="preserve">Learner name: </w:t>
            </w:r>
            <w:r w:rsidR="00D51883">
              <w:rPr>
                <w:b/>
                <w:bCs/>
                <w:color w:val="auto"/>
                <w:sz w:val="32"/>
                <w:szCs w:val="32"/>
              </w:rPr>
              <w:t xml:space="preserve">Emily Caddick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5ADB0D3" w:rsidR="7908378C" w:rsidRDefault="00D51883" w:rsidP="33572C6E">
            <w:pPr>
              <w:ind w:right="237"/>
              <w:rPr>
                <w:b/>
                <w:bCs/>
                <w:color w:val="auto"/>
                <w:sz w:val="32"/>
                <w:szCs w:val="32"/>
              </w:rPr>
            </w:pPr>
            <w:r>
              <w:rPr>
                <w:b/>
                <w:bCs/>
                <w:color w:val="auto"/>
                <w:sz w:val="32"/>
                <w:szCs w:val="32"/>
              </w:rPr>
              <w:t>2029663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921CD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1B4404CB" w14:textId="77777777" w:rsidR="00F5641F" w:rsidRDefault="00F5641F" w:rsidP="00F5641F">
      <w:pPr>
        <w:ind w:right="237"/>
        <w:rPr>
          <w:sz w:val="24"/>
          <w:szCs w:val="24"/>
        </w:rPr>
      </w:pPr>
    </w:p>
    <w:p w14:paraId="0C948C45" w14:textId="7509FD36" w:rsidR="5B843AF0" w:rsidRPr="00F5641F" w:rsidRDefault="5B843AF0" w:rsidP="00F5641F">
      <w:pPr>
        <w:ind w:right="237"/>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D4F46A0" w:rsidR="5B843AF0" w:rsidRDefault="5B843AF0" w:rsidP="00051EBF">
      <w:pPr>
        <w:ind w:right="237"/>
        <w:rPr>
          <w:rFonts w:eastAsia="Arial"/>
          <w:color w:val="000000" w:themeColor="text1"/>
          <w:sz w:val="24"/>
          <w:szCs w:val="24"/>
        </w:rPr>
      </w:pPr>
    </w:p>
    <w:p w14:paraId="1B95D771" w14:textId="31C4EFFD"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This short essay looks to describe and explain to the reader a policing incident which demonstrates how within an incident of Anti-Social Behaviour, the significant role </w:t>
      </w:r>
      <w:r w:rsidR="00484318" w:rsidRPr="00C02A99">
        <w:rPr>
          <w:rFonts w:ascii="Arial" w:hAnsi="Arial" w:cs="Arial"/>
          <w:sz w:val="24"/>
          <w:szCs w:val="24"/>
        </w:rPr>
        <w:t>I</w:t>
      </w:r>
      <w:r w:rsidRPr="00C02A99">
        <w:rPr>
          <w:rFonts w:ascii="Arial" w:hAnsi="Arial" w:cs="Arial"/>
          <w:sz w:val="24"/>
          <w:szCs w:val="24"/>
        </w:rPr>
        <w:t xml:space="preserve"> have played in order with dealing with the incident, and how victims of such circumstances can be supported by police and multi-agency working. This essay will </w:t>
      </w:r>
      <w:r w:rsidR="00401FB0" w:rsidRPr="00C02A99">
        <w:rPr>
          <w:rFonts w:ascii="Arial" w:hAnsi="Arial" w:cs="Arial"/>
          <w:sz w:val="24"/>
          <w:szCs w:val="24"/>
        </w:rPr>
        <w:t xml:space="preserve">explore </w:t>
      </w:r>
      <w:r w:rsidRPr="00C02A99">
        <w:rPr>
          <w:rFonts w:ascii="Arial" w:hAnsi="Arial" w:cs="Arial"/>
          <w:sz w:val="24"/>
          <w:szCs w:val="24"/>
        </w:rPr>
        <w:t xml:space="preserve">the use of Evidence Based Policing in anti-social behaviour incidents and how they can be adapted to make changes and challenge existing practices, policies and procedures that are already in place. This essay also looks to explain the effect of anti-social behaviour upon victims, and how it is in an integral part of policing. </w:t>
      </w:r>
    </w:p>
    <w:p w14:paraId="5E76B881" w14:textId="77777777" w:rsidR="00051EBF" w:rsidRPr="00C02A99" w:rsidRDefault="00051EBF" w:rsidP="00051EBF">
      <w:pPr>
        <w:pStyle w:val="PlainText"/>
        <w:rPr>
          <w:rFonts w:ascii="Arial" w:hAnsi="Arial" w:cs="Arial"/>
          <w:sz w:val="24"/>
          <w:szCs w:val="24"/>
        </w:rPr>
      </w:pPr>
    </w:p>
    <w:p w14:paraId="0B911E62" w14:textId="5B730571"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Millie et al (2005, p1) states Anti-social behaviour is described as </w:t>
      </w:r>
    </w:p>
    <w:p w14:paraId="59475032" w14:textId="358C2CEC"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term is usually used to cover minor crimes and near criminal behaviour that cause public annoyance, anxiety, and disruption to daily life… behaviour usually viewed as ASB lies on a spectrum of misbehaviours from those that are too minor to merit intervention by the authorities to those that are so serious as to demand criminal prosecution.” </w:t>
      </w:r>
    </w:p>
    <w:p w14:paraId="1FDC69A7" w14:textId="5DA41D8B"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Anti-Social Behaviour is something that occurs around the whole of the United Kingdom according to The Nation Office of Statistic’s. </w:t>
      </w:r>
    </w:p>
    <w:p w14:paraId="65CDFD30" w14:textId="7C0E4618" w:rsidR="00051EBF" w:rsidRPr="00C02A99" w:rsidRDefault="00051EBF" w:rsidP="00051EBF">
      <w:pPr>
        <w:pStyle w:val="PlainText"/>
        <w:rPr>
          <w:rFonts w:ascii="Arial" w:hAnsi="Arial" w:cs="Arial"/>
          <w:sz w:val="24"/>
          <w:szCs w:val="24"/>
        </w:rPr>
      </w:pPr>
      <w:r w:rsidRPr="00C02A99">
        <w:rPr>
          <w:rFonts w:ascii="Arial" w:hAnsi="Arial" w:cs="Arial"/>
          <w:sz w:val="24"/>
          <w:szCs w:val="24"/>
        </w:rPr>
        <w:t>“Prevalence data indicate that ASB is a considerable problem, with 1.4 million incidents recorded by the police in 2018/19” (Office for National Statistics (ONS), 2019).</w:t>
      </w:r>
    </w:p>
    <w:p w14:paraId="2A770C41" w14:textId="77777777" w:rsidR="00051EBF" w:rsidRPr="00C02A99" w:rsidRDefault="00051EBF" w:rsidP="00051EBF">
      <w:pPr>
        <w:pStyle w:val="PlainText"/>
        <w:rPr>
          <w:rFonts w:ascii="Arial" w:hAnsi="Arial" w:cs="Arial"/>
          <w:sz w:val="24"/>
          <w:szCs w:val="24"/>
        </w:rPr>
      </w:pPr>
    </w:p>
    <w:p w14:paraId="341DF015" w14:textId="5323B7D6"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Within the local town in Monmouthshire where I work, we have had over the last few months, an increase in reports of Anti-social behaviour, along with increased reports of criminal damage and assaults. These have all been linked to an established and identifiable “group of youths” that live around the area. This particular group of </w:t>
      </w:r>
      <w:r w:rsidRPr="00C02A99">
        <w:rPr>
          <w:rFonts w:ascii="Arial" w:hAnsi="Arial" w:cs="Arial"/>
          <w:sz w:val="24"/>
          <w:szCs w:val="24"/>
        </w:rPr>
        <w:lastRenderedPageBreak/>
        <w:t xml:space="preserve">youths was made up of a range of ages, genders and also included youths from a range of ethnicities and backgrounds. </w:t>
      </w:r>
    </w:p>
    <w:p w14:paraId="7B9020A1" w14:textId="0F31F9F0"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During the month of August, is where the antisocial behaviour started to become a significant problem for the people living in and around the town due to these youths being off school. These reporting persons were now considered repeat victims of such behaviour and were starting to struggle with what was going on around them, to the point where different victims would call in every day, sometimes more than once to report the ongoing issues that this group was causing on the town. </w:t>
      </w:r>
    </w:p>
    <w:p w14:paraId="6340B9DF" w14:textId="1C507040"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Repeat victimisation is defined by Weisel (2005, p1) as it </w:t>
      </w:r>
    </w:p>
    <w:p w14:paraId="452783BE" w14:textId="036A8806" w:rsidR="00051EBF" w:rsidRPr="00C02A99" w:rsidRDefault="00051EBF" w:rsidP="00051EBF">
      <w:pPr>
        <w:pStyle w:val="PlainText"/>
        <w:rPr>
          <w:rFonts w:ascii="Arial" w:hAnsi="Arial" w:cs="Arial"/>
          <w:sz w:val="24"/>
          <w:szCs w:val="24"/>
        </w:rPr>
      </w:pPr>
      <w:r w:rsidRPr="00C02A99">
        <w:rPr>
          <w:rFonts w:ascii="Arial" w:hAnsi="Arial" w:cs="Arial"/>
          <w:sz w:val="24"/>
          <w:szCs w:val="24"/>
        </w:rPr>
        <w:t>“Occurs when the same type of crime incident is experienced by the same victim or target within a specific period of time, such as a year…The amount of repeat victimisation is usually reported as the percentage of victims (persons or addresses) who are victimised more than once during a time period for a specific crime type.”</w:t>
      </w:r>
    </w:p>
    <w:p w14:paraId="17F5E0CD" w14:textId="77777777" w:rsidR="00051EBF" w:rsidRPr="00C02A99" w:rsidRDefault="00051EBF" w:rsidP="00051EBF">
      <w:pPr>
        <w:pStyle w:val="PlainText"/>
        <w:rPr>
          <w:rFonts w:ascii="Arial" w:hAnsi="Arial" w:cs="Arial"/>
          <w:sz w:val="24"/>
          <w:szCs w:val="24"/>
        </w:rPr>
      </w:pPr>
    </w:p>
    <w:p w14:paraId="4EBDC49B" w14:textId="705774C1"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ongoing reports of assaults and criminal damage that was caused to the town by the youths, resulted in the police and other agencies, getting together to try and solve the problem. The neighbourhood policing team are paramount in circumstances such as they are the key part of the force that build relationships with the community. Neighbourhood policing has been explained by the Home Office (2008, p12) as </w:t>
      </w:r>
    </w:p>
    <w:p w14:paraId="612C479F" w14:textId="28F0EFC0" w:rsidR="00051EBF" w:rsidRPr="00C02A99" w:rsidRDefault="00051EBF" w:rsidP="00051EBF">
      <w:pPr>
        <w:pStyle w:val="PlainText"/>
        <w:rPr>
          <w:rFonts w:ascii="Arial" w:hAnsi="Arial" w:cs="Arial"/>
          <w:sz w:val="24"/>
          <w:szCs w:val="24"/>
        </w:rPr>
      </w:pPr>
      <w:r w:rsidRPr="00C02A99">
        <w:rPr>
          <w:rFonts w:ascii="Arial" w:hAnsi="Arial" w:cs="Arial"/>
          <w:sz w:val="24"/>
          <w:szCs w:val="24"/>
        </w:rPr>
        <w:t>“The bedrock of policing, with patrols that provide visible reassurance to communities, act as a deterrent to criminals and offer a critical way for the public to keep in touch.”</w:t>
      </w:r>
    </w:p>
    <w:p w14:paraId="7AC48C61" w14:textId="77777777" w:rsidR="00051EBF" w:rsidRPr="00C02A99" w:rsidRDefault="00051EBF" w:rsidP="00051EBF">
      <w:pPr>
        <w:pStyle w:val="PlainText"/>
        <w:rPr>
          <w:rFonts w:ascii="Arial" w:hAnsi="Arial" w:cs="Arial"/>
          <w:sz w:val="24"/>
          <w:szCs w:val="24"/>
        </w:rPr>
      </w:pPr>
    </w:p>
    <w:p w14:paraId="614A5B79" w14:textId="4B159084"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neighbourhood policing team and I had various meetings to decide on which way would be most beneficial in tackling the Anti-social behaviour problem that our town was having. There were several persons involved in the decision making, which included the local council, CCTV, local secondary school and the local shops and owners that surround the town, who are also some of the main victims of the Anti-social behaviour. There were various options considered and ideas put forward at these meetings, which included placing more officers on the beat that are specifically there to conduct ASB patrols, and co-operation with the local shops and council in relation to CCTV. This was to ensure that anything that happened, was captured on both the shops CCTV and the council </w:t>
      </w:r>
      <w:r w:rsidR="00484318" w:rsidRPr="00C02A99">
        <w:rPr>
          <w:rFonts w:ascii="Arial" w:hAnsi="Arial" w:cs="Arial"/>
          <w:sz w:val="24"/>
          <w:szCs w:val="24"/>
        </w:rPr>
        <w:t>CCTV and</w:t>
      </w:r>
      <w:r w:rsidRPr="00C02A99">
        <w:rPr>
          <w:rFonts w:ascii="Arial" w:hAnsi="Arial" w:cs="Arial"/>
          <w:sz w:val="24"/>
          <w:szCs w:val="24"/>
        </w:rPr>
        <w:t xml:space="preserve"> could be used in evidence if required. There were considerations around long-term solutions and short term. Short term solutions being the officers given overtime to walk the town and for the CCTV to be always monitored, and then the long term being more along the lines of REACH referrals for the youths involved in the incidents, and also further education from School’s Liaison officers at the local comprehensive school. However, this was clearly an issue that we identified would take a while to solve.</w:t>
      </w:r>
    </w:p>
    <w:p w14:paraId="7CA42312" w14:textId="77777777" w:rsidR="00051EBF" w:rsidRPr="00C02A99" w:rsidRDefault="00051EBF" w:rsidP="00051EBF">
      <w:pPr>
        <w:pStyle w:val="PlainText"/>
        <w:rPr>
          <w:rFonts w:ascii="Arial" w:hAnsi="Arial" w:cs="Arial"/>
          <w:sz w:val="24"/>
          <w:szCs w:val="24"/>
        </w:rPr>
      </w:pPr>
    </w:p>
    <w:p w14:paraId="3FE25BE1" w14:textId="733BA70F"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As a result of the ongoing meetings, officers were out completing regular patrols over the weekends to deter any further crime. During a particular shift, there were three officers that were conducting the ASB patrols and showing a presence on the town, however they ended up pressing their emergency buttons to request for further units as it started to get out of hand on the town. I was an attending officer at this point and made way with the police van. </w:t>
      </w:r>
    </w:p>
    <w:p w14:paraId="69EBA7C5" w14:textId="265622DF"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I have booked off on the town and have come face to face with around 50 persons, all aged between 15-19years old, mixture of known and unknown persons and with numerous different situations emerging on the town. For instance, groups were </w:t>
      </w:r>
      <w:r w:rsidRPr="00C02A99">
        <w:rPr>
          <w:rFonts w:ascii="Arial" w:hAnsi="Arial" w:cs="Arial"/>
          <w:sz w:val="24"/>
          <w:szCs w:val="24"/>
        </w:rPr>
        <w:lastRenderedPageBreak/>
        <w:t xml:space="preserve">starting to try and damage the property on the town, such as the benches, windows, and flowerpots. There were fights breaking out amongst people there, which had started to bring locals outside to witness what was going on, and further officers then being assaulted by the persons involved. It was an instance where police presence and attendance were not working at deterring the behaviour, even to the point where assistance was coming from other areas in the force such as the Joint Firearms Unit and also the Dog unit. There were too many persons per officers, and it was initially showing a loss of control on the town. </w:t>
      </w:r>
    </w:p>
    <w:p w14:paraId="10901307" w14:textId="0B22D6D3"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incident ended up with around 8 persons in total, all under the age of 19 being arrested that evening, officers being injured, and damage caused to the local street furniture. This was unheard of within the area and caused a stir amongst the senior officers that evening also. </w:t>
      </w:r>
    </w:p>
    <w:p w14:paraId="02369A96" w14:textId="51848753"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With the need for officers to be attending custody with the arrested youths, and officers required to stay and try to disperse the gathering of persons, the local covering inspector who had been listening to the incident unfold over the radio, had declared that he had placed a dispersal order on the town. </w:t>
      </w:r>
    </w:p>
    <w:p w14:paraId="03D511F6" w14:textId="3F7687D8"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Anti-Social Behaviour Act 2003 gives the police powers in designated areas to disperse groups of two or more where their presence or behaviour has resulted, or is likely to result, in a member of the public being harassed, intimidated, alarmed or distressed” defined by Crawford, A and Lister, S (2007, P1). </w:t>
      </w:r>
    </w:p>
    <w:p w14:paraId="201EB6F4" w14:textId="3EE9FB93"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This power was granted and given to all officers still dealing with the youths upon the town and was utilised by all. This worked in deterring the youths from staying on the town as the dispersal order they were advised, carries a power of arrest. This dispersal order, however, was again a short-term solution to the problem as it would expire.  </w:t>
      </w:r>
    </w:p>
    <w:p w14:paraId="555D7C08" w14:textId="77777777" w:rsidR="00051EBF" w:rsidRPr="00C02A99" w:rsidRDefault="00051EBF" w:rsidP="00051EBF">
      <w:pPr>
        <w:pStyle w:val="PlainText"/>
        <w:rPr>
          <w:rFonts w:ascii="Arial" w:hAnsi="Arial" w:cs="Arial"/>
          <w:sz w:val="24"/>
          <w:szCs w:val="24"/>
        </w:rPr>
      </w:pPr>
    </w:p>
    <w:p w14:paraId="7E6C21D8" w14:textId="0DBFBB03"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This particular incident whereby the youths caused such a problem on the town, was put into local news and media, and highlighted to the local community that the problem they had been reporting and concerned about, was very much a reality. This appeared to have shown a loss in confidence from the residents as to what police were doing to solve the anti-social behaviour. Further multi-agency meetings were completed with outside agencies, to try and establish a resolution to this problem and to manage the expectation of the local community and public, as this was having a clear effect on the repeat victims. Vicky Heap (2021) completed a report on exploring the effects of long-term anti-social behaviour which showed, </w:t>
      </w:r>
    </w:p>
    <w:p w14:paraId="155B6963" w14:textId="4B508B31"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findings demonstrate the cumulative and severe impact of harm caused by long-term ASB victimisation. The effects were reported by the participants to have had a significant impact on their daily lives, highlighting that the mental, </w:t>
      </w:r>
      <w:r w:rsidR="00484318" w:rsidRPr="00C02A99">
        <w:rPr>
          <w:rFonts w:ascii="Arial" w:hAnsi="Arial" w:cs="Arial"/>
          <w:sz w:val="24"/>
          <w:szCs w:val="24"/>
        </w:rPr>
        <w:t>physical,</w:t>
      </w:r>
      <w:r w:rsidRPr="00C02A99">
        <w:rPr>
          <w:rFonts w:ascii="Arial" w:hAnsi="Arial" w:cs="Arial"/>
          <w:sz w:val="24"/>
          <w:szCs w:val="24"/>
        </w:rPr>
        <w:t xml:space="preserve"> and behavioural change effects of being a victim of long-term ASB are substantially debilitating for them and their families.”</w:t>
      </w:r>
    </w:p>
    <w:p w14:paraId="6EE6AFA3" w14:textId="5FFEEF01"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This is not something that the community within Gwent should be feeling, nor should they feel as if they are unable to go out late at night or attend the town at certain times, however this is what has been published within the media and shows that the victims are not happy with the actions that are being completed by the police already. </w:t>
      </w:r>
    </w:p>
    <w:p w14:paraId="22ECF4A8" w14:textId="77777777" w:rsidR="00051EBF" w:rsidRPr="00C02A99" w:rsidRDefault="00051EBF" w:rsidP="00051EBF">
      <w:pPr>
        <w:pStyle w:val="PlainText"/>
        <w:rPr>
          <w:rFonts w:ascii="Arial" w:hAnsi="Arial" w:cs="Arial"/>
          <w:sz w:val="24"/>
          <w:szCs w:val="24"/>
        </w:rPr>
      </w:pPr>
    </w:p>
    <w:p w14:paraId="77728EFE" w14:textId="441F5B6A"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Whilst exploring options open to us during the multi-agency meetings, one of the measures already in place to assist in tackling the problem and supporting victims of Anti-Social Behaviour is called “Community Trigger”. The Office of the Police and Crime Commissioner for Gwent Police (2022) explains Community Trigger as </w:t>
      </w:r>
    </w:p>
    <w:p w14:paraId="00E4AECC" w14:textId="0202D3D1" w:rsidR="00051EBF" w:rsidRPr="00C02A99" w:rsidRDefault="00051EBF" w:rsidP="00051EBF">
      <w:pPr>
        <w:pStyle w:val="PlainText"/>
        <w:rPr>
          <w:rFonts w:ascii="Arial" w:hAnsi="Arial" w:cs="Arial"/>
          <w:sz w:val="24"/>
          <w:szCs w:val="24"/>
        </w:rPr>
      </w:pPr>
      <w:r w:rsidRPr="00C02A99">
        <w:rPr>
          <w:rFonts w:ascii="Arial" w:hAnsi="Arial" w:cs="Arial"/>
          <w:sz w:val="24"/>
          <w:szCs w:val="24"/>
        </w:rPr>
        <w:lastRenderedPageBreak/>
        <w:t>“The community trigger was introduced in October 2014 to give victims of persistent anti-social behaviour the right to request a review of their complaints, and brings agencies together to take a joined up, problem-solving approach to find a solution.</w:t>
      </w:r>
    </w:p>
    <w:p w14:paraId="601279C9" w14:textId="2D02296A" w:rsidR="00051EBF" w:rsidRPr="00C02A99" w:rsidRDefault="00051EBF" w:rsidP="00051EBF">
      <w:pPr>
        <w:pStyle w:val="PlainText"/>
        <w:rPr>
          <w:rFonts w:ascii="Arial" w:hAnsi="Arial" w:cs="Arial"/>
          <w:sz w:val="24"/>
          <w:szCs w:val="24"/>
        </w:rPr>
      </w:pPr>
      <w:r w:rsidRPr="00C02A99">
        <w:rPr>
          <w:rFonts w:ascii="Arial" w:hAnsi="Arial" w:cs="Arial"/>
          <w:sz w:val="24"/>
          <w:szCs w:val="24"/>
        </w:rPr>
        <w:t>Community trigger requests are reviewed by a panel consisting of senior representatives of local authority, local health board, police, and registered social landlords (housing provider). The panel will review the actions taken so far by the agencies involved and may make recommendations regarding further action which needs to be taken.”</w:t>
      </w:r>
    </w:p>
    <w:p w14:paraId="3FD6FE45" w14:textId="77777777" w:rsidR="00051EBF" w:rsidRPr="00C02A99" w:rsidRDefault="00051EBF" w:rsidP="00051EBF">
      <w:pPr>
        <w:pStyle w:val="PlainText"/>
        <w:rPr>
          <w:rFonts w:ascii="Arial" w:hAnsi="Arial" w:cs="Arial"/>
          <w:sz w:val="24"/>
          <w:szCs w:val="24"/>
        </w:rPr>
      </w:pPr>
    </w:p>
    <w:p w14:paraId="35E571BC" w14:textId="7D3B33A3"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community trigger is used across the Welsh police forces and local authorities and is available to all victims of Anti-social behaviour as long as they meet the criteria. </w:t>
      </w:r>
    </w:p>
    <w:p w14:paraId="3E491CE1" w14:textId="6338ED4C"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According to the Home Office (July 2020) they advise that </w:t>
      </w:r>
    </w:p>
    <w:p w14:paraId="15E5A694" w14:textId="0EB813A4" w:rsidR="00051EBF" w:rsidRPr="00C02A99" w:rsidRDefault="00051EBF" w:rsidP="00051EBF">
      <w:pPr>
        <w:pStyle w:val="PlainText"/>
        <w:rPr>
          <w:rFonts w:ascii="Arial" w:hAnsi="Arial" w:cs="Arial"/>
          <w:sz w:val="24"/>
          <w:szCs w:val="24"/>
        </w:rPr>
      </w:pPr>
      <w:r w:rsidRPr="00C02A99">
        <w:rPr>
          <w:rFonts w:ascii="Arial" w:hAnsi="Arial" w:cs="Arial"/>
          <w:sz w:val="24"/>
          <w:szCs w:val="24"/>
        </w:rPr>
        <w:t>“Applications may either come directly from the victims of anti-social behaviour or from a third party (with the victim’s consent), such as a family member, friend, or local elected representative. The victim may be an individual, a business or a community group.</w:t>
      </w:r>
    </w:p>
    <w:p w14:paraId="26343024" w14:textId="46D63CAA" w:rsidR="00051EBF" w:rsidRPr="00C02A99" w:rsidRDefault="00051EBF" w:rsidP="00051EBF">
      <w:pPr>
        <w:pStyle w:val="PlainText"/>
        <w:rPr>
          <w:rFonts w:ascii="Arial" w:hAnsi="Arial" w:cs="Arial"/>
          <w:sz w:val="24"/>
          <w:szCs w:val="24"/>
        </w:rPr>
      </w:pPr>
      <w:r w:rsidRPr="00C02A99">
        <w:rPr>
          <w:rFonts w:ascii="Arial" w:hAnsi="Arial" w:cs="Arial"/>
          <w:sz w:val="24"/>
          <w:szCs w:val="24"/>
        </w:rPr>
        <w:t>Each local area sets a threshold which must be met for the trigger to be used. The threshold must include: The frequency of the complaints, The effectiveness of the response and lastly, the potential harm to the victim or victims making the complaint.”</w:t>
      </w:r>
    </w:p>
    <w:p w14:paraId="3B27ADA5" w14:textId="77777777" w:rsidR="00051EBF" w:rsidRPr="00C02A99" w:rsidRDefault="00051EBF" w:rsidP="00051EBF">
      <w:pPr>
        <w:pStyle w:val="PlainText"/>
        <w:rPr>
          <w:rFonts w:ascii="Arial" w:hAnsi="Arial" w:cs="Arial"/>
          <w:sz w:val="24"/>
          <w:szCs w:val="24"/>
        </w:rPr>
      </w:pPr>
    </w:p>
    <w:p w14:paraId="7C3D613D" w14:textId="723D45BB"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use of Evidence Based Policing is also incorporated into coming up with solutions for Anti-Social Behaviour as its defined as </w:t>
      </w:r>
    </w:p>
    <w:p w14:paraId="59C85A3E" w14:textId="6394C216" w:rsidR="00051EBF" w:rsidRPr="00C02A99" w:rsidRDefault="00051EBF" w:rsidP="00051EBF">
      <w:pPr>
        <w:pStyle w:val="PlainText"/>
        <w:rPr>
          <w:rFonts w:ascii="Arial" w:hAnsi="Arial" w:cs="Arial"/>
          <w:sz w:val="24"/>
          <w:szCs w:val="24"/>
        </w:rPr>
      </w:pPr>
      <w:r w:rsidRPr="00C02A99">
        <w:rPr>
          <w:rFonts w:ascii="Arial" w:hAnsi="Arial" w:cs="Arial"/>
          <w:sz w:val="24"/>
          <w:szCs w:val="24"/>
        </w:rPr>
        <w:t>"An approach in which police officers and staff work with academics and other partners to create, review and use the best available evidence to inform and challenge policing policies, practices and decisions." (Mitchell, R.J. and Huey, L. (2018, p4).</w:t>
      </w:r>
    </w:p>
    <w:p w14:paraId="763AEABD" w14:textId="2DE2F397"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This meant that we as a collective could sit down and put evidence-based policing into practice by looking at what we had already done with regards to the town, such as the dispersal order, the patrols of officers and also the monitoring of CCTV of the town and look at how we can improve on this and consider the use of other practices available. </w:t>
      </w:r>
    </w:p>
    <w:p w14:paraId="4D4C5C48" w14:textId="77777777" w:rsidR="00051EBF" w:rsidRPr="00C02A99" w:rsidRDefault="00051EBF" w:rsidP="00051EBF">
      <w:pPr>
        <w:pStyle w:val="PlainText"/>
        <w:rPr>
          <w:rFonts w:ascii="Arial" w:hAnsi="Arial" w:cs="Arial"/>
          <w:sz w:val="24"/>
          <w:szCs w:val="24"/>
        </w:rPr>
      </w:pPr>
    </w:p>
    <w:p w14:paraId="057D074F" w14:textId="0E14D2F1"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The powers that are already available to officers and local agencies in relation to ASB concentrate around six main options, including "ASB civil injunctions, Criminal Behavioural Orders, Community Protection Notices, which are served on the persons, then there are Public Space Protection Orders, Dispersal powers and finally Closure Powers". Sturge, G. and Brown, J. (2020). </w:t>
      </w:r>
    </w:p>
    <w:p w14:paraId="288E0A50" w14:textId="0316853D"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Not all the above powers are available and necessary in this circumstance, however, should be considered when trying to tackle an Anti-Social Behavioural problem. </w:t>
      </w:r>
    </w:p>
    <w:p w14:paraId="6C2E63C5" w14:textId="77777777" w:rsidR="00051EBF" w:rsidRPr="00C02A99" w:rsidRDefault="00051EBF" w:rsidP="00051EBF">
      <w:pPr>
        <w:pStyle w:val="PlainText"/>
        <w:rPr>
          <w:rFonts w:ascii="Arial" w:hAnsi="Arial" w:cs="Arial"/>
          <w:sz w:val="24"/>
          <w:szCs w:val="24"/>
        </w:rPr>
      </w:pPr>
    </w:p>
    <w:p w14:paraId="4AB66C0F" w14:textId="47428527" w:rsidR="00051EBF" w:rsidRPr="00C02A99" w:rsidRDefault="00051EBF" w:rsidP="00051EBF">
      <w:pPr>
        <w:pStyle w:val="PlainText"/>
        <w:rPr>
          <w:rFonts w:ascii="Arial" w:hAnsi="Arial" w:cs="Arial"/>
          <w:sz w:val="24"/>
          <w:szCs w:val="24"/>
        </w:rPr>
      </w:pPr>
      <w:r w:rsidRPr="00C02A99">
        <w:rPr>
          <w:rFonts w:ascii="Arial" w:hAnsi="Arial" w:cs="Arial"/>
          <w:sz w:val="24"/>
          <w:szCs w:val="24"/>
        </w:rPr>
        <w:t xml:space="preserve">I do think that further is required when it comes to the problem that is happening on the town area, and although at the moment since the incident, it has been quieter and there are less reports coming in, less youths or groups on the town and more police presence, however this is not a long term solution and I do fear that there will continue to be problems that police will again have to try to solve later down the line. I believe that I dealt with this incident upon reflection in an appropriate and sufficient way, when including all of the outside agencies relating to the groups, and considering the options available to me, however I feel like I would do it differently </w:t>
      </w:r>
      <w:r w:rsidRPr="00C02A99">
        <w:rPr>
          <w:rFonts w:ascii="Arial" w:hAnsi="Arial" w:cs="Arial"/>
          <w:sz w:val="24"/>
          <w:szCs w:val="24"/>
        </w:rPr>
        <w:lastRenderedPageBreak/>
        <w:t xml:space="preserve">should I get the chance to, as I do not feel as if this would have solved the problem and initially, the patrols of the officers which was suggested, did not help the situation, it in fact created more of a reaction to police from the youth groups and could have resulted in serious injuries for officers involved. I think that evidence-based policing can be used more effectively in working with other agencies and deciding to change and alter policies to fit around what's required for the town, rather than trial and error certain powers and procedures. </w:t>
      </w:r>
    </w:p>
    <w:p w14:paraId="535C6014" w14:textId="77777777" w:rsidR="00051EBF" w:rsidRPr="00C02A99" w:rsidRDefault="00051EBF" w:rsidP="00051EBF">
      <w:pPr>
        <w:pStyle w:val="PlainText"/>
        <w:rPr>
          <w:rFonts w:ascii="Arial" w:hAnsi="Arial" w:cs="Arial"/>
          <w:sz w:val="24"/>
          <w:szCs w:val="24"/>
        </w:rPr>
      </w:pPr>
    </w:p>
    <w:p w14:paraId="19DEB6EF" w14:textId="3D88962C" w:rsidR="00051EBF" w:rsidRPr="00C02A99" w:rsidRDefault="00051EBF" w:rsidP="00051EBF">
      <w:pPr>
        <w:pStyle w:val="PlainText"/>
        <w:rPr>
          <w:rFonts w:ascii="Arial" w:hAnsi="Arial" w:cs="Arial"/>
          <w:sz w:val="24"/>
          <w:szCs w:val="24"/>
        </w:rPr>
      </w:pPr>
    </w:p>
    <w:p w14:paraId="3BF5DE37" w14:textId="625AC1B7" w:rsidR="00401FB0" w:rsidRPr="00C02A99" w:rsidRDefault="00401FB0" w:rsidP="00051EBF">
      <w:pPr>
        <w:pStyle w:val="PlainText"/>
        <w:rPr>
          <w:rFonts w:ascii="Arial" w:hAnsi="Arial" w:cs="Arial"/>
          <w:sz w:val="24"/>
          <w:szCs w:val="24"/>
        </w:rPr>
      </w:pPr>
    </w:p>
    <w:p w14:paraId="4EC66C3C" w14:textId="2D332313" w:rsidR="00401FB0" w:rsidRPr="00C02A99" w:rsidRDefault="00401FB0" w:rsidP="00051EBF">
      <w:pPr>
        <w:pStyle w:val="PlainText"/>
        <w:rPr>
          <w:rFonts w:ascii="Arial" w:hAnsi="Arial" w:cs="Arial"/>
          <w:sz w:val="24"/>
          <w:szCs w:val="24"/>
        </w:rPr>
      </w:pPr>
    </w:p>
    <w:p w14:paraId="1DD54B3F" w14:textId="1AB48455" w:rsidR="00401FB0" w:rsidRPr="00C02A99" w:rsidRDefault="00401FB0" w:rsidP="00051EBF">
      <w:pPr>
        <w:pStyle w:val="PlainText"/>
        <w:rPr>
          <w:rFonts w:ascii="Arial" w:hAnsi="Arial" w:cs="Arial"/>
          <w:sz w:val="24"/>
          <w:szCs w:val="24"/>
        </w:rPr>
      </w:pPr>
    </w:p>
    <w:p w14:paraId="1A457F8E" w14:textId="773B39C8" w:rsidR="00401FB0" w:rsidRPr="00C02A99" w:rsidRDefault="00401FB0" w:rsidP="00051EBF">
      <w:pPr>
        <w:pStyle w:val="PlainText"/>
        <w:rPr>
          <w:rFonts w:ascii="Arial" w:hAnsi="Arial" w:cs="Arial"/>
          <w:sz w:val="24"/>
          <w:szCs w:val="24"/>
        </w:rPr>
      </w:pPr>
    </w:p>
    <w:p w14:paraId="3624ADA2" w14:textId="5A02CCF1" w:rsidR="00401FB0" w:rsidRPr="00C02A99" w:rsidRDefault="00401FB0" w:rsidP="00051EBF">
      <w:pPr>
        <w:pStyle w:val="PlainText"/>
        <w:rPr>
          <w:rFonts w:ascii="Arial" w:hAnsi="Arial" w:cs="Arial"/>
          <w:sz w:val="24"/>
          <w:szCs w:val="24"/>
        </w:rPr>
      </w:pPr>
      <w:r w:rsidRPr="00C02A99">
        <w:rPr>
          <w:rFonts w:ascii="Arial" w:hAnsi="Arial" w:cs="Arial"/>
          <w:sz w:val="24"/>
          <w:szCs w:val="24"/>
        </w:rPr>
        <w:t>2127 words</w:t>
      </w:r>
    </w:p>
    <w:p w14:paraId="101CB63C" w14:textId="77777777" w:rsidR="00051EBF" w:rsidRDefault="00051EBF" w:rsidP="00051EBF">
      <w:pPr>
        <w:pStyle w:val="PlainText"/>
      </w:pPr>
    </w:p>
    <w:p w14:paraId="3887D33F" w14:textId="77777777" w:rsidR="00051EBF" w:rsidRDefault="00051EBF" w:rsidP="00051EBF">
      <w:pPr>
        <w:pStyle w:val="PlainText"/>
      </w:pPr>
    </w:p>
    <w:p w14:paraId="4DBFDB3F" w14:textId="77777777" w:rsidR="00051EBF" w:rsidRDefault="00051EBF" w:rsidP="00051EBF">
      <w:pPr>
        <w:pStyle w:val="PlainText"/>
      </w:pPr>
    </w:p>
    <w:p w14:paraId="544AE50A" w14:textId="77777777" w:rsidR="00051EBF" w:rsidRDefault="00051EBF" w:rsidP="00051EBF">
      <w:pPr>
        <w:pStyle w:val="PlainText"/>
      </w:pPr>
    </w:p>
    <w:p w14:paraId="584192B6" w14:textId="77777777" w:rsidR="00051EBF" w:rsidRDefault="00051EBF" w:rsidP="00051EBF">
      <w:pPr>
        <w:pStyle w:val="PlainText"/>
      </w:pPr>
    </w:p>
    <w:p w14:paraId="66A64767" w14:textId="77777777" w:rsidR="00051EBF" w:rsidRDefault="00051EBF" w:rsidP="00051EBF">
      <w:pPr>
        <w:pStyle w:val="PlainText"/>
      </w:pPr>
    </w:p>
    <w:p w14:paraId="55553B72" w14:textId="77777777" w:rsidR="00051EBF" w:rsidRPr="00E676F7" w:rsidRDefault="00051EBF" w:rsidP="00051EBF">
      <w:pPr>
        <w:ind w:right="237"/>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52FB0921" w14:textId="56549F5B" w:rsidR="69F7424F" w:rsidRDefault="00E676F7" w:rsidP="00671885">
      <w:pPr>
        <w:overflowPunct/>
        <w:autoSpaceDE/>
        <w:autoSpaceDN/>
        <w:adjustRightInd/>
        <w:textAlignment w:val="auto"/>
        <w:rPr>
          <w:b/>
          <w:bCs/>
          <w:sz w:val="24"/>
          <w:szCs w:val="24"/>
        </w:rPr>
      </w:pPr>
      <w:r w:rsidRPr="5CE196A1">
        <w:rPr>
          <w:b/>
          <w:bCs/>
          <w:sz w:val="24"/>
          <w:szCs w:val="24"/>
        </w:rPr>
        <w:br w:type="page"/>
      </w:r>
    </w:p>
    <w:p w14:paraId="07724E36" w14:textId="77777777" w:rsidR="00671885" w:rsidRPr="00671885" w:rsidRDefault="00671885" w:rsidP="00671885">
      <w:pPr>
        <w:overflowPunct/>
        <w:autoSpaceDE/>
        <w:autoSpaceDN/>
        <w:adjustRightInd/>
        <w:textAlignment w:val="auto"/>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lastRenderedPageBreak/>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939D938" w:rsidR="005C76DE" w:rsidRPr="00C02A99" w:rsidRDefault="005C76DE" w:rsidP="005C76DE">
      <w:pPr>
        <w:ind w:right="237"/>
        <w:jc w:val="both"/>
        <w:rPr>
          <w:sz w:val="24"/>
          <w:szCs w:val="24"/>
        </w:rPr>
      </w:pPr>
    </w:p>
    <w:p w14:paraId="11C87510" w14:textId="77777777" w:rsidR="00671885" w:rsidRPr="00C02A99" w:rsidRDefault="00671885" w:rsidP="00671885">
      <w:pPr>
        <w:rPr>
          <w:sz w:val="24"/>
          <w:szCs w:val="24"/>
        </w:rPr>
      </w:pPr>
      <w:r w:rsidRPr="00C02A99">
        <w:rPr>
          <w:sz w:val="24"/>
          <w:szCs w:val="24"/>
        </w:rPr>
        <w:t xml:space="preserve">This short essay looks to describe and inform the reader of an incident of domestic abuse that was considered a complex nature and required police action and support for the victim. This essay will look to outline the response of the police towards domestic incidents, actions that were taken and the safeguarding options that are available to police in such incidents. Domestic abuse is a challenge for police as there is always an expectation to get it right, I will also look to outline the challenges that are associated with this incident and how they were addressed. </w:t>
      </w:r>
    </w:p>
    <w:p w14:paraId="523F8EF9" w14:textId="77777777" w:rsidR="00671885" w:rsidRPr="00C02A99" w:rsidRDefault="00671885" w:rsidP="00671885">
      <w:pPr>
        <w:rPr>
          <w:sz w:val="24"/>
          <w:szCs w:val="24"/>
        </w:rPr>
      </w:pPr>
      <w:r w:rsidRPr="00C02A99">
        <w:rPr>
          <w:sz w:val="24"/>
          <w:szCs w:val="24"/>
        </w:rPr>
        <w:t xml:space="preserve">There is more than one standard definition to domestic abuse, as it can be described and defined in different ways by different agencies, however the UK’s Government definition is,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emotional.’” (Home Office, 2013). </w:t>
      </w:r>
    </w:p>
    <w:p w14:paraId="6B5CCE15" w14:textId="472F3386" w:rsidR="00671885" w:rsidRPr="00C02A99" w:rsidRDefault="00671885" w:rsidP="00671885">
      <w:pPr>
        <w:rPr>
          <w:sz w:val="24"/>
          <w:szCs w:val="24"/>
        </w:rPr>
      </w:pPr>
      <w:r w:rsidRPr="00C02A99">
        <w:rPr>
          <w:sz w:val="24"/>
          <w:szCs w:val="24"/>
        </w:rPr>
        <w:t>Domestic abuse equals a high amount of police attended incidents day to day with HMIC stating the completing a report of the progress that police are making with regards to domestic abuse, “On average the police in England and Wales receive over 100 calls relating to domestic abuse every hour.” (HMIC, 2015) With regards to reporting of Domestic Abuse and the frequency of reporting, the office for national statistics have discovered within 2021 findings that, “The number of domestic abuse crimes recorded by the police in England and Wales in the year ending March 2021 increased by 6%: from 798,607 in the year ending March 2020 to 845,734. This continues the trend of increases seen over previous years.” (ONS, 2021).</w:t>
      </w:r>
    </w:p>
    <w:p w14:paraId="78D88793" w14:textId="25D601D3" w:rsidR="00671885" w:rsidRPr="00C02A99" w:rsidRDefault="00671885" w:rsidP="00671885">
      <w:pPr>
        <w:rPr>
          <w:sz w:val="24"/>
          <w:szCs w:val="24"/>
        </w:rPr>
      </w:pPr>
    </w:p>
    <w:p w14:paraId="1E10B307" w14:textId="77777777" w:rsidR="00671885" w:rsidRPr="00C02A99" w:rsidRDefault="00671885" w:rsidP="00671885">
      <w:pPr>
        <w:rPr>
          <w:sz w:val="24"/>
          <w:szCs w:val="24"/>
        </w:rPr>
      </w:pPr>
    </w:p>
    <w:p w14:paraId="625ADD7C" w14:textId="77777777" w:rsidR="00671885" w:rsidRPr="00C02A99" w:rsidRDefault="00671885" w:rsidP="00671885">
      <w:pPr>
        <w:rPr>
          <w:sz w:val="24"/>
          <w:szCs w:val="24"/>
        </w:rPr>
      </w:pPr>
      <w:r w:rsidRPr="00C02A99">
        <w:rPr>
          <w:sz w:val="24"/>
          <w:szCs w:val="24"/>
        </w:rPr>
        <w:t xml:space="preserve">Within the area I police, I recently dealt with a domestic incident which was more complex in the investigation and presented me with challenges throughout that I had to try and overcome. A phone call was made by a female aged 55 years old, into the control room via the emergency 999 service, to report that she had been attacked by her husband within their property. This report stated that they had argued earlier on in the evening about work, and both had drunk alcohol, however when they had gotten into bed, this is when things escalated. The female stated that she was lying in bed, when they started up an argument again over the same subject of work, and she was holding onto her iPad. Her husband she states then lifted his elbow backwards and has elbowed her to the face to try and shut her up from talking at him. This has caused the iPad to fall and hit her to the face also. They have both gotten out of bed at this point, and this is where it again escalated to the point where he had grabbed her around the throat and started to try and strangle her. In order for her to escape and contact police, she has used force against him by punching him to the side of his head, so he would let her go. The female has then locked herself in the bathroom safe and away from the male and called police. Officers turned up that evening and have arrested the male and conveyed him to custody. My involvement then started when I came into work and was advised that I was dealing with the perpetrator in custody and would be taking on the case to investigate. Prior to attending and interviewing the male, I have attended in the morning after the incident </w:t>
      </w:r>
      <w:r w:rsidRPr="00C02A99">
        <w:rPr>
          <w:sz w:val="24"/>
          <w:szCs w:val="24"/>
        </w:rPr>
        <w:lastRenderedPageBreak/>
        <w:t xml:space="preserve">to speak with the victim, the 55-year-old female. Once I have sat down with the female and started to discuss the incident from the night before, it transpired that this female was wanting to disclose more than what had been already reported. The female disclosed to me 36 years of abuse, whereby she states that she has been the victim from her husband of physical, mental, financial, and emotional abuse, however had never felt strong enough to report it. </w:t>
      </w:r>
    </w:p>
    <w:p w14:paraId="52EFC094" w14:textId="77777777" w:rsidR="00671885" w:rsidRPr="00C02A99" w:rsidRDefault="00671885" w:rsidP="00671885">
      <w:pPr>
        <w:rPr>
          <w:sz w:val="24"/>
          <w:szCs w:val="24"/>
        </w:rPr>
      </w:pPr>
      <w:r w:rsidRPr="00C02A99">
        <w:rPr>
          <w:sz w:val="24"/>
          <w:szCs w:val="24"/>
        </w:rPr>
        <w:t>The crime survey for England and Wales provided statistics to Women’s Aid that showed, "According to CSEW data for the year ending March 2018, only 18% of women who had experienced partner abuse in the last 12 months reported the abuse to the police." (Women’s Aid, 2022) Victims of domestic abuse do not report what happens to them for many reasons according to Barlow-Grint et al, "Reporting to the police is more likely if the incentives outweigh the costs of reporting…On the other hand, the costs may be greater fig the victim fears retaliation or consequences if they report. Or the perpetrator may offer remorseful apologies, promising that the abuse will never happen again. In other situations, the perpetrator may convince the victim that they brought the abuse on themselves or some victims self-silence, by placing their partners needs above their own or are just too embarrassed to report." (Barrow-Grint et al, 2022).</w:t>
      </w:r>
    </w:p>
    <w:p w14:paraId="52BBC222" w14:textId="77777777" w:rsidR="00671885" w:rsidRPr="00C02A99" w:rsidRDefault="00671885" w:rsidP="00671885">
      <w:pPr>
        <w:rPr>
          <w:sz w:val="24"/>
          <w:szCs w:val="24"/>
        </w:rPr>
      </w:pPr>
      <w:r w:rsidRPr="00C02A99">
        <w:rPr>
          <w:sz w:val="24"/>
          <w:szCs w:val="24"/>
        </w:rPr>
        <w:t xml:space="preserve">With the case I was dealing with, the female advised that she had not reported it over the years, for a number of reasons which included, being financially tied in with her husband, the children that they had together, the fact that he would apologise and would say this would never happen again and also that she was embarrassed of what other people may think as she was a nurse at a local hospital, and in her words, 'should not be as pathetic as this'. This then made the initial case of domestic common assault, into a complex investigation which involved years’ worth of controlling and coercive behaviour, along with a report of grievous bodily harm whereby the victim disclosed to me that her husband had caused her an injury back in 1992 whereby he cracked her skull by throwing her to the floor and pushed her head against the coffee table. This is where an investigation into those offences along with the recent offences commenced and I started to gather evidence in relation to what had happened, including photographs of injuries, and previous photographs and reports that the victim had thought to write throughout the years when this had been happening to her. </w:t>
      </w:r>
    </w:p>
    <w:p w14:paraId="0813806D" w14:textId="01B0CFF0" w:rsidR="00671885" w:rsidRPr="00C02A99" w:rsidRDefault="00671885" w:rsidP="00671885">
      <w:pPr>
        <w:rPr>
          <w:sz w:val="24"/>
          <w:szCs w:val="24"/>
        </w:rPr>
      </w:pPr>
      <w:r w:rsidRPr="00C02A99">
        <w:rPr>
          <w:sz w:val="24"/>
          <w:szCs w:val="24"/>
        </w:rPr>
        <w:t>With consideration to controlling and coercive behaviour, this is a newer legislation and is hard to prove when being investigated as it is not always material evidence that makes up the offence, however it is taken seriously and prosecutors are given the following to assist in understanding, "Prosecutors are advised that a pattern of controlling or coercive behaviour can be well established before a single incident is reported. In many cases the conduct might seem innocent - especially if considered in isolation of other incidents - and the victim may not be aware of, or be ready to acknowledge, abusive behaviour. The consideration of the cumulative impact of controlling or coercive behaviour and the pattern of behaviour within the context of the relationship is crucial. This approach will support the prosecutor to effectively assess whether a pattern of behaviour amounts to fear that violence will be carried out; or serious alarm or distress leading to a substantial adverse effect on usual day-to-day activities." (CPS, 2017).</w:t>
      </w:r>
    </w:p>
    <w:p w14:paraId="7725ED18" w14:textId="77777777" w:rsidR="00671885" w:rsidRPr="00C02A99" w:rsidRDefault="00671885" w:rsidP="00671885">
      <w:pPr>
        <w:rPr>
          <w:sz w:val="24"/>
          <w:szCs w:val="24"/>
        </w:rPr>
      </w:pPr>
    </w:p>
    <w:p w14:paraId="6F32828D" w14:textId="77777777" w:rsidR="00671885" w:rsidRPr="00C02A99" w:rsidRDefault="00671885" w:rsidP="00671885">
      <w:pPr>
        <w:rPr>
          <w:sz w:val="24"/>
          <w:szCs w:val="24"/>
        </w:rPr>
      </w:pPr>
      <w:r w:rsidRPr="00C02A99">
        <w:rPr>
          <w:sz w:val="24"/>
          <w:szCs w:val="24"/>
        </w:rPr>
        <w:t xml:space="preserve">During the investigation, I spoke with the victim many times, and made sure that she was safeguarded. I had completed a Domestic abuse, stalking and honour-based violence checklist which is commonly known as a DASH. As Gwent Safeguarding </w:t>
      </w:r>
      <w:r w:rsidRPr="00C02A99">
        <w:rPr>
          <w:sz w:val="24"/>
          <w:szCs w:val="24"/>
        </w:rPr>
        <w:lastRenderedPageBreak/>
        <w:t>explains, "The Dash risk checklist can be used for all intimate partner relationships, including LGBT relationships, as well as for ’honour’-based violence and family violence. It is primarily intended for professionals – both specialist domestic violence workers, such as IDVAS, and other professionals working for mainstream services. It aims to provide a uniform understanding of risk across professions. There is a specific police version of the risk checklist, which is used by most police forces in England and Wales, including Gwent." (Gwent Safeguarding, 2022).</w:t>
      </w:r>
    </w:p>
    <w:p w14:paraId="7FC75AD2" w14:textId="77777777" w:rsidR="00671885" w:rsidRPr="00C02A99" w:rsidRDefault="00671885" w:rsidP="00671885">
      <w:pPr>
        <w:rPr>
          <w:sz w:val="24"/>
          <w:szCs w:val="24"/>
        </w:rPr>
      </w:pPr>
      <w:r w:rsidRPr="00C02A99">
        <w:rPr>
          <w:sz w:val="24"/>
          <w:szCs w:val="24"/>
        </w:rPr>
        <w:t xml:space="preserve">The grading that I established from the risk checklist indicated that this was a High-Risk case and that again added to the complexity of the case. The perpetrator whilst the investigation was being completed, was placed on bail conditions which did not allow him back to the property nor to contact the victim by any means. This was to allow the victim space and time away so that she could start the leave process in her head, and to safeguard her. </w:t>
      </w:r>
    </w:p>
    <w:p w14:paraId="1DF43762" w14:textId="77777777" w:rsidR="00671885" w:rsidRPr="00C02A99" w:rsidRDefault="00671885" w:rsidP="00671885">
      <w:pPr>
        <w:rPr>
          <w:sz w:val="24"/>
          <w:szCs w:val="24"/>
        </w:rPr>
      </w:pPr>
      <w:r w:rsidRPr="00C02A99">
        <w:rPr>
          <w:sz w:val="24"/>
          <w:szCs w:val="24"/>
        </w:rPr>
        <w:t xml:space="preserve">The leave process that victims go through involves the breakdown of what is described as a trauma bond between the victim and the abuser, whereby the victim is so under the control and is bonded with the abuser that it takes a while for the victim to go through the motions of leaving the abuser, this is explained by Lauren Kozlowski in her book, "This tends to happen in seven stages, give or take, and you’ll find that whilst all of the stages seemed like a natural, toxic progression, they were all very methodically calculated. The aim of these stages is to eventually keep you in the clutches of the narcissist and what better way to keep you than a trauma bond…the end goal for a narcissist is complete control and that is precisely what a trauma bond can afford them." (Kozlowski, L, 2020). </w:t>
      </w:r>
    </w:p>
    <w:p w14:paraId="3CFD5F47" w14:textId="0505B9CB" w:rsidR="00671885" w:rsidRPr="00C02A99" w:rsidRDefault="00671885" w:rsidP="00671885">
      <w:pPr>
        <w:rPr>
          <w:sz w:val="24"/>
          <w:szCs w:val="24"/>
        </w:rPr>
      </w:pPr>
      <w:r w:rsidRPr="00C02A99">
        <w:rPr>
          <w:sz w:val="24"/>
          <w:szCs w:val="24"/>
        </w:rPr>
        <w:t>Throughout this investigation and other domestic abuse cases, investigating officers and supporting agencies are always faced with challenges. One of the challenges was touched upon earlier within this essay which showed the statistics of how under-reported domestic abuse is and what victims feel is the issues behind the under-reporting. Another challenge that I experienced within this case, was the victim wanting to retract their statement. In this case, the victim had started with providing police a positive statement and wanted to pursue formal action, however this changed shortly after the investigation commenced after the offender was placed under bail conditions. The Office for National Statistics state that "There was a notably higher proportion of domestic abuse-related violence against the person offences assigned an evidential difficulty outcome where the victim does not support action compared with non-domestic abuse-related violence against the person offences (55% compared with 40%)." (ONS, 2020).</w:t>
      </w:r>
    </w:p>
    <w:p w14:paraId="47B565E8" w14:textId="77777777" w:rsidR="00671885" w:rsidRPr="00C02A99" w:rsidRDefault="00671885" w:rsidP="00671885">
      <w:pPr>
        <w:rPr>
          <w:sz w:val="24"/>
          <w:szCs w:val="24"/>
        </w:rPr>
      </w:pPr>
    </w:p>
    <w:p w14:paraId="5F3CF4DE" w14:textId="77777777" w:rsidR="00671885" w:rsidRPr="00C02A99" w:rsidRDefault="00671885" w:rsidP="00671885">
      <w:pPr>
        <w:rPr>
          <w:sz w:val="24"/>
          <w:szCs w:val="24"/>
        </w:rPr>
      </w:pPr>
      <w:r w:rsidRPr="00C02A99">
        <w:rPr>
          <w:sz w:val="24"/>
          <w:szCs w:val="24"/>
        </w:rPr>
        <w:t xml:space="preserve">The victim disclosed to me that she wanted to retract, and would no longer wish to support a police investigation, and that she missed her husband and wanted things to change between them, however, did not wish to criminalise him. This did complicate the investigation as without a positive statement from the victim, and the difficulty of evidence with regards to proving coercive and controlling behaviour, and the serious assault from 1992, this did not leave me with a lot to put forward for the CPS. Despite being supported by victim support through Gwent Police, and referrals made to outside agencies that would offer support such as Women’s Aid and social services, the victim was still un-supporting of any police action and wanted to complete a withdrawal statement with me. A report published by the Police Foundation found that </w:t>
      </w:r>
      <w:r w:rsidRPr="00C02A99">
        <w:rPr>
          <w:sz w:val="24"/>
          <w:szCs w:val="24"/>
        </w:rPr>
        <w:br/>
        <w:t xml:space="preserve">“In 2009/10 over 6,500 domestic abuse cases failed because the victim either did not </w:t>
      </w:r>
      <w:r w:rsidRPr="00C02A99">
        <w:rPr>
          <w:sz w:val="24"/>
          <w:szCs w:val="24"/>
        </w:rPr>
        <w:lastRenderedPageBreak/>
        <w:t xml:space="preserve">attend court or retracted evidence, which equates to one in three of all failed cases.” (Mansfield C and Betin U, 2014) </w:t>
      </w:r>
    </w:p>
    <w:p w14:paraId="1ED260D4" w14:textId="77777777" w:rsidR="00671885" w:rsidRPr="00C02A99" w:rsidRDefault="00671885" w:rsidP="00671885">
      <w:pPr>
        <w:rPr>
          <w:sz w:val="24"/>
          <w:szCs w:val="24"/>
        </w:rPr>
      </w:pPr>
    </w:p>
    <w:p w14:paraId="38278B51" w14:textId="77777777" w:rsidR="00671885" w:rsidRPr="00C02A99" w:rsidRDefault="00671885" w:rsidP="00671885">
      <w:pPr>
        <w:rPr>
          <w:sz w:val="24"/>
          <w:szCs w:val="24"/>
        </w:rPr>
      </w:pPr>
      <w:r w:rsidRPr="00C02A99">
        <w:rPr>
          <w:sz w:val="24"/>
          <w:szCs w:val="24"/>
        </w:rPr>
        <w:t xml:space="preserve">With the retraction of the victim and lack of evidence, it was decided by a Sergeant that this case would not be put forward for the consideration of CPS due to this, and the lack of evidence that the case had, meant that the report, which also was a request of the victim, is no further actioned. This again, shows the challenge that all officers face when dealing with domestic abuse and how even though this was a complex investigation and a high risk graded case of domestic abuse, without victim’s co-operation and without evidence, there is no case to investigate. Just as The Police Foundation state, </w:t>
      </w:r>
      <w:r w:rsidRPr="00C02A99">
        <w:rPr>
          <w:sz w:val="24"/>
          <w:szCs w:val="24"/>
        </w:rPr>
        <w:br/>
        <w:t>“Domestic abuse involves crimes where often one person’s word must be taken over another’s” (Mansfield C and Betin U, 2014).</w:t>
      </w:r>
      <w:r w:rsidRPr="00C02A99">
        <w:rPr>
          <w:sz w:val="24"/>
          <w:szCs w:val="24"/>
        </w:rPr>
        <w:br/>
      </w:r>
    </w:p>
    <w:p w14:paraId="408ACCD4" w14:textId="07D95892" w:rsidR="00671885" w:rsidRPr="00C02A99" w:rsidRDefault="00671885" w:rsidP="00671885">
      <w:pPr>
        <w:rPr>
          <w:sz w:val="24"/>
          <w:szCs w:val="24"/>
        </w:rPr>
      </w:pPr>
      <w:r w:rsidRPr="00C02A99">
        <w:rPr>
          <w:sz w:val="24"/>
          <w:szCs w:val="24"/>
        </w:rPr>
        <w:t xml:space="preserve">Domestic abuse is still on the increase within the UK and is still considered to be </w:t>
      </w:r>
      <w:r w:rsidRPr="00C02A99">
        <w:rPr>
          <w:sz w:val="24"/>
          <w:szCs w:val="24"/>
        </w:rPr>
        <w:t>one</w:t>
      </w:r>
      <w:r w:rsidRPr="00C02A99">
        <w:rPr>
          <w:sz w:val="24"/>
          <w:szCs w:val="24"/>
        </w:rPr>
        <w:t xml:space="preserve"> of the most challenging calls that police deal with, as there are so many parts and issues to consider throughout, and there is a lot that can go wrong. I believe that I dealt with this incident in the best way I could, and that whilst it was being investigated, I did support the victim with safeguarding her and completed </w:t>
      </w:r>
      <w:r w:rsidRPr="00C02A99">
        <w:rPr>
          <w:sz w:val="24"/>
          <w:szCs w:val="24"/>
        </w:rPr>
        <w:t>all</w:t>
      </w:r>
      <w:r w:rsidRPr="00C02A99">
        <w:rPr>
          <w:sz w:val="24"/>
          <w:szCs w:val="24"/>
        </w:rPr>
        <w:t xml:space="preserve"> the required procedures in dealing with it. The most paramount part of dealing with a domestic incident I believe is the safeguarding and wishes of the </w:t>
      </w:r>
      <w:r w:rsidRPr="00C02A99">
        <w:rPr>
          <w:sz w:val="24"/>
          <w:szCs w:val="24"/>
        </w:rPr>
        <w:t>victim and</w:t>
      </w:r>
      <w:r w:rsidRPr="00C02A99">
        <w:rPr>
          <w:sz w:val="24"/>
          <w:szCs w:val="24"/>
        </w:rPr>
        <w:t xml:space="preserve"> ensuring that they feel supported by the police and feel that they can report any further incidents without fear.</w:t>
      </w:r>
    </w:p>
    <w:p w14:paraId="27E0B53D" w14:textId="77777777" w:rsidR="00671885" w:rsidRPr="00C02A99" w:rsidRDefault="00671885" w:rsidP="00671885">
      <w:pPr>
        <w:rPr>
          <w:sz w:val="24"/>
          <w:szCs w:val="24"/>
        </w:rPr>
      </w:pPr>
    </w:p>
    <w:p w14:paraId="72959EED" w14:textId="77777777" w:rsidR="00671885" w:rsidRPr="00C02A99" w:rsidRDefault="00671885" w:rsidP="00671885">
      <w:pPr>
        <w:rPr>
          <w:sz w:val="24"/>
          <w:szCs w:val="24"/>
        </w:rPr>
      </w:pPr>
    </w:p>
    <w:p w14:paraId="70FEEC05" w14:textId="77777777" w:rsidR="00671885" w:rsidRPr="00C02A99" w:rsidRDefault="00671885" w:rsidP="00671885">
      <w:pPr>
        <w:rPr>
          <w:sz w:val="24"/>
          <w:szCs w:val="24"/>
        </w:rPr>
      </w:pPr>
    </w:p>
    <w:p w14:paraId="7EB17AD1" w14:textId="5335B5AA" w:rsidR="00671885" w:rsidRPr="00C02A99" w:rsidRDefault="00671885" w:rsidP="00671885">
      <w:pPr>
        <w:rPr>
          <w:sz w:val="24"/>
          <w:szCs w:val="24"/>
        </w:rPr>
      </w:pPr>
      <w:r w:rsidRPr="00C02A99">
        <w:rPr>
          <w:sz w:val="24"/>
          <w:szCs w:val="24"/>
        </w:rPr>
        <w:t>2130</w:t>
      </w:r>
      <w:r w:rsidR="00C02A99" w:rsidRPr="00C02A99">
        <w:rPr>
          <w:sz w:val="24"/>
          <w:szCs w:val="24"/>
        </w:rPr>
        <w:t xml:space="preserve"> words</w:t>
      </w:r>
    </w:p>
    <w:p w14:paraId="3B4F2A1D" w14:textId="670F5C3F" w:rsidR="00671885" w:rsidRDefault="00671885" w:rsidP="005C76DE">
      <w:pPr>
        <w:ind w:right="237"/>
        <w:jc w:val="both"/>
        <w:rPr>
          <w:sz w:val="24"/>
          <w:szCs w:val="24"/>
        </w:rPr>
      </w:pPr>
    </w:p>
    <w:p w14:paraId="5352C230" w14:textId="77777777" w:rsidR="00671885" w:rsidRPr="00E676F7" w:rsidRDefault="00671885"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76B6FAAC" w14:textId="78791342" w:rsidR="0FF883D4" w:rsidRDefault="0FF883D4" w:rsidP="0FF883D4">
      <w:pPr>
        <w:ind w:left="2880" w:right="225" w:firstLine="720"/>
        <w:rPr>
          <w:b/>
          <w:bCs/>
          <w:sz w:val="24"/>
          <w:szCs w:val="24"/>
          <w:lang w:eastAsia="zh-TW"/>
        </w:rPr>
      </w:pPr>
    </w:p>
    <w:p w14:paraId="7E1627F5" w14:textId="77777777" w:rsidR="00F5641F" w:rsidRDefault="00F5641F" w:rsidP="5CE196A1">
      <w:pPr>
        <w:rPr>
          <w:rFonts w:eastAsia="Arial"/>
          <w:b/>
          <w:bCs/>
          <w:color w:val="000000" w:themeColor="text1"/>
          <w:sz w:val="24"/>
          <w:szCs w:val="24"/>
        </w:rPr>
      </w:pPr>
    </w:p>
    <w:p w14:paraId="51BA0EC6" w14:textId="77777777" w:rsidR="00F5641F" w:rsidRDefault="00F5641F" w:rsidP="5CE196A1">
      <w:pPr>
        <w:rPr>
          <w:rFonts w:eastAsia="Arial"/>
          <w:b/>
          <w:bCs/>
          <w:color w:val="000000" w:themeColor="text1"/>
          <w:sz w:val="24"/>
          <w:szCs w:val="24"/>
        </w:rPr>
      </w:pPr>
    </w:p>
    <w:p w14:paraId="44CDEED5" w14:textId="77777777" w:rsidR="00F5641F" w:rsidRDefault="00F5641F" w:rsidP="5CE196A1">
      <w:pPr>
        <w:rPr>
          <w:rFonts w:eastAsia="Arial"/>
          <w:b/>
          <w:bCs/>
          <w:color w:val="000000" w:themeColor="text1"/>
          <w:sz w:val="24"/>
          <w:szCs w:val="24"/>
        </w:rPr>
      </w:pPr>
    </w:p>
    <w:p w14:paraId="3D5EE326" w14:textId="77777777" w:rsidR="00F5641F" w:rsidRDefault="00F5641F" w:rsidP="5CE196A1">
      <w:pPr>
        <w:rPr>
          <w:rFonts w:eastAsia="Arial"/>
          <w:b/>
          <w:bCs/>
          <w:color w:val="000000" w:themeColor="text1"/>
          <w:sz w:val="24"/>
          <w:szCs w:val="24"/>
        </w:rPr>
      </w:pPr>
    </w:p>
    <w:p w14:paraId="4BB52473" w14:textId="77777777" w:rsidR="00F5641F" w:rsidRDefault="00F5641F" w:rsidP="5CE196A1">
      <w:pPr>
        <w:rPr>
          <w:rFonts w:eastAsia="Arial"/>
          <w:b/>
          <w:bCs/>
          <w:color w:val="000000" w:themeColor="text1"/>
          <w:sz w:val="24"/>
          <w:szCs w:val="24"/>
        </w:rPr>
      </w:pPr>
    </w:p>
    <w:p w14:paraId="751FE284" w14:textId="77777777" w:rsidR="00F5641F" w:rsidRDefault="00F5641F" w:rsidP="5CE196A1">
      <w:pPr>
        <w:rPr>
          <w:rFonts w:eastAsia="Arial"/>
          <w:b/>
          <w:bCs/>
          <w:color w:val="000000" w:themeColor="text1"/>
          <w:sz w:val="24"/>
          <w:szCs w:val="24"/>
        </w:rPr>
      </w:pPr>
    </w:p>
    <w:p w14:paraId="6FD8FDEF" w14:textId="77777777" w:rsidR="00F5641F" w:rsidRDefault="00F5641F" w:rsidP="5CE196A1">
      <w:pPr>
        <w:rPr>
          <w:rFonts w:eastAsia="Arial"/>
          <w:b/>
          <w:bCs/>
          <w:color w:val="000000" w:themeColor="text1"/>
          <w:sz w:val="24"/>
          <w:szCs w:val="24"/>
        </w:rPr>
      </w:pPr>
    </w:p>
    <w:p w14:paraId="7F14B199" w14:textId="77777777" w:rsidR="00F5641F" w:rsidRDefault="00F5641F" w:rsidP="5CE196A1">
      <w:pPr>
        <w:rPr>
          <w:rFonts w:eastAsia="Arial"/>
          <w:b/>
          <w:bCs/>
          <w:color w:val="000000" w:themeColor="text1"/>
          <w:sz w:val="24"/>
          <w:szCs w:val="24"/>
        </w:rPr>
      </w:pPr>
    </w:p>
    <w:p w14:paraId="6918855A" w14:textId="77777777" w:rsidR="00F5641F" w:rsidRDefault="00F5641F" w:rsidP="5CE196A1">
      <w:pPr>
        <w:rPr>
          <w:rFonts w:eastAsia="Arial"/>
          <w:b/>
          <w:bCs/>
          <w:color w:val="000000" w:themeColor="text1"/>
          <w:sz w:val="24"/>
          <w:szCs w:val="24"/>
        </w:rPr>
      </w:pPr>
    </w:p>
    <w:p w14:paraId="1ADEFAE5" w14:textId="57EE3949"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8AC2055" w:rsidR="0FF883D4" w:rsidRDefault="5CE196A1" w:rsidP="5CE196A1">
      <w:r w:rsidRPr="5CE196A1">
        <w:rPr>
          <w:rFonts w:eastAsia="Arial"/>
          <w:b/>
          <w:bCs/>
          <w:color w:val="000000" w:themeColor="text1"/>
          <w:sz w:val="24"/>
          <w:szCs w:val="24"/>
        </w:rPr>
        <w:t xml:space="preserve">Signed: </w:t>
      </w:r>
      <w:r w:rsidR="00D51883">
        <w:rPr>
          <w:rFonts w:eastAsia="Arial"/>
          <w:b/>
          <w:bCs/>
          <w:color w:val="000000" w:themeColor="text1"/>
          <w:sz w:val="24"/>
          <w:szCs w:val="24"/>
        </w:rPr>
        <w:t>E. Caddick</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1062B58E" w:rsidR="0FF883D4" w:rsidRDefault="00D51883" w:rsidP="00D51883">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25/10/2022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87D2466"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6FDD42F" w14:textId="4DBED050" w:rsidR="00E35799" w:rsidRDefault="00E35799" w:rsidP="00EA28F1">
      <w:pPr>
        <w:keepNext/>
        <w:spacing w:before="240" w:after="60"/>
        <w:ind w:right="237"/>
        <w:jc w:val="both"/>
        <w:rPr>
          <w:sz w:val="24"/>
          <w:szCs w:val="24"/>
        </w:rPr>
      </w:pPr>
    </w:p>
    <w:p w14:paraId="34527455" w14:textId="77777777" w:rsidR="00F5641F" w:rsidRDefault="00F5641F" w:rsidP="00F5641F">
      <w:pPr>
        <w:pStyle w:val="PlainText"/>
      </w:pPr>
      <w:r>
        <w:t>Barrow-Grint, K., Sebire, J., Turton, J. and Weir, R. (2022). Policing Domestic Abuse. Taylor &amp; Francis, pp.1–258.</w:t>
      </w:r>
    </w:p>
    <w:p w14:paraId="5A45C20F" w14:textId="77777777" w:rsidR="00F5641F" w:rsidRDefault="00F5641F" w:rsidP="00F5641F">
      <w:pPr>
        <w:pStyle w:val="PlainText"/>
      </w:pPr>
    </w:p>
    <w:p w14:paraId="4132A9D8" w14:textId="77777777" w:rsidR="00F5641F" w:rsidRDefault="00F5641F" w:rsidP="00F5641F">
      <w:pPr>
        <w:pStyle w:val="PlainText"/>
      </w:pPr>
      <w:r>
        <w:t>CPS (2019). Controlling or Coercive Behaviour in an Intimate or Family Relationship | The Crown Prosecution Service. [online] Cps.gov.uk. Available at: https://www.cps.gov.uk/legal-guidance/controlling-or-coercive-behaviour-intimate-or-family-relationship [Accessed 26 Oct. 2022].</w:t>
      </w:r>
    </w:p>
    <w:p w14:paraId="4FAA88A0" w14:textId="77777777" w:rsidR="00F5641F" w:rsidRDefault="00F5641F" w:rsidP="00F5641F">
      <w:pPr>
        <w:pStyle w:val="PlainText"/>
      </w:pPr>
    </w:p>
    <w:p w14:paraId="5C485510" w14:textId="3D38E549" w:rsidR="00F5641F" w:rsidRDefault="00F5641F" w:rsidP="00F5641F">
      <w:pPr>
        <w:pStyle w:val="PlainText"/>
      </w:pPr>
      <w:r>
        <w:t xml:space="preserve">Crawford, A. and Lister, S. (2007). The use and impact of dispersal </w:t>
      </w:r>
      <w:r w:rsidR="00484318">
        <w:t>orders:</w:t>
      </w:r>
      <w:r>
        <w:t xml:space="preserve"> sticking plasters and wake-up calls. Bristol, Uk: Published For The Joseph Rowntree Foundation By Policy Press, pp.1–77.</w:t>
      </w:r>
    </w:p>
    <w:p w14:paraId="5DF43914" w14:textId="77777777" w:rsidR="00F5641F" w:rsidRDefault="00F5641F" w:rsidP="00F5641F">
      <w:pPr>
        <w:pStyle w:val="PlainText"/>
      </w:pPr>
    </w:p>
    <w:p w14:paraId="7D3E8E2D" w14:textId="77777777" w:rsidR="00F5641F" w:rsidRDefault="00F5641F" w:rsidP="00F5641F">
      <w:pPr>
        <w:pStyle w:val="PlainText"/>
      </w:pPr>
      <w:r>
        <w:t>Deborah Lamm Weisel (2005). Analyzing Repeat Victimization Problem-oriented guides for police series Issue 4 of Problem-oriented guides for police: Problem-solving tools series. US Department of Justice, 2005, pp.1–66.</w:t>
      </w:r>
    </w:p>
    <w:p w14:paraId="63E15359" w14:textId="77777777" w:rsidR="00F5641F" w:rsidRDefault="00F5641F" w:rsidP="00F5641F">
      <w:pPr>
        <w:pStyle w:val="PlainText"/>
      </w:pPr>
    </w:p>
    <w:p w14:paraId="5647790A" w14:textId="77777777" w:rsidR="00F5641F" w:rsidRDefault="00F5641F" w:rsidP="00F5641F">
      <w:pPr>
        <w:pStyle w:val="PlainText"/>
      </w:pPr>
      <w:r>
        <w:t xml:space="preserve">GOV.UK. (2020). Anti-social behaviour (ASB) case review (also known as the Community Trigger). [online] Available at: </w:t>
      </w:r>
      <w:hyperlink r:id="rId21" w:history="1">
        <w:r>
          <w:rPr>
            <w:rStyle w:val="Hyperlink"/>
          </w:rPr>
          <w:t>https://www.gov.uk/guidance/anti-social-behaviour-asb-case-review-also-known-as-the-community-trigger.[Accessed</w:t>
        </w:r>
      </w:hyperlink>
      <w:r>
        <w:t xml:space="preserve"> 24 Oct. 2022].</w:t>
      </w:r>
    </w:p>
    <w:p w14:paraId="0EFB4A34" w14:textId="77777777" w:rsidR="00F5641F" w:rsidRDefault="00F5641F" w:rsidP="00F5641F">
      <w:pPr>
        <w:pStyle w:val="PlainText"/>
      </w:pPr>
    </w:p>
    <w:p w14:paraId="595A7100" w14:textId="77777777" w:rsidR="00F5641F" w:rsidRDefault="00F5641F" w:rsidP="00F5641F">
      <w:pPr>
        <w:pStyle w:val="PlainText"/>
      </w:pPr>
      <w:r>
        <w:t>Great Britain. Home Office (2008). From the neighbourhood to the national: policing our communities together. London: Tso, pp.1–100.</w:t>
      </w:r>
    </w:p>
    <w:p w14:paraId="7DADEB1B" w14:textId="77777777" w:rsidR="00F5641F" w:rsidRDefault="00F5641F" w:rsidP="00F5641F">
      <w:pPr>
        <w:pStyle w:val="PlainText"/>
      </w:pPr>
    </w:p>
    <w:p w14:paraId="14217069" w14:textId="77777777" w:rsidR="00F5641F" w:rsidRDefault="00F5641F" w:rsidP="00F5641F">
      <w:pPr>
        <w:pStyle w:val="PlainText"/>
      </w:pPr>
      <w:r>
        <w:t xml:space="preserve">Gwent Police and Crime Commissioner. (2020). Community Trigger. [online] Available at: </w:t>
      </w:r>
      <w:hyperlink r:id="rId22" w:history="1">
        <w:r>
          <w:rPr>
            <w:rStyle w:val="Hyperlink"/>
          </w:rPr>
          <w:t>https://gwent.pcc.police.uk/en/transparency/know-your-rights/victims-rights/community-trigger/</w:t>
        </w:r>
      </w:hyperlink>
      <w:r>
        <w:t xml:space="preserve"> [Accessed 24 Oct. 2022].</w:t>
      </w:r>
    </w:p>
    <w:p w14:paraId="3A20713A" w14:textId="77777777" w:rsidR="00F5641F" w:rsidRDefault="00F5641F" w:rsidP="00F5641F">
      <w:pPr>
        <w:pStyle w:val="PlainText"/>
      </w:pPr>
    </w:p>
    <w:p w14:paraId="09A4A327" w14:textId="77777777" w:rsidR="00F5641F" w:rsidRDefault="00F5641F" w:rsidP="00F5641F">
      <w:pPr>
        <w:pStyle w:val="PlainText"/>
      </w:pPr>
      <w:r>
        <w:t>Gwent Safeguarding. (2022). Risk Assessment and Safety Planning. [online] Available at: https://www.gwentsafeguarding.org.uk/en/vawdasv/support-and-advice/risk-assessment-and-safety-planning [Accessed 26 Oct. 2022].</w:t>
      </w:r>
    </w:p>
    <w:p w14:paraId="0C13C3EC" w14:textId="77777777" w:rsidR="00F5641F" w:rsidRDefault="00F5641F" w:rsidP="00F5641F">
      <w:pPr>
        <w:pStyle w:val="PlainText"/>
      </w:pPr>
    </w:p>
    <w:p w14:paraId="6D4FE36A" w14:textId="77777777" w:rsidR="00F5641F" w:rsidRDefault="00F5641F" w:rsidP="00F5641F">
      <w:pPr>
        <w:pStyle w:val="PlainText"/>
      </w:pPr>
      <w:r>
        <w:t xml:space="preserve">Heap, V. (2021). Exploring the effects of long-term anti-social behaviour victimisation. International Review of Victimology, 27(2), 227–242. </w:t>
      </w:r>
    </w:p>
    <w:p w14:paraId="2CD43991" w14:textId="77777777" w:rsidR="00F5641F" w:rsidRDefault="00F5641F" w:rsidP="00F5641F">
      <w:pPr>
        <w:pStyle w:val="PlainText"/>
      </w:pPr>
    </w:p>
    <w:p w14:paraId="64B1446B" w14:textId="77777777" w:rsidR="00F5641F" w:rsidRDefault="00F5641F" w:rsidP="00F5641F">
      <w:pPr>
        <w:pStyle w:val="PlainText"/>
      </w:pPr>
      <w:r>
        <w:t>HMIC (2015). Increasingly everyone’s business: A progress report on the police response to domestic abuse. [online] HMIC. Available at: https://www.justiceinspectorates.gov.uk/hmicfrs/wp-content/uploads/increasingly-everyones-business-domestic-abuse-progress-report.pdf [Accessed 25 Oct. 2022].</w:t>
      </w:r>
    </w:p>
    <w:p w14:paraId="7F9AA76A" w14:textId="77777777" w:rsidR="00F5641F" w:rsidRDefault="00F5641F" w:rsidP="00F5641F">
      <w:pPr>
        <w:pStyle w:val="PlainText"/>
      </w:pPr>
    </w:p>
    <w:p w14:paraId="6B1598F2" w14:textId="77777777" w:rsidR="00F5641F" w:rsidRDefault="00F5641F" w:rsidP="00F5641F">
      <w:pPr>
        <w:pStyle w:val="PlainText"/>
      </w:pPr>
      <w:r>
        <w:t>Home Office (2017). Circular 003/2013: new government domestic violence and abuse definition. [online] GOV.UK. Available at: https://www.gov.uk/government/publications/new-government-domestic-violence-and-abuse-definition/circular-0032013-new-government-domestic-violence-and-abuse-definition [Accessed 25 Oct. 2022].</w:t>
      </w:r>
    </w:p>
    <w:p w14:paraId="36997D77" w14:textId="77777777" w:rsidR="00F5641F" w:rsidRDefault="00F5641F" w:rsidP="00F5641F">
      <w:pPr>
        <w:pStyle w:val="PlainText"/>
      </w:pPr>
    </w:p>
    <w:p w14:paraId="396F1A51" w14:textId="77777777" w:rsidR="00F5641F" w:rsidRDefault="00F5641F" w:rsidP="00F5641F">
      <w:pPr>
        <w:pStyle w:val="PlainText"/>
      </w:pPr>
      <w:r>
        <w:t>Kozlowski, L. (2020). Trauma Bonding. Escape the Narcissist, pp.1–68.</w:t>
      </w:r>
    </w:p>
    <w:p w14:paraId="5C48BAF2" w14:textId="77777777" w:rsidR="00F5641F" w:rsidRDefault="00F5641F" w:rsidP="00F5641F">
      <w:pPr>
        <w:pStyle w:val="PlainText"/>
      </w:pPr>
    </w:p>
    <w:p w14:paraId="2E8225BA" w14:textId="3BB650DB" w:rsidR="00F5641F" w:rsidRDefault="00F5641F" w:rsidP="00F5641F">
      <w:pPr>
        <w:pStyle w:val="PlainText"/>
      </w:pPr>
      <w:r>
        <w:t>Mansfield, C. and Betin, U. (2014). The briefing -Policing domestic abuse. [online] Available at: https://www.police-foundation.org.uk/2017/wp-content/uploads/2017/08/domestic_abuse_briefing_final.pdf [Accessed 26 Oct. 2022].</w:t>
      </w:r>
    </w:p>
    <w:p w14:paraId="51EE2A1C" w14:textId="77777777" w:rsidR="00F5641F" w:rsidRDefault="00F5641F" w:rsidP="00F5641F">
      <w:pPr>
        <w:pStyle w:val="PlainText"/>
      </w:pPr>
    </w:p>
    <w:p w14:paraId="38D25056" w14:textId="0C958FB2" w:rsidR="00F5641F" w:rsidRDefault="00F5641F" w:rsidP="00F5641F">
      <w:pPr>
        <w:pStyle w:val="PlainText"/>
      </w:pPr>
      <w:r>
        <w:t xml:space="preserve">Millie, A., Jacobson, J., Eraina </w:t>
      </w:r>
      <w:r w:rsidR="00484318">
        <w:t>McDonald</w:t>
      </w:r>
      <w:r>
        <w:t xml:space="preserve">, Hough, M. and Joseph Rowntree Foundation (2005). Anti-social behaviour </w:t>
      </w:r>
      <w:r w:rsidR="00484318">
        <w:t>strategies:</w:t>
      </w:r>
      <w:r>
        <w:t xml:space="preserve"> finding a balance. Bristol, Uk: Policy Press, p.pp1.</w:t>
      </w:r>
    </w:p>
    <w:p w14:paraId="7760B6C0" w14:textId="77777777" w:rsidR="00F5641F" w:rsidRDefault="00F5641F" w:rsidP="00F5641F">
      <w:pPr>
        <w:pStyle w:val="PlainText"/>
      </w:pPr>
    </w:p>
    <w:p w14:paraId="544FD6D7" w14:textId="4EC5908F" w:rsidR="00F5641F" w:rsidRDefault="00F5641F" w:rsidP="00F5641F">
      <w:pPr>
        <w:pStyle w:val="PlainText"/>
      </w:pPr>
      <w:r>
        <w:t xml:space="preserve">Mitchell, R.J. and Huey, L. (2018). Evidence based </w:t>
      </w:r>
      <w:r w:rsidR="00484318">
        <w:t>policing:</w:t>
      </w:r>
      <w:r>
        <w:t xml:space="preserve"> An introduction. Bristol Policy Press, pp.1–272.</w:t>
      </w:r>
    </w:p>
    <w:p w14:paraId="15F1CFF3" w14:textId="77777777" w:rsidR="00F5641F" w:rsidRDefault="00F5641F" w:rsidP="00F5641F">
      <w:pPr>
        <w:pStyle w:val="PlainText"/>
      </w:pPr>
    </w:p>
    <w:p w14:paraId="78C34895" w14:textId="77777777" w:rsidR="00F5641F" w:rsidRDefault="00F5641F" w:rsidP="00F5641F">
      <w:pPr>
        <w:pStyle w:val="PlainText"/>
      </w:pPr>
      <w:r>
        <w:t>Office for National Statistics (2019) Crime in England and Wales, Year Ending December 2018. London: Office for National Statistics.</w:t>
      </w:r>
    </w:p>
    <w:p w14:paraId="76C47BE1" w14:textId="77777777" w:rsidR="00F5641F" w:rsidRDefault="00F5641F" w:rsidP="00F5641F">
      <w:pPr>
        <w:pStyle w:val="PlainText"/>
      </w:pPr>
    </w:p>
    <w:p w14:paraId="6AD15B66" w14:textId="77777777" w:rsidR="00F5641F" w:rsidRDefault="00F5641F" w:rsidP="00F5641F">
      <w:pPr>
        <w:pStyle w:val="PlainText"/>
      </w:pPr>
      <w:r>
        <w:t>Office for National Statistics (2020). Domestic abuse and the criminal justice system, England and Wales - Office for National Statistics. [online] www.ons.gov.uk. Available at: https://www.ons.gov.uk/peoplepopulationandcommunity/crimeandjustice/articles/domesticabuseandthecriminaljusticesystemenglandandwales/november2020#police-outcomes-of-domestic-abuse-related-offences [Accessed 26 Oct. 2022].</w:t>
      </w:r>
    </w:p>
    <w:p w14:paraId="7CAC5136" w14:textId="77777777" w:rsidR="00F5641F" w:rsidRDefault="00F5641F" w:rsidP="00F5641F">
      <w:pPr>
        <w:pStyle w:val="PlainText"/>
      </w:pPr>
    </w:p>
    <w:p w14:paraId="79B479E0" w14:textId="77777777" w:rsidR="00F5641F" w:rsidRDefault="00F5641F" w:rsidP="00F5641F">
      <w:pPr>
        <w:pStyle w:val="PlainText"/>
      </w:pPr>
      <w:r>
        <w:t xml:space="preserve">Sturge, G. and Brown, J. (2020). Tackling anti-social behaviour. commonslibrary.parliament.uk. [online] Available at: </w:t>
      </w:r>
      <w:hyperlink r:id="rId23" w:history="1">
        <w:r>
          <w:rPr>
            <w:rStyle w:val="Hyperlink"/>
          </w:rPr>
          <w:t>https://commonslibrary.parliament.uk/research-briefings/cbp-7270/</w:t>
        </w:r>
      </w:hyperlink>
      <w:r>
        <w:t>.</w:t>
      </w:r>
    </w:p>
    <w:p w14:paraId="1BB490EC" w14:textId="77777777" w:rsidR="00F5641F" w:rsidRDefault="00F5641F" w:rsidP="00F5641F">
      <w:pPr>
        <w:pStyle w:val="PlainText"/>
      </w:pPr>
      <w:r>
        <w:t>[Last Accessed 26 Oct. 2022]</w:t>
      </w:r>
    </w:p>
    <w:p w14:paraId="79285BAA" w14:textId="77777777" w:rsidR="00F5641F" w:rsidRDefault="00F5641F" w:rsidP="00F5641F">
      <w:pPr>
        <w:pStyle w:val="PlainText"/>
      </w:pPr>
    </w:p>
    <w:p w14:paraId="1C516FDD" w14:textId="77777777" w:rsidR="00F5641F" w:rsidRDefault="00F5641F" w:rsidP="00F5641F">
      <w:pPr>
        <w:pStyle w:val="PlainText"/>
      </w:pPr>
      <w:r>
        <w:t>Womens Aid (2022). How common is domestic abuse? [online] Womens Aid. Available at: https://www.womensaid.org.uk/information-support/what-is-domestic-abuse/how-common-is-domestic-abuse/#1447950692139-d3c520e3-6dcd [Accessed 26 Oct. 2022].</w:t>
      </w:r>
    </w:p>
    <w:p w14:paraId="7B3D225C" w14:textId="77777777" w:rsidR="00F5641F" w:rsidRDefault="00F5641F" w:rsidP="00F5641F">
      <w:pPr>
        <w:pStyle w:val="PlainText"/>
      </w:pPr>
    </w:p>
    <w:p w14:paraId="735C22A6" w14:textId="77777777" w:rsidR="00F5641F" w:rsidRDefault="00F5641F" w:rsidP="00F5641F">
      <w:pPr>
        <w:pStyle w:val="PlainText"/>
      </w:pPr>
      <w:r>
        <w:t>www.ons.gov.uk. (2021). Domestic abuse in England and Wales overview - Office for National Statistics. [online] Available at: https://www.ons.gov.uk/peoplepopulationandcommunity/crimeandjustice/bulletins/domesticabuseinenglandandwalesoverview/november2021#police-recorded-crime [Accessed 25 Oct. 2022].</w:t>
      </w:r>
    </w:p>
    <w:p w14:paraId="4809AC58" w14:textId="14587A33" w:rsidR="00401FB0" w:rsidRDefault="00401FB0" w:rsidP="00EA28F1">
      <w:pPr>
        <w:keepNext/>
        <w:spacing w:before="240" w:after="60"/>
        <w:ind w:right="237"/>
        <w:jc w:val="both"/>
      </w:pPr>
    </w:p>
    <w:sectPr w:rsidR="00401FB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A662D" w14:textId="77777777" w:rsidR="00944BB2" w:rsidRDefault="00944B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196DE" w14:textId="77777777" w:rsidR="00944BB2" w:rsidRDefault="00944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8B95F" w14:textId="77777777" w:rsidR="00944BB2" w:rsidRDefault="00944B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6BE2F" w14:textId="77777777" w:rsidR="00944BB2" w:rsidRDefault="00944B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37DA7" w14:textId="77777777" w:rsidR="00944BB2" w:rsidRDefault="00944BB2">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620CEEF4"/>
    <w:lvl w:ilvl="0" w:tplc="BD0AE08A">
      <w:start w:val="1"/>
      <w:numFmt w:val="decimal"/>
      <w:lvlText w:val="%1."/>
      <w:lvlJc w:val="left"/>
      <w:pPr>
        <w:ind w:left="720" w:hanging="360"/>
      </w:pPr>
    </w:lvl>
    <w:lvl w:ilvl="1" w:tplc="CC383462">
      <w:start w:val="1"/>
      <w:numFmt w:val="lowerLetter"/>
      <w:lvlText w:val="%2."/>
      <w:lvlJc w:val="left"/>
      <w:pPr>
        <w:ind w:left="1440" w:hanging="360"/>
      </w:pPr>
    </w:lvl>
    <w:lvl w:ilvl="2" w:tplc="DB6A015C">
      <w:start w:val="1"/>
      <w:numFmt w:val="lowerRoman"/>
      <w:lvlText w:val="%3."/>
      <w:lvlJc w:val="right"/>
      <w:pPr>
        <w:ind w:left="2160" w:hanging="180"/>
      </w:pPr>
    </w:lvl>
    <w:lvl w:ilvl="3" w:tplc="7A3E42A8">
      <w:start w:val="1"/>
      <w:numFmt w:val="decimal"/>
      <w:lvlText w:val="%4."/>
      <w:lvlJc w:val="left"/>
      <w:pPr>
        <w:ind w:left="2880" w:hanging="360"/>
      </w:pPr>
    </w:lvl>
    <w:lvl w:ilvl="4" w:tplc="8F7E3AF8">
      <w:start w:val="1"/>
      <w:numFmt w:val="lowerLetter"/>
      <w:lvlText w:val="%5."/>
      <w:lvlJc w:val="left"/>
      <w:pPr>
        <w:ind w:left="3600" w:hanging="360"/>
      </w:pPr>
    </w:lvl>
    <w:lvl w:ilvl="5" w:tplc="A34C32FC">
      <w:start w:val="1"/>
      <w:numFmt w:val="lowerRoman"/>
      <w:lvlText w:val="%6."/>
      <w:lvlJc w:val="right"/>
      <w:pPr>
        <w:ind w:left="4320" w:hanging="180"/>
      </w:pPr>
    </w:lvl>
    <w:lvl w:ilvl="6" w:tplc="7B9A4C9A">
      <w:start w:val="1"/>
      <w:numFmt w:val="decimal"/>
      <w:lvlText w:val="%7."/>
      <w:lvlJc w:val="left"/>
      <w:pPr>
        <w:ind w:left="5040" w:hanging="360"/>
      </w:pPr>
    </w:lvl>
    <w:lvl w:ilvl="7" w:tplc="277AFF6A">
      <w:start w:val="1"/>
      <w:numFmt w:val="lowerLetter"/>
      <w:lvlText w:val="%8."/>
      <w:lvlJc w:val="left"/>
      <w:pPr>
        <w:ind w:left="5760" w:hanging="360"/>
      </w:pPr>
    </w:lvl>
    <w:lvl w:ilvl="8" w:tplc="35C8C2E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8D7E8ECA"/>
    <w:lvl w:ilvl="0" w:tplc="86ECA81A">
      <w:start w:val="1"/>
      <w:numFmt w:val="decimal"/>
      <w:lvlText w:val="%1."/>
      <w:lvlJc w:val="left"/>
      <w:pPr>
        <w:ind w:left="720" w:hanging="360"/>
      </w:pPr>
    </w:lvl>
    <w:lvl w:ilvl="1" w:tplc="7BD2A810">
      <w:start w:val="1"/>
      <w:numFmt w:val="decimal"/>
      <w:lvlText w:val="%2."/>
      <w:lvlJc w:val="left"/>
      <w:pPr>
        <w:ind w:left="1440" w:hanging="360"/>
      </w:pPr>
    </w:lvl>
    <w:lvl w:ilvl="2" w:tplc="D6B0DCC4">
      <w:start w:val="1"/>
      <w:numFmt w:val="lowerRoman"/>
      <w:lvlText w:val="%3."/>
      <w:lvlJc w:val="right"/>
      <w:pPr>
        <w:ind w:left="2160" w:hanging="180"/>
      </w:pPr>
    </w:lvl>
    <w:lvl w:ilvl="3" w:tplc="0AE44F98">
      <w:start w:val="1"/>
      <w:numFmt w:val="decimal"/>
      <w:lvlText w:val="%4."/>
      <w:lvlJc w:val="left"/>
      <w:pPr>
        <w:ind w:left="2880" w:hanging="360"/>
      </w:pPr>
    </w:lvl>
    <w:lvl w:ilvl="4" w:tplc="CDDABAAE">
      <w:start w:val="1"/>
      <w:numFmt w:val="lowerLetter"/>
      <w:lvlText w:val="%5."/>
      <w:lvlJc w:val="left"/>
      <w:pPr>
        <w:ind w:left="3600" w:hanging="360"/>
      </w:pPr>
    </w:lvl>
    <w:lvl w:ilvl="5" w:tplc="3F9A79F4">
      <w:start w:val="1"/>
      <w:numFmt w:val="lowerRoman"/>
      <w:lvlText w:val="%6."/>
      <w:lvlJc w:val="right"/>
      <w:pPr>
        <w:ind w:left="4320" w:hanging="180"/>
      </w:pPr>
    </w:lvl>
    <w:lvl w:ilvl="6" w:tplc="146AA332">
      <w:start w:val="1"/>
      <w:numFmt w:val="decimal"/>
      <w:lvlText w:val="%7."/>
      <w:lvlJc w:val="left"/>
      <w:pPr>
        <w:ind w:left="5040" w:hanging="360"/>
      </w:pPr>
    </w:lvl>
    <w:lvl w:ilvl="7" w:tplc="663EECE2">
      <w:start w:val="1"/>
      <w:numFmt w:val="lowerLetter"/>
      <w:lvlText w:val="%8."/>
      <w:lvlJc w:val="left"/>
      <w:pPr>
        <w:ind w:left="5760" w:hanging="360"/>
      </w:pPr>
    </w:lvl>
    <w:lvl w:ilvl="8" w:tplc="1B04B54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1EBF"/>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1FB0"/>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84318"/>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2084"/>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1885"/>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300C"/>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1CD7"/>
    <w:rsid w:val="009249F8"/>
    <w:rsid w:val="00926436"/>
    <w:rsid w:val="0093018C"/>
    <w:rsid w:val="00932CCA"/>
    <w:rsid w:val="00944BB2"/>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2A99"/>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1883"/>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799"/>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641F"/>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PlainText">
    <w:name w:val="Plain Text"/>
    <w:basedOn w:val="Normal"/>
    <w:link w:val="PlainTextChar"/>
    <w:uiPriority w:val="99"/>
    <w:unhideWhenUsed/>
    <w:rsid w:val="00051EBF"/>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051EBF"/>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016965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1654329">
      <w:bodyDiv w:val="1"/>
      <w:marLeft w:val="0"/>
      <w:marRight w:val="0"/>
      <w:marTop w:val="0"/>
      <w:marBottom w:val="0"/>
      <w:divBdr>
        <w:top w:val="none" w:sz="0" w:space="0" w:color="auto"/>
        <w:left w:val="none" w:sz="0" w:space="0" w:color="auto"/>
        <w:bottom w:val="none" w:sz="0" w:space="0" w:color="auto"/>
        <w:right w:val="none" w:sz="0" w:space="0" w:color="auto"/>
      </w:divBdr>
    </w:div>
    <w:div w:id="160179665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951757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gov.uk/guidance/anti-social-behaviour-asb-case-review-also-known-as-the-community-trigger.%5bAccesse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commonslibrary.parliament.uk/research-briefings/cbp-7270/"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gwent.pcc.police.uk/en/transparency/know-your-rights/victims-rights/community-trig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5929</Words>
  <Characters>33232</Characters>
  <Application>Microsoft Office Word</Application>
  <DocSecurity>0</DocSecurity>
  <Lines>276</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Caddick, Emily</cp:lastModifiedBy>
  <cp:revision>2</cp:revision>
  <cp:lastPrinted>2014-08-26T08:55:00Z</cp:lastPrinted>
  <dcterms:created xsi:type="dcterms:W3CDTF">2022-10-27T20:21:00Z</dcterms:created>
  <dcterms:modified xsi:type="dcterms:W3CDTF">2022-10-27T20:21:00Z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2022-07-28T12:13:05Z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f5ba1965-d9a0-4e7e-8276-104bc31408f7</vt:lpwstr>
  </property>
  <property fmtid="{D5CDD505-2E9C-101B-9397-08002B2CF9AE}" pid="9" name="MSIP_Label_f2acd28b-79a3-4a0f-b0ff-4b75658b1549_ContentBits">
    <vt:lpwstr>0</vt:lpwstr>
  </property>
</Properties>
</file>