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5546B1E" w:rsidR="7908378C" w:rsidRDefault="7908378C" w:rsidP="33572C6E">
            <w:pPr>
              <w:ind w:right="237"/>
              <w:rPr>
                <w:b/>
                <w:bCs/>
                <w:color w:val="auto"/>
                <w:sz w:val="32"/>
                <w:szCs w:val="32"/>
              </w:rPr>
            </w:pPr>
            <w:r w:rsidRPr="33572C6E">
              <w:rPr>
                <w:b/>
                <w:bCs/>
                <w:color w:val="auto"/>
                <w:sz w:val="32"/>
                <w:szCs w:val="32"/>
              </w:rPr>
              <w:t xml:space="preserve">Learner name: </w:t>
            </w:r>
            <w:r w:rsidR="0099293E">
              <w:rPr>
                <w:b/>
                <w:bCs/>
                <w:color w:val="auto"/>
                <w:sz w:val="32"/>
                <w:szCs w:val="32"/>
              </w:rPr>
              <w:t>SEAN HOLMES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529E3E1B" w14:textId="77777777" w:rsidR="0099293E" w:rsidRDefault="0099293E" w:rsidP="0099293E">
            <w:pPr>
              <w:overflowPunct/>
              <w:autoSpaceDE/>
              <w:autoSpaceDN/>
              <w:adjustRightInd/>
              <w:ind w:right="107"/>
              <w:textAlignment w:val="auto"/>
              <w:rPr>
                <w:b/>
                <w:color w:val="auto"/>
                <w:sz w:val="32"/>
              </w:rPr>
            </w:pPr>
            <w:r w:rsidRPr="000926D3">
              <w:rPr>
                <w:b/>
                <w:color w:val="auto"/>
                <w:sz w:val="32"/>
              </w:rPr>
              <w:t>2222324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DEE8F73" w14:textId="77777777" w:rsidR="00711143" w:rsidRDefault="00711143" w:rsidP="5B843AF0">
      <w:pPr>
        <w:ind w:right="237"/>
        <w:jc w:val="both"/>
        <w:rPr>
          <w:rFonts w:eastAsia="Arial"/>
          <w:color w:val="000000" w:themeColor="text1"/>
          <w:sz w:val="24"/>
          <w:szCs w:val="24"/>
        </w:rPr>
      </w:pPr>
    </w:p>
    <w:p w14:paraId="263E40DE" w14:textId="4A7B4B5F" w:rsidR="00711143" w:rsidRDefault="004F731B"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Me and multiple colleagues </w:t>
      </w:r>
      <w:r w:rsidR="007D6126">
        <w:rPr>
          <w:rFonts w:eastAsia="Arial"/>
          <w:color w:val="000000" w:themeColor="text1"/>
          <w:sz w:val="24"/>
          <w:szCs w:val="24"/>
        </w:rPr>
        <w:t>had</w:t>
      </w:r>
      <w:r>
        <w:rPr>
          <w:rFonts w:eastAsia="Arial"/>
          <w:color w:val="000000" w:themeColor="text1"/>
          <w:sz w:val="24"/>
          <w:szCs w:val="24"/>
        </w:rPr>
        <w:t xml:space="preserve"> attended a call </w:t>
      </w:r>
      <w:r w:rsidR="00824CAD">
        <w:rPr>
          <w:rFonts w:eastAsia="Arial"/>
          <w:color w:val="000000" w:themeColor="text1"/>
          <w:sz w:val="24"/>
          <w:szCs w:val="24"/>
        </w:rPr>
        <w:t>that</w:t>
      </w:r>
      <w:r>
        <w:rPr>
          <w:rFonts w:eastAsia="Arial"/>
          <w:color w:val="000000" w:themeColor="text1"/>
          <w:sz w:val="24"/>
          <w:szCs w:val="24"/>
        </w:rPr>
        <w:t xml:space="preserve"> was initially an Abandoned 999 call, with a Female screaming. Upon attendance and entry into the Address it originated from we have found blood on the floor and moments later, located what we believed to be the Victim who had been attacked with a Hammer to the head. As per the Offences Against the Person Act, Section 20 (1861) details that anyone whose inflicted grievous bodily harm</w:t>
      </w:r>
      <w:r w:rsidR="00101872">
        <w:rPr>
          <w:rFonts w:eastAsia="Arial"/>
          <w:color w:val="000000" w:themeColor="text1"/>
          <w:sz w:val="24"/>
          <w:szCs w:val="24"/>
        </w:rPr>
        <w:t xml:space="preserve"> (GBH)</w:t>
      </w:r>
      <w:r>
        <w:rPr>
          <w:rFonts w:eastAsia="Arial"/>
          <w:color w:val="000000" w:themeColor="text1"/>
          <w:sz w:val="24"/>
          <w:szCs w:val="24"/>
        </w:rPr>
        <w:t xml:space="preserve"> is guilty of a crime. </w:t>
      </w:r>
      <w:r w:rsidR="00101872">
        <w:rPr>
          <w:rFonts w:eastAsia="Arial"/>
          <w:color w:val="000000" w:themeColor="text1"/>
          <w:sz w:val="24"/>
          <w:szCs w:val="24"/>
        </w:rPr>
        <w:t>He stated that she had attacked him in a frenzy after asking for drugs and him saying he didn’t have any.</w:t>
      </w:r>
    </w:p>
    <w:p w14:paraId="783E4F46" w14:textId="77777777" w:rsidR="004F731B" w:rsidRDefault="004F731B" w:rsidP="005F5053">
      <w:pPr>
        <w:spacing w:line="480" w:lineRule="auto"/>
        <w:ind w:right="237"/>
        <w:jc w:val="both"/>
        <w:rPr>
          <w:rFonts w:eastAsia="Arial"/>
          <w:color w:val="000000" w:themeColor="text1"/>
          <w:sz w:val="24"/>
          <w:szCs w:val="24"/>
        </w:rPr>
      </w:pPr>
    </w:p>
    <w:p w14:paraId="39F45849" w14:textId="629F240F" w:rsidR="00B87FB0" w:rsidRDefault="004F731B"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However, later that night upon giving the Victim a lift back to a place of safety after Hospital. We’ve discovered a potential attempted rape, as the Female we had originally had call us has told the Male’s Sister he had tried to rape her. </w:t>
      </w:r>
      <w:r w:rsidR="00B87FB0">
        <w:rPr>
          <w:rFonts w:eastAsia="Arial"/>
          <w:color w:val="000000" w:themeColor="text1"/>
          <w:sz w:val="24"/>
          <w:szCs w:val="24"/>
        </w:rPr>
        <w:t xml:space="preserve">The Female </w:t>
      </w:r>
      <w:r w:rsidR="00B87FB0">
        <w:rPr>
          <w:rFonts w:eastAsia="Arial"/>
          <w:color w:val="000000" w:themeColor="text1"/>
          <w:sz w:val="24"/>
          <w:szCs w:val="24"/>
        </w:rPr>
        <w:lastRenderedPageBreak/>
        <w:t xml:space="preserve">was then arrested a few days later and had provided a counter defence that the Male had tried to rape her, as to why she had committed what was previously noted under Offences Against the Person Action, Section 20 (1861). </w:t>
      </w:r>
    </w:p>
    <w:p w14:paraId="0F1CFE33" w14:textId="77777777" w:rsidR="00B87FB0" w:rsidRDefault="00B87FB0" w:rsidP="005F5053">
      <w:pPr>
        <w:spacing w:line="480" w:lineRule="auto"/>
        <w:ind w:right="237"/>
        <w:jc w:val="both"/>
        <w:rPr>
          <w:rFonts w:eastAsia="Arial"/>
          <w:color w:val="000000" w:themeColor="text1"/>
          <w:sz w:val="24"/>
          <w:szCs w:val="24"/>
        </w:rPr>
      </w:pPr>
    </w:p>
    <w:p w14:paraId="12555521" w14:textId="245FFBE1" w:rsidR="00262D80" w:rsidRDefault="00B87FB0"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However, after interview the Female had refused to be located by Police and had missed multiple arranged times to conduct the initials of her Counter Defence. Roughly a month later, she had attended the Police Station to conduct the initials whereby, whilst she believes the Male was attempting to rape her as per Section 1 of the Sexual Offences Act (2003) </w:t>
      </w:r>
      <w:r w:rsidR="00824CAD">
        <w:rPr>
          <w:rFonts w:eastAsia="Arial"/>
          <w:color w:val="000000" w:themeColor="text1"/>
          <w:sz w:val="24"/>
          <w:szCs w:val="24"/>
        </w:rPr>
        <w:t>this</w:t>
      </w:r>
      <w:r>
        <w:rPr>
          <w:rFonts w:eastAsia="Arial"/>
          <w:color w:val="000000" w:themeColor="text1"/>
          <w:sz w:val="24"/>
          <w:szCs w:val="24"/>
        </w:rPr>
        <w:t xml:space="preserve"> details that there must be penetration and in her detailing it matches up to Section 3 of the Sexual Offences Act (2003) as she detailed that he had only tried to take her clothes off and touch her whilst she </w:t>
      </w:r>
      <w:r w:rsidR="00245A13">
        <w:rPr>
          <w:rFonts w:eastAsia="Arial"/>
          <w:color w:val="000000" w:themeColor="text1"/>
          <w:sz w:val="24"/>
          <w:szCs w:val="24"/>
        </w:rPr>
        <w:t>w</w:t>
      </w:r>
      <w:r>
        <w:rPr>
          <w:rFonts w:eastAsia="Arial"/>
          <w:color w:val="000000" w:themeColor="text1"/>
          <w:sz w:val="24"/>
          <w:szCs w:val="24"/>
        </w:rPr>
        <w:t>as struggling</w:t>
      </w:r>
      <w:r w:rsidR="001A71B2">
        <w:rPr>
          <w:rFonts w:eastAsia="Arial"/>
          <w:color w:val="000000" w:themeColor="text1"/>
          <w:sz w:val="24"/>
          <w:szCs w:val="24"/>
        </w:rPr>
        <w:t xml:space="preserve"> and did not consent to any of it</w:t>
      </w:r>
      <w:r>
        <w:rPr>
          <w:rFonts w:eastAsia="Arial"/>
          <w:color w:val="000000" w:themeColor="text1"/>
          <w:sz w:val="24"/>
          <w:szCs w:val="24"/>
        </w:rPr>
        <w:t>.</w:t>
      </w:r>
      <w:r w:rsidR="00262D80">
        <w:rPr>
          <w:rFonts w:eastAsia="Arial"/>
          <w:color w:val="000000" w:themeColor="text1"/>
          <w:sz w:val="24"/>
          <w:szCs w:val="24"/>
        </w:rPr>
        <w:t xml:space="preserve"> </w:t>
      </w:r>
    </w:p>
    <w:p w14:paraId="7D39F6D5" w14:textId="77777777" w:rsidR="00101872" w:rsidRDefault="00101872" w:rsidP="005F5053">
      <w:pPr>
        <w:spacing w:line="480" w:lineRule="auto"/>
        <w:ind w:right="237"/>
        <w:jc w:val="both"/>
        <w:rPr>
          <w:rFonts w:eastAsia="Arial"/>
          <w:color w:val="000000" w:themeColor="text1"/>
          <w:sz w:val="24"/>
          <w:szCs w:val="24"/>
        </w:rPr>
      </w:pPr>
    </w:p>
    <w:p w14:paraId="6089A099" w14:textId="77777777" w:rsidR="00262D80" w:rsidRDefault="00262D80" w:rsidP="005F5053">
      <w:pPr>
        <w:spacing w:line="480" w:lineRule="auto"/>
        <w:ind w:right="237"/>
        <w:jc w:val="both"/>
        <w:rPr>
          <w:rFonts w:eastAsia="Arial"/>
          <w:color w:val="000000" w:themeColor="text1"/>
          <w:sz w:val="24"/>
          <w:szCs w:val="24"/>
        </w:rPr>
      </w:pPr>
    </w:p>
    <w:p w14:paraId="5C80F28B" w14:textId="51877DB9" w:rsidR="00262D80" w:rsidRDefault="00262D80" w:rsidP="005F5053">
      <w:pPr>
        <w:spacing w:line="480" w:lineRule="auto"/>
        <w:ind w:right="237"/>
        <w:jc w:val="both"/>
        <w:rPr>
          <w:rFonts w:eastAsia="Arial"/>
          <w:color w:val="000000" w:themeColor="text1"/>
          <w:sz w:val="24"/>
          <w:szCs w:val="24"/>
        </w:rPr>
      </w:pPr>
      <w:r>
        <w:rPr>
          <w:rFonts w:eastAsia="Arial"/>
          <w:color w:val="000000" w:themeColor="text1"/>
          <w:sz w:val="24"/>
          <w:szCs w:val="24"/>
        </w:rPr>
        <w:t>According to the Office of National Statistics (ONS) (2022) approximately 3.3% of Females had been victims of Similar offences and only 1.2% of men. However, this is conducted by the ONS that does surveys via in person questionnaires and thus those Homeless, like this Female was that as Maria Et Al (2020) states that those Homeless are more likely to become victims of Sexual Assault and the longer they are homeless, the more likely it is to occur.</w:t>
      </w:r>
      <w:r w:rsidR="00451D39">
        <w:rPr>
          <w:rFonts w:eastAsia="Arial"/>
          <w:color w:val="000000" w:themeColor="text1"/>
          <w:sz w:val="24"/>
          <w:szCs w:val="24"/>
        </w:rPr>
        <w:t xml:space="preserve"> As per </w:t>
      </w:r>
      <w:proofErr w:type="spellStart"/>
      <w:r w:rsidR="00451D39">
        <w:rPr>
          <w:rFonts w:eastAsia="Arial"/>
          <w:color w:val="000000" w:themeColor="text1"/>
          <w:sz w:val="24"/>
          <w:szCs w:val="24"/>
        </w:rPr>
        <w:t>Mcclendon</w:t>
      </w:r>
      <w:proofErr w:type="spellEnd"/>
      <w:r w:rsidR="00451D39">
        <w:rPr>
          <w:rFonts w:eastAsia="Arial"/>
          <w:color w:val="000000" w:themeColor="text1"/>
          <w:sz w:val="24"/>
          <w:szCs w:val="24"/>
        </w:rPr>
        <w:t xml:space="preserve"> and Lane (2014) they state that those who are Homeless are potentially the most vulnerable as they have lost that place of safety and are more vulnerable to the violence</w:t>
      </w:r>
      <w:r w:rsidR="009E28A4">
        <w:rPr>
          <w:rFonts w:eastAsia="Arial"/>
          <w:color w:val="000000" w:themeColor="text1"/>
          <w:sz w:val="24"/>
          <w:szCs w:val="24"/>
        </w:rPr>
        <w:t>, substance abuse and decrease in mental health</w:t>
      </w:r>
      <w:r w:rsidR="00451D39">
        <w:rPr>
          <w:rFonts w:eastAsia="Arial"/>
          <w:color w:val="000000" w:themeColor="text1"/>
          <w:sz w:val="24"/>
          <w:szCs w:val="24"/>
        </w:rPr>
        <w:t xml:space="preserve">, </w:t>
      </w:r>
      <w:r w:rsidR="00824CAD">
        <w:rPr>
          <w:rFonts w:eastAsia="Arial"/>
          <w:color w:val="000000" w:themeColor="text1"/>
          <w:sz w:val="24"/>
          <w:szCs w:val="24"/>
        </w:rPr>
        <w:t>this</w:t>
      </w:r>
      <w:r w:rsidR="00451D39">
        <w:rPr>
          <w:rFonts w:eastAsia="Arial"/>
          <w:color w:val="000000" w:themeColor="text1"/>
          <w:sz w:val="24"/>
          <w:szCs w:val="24"/>
        </w:rPr>
        <w:t xml:space="preserve"> backs up what Maria Et Al (2020) was getting at in terms of Homelessness being more likely to be victims. </w:t>
      </w:r>
    </w:p>
    <w:p w14:paraId="5C4D9C28" w14:textId="77777777" w:rsidR="00262D80" w:rsidRDefault="00262D80" w:rsidP="005F5053">
      <w:pPr>
        <w:spacing w:line="480" w:lineRule="auto"/>
        <w:ind w:right="237"/>
        <w:jc w:val="both"/>
        <w:rPr>
          <w:rFonts w:eastAsia="Arial"/>
          <w:color w:val="000000" w:themeColor="text1"/>
          <w:sz w:val="24"/>
          <w:szCs w:val="24"/>
        </w:rPr>
      </w:pPr>
    </w:p>
    <w:p w14:paraId="04722921" w14:textId="77777777" w:rsidR="006B4D57" w:rsidRDefault="006B4D57" w:rsidP="005F5053">
      <w:pPr>
        <w:spacing w:line="480" w:lineRule="auto"/>
        <w:ind w:right="237"/>
        <w:jc w:val="both"/>
        <w:rPr>
          <w:rFonts w:eastAsia="Arial"/>
          <w:color w:val="000000" w:themeColor="text1"/>
          <w:sz w:val="24"/>
          <w:szCs w:val="24"/>
        </w:rPr>
      </w:pPr>
    </w:p>
    <w:p w14:paraId="3966E25B" w14:textId="38A20E48" w:rsidR="005736E4" w:rsidRDefault="00262D80" w:rsidP="005F5053">
      <w:pPr>
        <w:spacing w:line="480" w:lineRule="auto"/>
        <w:ind w:right="237"/>
        <w:jc w:val="both"/>
        <w:rPr>
          <w:rFonts w:eastAsia="Arial"/>
          <w:color w:val="000000" w:themeColor="text1"/>
          <w:sz w:val="24"/>
          <w:szCs w:val="24"/>
        </w:rPr>
      </w:pPr>
      <w:r>
        <w:rPr>
          <w:rFonts w:eastAsia="Arial"/>
          <w:color w:val="000000" w:themeColor="text1"/>
          <w:sz w:val="24"/>
          <w:szCs w:val="24"/>
        </w:rPr>
        <w:t>The Female in th</w:t>
      </w:r>
      <w:r w:rsidR="002414B3">
        <w:rPr>
          <w:rFonts w:eastAsia="Arial"/>
          <w:color w:val="000000" w:themeColor="text1"/>
          <w:sz w:val="24"/>
          <w:szCs w:val="24"/>
        </w:rPr>
        <w:t>is</w:t>
      </w:r>
      <w:r>
        <w:rPr>
          <w:rFonts w:eastAsia="Arial"/>
          <w:color w:val="000000" w:themeColor="text1"/>
          <w:sz w:val="24"/>
          <w:szCs w:val="24"/>
        </w:rPr>
        <w:t xml:space="preserve"> incident, had been kicked out of her home and as Maria Et Al (2020) goes onto state that </w:t>
      </w:r>
      <w:r w:rsidR="00531467">
        <w:rPr>
          <w:rFonts w:eastAsia="Arial"/>
          <w:color w:val="000000" w:themeColor="text1"/>
          <w:sz w:val="24"/>
          <w:szCs w:val="24"/>
        </w:rPr>
        <w:t xml:space="preserve">those who had been victims of Sexual Assault didn’t get the care nor support needed and that the main reasons for this is that the younger Victims tend to not be trusting of the Legal System. </w:t>
      </w:r>
      <w:proofErr w:type="spellStart"/>
      <w:r w:rsidR="005736E4" w:rsidRPr="005736E4">
        <w:rPr>
          <w:rFonts w:eastAsia="Arial"/>
          <w:color w:val="000000" w:themeColor="text1"/>
          <w:sz w:val="24"/>
          <w:szCs w:val="24"/>
        </w:rPr>
        <w:t>Widanaralalage</w:t>
      </w:r>
      <w:proofErr w:type="spellEnd"/>
      <w:r w:rsidR="005736E4">
        <w:rPr>
          <w:rFonts w:eastAsia="Arial"/>
          <w:color w:val="000000" w:themeColor="text1"/>
          <w:sz w:val="24"/>
          <w:szCs w:val="24"/>
        </w:rPr>
        <w:t xml:space="preserve"> et al (2024) backs this up in stating that the lack of reports from victims that end up facing the </w:t>
      </w:r>
      <w:proofErr w:type="gramStart"/>
      <w:r w:rsidR="005736E4">
        <w:rPr>
          <w:rFonts w:eastAsia="Arial"/>
          <w:color w:val="000000" w:themeColor="text1"/>
          <w:sz w:val="24"/>
          <w:szCs w:val="24"/>
        </w:rPr>
        <w:t>long term</w:t>
      </w:r>
      <w:proofErr w:type="gramEnd"/>
      <w:r w:rsidR="005736E4">
        <w:rPr>
          <w:rFonts w:eastAsia="Arial"/>
          <w:color w:val="000000" w:themeColor="text1"/>
          <w:sz w:val="24"/>
          <w:szCs w:val="24"/>
        </w:rPr>
        <w:t xml:space="preserve"> effects of being a victim that effects both their physical and mental health, to the extent that they are 30% more likely to have PTSD and 13 times more likely to attempt suicide. </w:t>
      </w:r>
      <w:r w:rsidR="00824CAD">
        <w:rPr>
          <w:rFonts w:eastAsia="Arial"/>
          <w:color w:val="000000" w:themeColor="text1"/>
          <w:sz w:val="24"/>
          <w:szCs w:val="24"/>
        </w:rPr>
        <w:t>T</w:t>
      </w:r>
      <w:r w:rsidR="005736E4">
        <w:rPr>
          <w:rFonts w:eastAsia="Arial"/>
          <w:color w:val="000000" w:themeColor="text1"/>
          <w:sz w:val="24"/>
          <w:szCs w:val="24"/>
        </w:rPr>
        <w:t>he Female in this incident had avoided Police contact</w:t>
      </w:r>
      <w:r w:rsidR="00F928B6">
        <w:rPr>
          <w:rFonts w:eastAsia="Arial"/>
          <w:color w:val="000000" w:themeColor="text1"/>
          <w:sz w:val="24"/>
          <w:szCs w:val="24"/>
        </w:rPr>
        <w:t xml:space="preserve"> for approximately a month</w:t>
      </w:r>
      <w:r w:rsidR="005736E4">
        <w:rPr>
          <w:rFonts w:eastAsia="Arial"/>
          <w:color w:val="000000" w:themeColor="text1"/>
          <w:sz w:val="24"/>
          <w:szCs w:val="24"/>
        </w:rPr>
        <w:t xml:space="preserve"> as she didn’t want to have to relive the events again, by talking about it with myself as the Officer in Case.</w:t>
      </w:r>
    </w:p>
    <w:p w14:paraId="12C71CBB" w14:textId="77777777" w:rsidR="00C77D03" w:rsidRDefault="00C77D03" w:rsidP="005F5053">
      <w:pPr>
        <w:spacing w:line="480" w:lineRule="auto"/>
        <w:ind w:right="237"/>
        <w:jc w:val="both"/>
        <w:rPr>
          <w:rFonts w:eastAsia="Arial"/>
          <w:color w:val="000000" w:themeColor="text1"/>
          <w:sz w:val="24"/>
          <w:szCs w:val="24"/>
        </w:rPr>
      </w:pPr>
    </w:p>
    <w:p w14:paraId="06362E89" w14:textId="37A2E453" w:rsidR="006945C9" w:rsidRDefault="00C77D03" w:rsidP="005F5053">
      <w:pPr>
        <w:spacing w:line="480" w:lineRule="auto"/>
        <w:ind w:right="237"/>
        <w:jc w:val="both"/>
        <w:rPr>
          <w:rFonts w:eastAsia="Arial"/>
          <w:color w:val="000000" w:themeColor="text1"/>
          <w:sz w:val="24"/>
          <w:szCs w:val="24"/>
        </w:rPr>
      </w:pPr>
      <w:r>
        <w:rPr>
          <w:rFonts w:eastAsia="Arial"/>
          <w:color w:val="000000" w:themeColor="text1"/>
          <w:sz w:val="24"/>
          <w:szCs w:val="24"/>
        </w:rPr>
        <w:t>As O’Callaghan et al (2023) states that survivors of Sexual Violence don’t receive the help or assistance they require promptly as the majority don’t disclose to Police, but disclose it to friends or Family. This further backs up the above, as the Female had disclosed it to a Friend immediately and hadn’t disclosed it to Police until Interview for the GBH allegation.</w:t>
      </w:r>
      <w:r w:rsidR="00FB6005">
        <w:rPr>
          <w:rFonts w:eastAsia="Arial"/>
          <w:color w:val="000000" w:themeColor="text1"/>
          <w:sz w:val="24"/>
          <w:szCs w:val="24"/>
        </w:rPr>
        <w:t xml:space="preserve"> O’Callaghan et al</w:t>
      </w:r>
      <w:r w:rsidR="009E77FD">
        <w:rPr>
          <w:rFonts w:eastAsia="Arial"/>
          <w:color w:val="000000" w:themeColor="text1"/>
          <w:sz w:val="24"/>
          <w:szCs w:val="24"/>
        </w:rPr>
        <w:t xml:space="preserve"> (2023)</w:t>
      </w:r>
      <w:r w:rsidR="00FB6005">
        <w:rPr>
          <w:rFonts w:eastAsia="Arial"/>
          <w:color w:val="000000" w:themeColor="text1"/>
          <w:sz w:val="24"/>
          <w:szCs w:val="24"/>
        </w:rPr>
        <w:t xml:space="preserve"> continue</w:t>
      </w:r>
      <w:r w:rsidR="009E77FD">
        <w:rPr>
          <w:rFonts w:eastAsia="Arial"/>
          <w:color w:val="000000" w:themeColor="text1"/>
          <w:sz w:val="24"/>
          <w:szCs w:val="24"/>
        </w:rPr>
        <w:t>s</w:t>
      </w:r>
      <w:r w:rsidR="00FB6005">
        <w:rPr>
          <w:rFonts w:eastAsia="Arial"/>
          <w:color w:val="000000" w:themeColor="text1"/>
          <w:sz w:val="24"/>
          <w:szCs w:val="24"/>
        </w:rPr>
        <w:t xml:space="preserve"> to state that within the United States only 15.8% of Women had reported it to Police and 60% of Women had sought help from Professional Support. </w:t>
      </w:r>
    </w:p>
    <w:p w14:paraId="1B3E854F" w14:textId="77777777" w:rsidR="00FB6005" w:rsidRDefault="00FB6005" w:rsidP="005F5053">
      <w:pPr>
        <w:spacing w:line="480" w:lineRule="auto"/>
        <w:ind w:right="237"/>
        <w:jc w:val="both"/>
        <w:rPr>
          <w:rFonts w:eastAsia="Arial"/>
          <w:color w:val="000000" w:themeColor="text1"/>
          <w:sz w:val="24"/>
          <w:szCs w:val="24"/>
        </w:rPr>
      </w:pPr>
    </w:p>
    <w:p w14:paraId="615C0104" w14:textId="1ABFE312" w:rsidR="00FB6005" w:rsidRDefault="00FB6005" w:rsidP="005F5053">
      <w:pPr>
        <w:spacing w:line="480" w:lineRule="auto"/>
        <w:ind w:right="237"/>
        <w:jc w:val="both"/>
        <w:rPr>
          <w:rFonts w:eastAsia="Arial"/>
          <w:color w:val="000000" w:themeColor="text1"/>
          <w:sz w:val="24"/>
          <w:szCs w:val="24"/>
        </w:rPr>
      </w:pPr>
      <w:r>
        <w:rPr>
          <w:rFonts w:eastAsia="Arial"/>
          <w:color w:val="000000" w:themeColor="text1"/>
          <w:sz w:val="24"/>
          <w:szCs w:val="24"/>
        </w:rPr>
        <w:t>This backs up how the incident I’ve talked about had played out, the Female hadn’t been willing to engage with Police in order for us to direct them to relevant support and offer support to them, as we were unable to get in contact even though numerous attempts at been made.</w:t>
      </w:r>
    </w:p>
    <w:p w14:paraId="188D2280" w14:textId="77777777" w:rsidR="006945C9" w:rsidRDefault="006945C9" w:rsidP="005F5053">
      <w:pPr>
        <w:spacing w:line="480" w:lineRule="auto"/>
        <w:ind w:right="237"/>
        <w:jc w:val="both"/>
        <w:rPr>
          <w:rFonts w:eastAsia="Arial"/>
          <w:color w:val="000000" w:themeColor="text1"/>
          <w:sz w:val="24"/>
          <w:szCs w:val="24"/>
        </w:rPr>
      </w:pPr>
    </w:p>
    <w:p w14:paraId="36D0B0BE" w14:textId="77777777" w:rsidR="006B4D57" w:rsidRDefault="006B4D57" w:rsidP="005F5053">
      <w:pPr>
        <w:spacing w:line="480" w:lineRule="auto"/>
        <w:ind w:right="237"/>
        <w:jc w:val="both"/>
        <w:rPr>
          <w:rFonts w:eastAsia="Arial"/>
          <w:color w:val="000000" w:themeColor="text1"/>
          <w:sz w:val="24"/>
          <w:szCs w:val="24"/>
        </w:rPr>
      </w:pPr>
    </w:p>
    <w:p w14:paraId="0C67F42F" w14:textId="475CAA5E" w:rsidR="00101872" w:rsidRDefault="00101872"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In </w:t>
      </w:r>
      <w:proofErr w:type="spellStart"/>
      <w:r w:rsidRPr="005736E4">
        <w:rPr>
          <w:rFonts w:eastAsia="Arial"/>
          <w:color w:val="000000" w:themeColor="text1"/>
          <w:sz w:val="24"/>
          <w:szCs w:val="24"/>
        </w:rPr>
        <w:t>Widanaralalage</w:t>
      </w:r>
      <w:proofErr w:type="spellEnd"/>
      <w:r>
        <w:rPr>
          <w:rFonts w:eastAsia="Arial"/>
          <w:color w:val="000000" w:themeColor="text1"/>
          <w:sz w:val="24"/>
          <w:szCs w:val="24"/>
        </w:rPr>
        <w:t xml:space="preserve"> et al (2024) study, it is was stated that it already been established by other studies that survivors of Sexual Offences tend to be drawn to substance abuse. </w:t>
      </w:r>
      <w:r w:rsidR="00824CAD">
        <w:rPr>
          <w:rFonts w:eastAsia="Arial"/>
          <w:color w:val="000000" w:themeColor="text1"/>
          <w:sz w:val="24"/>
          <w:szCs w:val="24"/>
        </w:rPr>
        <w:t>This</w:t>
      </w:r>
      <w:r>
        <w:rPr>
          <w:rFonts w:eastAsia="Arial"/>
          <w:color w:val="000000" w:themeColor="text1"/>
          <w:sz w:val="24"/>
          <w:szCs w:val="24"/>
        </w:rPr>
        <w:t xml:space="preserve"> fits in, as the Female in this case is known to Police for Possession and fits with the initial description whereby the GBH attack had been surrounding the topic of drugs.</w:t>
      </w:r>
      <w:r w:rsidR="00824CAD">
        <w:rPr>
          <w:rFonts w:eastAsia="Arial"/>
          <w:color w:val="000000" w:themeColor="text1"/>
          <w:sz w:val="24"/>
          <w:szCs w:val="24"/>
        </w:rPr>
        <w:t xml:space="preserve"> T</w:t>
      </w:r>
      <w:r>
        <w:rPr>
          <w:rFonts w:eastAsia="Arial"/>
          <w:color w:val="000000" w:themeColor="text1"/>
          <w:sz w:val="24"/>
          <w:szCs w:val="24"/>
        </w:rPr>
        <w:t>he Female had stated to Officers that she had attacked him due to not wanting to go through similar events she had previously experienced.</w:t>
      </w:r>
    </w:p>
    <w:p w14:paraId="08E2CE50" w14:textId="3D79D5C0" w:rsidR="006945C9" w:rsidRDefault="006945C9" w:rsidP="005F5053">
      <w:pPr>
        <w:spacing w:line="480" w:lineRule="auto"/>
        <w:ind w:right="237"/>
        <w:jc w:val="both"/>
        <w:rPr>
          <w:rFonts w:eastAsia="Arial"/>
          <w:color w:val="000000" w:themeColor="text1"/>
          <w:sz w:val="24"/>
          <w:szCs w:val="24"/>
        </w:rPr>
      </w:pPr>
    </w:p>
    <w:p w14:paraId="48D0FFA6" w14:textId="7596009B" w:rsidR="006945C9" w:rsidRDefault="00824CAD" w:rsidP="005F5053">
      <w:pPr>
        <w:spacing w:line="480" w:lineRule="auto"/>
        <w:ind w:right="237"/>
        <w:jc w:val="both"/>
        <w:rPr>
          <w:rFonts w:eastAsia="Arial"/>
          <w:color w:val="000000" w:themeColor="text1"/>
          <w:sz w:val="24"/>
          <w:szCs w:val="24"/>
        </w:rPr>
      </w:pPr>
      <w:r>
        <w:rPr>
          <w:rFonts w:eastAsia="Arial"/>
          <w:color w:val="000000" w:themeColor="text1"/>
          <w:sz w:val="24"/>
          <w:szCs w:val="24"/>
        </w:rPr>
        <w:t>A</w:t>
      </w:r>
      <w:r w:rsidR="006945C9">
        <w:rPr>
          <w:rFonts w:eastAsia="Arial"/>
          <w:color w:val="000000" w:themeColor="text1"/>
          <w:sz w:val="24"/>
          <w:szCs w:val="24"/>
        </w:rPr>
        <w:t xml:space="preserve">s per Courtney and Hanson (2014) state that Substance Abuse can thus lead to mental health issues in their own realm, making people more vulnerable. That tie into what </w:t>
      </w:r>
      <w:proofErr w:type="spellStart"/>
      <w:r w:rsidR="006945C9" w:rsidRPr="005736E4">
        <w:rPr>
          <w:rFonts w:eastAsia="Arial"/>
          <w:color w:val="000000" w:themeColor="text1"/>
          <w:sz w:val="24"/>
          <w:szCs w:val="24"/>
        </w:rPr>
        <w:t>Widanaralalage</w:t>
      </w:r>
      <w:proofErr w:type="spellEnd"/>
      <w:r w:rsidR="006945C9">
        <w:rPr>
          <w:rFonts w:eastAsia="Arial"/>
          <w:color w:val="000000" w:themeColor="text1"/>
          <w:sz w:val="24"/>
          <w:szCs w:val="24"/>
        </w:rPr>
        <w:t xml:space="preserve"> et al was stating above and therefore boosts the already potential mental health issues from surviving a Sexual Offence if they abuse substances. </w:t>
      </w:r>
    </w:p>
    <w:p w14:paraId="43AF9E0B" w14:textId="77777777" w:rsidR="006945C9" w:rsidRDefault="006945C9" w:rsidP="005F5053">
      <w:pPr>
        <w:spacing w:line="480" w:lineRule="auto"/>
        <w:ind w:right="237"/>
        <w:jc w:val="both"/>
        <w:rPr>
          <w:rFonts w:eastAsia="Arial"/>
          <w:color w:val="000000" w:themeColor="text1"/>
          <w:sz w:val="24"/>
          <w:szCs w:val="24"/>
        </w:rPr>
      </w:pPr>
    </w:p>
    <w:p w14:paraId="7F167B6D" w14:textId="77777777" w:rsidR="006B4D57" w:rsidRDefault="006B4D57" w:rsidP="005F5053">
      <w:pPr>
        <w:spacing w:line="480" w:lineRule="auto"/>
        <w:ind w:right="237"/>
        <w:jc w:val="both"/>
        <w:rPr>
          <w:rFonts w:eastAsia="Arial"/>
          <w:color w:val="000000" w:themeColor="text1"/>
          <w:sz w:val="24"/>
          <w:szCs w:val="24"/>
        </w:rPr>
      </w:pPr>
    </w:p>
    <w:p w14:paraId="2476F1B7" w14:textId="0223AE29" w:rsidR="008810FA" w:rsidRDefault="008810FA"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As Bromley et al (2024) states that victims may also get offered independent advocates who are purposed with support the victim throughout the Criminal Justice process and beyond. In the United Kingdom, we have Independent Sexual Violence Advisors (ISVA) who are trained in completing risk assessments and safety planning for victims and play a part in the Multi-Agency Risk Assessment Conferences (MARAC) where multiple agencies come together to set out a plan for Victim Support. The Advocate in this sense will liaise with all agencies involved from Police, Healthcare to Legal Services, Housing and Social in order to set out a plan to support the Victim. </w:t>
      </w:r>
      <w:proofErr w:type="gramStart"/>
      <w:r>
        <w:rPr>
          <w:rFonts w:eastAsia="Arial"/>
          <w:color w:val="000000" w:themeColor="text1"/>
          <w:sz w:val="24"/>
          <w:szCs w:val="24"/>
        </w:rPr>
        <w:t>Thus</w:t>
      </w:r>
      <w:proofErr w:type="gramEnd"/>
      <w:r>
        <w:rPr>
          <w:rFonts w:eastAsia="Arial"/>
          <w:color w:val="000000" w:themeColor="text1"/>
          <w:sz w:val="24"/>
          <w:szCs w:val="24"/>
        </w:rPr>
        <w:t xml:space="preserve"> are able to assist anyone no matter what makes them Vulnerable, as they can take that into account.</w:t>
      </w:r>
    </w:p>
    <w:p w14:paraId="730FBF03" w14:textId="77777777" w:rsidR="006B4D57" w:rsidRDefault="006B4D57" w:rsidP="005F5053">
      <w:pPr>
        <w:spacing w:line="480" w:lineRule="auto"/>
        <w:ind w:right="237"/>
        <w:jc w:val="both"/>
        <w:rPr>
          <w:rFonts w:eastAsia="Arial"/>
          <w:color w:val="000000" w:themeColor="text1"/>
          <w:sz w:val="24"/>
          <w:szCs w:val="24"/>
        </w:rPr>
      </w:pPr>
    </w:p>
    <w:p w14:paraId="6B3A90EB" w14:textId="77777777" w:rsidR="006B4D57" w:rsidRDefault="006B4D57" w:rsidP="005F5053">
      <w:pPr>
        <w:spacing w:line="480" w:lineRule="auto"/>
        <w:ind w:right="237"/>
        <w:jc w:val="both"/>
        <w:rPr>
          <w:rFonts w:eastAsia="Arial"/>
          <w:color w:val="000000" w:themeColor="text1"/>
          <w:sz w:val="24"/>
          <w:szCs w:val="24"/>
        </w:rPr>
      </w:pPr>
    </w:p>
    <w:p w14:paraId="60969777" w14:textId="0C3D9CF4" w:rsidR="009E28A4" w:rsidRDefault="005736E4"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COP (2018) talks about an Early Evidence Kit that is used to collect evidence from Sexual Assault Victims within a time limit that as advised above is approximately 7 days. However, Victims of rape and serious Sexual Assaults tend to be referred to a Sexual Assault Referral Clinic (SARC) that as </w:t>
      </w:r>
      <w:proofErr w:type="spellStart"/>
      <w:r w:rsidRPr="005736E4">
        <w:rPr>
          <w:rFonts w:eastAsia="Arial"/>
          <w:color w:val="000000" w:themeColor="text1"/>
          <w:sz w:val="24"/>
          <w:szCs w:val="24"/>
        </w:rPr>
        <w:t>Widanaralalage</w:t>
      </w:r>
      <w:proofErr w:type="spellEnd"/>
      <w:r>
        <w:rPr>
          <w:rFonts w:eastAsia="Arial"/>
          <w:color w:val="000000" w:themeColor="text1"/>
          <w:sz w:val="24"/>
          <w:szCs w:val="24"/>
        </w:rPr>
        <w:t xml:space="preserve"> et al (2024) states that </w:t>
      </w:r>
      <w:r w:rsidR="007D6126">
        <w:rPr>
          <w:rFonts w:eastAsia="Arial"/>
          <w:color w:val="000000" w:themeColor="text1"/>
          <w:sz w:val="24"/>
          <w:szCs w:val="24"/>
        </w:rPr>
        <w:t xml:space="preserve">through their research the staff at the SARCs had concerns about their own abilities to support survivors within the mental health category that was earlier described to be a large issue surrounding the initial reporting of Sexual Assault. </w:t>
      </w:r>
    </w:p>
    <w:p w14:paraId="12D97B2F" w14:textId="77777777" w:rsidR="00F96C6A" w:rsidRDefault="00F96C6A" w:rsidP="005F5053">
      <w:pPr>
        <w:spacing w:line="480" w:lineRule="auto"/>
        <w:ind w:right="237"/>
        <w:jc w:val="both"/>
        <w:rPr>
          <w:rFonts w:eastAsia="Arial"/>
          <w:color w:val="000000" w:themeColor="text1"/>
          <w:sz w:val="24"/>
          <w:szCs w:val="24"/>
        </w:rPr>
      </w:pPr>
    </w:p>
    <w:p w14:paraId="5BD3724B" w14:textId="77777777" w:rsidR="00F96C6A" w:rsidRDefault="00F96C6A"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As Patterson &amp; Tringali (2015) state that survivors of Sexual Assault an seek help from multiple sources within the community and yet, back up O’Callaghan et al when they state they tend to feel apprehensive and this few </w:t>
      </w:r>
      <w:proofErr w:type="gramStart"/>
      <w:r>
        <w:rPr>
          <w:rFonts w:eastAsia="Arial"/>
          <w:color w:val="000000" w:themeColor="text1"/>
          <w:sz w:val="24"/>
          <w:szCs w:val="24"/>
        </w:rPr>
        <w:t>report</w:t>
      </w:r>
      <w:proofErr w:type="gramEnd"/>
      <w:r>
        <w:rPr>
          <w:rFonts w:eastAsia="Arial"/>
          <w:color w:val="000000" w:themeColor="text1"/>
          <w:sz w:val="24"/>
          <w:szCs w:val="24"/>
        </w:rPr>
        <w:t xml:space="preserve"> it to Police. However, they continue to state that Advocates in Support Centres tend to be one of the first people Victims meet when seeking help. </w:t>
      </w:r>
    </w:p>
    <w:p w14:paraId="4D1D647A" w14:textId="77777777" w:rsidR="00F96C6A" w:rsidRDefault="00F96C6A" w:rsidP="005F5053">
      <w:pPr>
        <w:spacing w:line="480" w:lineRule="auto"/>
        <w:ind w:right="237"/>
        <w:jc w:val="both"/>
        <w:rPr>
          <w:rFonts w:eastAsia="Arial"/>
          <w:color w:val="000000" w:themeColor="text1"/>
          <w:sz w:val="24"/>
          <w:szCs w:val="24"/>
        </w:rPr>
      </w:pPr>
    </w:p>
    <w:p w14:paraId="5F30ED21" w14:textId="69C28A38" w:rsidR="00F96C6A" w:rsidRDefault="00F96C6A" w:rsidP="005F5053">
      <w:pPr>
        <w:spacing w:line="480" w:lineRule="auto"/>
        <w:ind w:right="237"/>
        <w:jc w:val="both"/>
        <w:rPr>
          <w:rFonts w:eastAsia="Arial"/>
          <w:color w:val="000000" w:themeColor="text1"/>
          <w:sz w:val="24"/>
          <w:szCs w:val="24"/>
        </w:rPr>
      </w:pPr>
      <w:proofErr w:type="spellStart"/>
      <w:r>
        <w:rPr>
          <w:rFonts w:eastAsia="Arial"/>
          <w:color w:val="000000" w:themeColor="text1"/>
          <w:sz w:val="24"/>
          <w:szCs w:val="24"/>
        </w:rPr>
        <w:t>Where as</w:t>
      </w:r>
      <w:proofErr w:type="spellEnd"/>
      <w:r>
        <w:rPr>
          <w:rFonts w:eastAsia="Arial"/>
          <w:color w:val="000000" w:themeColor="text1"/>
          <w:sz w:val="24"/>
          <w:szCs w:val="24"/>
        </w:rPr>
        <w:t xml:space="preserve"> </w:t>
      </w:r>
      <w:proofErr w:type="spellStart"/>
      <w:r w:rsidRPr="005736E4">
        <w:rPr>
          <w:rFonts w:eastAsia="Arial"/>
          <w:color w:val="000000" w:themeColor="text1"/>
          <w:sz w:val="24"/>
          <w:szCs w:val="24"/>
        </w:rPr>
        <w:t>Widanaralalage</w:t>
      </w:r>
      <w:proofErr w:type="spellEnd"/>
      <w:r>
        <w:rPr>
          <w:rFonts w:eastAsia="Arial"/>
          <w:color w:val="000000" w:themeColor="text1"/>
          <w:sz w:val="24"/>
          <w:szCs w:val="24"/>
        </w:rPr>
        <w:t xml:space="preserve"> et al (2024) noted on the difficulties SARC staff face. Patterson and Tringali (2015) state that advocates and nurses that are found at centres akin to SARC found that staff treat victims without judgement and blame, thus not adding to the already existing feelings of guilt. Staff are also trained to try and lessen the guilt in their interactions. They also state that Staff also approach the Victims </w:t>
      </w:r>
      <w:proofErr w:type="gramStart"/>
      <w:r>
        <w:rPr>
          <w:rFonts w:eastAsia="Arial"/>
          <w:color w:val="000000" w:themeColor="text1"/>
          <w:sz w:val="24"/>
          <w:szCs w:val="24"/>
        </w:rPr>
        <w:t>with  compassion</w:t>
      </w:r>
      <w:proofErr w:type="gramEnd"/>
      <w:r>
        <w:rPr>
          <w:rFonts w:eastAsia="Arial"/>
          <w:color w:val="000000" w:themeColor="text1"/>
          <w:sz w:val="24"/>
          <w:szCs w:val="24"/>
        </w:rPr>
        <w:t xml:space="preserve"> and respect, in order to make the Victim more hopeful and open to engaging with the Legal System.</w:t>
      </w:r>
    </w:p>
    <w:p w14:paraId="398B7224" w14:textId="77777777" w:rsidR="00F96C6A" w:rsidRDefault="00F96C6A" w:rsidP="005F5053">
      <w:pPr>
        <w:spacing w:line="480" w:lineRule="auto"/>
        <w:ind w:right="237"/>
        <w:jc w:val="both"/>
        <w:rPr>
          <w:rFonts w:eastAsia="Arial"/>
          <w:color w:val="000000" w:themeColor="text1"/>
          <w:sz w:val="24"/>
          <w:szCs w:val="24"/>
        </w:rPr>
      </w:pPr>
    </w:p>
    <w:p w14:paraId="69137D9D" w14:textId="77777777" w:rsidR="005736E4" w:rsidRDefault="005736E4" w:rsidP="005F5053">
      <w:pPr>
        <w:spacing w:line="480" w:lineRule="auto"/>
        <w:ind w:right="237"/>
        <w:jc w:val="both"/>
        <w:rPr>
          <w:rFonts w:eastAsia="Arial"/>
          <w:color w:val="000000" w:themeColor="text1"/>
          <w:sz w:val="24"/>
          <w:szCs w:val="24"/>
        </w:rPr>
      </w:pPr>
    </w:p>
    <w:p w14:paraId="2768390C" w14:textId="77777777" w:rsidR="00FB76EF" w:rsidRDefault="005736E4" w:rsidP="005F5053">
      <w:pPr>
        <w:spacing w:line="480" w:lineRule="auto"/>
        <w:ind w:right="237"/>
        <w:jc w:val="both"/>
        <w:rPr>
          <w:rFonts w:eastAsia="Arial"/>
          <w:color w:val="000000" w:themeColor="text1"/>
          <w:sz w:val="24"/>
          <w:szCs w:val="24"/>
        </w:rPr>
      </w:pPr>
      <w:r>
        <w:rPr>
          <w:rFonts w:eastAsia="Arial"/>
          <w:color w:val="000000" w:themeColor="text1"/>
          <w:sz w:val="24"/>
          <w:szCs w:val="24"/>
        </w:rPr>
        <w:lastRenderedPageBreak/>
        <w:t>However as per the College of Policing (COP) (2018) states that any delays in reporting are likely to result in a loss of evidence and those that go a week or longer without being reported are therefore unlikely to provide evidential samples.</w:t>
      </w:r>
      <w:r w:rsidR="001A71B2">
        <w:rPr>
          <w:rFonts w:eastAsia="Arial"/>
          <w:color w:val="000000" w:themeColor="text1"/>
          <w:sz w:val="24"/>
          <w:szCs w:val="24"/>
        </w:rPr>
        <w:t xml:space="preserve"> </w:t>
      </w:r>
      <w:r w:rsidR="007D6126">
        <w:rPr>
          <w:rFonts w:eastAsia="Arial"/>
          <w:color w:val="000000" w:themeColor="text1"/>
          <w:sz w:val="24"/>
          <w:szCs w:val="24"/>
        </w:rPr>
        <w:t xml:space="preserve">This is further backed up by </w:t>
      </w:r>
      <w:proofErr w:type="spellStart"/>
      <w:r w:rsidR="007D6126" w:rsidRPr="005736E4">
        <w:rPr>
          <w:rFonts w:eastAsia="Arial"/>
          <w:color w:val="000000" w:themeColor="text1"/>
          <w:sz w:val="24"/>
          <w:szCs w:val="24"/>
        </w:rPr>
        <w:t>Widanaralalage</w:t>
      </w:r>
      <w:proofErr w:type="spellEnd"/>
      <w:r w:rsidR="007D6126">
        <w:rPr>
          <w:rFonts w:eastAsia="Arial"/>
          <w:color w:val="000000" w:themeColor="text1"/>
          <w:sz w:val="24"/>
          <w:szCs w:val="24"/>
        </w:rPr>
        <w:t xml:space="preserve"> et al (2024) whereby their study shows that Sexual Offence Investigations tend to go on for longer and average 77 days, whereas the other offences average an </w:t>
      </w:r>
      <w:proofErr w:type="gramStart"/>
      <w:r w:rsidR="007D6126">
        <w:rPr>
          <w:rFonts w:eastAsia="Arial"/>
          <w:color w:val="000000" w:themeColor="text1"/>
          <w:sz w:val="24"/>
          <w:szCs w:val="24"/>
        </w:rPr>
        <w:t>11 day</w:t>
      </w:r>
      <w:proofErr w:type="gramEnd"/>
      <w:r w:rsidR="007D6126">
        <w:rPr>
          <w:rFonts w:eastAsia="Arial"/>
          <w:color w:val="000000" w:themeColor="text1"/>
          <w:sz w:val="24"/>
          <w:szCs w:val="24"/>
        </w:rPr>
        <w:t xml:space="preserve"> investigation by Police that end up impacting Mental Health of the Victims.</w:t>
      </w:r>
      <w:r w:rsidR="00FB76EF">
        <w:rPr>
          <w:rFonts w:eastAsia="Arial"/>
          <w:color w:val="000000" w:themeColor="text1"/>
          <w:sz w:val="24"/>
          <w:szCs w:val="24"/>
        </w:rPr>
        <w:t xml:space="preserve"> </w:t>
      </w:r>
    </w:p>
    <w:p w14:paraId="01B8D5F6" w14:textId="77777777" w:rsidR="00FB76EF" w:rsidRDefault="00FB76EF" w:rsidP="005F5053">
      <w:pPr>
        <w:spacing w:line="480" w:lineRule="auto"/>
        <w:ind w:right="237"/>
        <w:jc w:val="both"/>
        <w:rPr>
          <w:rFonts w:eastAsia="Arial"/>
          <w:color w:val="000000" w:themeColor="text1"/>
          <w:sz w:val="24"/>
          <w:szCs w:val="24"/>
        </w:rPr>
      </w:pPr>
    </w:p>
    <w:p w14:paraId="3C5E34A7" w14:textId="2543880F" w:rsidR="005736E4" w:rsidRDefault="00F928B6"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The Female in this incident had avoided contact with Police for over a month, </w:t>
      </w:r>
      <w:r w:rsidR="00824CAD">
        <w:rPr>
          <w:rFonts w:eastAsia="Arial"/>
          <w:color w:val="000000" w:themeColor="text1"/>
          <w:sz w:val="24"/>
          <w:szCs w:val="24"/>
        </w:rPr>
        <w:t>this</w:t>
      </w:r>
      <w:r>
        <w:rPr>
          <w:rFonts w:eastAsia="Arial"/>
          <w:color w:val="000000" w:themeColor="text1"/>
          <w:sz w:val="24"/>
          <w:szCs w:val="24"/>
        </w:rPr>
        <w:t xml:space="preserve"> is more than double the forensic window for </w:t>
      </w:r>
      <w:r w:rsidR="00FB76EF">
        <w:rPr>
          <w:rFonts w:eastAsia="Arial"/>
          <w:color w:val="000000" w:themeColor="text1"/>
          <w:sz w:val="24"/>
          <w:szCs w:val="24"/>
        </w:rPr>
        <w:t>Evidential Samples to be collected that COP (2018) had noted on earlier.</w:t>
      </w:r>
    </w:p>
    <w:p w14:paraId="70825ED5" w14:textId="77777777" w:rsidR="009E28A4" w:rsidRDefault="009E28A4" w:rsidP="005F5053">
      <w:pPr>
        <w:spacing w:line="480" w:lineRule="auto"/>
        <w:ind w:right="237"/>
        <w:jc w:val="both"/>
        <w:rPr>
          <w:rFonts w:eastAsia="Arial"/>
          <w:color w:val="000000" w:themeColor="text1"/>
          <w:sz w:val="24"/>
          <w:szCs w:val="24"/>
        </w:rPr>
      </w:pPr>
    </w:p>
    <w:p w14:paraId="77F9C7A4" w14:textId="77777777" w:rsidR="00451D39" w:rsidRDefault="00451D39" w:rsidP="005F5053">
      <w:pPr>
        <w:spacing w:line="480" w:lineRule="auto"/>
        <w:ind w:right="237"/>
        <w:jc w:val="both"/>
        <w:rPr>
          <w:rFonts w:eastAsia="Arial"/>
          <w:color w:val="000000" w:themeColor="text1"/>
          <w:sz w:val="24"/>
          <w:szCs w:val="24"/>
        </w:rPr>
      </w:pPr>
    </w:p>
    <w:p w14:paraId="1E49E03D" w14:textId="779CAD7B" w:rsidR="00451D39" w:rsidRDefault="006B4D57"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In conclusion, whilst there is plenty of support available each have their own criteria and difficulties. As per </w:t>
      </w:r>
      <w:proofErr w:type="spellStart"/>
      <w:r w:rsidRPr="005736E4">
        <w:rPr>
          <w:rFonts w:eastAsia="Arial"/>
          <w:color w:val="000000" w:themeColor="text1"/>
          <w:sz w:val="24"/>
          <w:szCs w:val="24"/>
        </w:rPr>
        <w:t>Widanaralalage</w:t>
      </w:r>
      <w:proofErr w:type="spellEnd"/>
      <w:r>
        <w:rPr>
          <w:rFonts w:eastAsia="Arial"/>
          <w:color w:val="000000" w:themeColor="text1"/>
          <w:sz w:val="24"/>
          <w:szCs w:val="24"/>
        </w:rPr>
        <w:t xml:space="preserve"> et al (2024) the SARC has issues with resourcing and handling of Mental Health</w:t>
      </w:r>
      <w:r w:rsidR="009E77FD">
        <w:rPr>
          <w:rFonts w:eastAsia="Arial"/>
          <w:color w:val="000000" w:themeColor="text1"/>
          <w:sz w:val="24"/>
          <w:szCs w:val="24"/>
        </w:rPr>
        <w:t xml:space="preserve">, that as Courtney and Hanson (2014) and </w:t>
      </w:r>
      <w:proofErr w:type="spellStart"/>
      <w:r w:rsidR="009E77FD">
        <w:rPr>
          <w:rFonts w:eastAsia="Arial"/>
          <w:color w:val="000000" w:themeColor="text1"/>
          <w:sz w:val="24"/>
          <w:szCs w:val="24"/>
        </w:rPr>
        <w:t>Mcclendon</w:t>
      </w:r>
      <w:proofErr w:type="spellEnd"/>
      <w:r w:rsidR="009E77FD">
        <w:rPr>
          <w:rFonts w:eastAsia="Arial"/>
          <w:color w:val="000000" w:themeColor="text1"/>
          <w:sz w:val="24"/>
          <w:szCs w:val="24"/>
        </w:rPr>
        <w:t xml:space="preserve"> and Lane (2014) add a number of different ways a person, who is a victim of Sexual Assault and vulnerable are more likely to have Mental Health issues</w:t>
      </w:r>
      <w:r>
        <w:rPr>
          <w:rFonts w:eastAsia="Arial"/>
          <w:color w:val="000000" w:themeColor="text1"/>
          <w:sz w:val="24"/>
          <w:szCs w:val="24"/>
        </w:rPr>
        <w:t>.</w:t>
      </w:r>
      <w:r w:rsidR="009E77FD">
        <w:rPr>
          <w:rFonts w:eastAsia="Arial"/>
          <w:color w:val="000000" w:themeColor="text1"/>
          <w:sz w:val="24"/>
          <w:szCs w:val="24"/>
        </w:rPr>
        <w:t xml:space="preserve"> </w:t>
      </w:r>
      <w:r>
        <w:rPr>
          <w:rFonts w:eastAsia="Arial"/>
          <w:color w:val="000000" w:themeColor="text1"/>
          <w:sz w:val="24"/>
          <w:szCs w:val="24"/>
        </w:rPr>
        <w:t xml:space="preserve">O’Callaghan et al (2023) states that Victims who are Vulnerable due to Sexual Assault end up going for Informal Support and thus avoid Police and Professional Support. </w:t>
      </w:r>
      <w:r w:rsidR="00916CAD">
        <w:rPr>
          <w:rFonts w:eastAsia="Arial"/>
          <w:color w:val="000000" w:themeColor="text1"/>
          <w:sz w:val="24"/>
          <w:szCs w:val="24"/>
        </w:rPr>
        <w:t xml:space="preserve">However, Bramley et al (2024) whilst they talk about the </w:t>
      </w:r>
      <w:proofErr w:type="gramStart"/>
      <w:r w:rsidR="00916CAD">
        <w:rPr>
          <w:rFonts w:eastAsia="Arial"/>
          <w:color w:val="000000" w:themeColor="text1"/>
          <w:sz w:val="24"/>
          <w:szCs w:val="24"/>
        </w:rPr>
        <w:t>ISVA</w:t>
      </w:r>
      <w:proofErr w:type="gramEnd"/>
      <w:r w:rsidR="00916CAD">
        <w:rPr>
          <w:rFonts w:eastAsia="Arial"/>
          <w:color w:val="000000" w:themeColor="text1"/>
          <w:sz w:val="24"/>
          <w:szCs w:val="24"/>
        </w:rPr>
        <w:t xml:space="preserve"> they go onto mention how Advocates could end up traumatised due to hearing and reading about all the different scenarios Victims had been put through or are going through. But is designed to be fixated on the Victim and the support to be designed per person rather than a set plan for all.</w:t>
      </w:r>
    </w:p>
    <w:p w14:paraId="0C8B6109" w14:textId="77777777" w:rsidR="00244BC6" w:rsidRDefault="00244BC6" w:rsidP="005F5053">
      <w:pPr>
        <w:spacing w:line="480" w:lineRule="auto"/>
        <w:ind w:right="237"/>
        <w:jc w:val="both"/>
        <w:rPr>
          <w:rFonts w:eastAsia="Arial"/>
          <w:color w:val="000000" w:themeColor="text1"/>
          <w:sz w:val="24"/>
          <w:szCs w:val="24"/>
        </w:rPr>
      </w:pPr>
    </w:p>
    <w:p w14:paraId="1F9D4475" w14:textId="77777777" w:rsidR="00244BC6" w:rsidRDefault="00244BC6" w:rsidP="005F5053">
      <w:pPr>
        <w:spacing w:line="480" w:lineRule="auto"/>
        <w:ind w:right="237"/>
        <w:jc w:val="both"/>
        <w:rPr>
          <w:rFonts w:eastAsia="Arial"/>
          <w:color w:val="000000" w:themeColor="text1"/>
          <w:sz w:val="24"/>
          <w:szCs w:val="24"/>
        </w:rPr>
      </w:pPr>
    </w:p>
    <w:p w14:paraId="751CCF87" w14:textId="6D525C69" w:rsidR="0018299C" w:rsidRDefault="00244BC6" w:rsidP="005F5053">
      <w:pPr>
        <w:spacing w:line="480" w:lineRule="auto"/>
        <w:ind w:right="237"/>
        <w:jc w:val="both"/>
        <w:rPr>
          <w:rFonts w:eastAsia="Arial"/>
          <w:color w:val="000000" w:themeColor="text1"/>
          <w:sz w:val="24"/>
          <w:szCs w:val="24"/>
        </w:rPr>
      </w:pPr>
      <w:r>
        <w:rPr>
          <w:rFonts w:eastAsia="Arial"/>
          <w:color w:val="000000" w:themeColor="text1"/>
          <w:sz w:val="24"/>
          <w:szCs w:val="24"/>
        </w:rPr>
        <w:t>As per Corcoran (2014) states that revictimization, that they define as repeatedly being a victim, tends to occur with an intimate partner and that there were several factors that played a part to this, from a lack of children to length of the relationship. However, Corcoran noted that leaving the partner was a protective factor on stopping the repeat victimisation.</w:t>
      </w:r>
    </w:p>
    <w:p w14:paraId="7D7F0D4E" w14:textId="77777777" w:rsidR="0018299C" w:rsidRDefault="0018299C" w:rsidP="005F5053">
      <w:pPr>
        <w:spacing w:line="480" w:lineRule="auto"/>
        <w:ind w:right="237"/>
        <w:jc w:val="both"/>
        <w:rPr>
          <w:rFonts w:eastAsia="Arial"/>
          <w:color w:val="000000" w:themeColor="text1"/>
          <w:sz w:val="24"/>
          <w:szCs w:val="24"/>
        </w:rPr>
      </w:pPr>
    </w:p>
    <w:p w14:paraId="22662968" w14:textId="7DA1942B" w:rsidR="0018299C" w:rsidRDefault="0018299C"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Spooner et al (2022) state that a way to stop reoffending and tackle crime is </w:t>
      </w:r>
      <w:proofErr w:type="gramStart"/>
      <w:r>
        <w:rPr>
          <w:rFonts w:eastAsia="Arial"/>
          <w:color w:val="000000" w:themeColor="text1"/>
          <w:sz w:val="24"/>
          <w:szCs w:val="24"/>
        </w:rPr>
        <w:t>evidence based</w:t>
      </w:r>
      <w:proofErr w:type="gramEnd"/>
      <w:r>
        <w:rPr>
          <w:rFonts w:eastAsia="Arial"/>
          <w:color w:val="000000" w:themeColor="text1"/>
          <w:sz w:val="24"/>
          <w:szCs w:val="24"/>
        </w:rPr>
        <w:t xml:space="preserve"> policing, </w:t>
      </w:r>
      <w:r w:rsidR="00824CAD">
        <w:rPr>
          <w:rFonts w:eastAsia="Arial"/>
          <w:color w:val="000000" w:themeColor="text1"/>
          <w:sz w:val="24"/>
          <w:szCs w:val="24"/>
        </w:rPr>
        <w:t>that</w:t>
      </w:r>
      <w:r>
        <w:rPr>
          <w:rFonts w:eastAsia="Arial"/>
          <w:color w:val="000000" w:themeColor="text1"/>
          <w:sz w:val="24"/>
          <w:szCs w:val="24"/>
        </w:rPr>
        <w:t xml:space="preserve"> they equate to how the Healthcare system works. They state that </w:t>
      </w:r>
      <w:proofErr w:type="gramStart"/>
      <w:r>
        <w:rPr>
          <w:rFonts w:eastAsia="Arial"/>
          <w:color w:val="000000" w:themeColor="text1"/>
          <w:sz w:val="24"/>
          <w:szCs w:val="24"/>
        </w:rPr>
        <w:t>evidence based</w:t>
      </w:r>
      <w:proofErr w:type="gramEnd"/>
      <w:r>
        <w:rPr>
          <w:rFonts w:eastAsia="Arial"/>
          <w:color w:val="000000" w:themeColor="text1"/>
          <w:sz w:val="24"/>
          <w:szCs w:val="24"/>
        </w:rPr>
        <w:t xml:space="preserve"> policing uses evidence in order to develop strategies and support decisions. </w:t>
      </w:r>
      <w:proofErr w:type="gramStart"/>
      <w:r>
        <w:rPr>
          <w:rFonts w:eastAsia="Arial"/>
          <w:color w:val="000000" w:themeColor="text1"/>
          <w:sz w:val="24"/>
          <w:szCs w:val="24"/>
        </w:rPr>
        <w:t>Therefore</w:t>
      </w:r>
      <w:proofErr w:type="gramEnd"/>
      <w:r>
        <w:rPr>
          <w:rFonts w:eastAsia="Arial"/>
          <w:color w:val="000000" w:themeColor="text1"/>
          <w:sz w:val="24"/>
          <w:szCs w:val="24"/>
        </w:rPr>
        <w:t xml:space="preserve"> instead of using evidence and research as a way to support the theoretical approach of how things should work, evidence based is using it to guide actions taken. </w:t>
      </w:r>
    </w:p>
    <w:p w14:paraId="395BD845" w14:textId="77777777" w:rsidR="00D86F16" w:rsidRDefault="00D86F16" w:rsidP="005F5053">
      <w:pPr>
        <w:spacing w:line="480" w:lineRule="auto"/>
        <w:ind w:right="237"/>
        <w:jc w:val="both"/>
        <w:rPr>
          <w:rFonts w:eastAsia="Arial"/>
          <w:color w:val="000000" w:themeColor="text1"/>
          <w:sz w:val="24"/>
          <w:szCs w:val="24"/>
        </w:rPr>
      </w:pPr>
    </w:p>
    <w:p w14:paraId="62BB24AD" w14:textId="759817A1" w:rsidR="00D86F16" w:rsidRDefault="00D86F16"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Spooner et al (2022) label the COP’s variant of </w:t>
      </w:r>
      <w:proofErr w:type="gramStart"/>
      <w:r>
        <w:rPr>
          <w:rFonts w:eastAsia="Arial"/>
          <w:color w:val="000000" w:themeColor="text1"/>
          <w:sz w:val="24"/>
          <w:szCs w:val="24"/>
        </w:rPr>
        <w:t>evidence based</w:t>
      </w:r>
      <w:proofErr w:type="gramEnd"/>
      <w:r>
        <w:rPr>
          <w:rFonts w:eastAsia="Arial"/>
          <w:color w:val="000000" w:themeColor="text1"/>
          <w:sz w:val="24"/>
          <w:szCs w:val="24"/>
        </w:rPr>
        <w:t xml:space="preserve"> policing that as COP (2021) outlines that in order to reduce crime there isn’t just one simple solution and that whilst one solution might reassure the public it may not reduce crime. COP uses the example of more Police on the streets, that doesn’t necessarily reduce crime unless targeting to hot-spots that Spooner et al (2022) had said is another term for </w:t>
      </w:r>
      <w:proofErr w:type="gramStart"/>
      <w:r>
        <w:rPr>
          <w:rFonts w:eastAsia="Arial"/>
          <w:color w:val="000000" w:themeColor="text1"/>
          <w:sz w:val="24"/>
          <w:szCs w:val="24"/>
        </w:rPr>
        <w:t>problem oriented</w:t>
      </w:r>
      <w:proofErr w:type="gramEnd"/>
      <w:r>
        <w:rPr>
          <w:rFonts w:eastAsia="Arial"/>
          <w:color w:val="000000" w:themeColor="text1"/>
          <w:sz w:val="24"/>
          <w:szCs w:val="24"/>
        </w:rPr>
        <w:t xml:space="preserve"> policing, where you take the evidence of crime being high in a certain area and put a visible presence to reduce it. </w:t>
      </w:r>
    </w:p>
    <w:p w14:paraId="3E33E4CB" w14:textId="77777777" w:rsidR="00D86F16" w:rsidRDefault="00D86F16" w:rsidP="005F5053">
      <w:pPr>
        <w:spacing w:line="480" w:lineRule="auto"/>
        <w:ind w:right="237"/>
        <w:jc w:val="both"/>
        <w:rPr>
          <w:rFonts w:eastAsia="Arial"/>
          <w:color w:val="000000" w:themeColor="text1"/>
          <w:sz w:val="24"/>
          <w:szCs w:val="24"/>
        </w:rPr>
      </w:pPr>
    </w:p>
    <w:p w14:paraId="5B142435" w14:textId="77777777" w:rsidR="00D86F16" w:rsidRDefault="00D86F16"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COP (2021) label that in the United States, New York Crime rates had reduced dramatically during the 1990s and that this was due to community policing and </w:t>
      </w:r>
      <w:r>
        <w:rPr>
          <w:rFonts w:eastAsia="Arial"/>
          <w:color w:val="000000" w:themeColor="text1"/>
          <w:sz w:val="24"/>
          <w:szCs w:val="24"/>
        </w:rPr>
        <w:lastRenderedPageBreak/>
        <w:t xml:space="preserve">engaging with the community. That COP had earlier advised Police should be doing, engaging with people to encourage them not to break the law by being respectful and treating them equally. </w:t>
      </w:r>
    </w:p>
    <w:p w14:paraId="47AB304B" w14:textId="77777777" w:rsidR="00D86F16" w:rsidRDefault="00D86F16" w:rsidP="005F5053">
      <w:pPr>
        <w:spacing w:line="480" w:lineRule="auto"/>
        <w:ind w:right="237"/>
        <w:jc w:val="both"/>
        <w:rPr>
          <w:rFonts w:eastAsia="Arial"/>
          <w:color w:val="000000" w:themeColor="text1"/>
          <w:sz w:val="24"/>
          <w:szCs w:val="24"/>
        </w:rPr>
      </w:pPr>
    </w:p>
    <w:p w14:paraId="38E4378E" w14:textId="3D81F9F5" w:rsidR="008A288A" w:rsidRDefault="00D86F16" w:rsidP="005F5053">
      <w:pPr>
        <w:spacing w:line="480" w:lineRule="auto"/>
        <w:ind w:right="237"/>
        <w:jc w:val="both"/>
        <w:rPr>
          <w:rFonts w:eastAsia="Arial"/>
          <w:color w:val="000000" w:themeColor="text1"/>
          <w:sz w:val="24"/>
          <w:szCs w:val="24"/>
        </w:rPr>
      </w:pPr>
      <w:r>
        <w:rPr>
          <w:rFonts w:eastAsia="Arial"/>
          <w:color w:val="000000" w:themeColor="text1"/>
          <w:sz w:val="24"/>
          <w:szCs w:val="24"/>
        </w:rPr>
        <w:t xml:space="preserve">As Cesari (2020) states </w:t>
      </w:r>
      <w:r w:rsidR="008A288A">
        <w:rPr>
          <w:rFonts w:eastAsia="Arial"/>
          <w:color w:val="000000" w:themeColor="text1"/>
          <w:sz w:val="24"/>
          <w:szCs w:val="24"/>
        </w:rPr>
        <w:t xml:space="preserve">that prevention of repeat offending requires persuading the offender to not repeat their behaviour. </w:t>
      </w:r>
      <w:proofErr w:type="gramStart"/>
      <w:r w:rsidR="008A288A">
        <w:rPr>
          <w:rFonts w:eastAsia="Arial"/>
          <w:color w:val="000000" w:themeColor="text1"/>
          <w:sz w:val="24"/>
          <w:szCs w:val="24"/>
        </w:rPr>
        <w:t>Thus</w:t>
      </w:r>
      <w:proofErr w:type="gramEnd"/>
      <w:r w:rsidR="008A288A">
        <w:rPr>
          <w:rFonts w:eastAsia="Arial"/>
          <w:color w:val="000000" w:themeColor="text1"/>
          <w:sz w:val="24"/>
          <w:szCs w:val="24"/>
        </w:rPr>
        <w:t xml:space="preserve"> the idea of rehabilitation, whereby you shift the attention from the crime to the offender and seek to resocialise the offender into society by committing to an individualised treatment of Offenders, by prison staff when inside, in order to have them be released and not reoffend.</w:t>
      </w:r>
    </w:p>
    <w:p w14:paraId="5C173C2B" w14:textId="77777777" w:rsidR="008A288A" w:rsidRDefault="008A288A" w:rsidP="005F5053">
      <w:pPr>
        <w:spacing w:line="480" w:lineRule="auto"/>
        <w:ind w:right="237"/>
        <w:jc w:val="both"/>
        <w:rPr>
          <w:rFonts w:eastAsia="Arial"/>
          <w:color w:val="000000" w:themeColor="text1"/>
          <w:sz w:val="24"/>
          <w:szCs w:val="24"/>
        </w:rPr>
      </w:pPr>
    </w:p>
    <w:p w14:paraId="0A539E72" w14:textId="012BC382" w:rsidR="008A288A" w:rsidRDefault="008A288A" w:rsidP="005F5053">
      <w:pPr>
        <w:spacing w:line="480" w:lineRule="auto"/>
        <w:ind w:right="237"/>
        <w:jc w:val="both"/>
        <w:rPr>
          <w:rFonts w:eastAsia="Arial"/>
          <w:color w:val="000000" w:themeColor="text1"/>
          <w:sz w:val="24"/>
          <w:szCs w:val="24"/>
        </w:rPr>
      </w:pPr>
      <w:r>
        <w:rPr>
          <w:rFonts w:eastAsia="Arial"/>
          <w:color w:val="000000" w:themeColor="text1"/>
          <w:sz w:val="24"/>
          <w:szCs w:val="24"/>
        </w:rPr>
        <w:t>This can be tied to what Bramley et al (2024) had been talking about with the Independent Advocates for Sexual Violence and Domestic Violence, whereby an independent plan, risk assessment and support is put into place per Victim.</w:t>
      </w:r>
      <w:r w:rsidR="00824CAD">
        <w:rPr>
          <w:rFonts w:eastAsia="Arial"/>
          <w:color w:val="000000" w:themeColor="text1"/>
          <w:sz w:val="24"/>
          <w:szCs w:val="24"/>
        </w:rPr>
        <w:t xml:space="preserve"> I</w:t>
      </w:r>
      <w:r>
        <w:rPr>
          <w:rFonts w:eastAsia="Arial"/>
          <w:color w:val="000000" w:themeColor="text1"/>
          <w:sz w:val="24"/>
          <w:szCs w:val="24"/>
        </w:rPr>
        <w:t>f you tie it into what Cesari (2020) is talking about individual plans for Offenders in order to have them not reoffend. The Independent Advocates would also help stop revictimization by putting in plans for the Victims to be more aware and strategies to assist them stay away from such.</w:t>
      </w:r>
    </w:p>
    <w:p w14:paraId="71637BAC" w14:textId="77777777" w:rsidR="008A288A" w:rsidRDefault="008A288A" w:rsidP="5B843AF0">
      <w:pPr>
        <w:ind w:right="237"/>
        <w:jc w:val="both"/>
        <w:rPr>
          <w:rFonts w:eastAsia="Arial"/>
          <w:color w:val="000000" w:themeColor="text1"/>
          <w:sz w:val="24"/>
          <w:szCs w:val="24"/>
        </w:rPr>
      </w:pPr>
    </w:p>
    <w:p w14:paraId="469C98CE" w14:textId="77777777" w:rsidR="00916CAD" w:rsidRDefault="00916CAD" w:rsidP="5B843AF0">
      <w:pPr>
        <w:ind w:right="237"/>
        <w:jc w:val="both"/>
        <w:rPr>
          <w:rFonts w:eastAsia="Arial"/>
          <w:color w:val="000000" w:themeColor="text1"/>
          <w:sz w:val="24"/>
          <w:szCs w:val="24"/>
        </w:rPr>
      </w:pPr>
    </w:p>
    <w:p w14:paraId="6A7BA5ED" w14:textId="77777777" w:rsidR="00916CAD" w:rsidRDefault="00916CAD" w:rsidP="5B843AF0">
      <w:pPr>
        <w:ind w:right="237"/>
        <w:jc w:val="both"/>
        <w:rPr>
          <w:rFonts w:eastAsia="Arial"/>
          <w:color w:val="000000" w:themeColor="text1"/>
          <w:sz w:val="24"/>
          <w:szCs w:val="24"/>
        </w:rPr>
      </w:pPr>
    </w:p>
    <w:p w14:paraId="5C22E030" w14:textId="77777777" w:rsidR="00711143" w:rsidRPr="00711143" w:rsidRDefault="00711143"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E2F7C06" w14:textId="412E2101" w:rsidR="00E024F4" w:rsidRDefault="00A76FBA" w:rsidP="00A043B4">
      <w:pPr>
        <w:spacing w:line="480" w:lineRule="auto"/>
        <w:ind w:right="237"/>
        <w:jc w:val="both"/>
        <w:rPr>
          <w:color w:val="000000" w:themeColor="text1"/>
          <w:sz w:val="24"/>
          <w:szCs w:val="24"/>
        </w:rPr>
      </w:pPr>
      <w:r>
        <w:rPr>
          <w:color w:val="000000" w:themeColor="text1"/>
          <w:sz w:val="24"/>
          <w:szCs w:val="24"/>
        </w:rPr>
        <w:t>I have attended a call late last year, whereby a Female</w:t>
      </w:r>
      <w:r w:rsidR="000677C2">
        <w:rPr>
          <w:color w:val="000000" w:themeColor="text1"/>
          <w:sz w:val="24"/>
          <w:szCs w:val="24"/>
        </w:rPr>
        <w:t xml:space="preserve"> </w:t>
      </w:r>
      <w:r w:rsidR="000677C2">
        <w:rPr>
          <w:color w:val="000000" w:themeColor="text1"/>
          <w:sz w:val="24"/>
          <w:szCs w:val="24"/>
        </w:rPr>
        <w:t>Victim</w:t>
      </w:r>
      <w:r>
        <w:rPr>
          <w:color w:val="000000" w:themeColor="text1"/>
          <w:sz w:val="24"/>
          <w:szCs w:val="24"/>
        </w:rPr>
        <w:t xml:space="preserve"> has phoned in alleging that her partner</w:t>
      </w:r>
      <w:r w:rsidR="00E024F4">
        <w:rPr>
          <w:color w:val="000000" w:themeColor="text1"/>
          <w:sz w:val="24"/>
          <w:szCs w:val="24"/>
        </w:rPr>
        <w:t xml:space="preserve"> has caused Criminal Damage to the Door, by damaging it to the extent it has come free from the hinges and no longer functions as a door that is a Crime under Section 1 of the Criminal Damage Act (1971). Upon entering the </w:t>
      </w:r>
      <w:proofErr w:type="gramStart"/>
      <w:r w:rsidR="00E024F4">
        <w:rPr>
          <w:color w:val="000000" w:themeColor="text1"/>
          <w:sz w:val="24"/>
          <w:szCs w:val="24"/>
        </w:rPr>
        <w:t>address</w:t>
      </w:r>
      <w:proofErr w:type="gramEnd"/>
      <w:r w:rsidR="00E024F4">
        <w:rPr>
          <w:color w:val="000000" w:themeColor="text1"/>
          <w:sz w:val="24"/>
          <w:szCs w:val="24"/>
        </w:rPr>
        <w:t xml:space="preserve"> he has then pinned the Victim to the wall by gripping her throat, that is an offence under the Domestic Abuse Act, Section 70 (2021) whereby he has made her struggle to breath whilst doing so.</w:t>
      </w:r>
    </w:p>
    <w:p w14:paraId="0B2C3168" w14:textId="77777777" w:rsidR="00A76FBA" w:rsidRDefault="00A76FBA" w:rsidP="00A043B4">
      <w:pPr>
        <w:spacing w:line="480" w:lineRule="auto"/>
        <w:ind w:right="237"/>
        <w:jc w:val="both"/>
        <w:rPr>
          <w:color w:val="000000" w:themeColor="text1"/>
          <w:sz w:val="24"/>
          <w:szCs w:val="24"/>
        </w:rPr>
      </w:pPr>
    </w:p>
    <w:p w14:paraId="1C439174" w14:textId="5E77739A" w:rsidR="00A76FBA" w:rsidRDefault="00A76FBA" w:rsidP="00A043B4">
      <w:pPr>
        <w:spacing w:line="480" w:lineRule="auto"/>
        <w:ind w:right="237"/>
        <w:jc w:val="both"/>
        <w:rPr>
          <w:color w:val="000000" w:themeColor="text1"/>
          <w:sz w:val="24"/>
          <w:szCs w:val="24"/>
        </w:rPr>
      </w:pPr>
      <w:r>
        <w:rPr>
          <w:color w:val="000000" w:themeColor="text1"/>
          <w:sz w:val="24"/>
          <w:szCs w:val="24"/>
        </w:rPr>
        <w:t>Upon attendance colleagues had already managed to locate her Partner and convey him to custody</w:t>
      </w:r>
      <w:r w:rsidR="000677C2">
        <w:rPr>
          <w:color w:val="000000" w:themeColor="text1"/>
          <w:sz w:val="24"/>
          <w:szCs w:val="24"/>
        </w:rPr>
        <w:t xml:space="preserve"> based one the Female’s disclosure to them</w:t>
      </w:r>
      <w:r>
        <w:rPr>
          <w:color w:val="000000" w:themeColor="text1"/>
          <w:sz w:val="24"/>
          <w:szCs w:val="24"/>
        </w:rPr>
        <w:t xml:space="preserve">. I’ve then began to take a statement from the </w:t>
      </w:r>
      <w:r w:rsidR="000677C2">
        <w:rPr>
          <w:color w:val="000000" w:themeColor="text1"/>
          <w:sz w:val="24"/>
          <w:szCs w:val="24"/>
        </w:rPr>
        <w:t>Victim</w:t>
      </w:r>
      <w:r>
        <w:rPr>
          <w:color w:val="000000" w:themeColor="text1"/>
          <w:sz w:val="24"/>
          <w:szCs w:val="24"/>
        </w:rPr>
        <w:t xml:space="preserve">, </w:t>
      </w:r>
      <w:r w:rsidR="00824CAD">
        <w:rPr>
          <w:color w:val="000000" w:themeColor="text1"/>
          <w:sz w:val="24"/>
          <w:szCs w:val="24"/>
        </w:rPr>
        <w:t>who</w:t>
      </w:r>
      <w:r>
        <w:rPr>
          <w:color w:val="000000" w:themeColor="text1"/>
          <w:sz w:val="24"/>
          <w:szCs w:val="24"/>
        </w:rPr>
        <w:t xml:space="preserve"> had described the above instances and plenty more instances for the past few years.</w:t>
      </w:r>
    </w:p>
    <w:p w14:paraId="7E82C4C9" w14:textId="77777777" w:rsidR="00A76FBA" w:rsidRDefault="00A76FBA" w:rsidP="00A043B4">
      <w:pPr>
        <w:spacing w:line="480" w:lineRule="auto"/>
        <w:ind w:right="237"/>
        <w:jc w:val="both"/>
        <w:rPr>
          <w:color w:val="000000" w:themeColor="text1"/>
          <w:sz w:val="24"/>
          <w:szCs w:val="24"/>
        </w:rPr>
      </w:pPr>
    </w:p>
    <w:p w14:paraId="767DF143" w14:textId="7ED26ACC" w:rsidR="00A22D68" w:rsidRDefault="00A76FBA" w:rsidP="00A043B4">
      <w:pPr>
        <w:spacing w:line="480" w:lineRule="auto"/>
        <w:ind w:right="237"/>
        <w:jc w:val="both"/>
        <w:rPr>
          <w:color w:val="000000" w:themeColor="text1"/>
          <w:sz w:val="24"/>
          <w:szCs w:val="24"/>
        </w:rPr>
      </w:pPr>
      <w:r>
        <w:rPr>
          <w:color w:val="000000" w:themeColor="text1"/>
          <w:sz w:val="24"/>
          <w:szCs w:val="24"/>
        </w:rPr>
        <w:t xml:space="preserve">The </w:t>
      </w:r>
      <w:r w:rsidR="000677C2">
        <w:rPr>
          <w:color w:val="000000" w:themeColor="text1"/>
          <w:sz w:val="24"/>
          <w:szCs w:val="24"/>
        </w:rPr>
        <w:t xml:space="preserve">Victim </w:t>
      </w:r>
      <w:r>
        <w:rPr>
          <w:color w:val="000000" w:themeColor="text1"/>
          <w:sz w:val="24"/>
          <w:szCs w:val="24"/>
        </w:rPr>
        <w:t xml:space="preserve">has extreme anxiety and required a Family member to be present when talking to me, due to her past trauma and her partner </w:t>
      </w:r>
      <w:r w:rsidR="00CE5A2E">
        <w:rPr>
          <w:color w:val="000000" w:themeColor="text1"/>
          <w:sz w:val="24"/>
          <w:szCs w:val="24"/>
        </w:rPr>
        <w:t xml:space="preserve">having threatened her to phone the Police, knowing she had a traumatic history with Police involvement in her Childhood and didn’t like to talk to Police. </w:t>
      </w:r>
      <w:r w:rsidR="00D25312">
        <w:rPr>
          <w:color w:val="000000" w:themeColor="text1"/>
          <w:sz w:val="24"/>
          <w:szCs w:val="24"/>
        </w:rPr>
        <w:t xml:space="preserve">That as per Birdsall and Boulton (2022) state that due to Victims not wanting to cooperate in the process leads to difficulty for Police Officers, that backs up the difficulty I had in the initial communication with the Victim. </w:t>
      </w:r>
    </w:p>
    <w:p w14:paraId="168E941A" w14:textId="77777777" w:rsidR="00BA2433" w:rsidRDefault="00BA2433" w:rsidP="00A043B4">
      <w:pPr>
        <w:spacing w:line="480" w:lineRule="auto"/>
        <w:ind w:right="237"/>
        <w:jc w:val="both"/>
        <w:rPr>
          <w:color w:val="000000" w:themeColor="text1"/>
          <w:sz w:val="24"/>
          <w:szCs w:val="24"/>
        </w:rPr>
      </w:pPr>
    </w:p>
    <w:p w14:paraId="4E425849" w14:textId="658B6018" w:rsidR="00BA2433" w:rsidRDefault="00BA2433" w:rsidP="00A043B4">
      <w:pPr>
        <w:spacing w:line="480" w:lineRule="auto"/>
        <w:ind w:right="237"/>
        <w:jc w:val="both"/>
        <w:rPr>
          <w:color w:val="000000" w:themeColor="text1"/>
          <w:sz w:val="24"/>
          <w:szCs w:val="24"/>
        </w:rPr>
      </w:pPr>
      <w:r>
        <w:rPr>
          <w:color w:val="000000" w:themeColor="text1"/>
          <w:sz w:val="24"/>
          <w:szCs w:val="24"/>
        </w:rPr>
        <w:t>Barrow-</w:t>
      </w:r>
      <w:proofErr w:type="spellStart"/>
      <w:r>
        <w:rPr>
          <w:color w:val="000000" w:themeColor="text1"/>
          <w:sz w:val="24"/>
          <w:szCs w:val="24"/>
        </w:rPr>
        <w:t>grint</w:t>
      </w:r>
      <w:proofErr w:type="spellEnd"/>
      <w:r>
        <w:rPr>
          <w:color w:val="000000" w:themeColor="text1"/>
          <w:sz w:val="24"/>
          <w:szCs w:val="24"/>
        </w:rPr>
        <w:t xml:space="preserve"> et al (2023) also noted on this whereby going forward the trust the public have in the Police is a challenge, due to previous events in the media where the Police have conducted themselves unprofessionally. However, as I have </w:t>
      </w:r>
      <w:r>
        <w:rPr>
          <w:color w:val="000000" w:themeColor="text1"/>
          <w:sz w:val="24"/>
          <w:szCs w:val="24"/>
        </w:rPr>
        <w:lastRenderedPageBreak/>
        <w:t>managed to do in my initial communication with the victim in this incident, Barrow-</w:t>
      </w:r>
      <w:proofErr w:type="spellStart"/>
      <w:r>
        <w:rPr>
          <w:color w:val="000000" w:themeColor="text1"/>
          <w:sz w:val="24"/>
          <w:szCs w:val="24"/>
        </w:rPr>
        <w:t>grint</w:t>
      </w:r>
      <w:proofErr w:type="spellEnd"/>
      <w:r>
        <w:rPr>
          <w:color w:val="000000" w:themeColor="text1"/>
          <w:sz w:val="24"/>
          <w:szCs w:val="24"/>
        </w:rPr>
        <w:t xml:space="preserve"> et al (2023) note that Confidence and Trust can be built on an individual level, as interaction with a Victim can make a difference to their individual response to the Police in the future.</w:t>
      </w:r>
      <w:r w:rsidR="003F470F">
        <w:rPr>
          <w:color w:val="000000" w:themeColor="text1"/>
          <w:sz w:val="24"/>
          <w:szCs w:val="24"/>
        </w:rPr>
        <w:t xml:space="preserve"> This can also be seen by what the College of Policing (COP)</w:t>
      </w:r>
      <w:r w:rsidR="00E570A3">
        <w:rPr>
          <w:color w:val="000000" w:themeColor="text1"/>
          <w:sz w:val="24"/>
          <w:szCs w:val="24"/>
        </w:rPr>
        <w:t xml:space="preserve"> (2016)</w:t>
      </w:r>
      <w:r w:rsidR="003F470F">
        <w:rPr>
          <w:color w:val="000000" w:themeColor="text1"/>
          <w:sz w:val="24"/>
          <w:szCs w:val="24"/>
        </w:rPr>
        <w:t xml:space="preserve"> state to do as a First Response to a Domestic Abuse incident and instruct Police to build a rapport with the Victim and make them feel like they aren’t being judged and are in a safe place to disclose what has happened.</w:t>
      </w:r>
    </w:p>
    <w:p w14:paraId="5958EF9E" w14:textId="77777777" w:rsidR="001346B7" w:rsidRDefault="001346B7" w:rsidP="00A043B4">
      <w:pPr>
        <w:spacing w:line="480" w:lineRule="auto"/>
        <w:ind w:right="237"/>
        <w:jc w:val="both"/>
        <w:rPr>
          <w:color w:val="000000" w:themeColor="text1"/>
          <w:sz w:val="24"/>
          <w:szCs w:val="24"/>
        </w:rPr>
      </w:pPr>
    </w:p>
    <w:p w14:paraId="13EDFF9C" w14:textId="68225F9F" w:rsidR="001346B7" w:rsidRDefault="001346B7" w:rsidP="00A043B4">
      <w:pPr>
        <w:spacing w:line="480" w:lineRule="auto"/>
        <w:ind w:right="237"/>
        <w:jc w:val="both"/>
        <w:rPr>
          <w:color w:val="000000" w:themeColor="text1"/>
          <w:sz w:val="24"/>
          <w:szCs w:val="24"/>
        </w:rPr>
      </w:pPr>
      <w:proofErr w:type="spellStart"/>
      <w:r>
        <w:rPr>
          <w:color w:val="000000" w:themeColor="text1"/>
          <w:sz w:val="24"/>
          <w:szCs w:val="24"/>
        </w:rPr>
        <w:t>Kanougiya</w:t>
      </w:r>
      <w:proofErr w:type="spellEnd"/>
      <w:r>
        <w:rPr>
          <w:color w:val="000000" w:themeColor="text1"/>
          <w:sz w:val="24"/>
          <w:szCs w:val="24"/>
        </w:rPr>
        <w:t xml:space="preserve"> et al (2021) cover that the controlling abusers tend to isolate the victim first and foremost that can be seen in this incident, as the </w:t>
      </w:r>
      <w:proofErr w:type="gramStart"/>
      <w:r>
        <w:rPr>
          <w:color w:val="000000" w:themeColor="text1"/>
          <w:sz w:val="24"/>
          <w:szCs w:val="24"/>
        </w:rPr>
        <w:t>Sister</w:t>
      </w:r>
      <w:proofErr w:type="gramEnd"/>
      <w:r>
        <w:rPr>
          <w:color w:val="000000" w:themeColor="text1"/>
          <w:sz w:val="24"/>
          <w:szCs w:val="24"/>
        </w:rPr>
        <w:t xml:space="preserve"> who was present had stated that since the Suspect came into the Victim’s life, the Victim had stopped socialising with friends and family. Whilst, the Victim thought this to be normal behaviour due to wanting to spend time with the Suspect, although he would make her feel bad when he didn’t get to spend said time with her. It can also be seen where the Suspect has played on the Victim’s already poor view on the Police, when he has used it against her knowing she wouldn’t phone the Police in times of threat and danger to herself, from him.</w:t>
      </w:r>
      <w:r w:rsidR="0085365C" w:rsidRPr="0085365C">
        <w:rPr>
          <w:color w:val="000000" w:themeColor="text1"/>
          <w:sz w:val="24"/>
          <w:szCs w:val="24"/>
        </w:rPr>
        <w:t xml:space="preserve"> </w:t>
      </w:r>
      <w:r w:rsidR="0085365C">
        <w:rPr>
          <w:color w:val="000000" w:themeColor="text1"/>
          <w:sz w:val="24"/>
          <w:szCs w:val="24"/>
        </w:rPr>
        <w:t xml:space="preserve">Birdsall and Boulton (2022) comment backing </w:t>
      </w:r>
      <w:proofErr w:type="spellStart"/>
      <w:r w:rsidR="0085365C">
        <w:rPr>
          <w:color w:val="000000" w:themeColor="text1"/>
          <w:sz w:val="24"/>
          <w:szCs w:val="24"/>
        </w:rPr>
        <w:t>Kanougiya</w:t>
      </w:r>
      <w:proofErr w:type="spellEnd"/>
      <w:r w:rsidR="0085365C">
        <w:rPr>
          <w:color w:val="000000" w:themeColor="text1"/>
          <w:sz w:val="24"/>
          <w:szCs w:val="24"/>
        </w:rPr>
        <w:t xml:space="preserve"> et al, whereby Police should be taking a more Victim-</w:t>
      </w:r>
      <w:r w:rsidR="00AB0EC1">
        <w:rPr>
          <w:color w:val="000000" w:themeColor="text1"/>
          <w:sz w:val="24"/>
          <w:szCs w:val="24"/>
        </w:rPr>
        <w:t>centred</w:t>
      </w:r>
      <w:r w:rsidR="0085365C">
        <w:rPr>
          <w:color w:val="000000" w:themeColor="text1"/>
          <w:sz w:val="24"/>
          <w:szCs w:val="24"/>
        </w:rPr>
        <w:t xml:space="preserve"> approach and by allowing the </w:t>
      </w:r>
      <w:proofErr w:type="gramStart"/>
      <w:r w:rsidR="0085365C">
        <w:rPr>
          <w:color w:val="000000" w:themeColor="text1"/>
          <w:sz w:val="24"/>
          <w:szCs w:val="24"/>
        </w:rPr>
        <w:t>Sister</w:t>
      </w:r>
      <w:proofErr w:type="gramEnd"/>
      <w:r w:rsidR="0085365C">
        <w:rPr>
          <w:color w:val="000000" w:themeColor="text1"/>
          <w:sz w:val="24"/>
          <w:szCs w:val="24"/>
        </w:rPr>
        <w:t xml:space="preserve"> to be present throughout the obtaining of a Victim Statement, had made the Victim open up more to Police and wish to pursue a complaint.</w:t>
      </w:r>
    </w:p>
    <w:p w14:paraId="6F833BC0" w14:textId="77777777" w:rsidR="00333125" w:rsidRDefault="00333125" w:rsidP="00A043B4">
      <w:pPr>
        <w:spacing w:line="480" w:lineRule="auto"/>
        <w:ind w:right="237"/>
        <w:jc w:val="both"/>
        <w:rPr>
          <w:color w:val="000000" w:themeColor="text1"/>
          <w:sz w:val="24"/>
          <w:szCs w:val="24"/>
        </w:rPr>
      </w:pPr>
    </w:p>
    <w:p w14:paraId="1F5A273D" w14:textId="279ABF80" w:rsidR="00333125" w:rsidRDefault="00333125" w:rsidP="00A043B4">
      <w:pPr>
        <w:spacing w:line="480" w:lineRule="auto"/>
        <w:ind w:right="237"/>
        <w:jc w:val="both"/>
        <w:rPr>
          <w:color w:val="000000" w:themeColor="text1"/>
          <w:sz w:val="24"/>
          <w:szCs w:val="24"/>
        </w:rPr>
      </w:pPr>
      <w:r>
        <w:rPr>
          <w:color w:val="000000" w:themeColor="text1"/>
          <w:sz w:val="24"/>
          <w:szCs w:val="24"/>
        </w:rPr>
        <w:t xml:space="preserve">The sister has then continued to explain how when the Victim did come out with friends or Family, she would consistently be called every few minutes if she ignored her phone. To the extent, she has had to pretend to be asleep and the </w:t>
      </w:r>
      <w:proofErr w:type="gramStart"/>
      <w:r>
        <w:rPr>
          <w:color w:val="000000" w:themeColor="text1"/>
          <w:sz w:val="24"/>
          <w:szCs w:val="24"/>
        </w:rPr>
        <w:t>Sister</w:t>
      </w:r>
      <w:proofErr w:type="gramEnd"/>
      <w:r>
        <w:rPr>
          <w:color w:val="000000" w:themeColor="text1"/>
          <w:sz w:val="24"/>
          <w:szCs w:val="24"/>
        </w:rPr>
        <w:t xml:space="preserve"> take </w:t>
      </w:r>
      <w:r>
        <w:rPr>
          <w:color w:val="000000" w:themeColor="text1"/>
          <w:sz w:val="24"/>
          <w:szCs w:val="24"/>
        </w:rPr>
        <w:lastRenderedPageBreak/>
        <w:t xml:space="preserve">an image to get the Suspect to stop phoning her. COP (2021) highlights that possessive behaviour as described by the </w:t>
      </w:r>
      <w:proofErr w:type="gramStart"/>
      <w:r>
        <w:rPr>
          <w:color w:val="000000" w:themeColor="text1"/>
          <w:sz w:val="24"/>
          <w:szCs w:val="24"/>
        </w:rPr>
        <w:t>Sister</w:t>
      </w:r>
      <w:proofErr w:type="gramEnd"/>
      <w:r>
        <w:rPr>
          <w:color w:val="000000" w:themeColor="text1"/>
          <w:sz w:val="24"/>
          <w:szCs w:val="24"/>
        </w:rPr>
        <w:t xml:space="preserve"> above, with the consistent phone calls and when the Victim would be returning home can be seen as part of controlling and coercive behaviour.</w:t>
      </w:r>
    </w:p>
    <w:p w14:paraId="2FE3882C" w14:textId="77777777" w:rsidR="00386B48" w:rsidRDefault="00386B48" w:rsidP="00A043B4">
      <w:pPr>
        <w:spacing w:line="480" w:lineRule="auto"/>
        <w:ind w:right="237"/>
        <w:jc w:val="both"/>
        <w:rPr>
          <w:color w:val="000000" w:themeColor="text1"/>
          <w:sz w:val="24"/>
          <w:szCs w:val="24"/>
        </w:rPr>
      </w:pPr>
    </w:p>
    <w:p w14:paraId="22C5852C" w14:textId="77777777" w:rsidR="00A76FBA" w:rsidRDefault="00A76FBA" w:rsidP="00A043B4">
      <w:pPr>
        <w:spacing w:line="480" w:lineRule="auto"/>
        <w:ind w:right="237"/>
        <w:jc w:val="both"/>
        <w:rPr>
          <w:color w:val="000000" w:themeColor="text1"/>
          <w:sz w:val="24"/>
          <w:szCs w:val="24"/>
        </w:rPr>
      </w:pPr>
    </w:p>
    <w:p w14:paraId="2AF07C60" w14:textId="64FF2727" w:rsidR="00A76FBA" w:rsidRDefault="00A76FBA" w:rsidP="00A043B4">
      <w:pPr>
        <w:spacing w:line="480" w:lineRule="auto"/>
        <w:ind w:right="237"/>
        <w:jc w:val="both"/>
        <w:rPr>
          <w:color w:val="000000" w:themeColor="text1"/>
          <w:sz w:val="24"/>
          <w:szCs w:val="24"/>
        </w:rPr>
      </w:pPr>
      <w:r>
        <w:rPr>
          <w:color w:val="000000" w:themeColor="text1"/>
          <w:sz w:val="24"/>
          <w:szCs w:val="24"/>
        </w:rPr>
        <w:t xml:space="preserve">We initially started to listen to several voice calls whereby the Male was verbally hounding her, call her derogatory names and terms where she was audibly crying. The </w:t>
      </w:r>
      <w:r w:rsidR="000677C2">
        <w:rPr>
          <w:color w:val="000000" w:themeColor="text1"/>
          <w:sz w:val="24"/>
          <w:szCs w:val="24"/>
        </w:rPr>
        <w:t xml:space="preserve">Victim </w:t>
      </w:r>
      <w:r>
        <w:rPr>
          <w:color w:val="000000" w:themeColor="text1"/>
          <w:sz w:val="24"/>
          <w:szCs w:val="24"/>
        </w:rPr>
        <w:t xml:space="preserve">has then begun to get visibly upset and thus we have paused the Voice Recordings so me and the </w:t>
      </w:r>
      <w:proofErr w:type="gramStart"/>
      <w:r>
        <w:rPr>
          <w:color w:val="000000" w:themeColor="text1"/>
          <w:sz w:val="24"/>
          <w:szCs w:val="24"/>
        </w:rPr>
        <w:t>Sister</w:t>
      </w:r>
      <w:proofErr w:type="gramEnd"/>
      <w:r>
        <w:rPr>
          <w:color w:val="000000" w:themeColor="text1"/>
          <w:sz w:val="24"/>
          <w:szCs w:val="24"/>
        </w:rPr>
        <w:t xml:space="preserve"> could get it recorded when the Female Victim wasn’t in the room.</w:t>
      </w:r>
    </w:p>
    <w:p w14:paraId="73CAEA53" w14:textId="77777777" w:rsidR="00A22D68" w:rsidRDefault="00A22D68" w:rsidP="00A043B4">
      <w:pPr>
        <w:spacing w:line="480" w:lineRule="auto"/>
        <w:ind w:right="237"/>
        <w:jc w:val="both"/>
        <w:rPr>
          <w:color w:val="000000" w:themeColor="text1"/>
          <w:sz w:val="24"/>
          <w:szCs w:val="24"/>
        </w:rPr>
      </w:pPr>
    </w:p>
    <w:p w14:paraId="3A053047" w14:textId="071A8742" w:rsidR="00A22D68" w:rsidRDefault="00A22D68" w:rsidP="00A043B4">
      <w:pPr>
        <w:spacing w:line="480" w:lineRule="auto"/>
        <w:ind w:right="237"/>
        <w:jc w:val="both"/>
        <w:rPr>
          <w:color w:val="000000" w:themeColor="text1"/>
          <w:sz w:val="24"/>
          <w:szCs w:val="24"/>
        </w:rPr>
      </w:pPr>
      <w:r>
        <w:rPr>
          <w:color w:val="000000" w:themeColor="text1"/>
          <w:sz w:val="24"/>
          <w:szCs w:val="24"/>
        </w:rPr>
        <w:t xml:space="preserve">As </w:t>
      </w:r>
      <w:proofErr w:type="spellStart"/>
      <w:r>
        <w:rPr>
          <w:color w:val="000000" w:themeColor="text1"/>
          <w:sz w:val="24"/>
          <w:szCs w:val="24"/>
        </w:rPr>
        <w:t>Kanougiya</w:t>
      </w:r>
      <w:proofErr w:type="spellEnd"/>
      <w:r>
        <w:rPr>
          <w:color w:val="000000" w:themeColor="text1"/>
          <w:sz w:val="24"/>
          <w:szCs w:val="24"/>
        </w:rPr>
        <w:t xml:space="preserve"> Et Al (2021) state that Domestic Violence Research has mostly been about Physical Violence, Financial and Emotional abuse, but rarely touches upon the controlling behaviour and how this, tends to be used to dominate Victims for far longer periods of times. </w:t>
      </w:r>
      <w:r w:rsidR="00824CAD">
        <w:rPr>
          <w:color w:val="000000" w:themeColor="text1"/>
          <w:sz w:val="24"/>
          <w:szCs w:val="24"/>
        </w:rPr>
        <w:t>This</w:t>
      </w:r>
      <w:r>
        <w:rPr>
          <w:color w:val="000000" w:themeColor="text1"/>
          <w:sz w:val="24"/>
          <w:szCs w:val="24"/>
        </w:rPr>
        <w:t xml:space="preserve"> </w:t>
      </w:r>
      <w:r>
        <w:rPr>
          <w:color w:val="000000" w:themeColor="text1"/>
          <w:sz w:val="24"/>
          <w:szCs w:val="24"/>
        </w:rPr>
        <w:t xml:space="preserve">could be heard within the Voice Notes the Sister had been sent from the Victim, where the Suspect </w:t>
      </w:r>
      <w:r w:rsidR="00824CAD">
        <w:rPr>
          <w:color w:val="000000" w:themeColor="text1"/>
          <w:sz w:val="24"/>
          <w:szCs w:val="24"/>
        </w:rPr>
        <w:t xml:space="preserve">was </w:t>
      </w:r>
      <w:r>
        <w:rPr>
          <w:color w:val="000000" w:themeColor="text1"/>
          <w:sz w:val="24"/>
          <w:szCs w:val="24"/>
        </w:rPr>
        <w:t xml:space="preserve">in the background </w:t>
      </w:r>
      <w:r w:rsidR="00824CAD">
        <w:rPr>
          <w:color w:val="000000" w:themeColor="text1"/>
          <w:sz w:val="24"/>
          <w:szCs w:val="24"/>
        </w:rPr>
        <w:t xml:space="preserve">and </w:t>
      </w:r>
      <w:proofErr w:type="gramStart"/>
      <w:r w:rsidR="00824CAD">
        <w:rPr>
          <w:color w:val="000000" w:themeColor="text1"/>
          <w:sz w:val="24"/>
          <w:szCs w:val="24"/>
        </w:rPr>
        <w:t xml:space="preserve">was  </w:t>
      </w:r>
      <w:r>
        <w:rPr>
          <w:color w:val="000000" w:themeColor="text1"/>
          <w:sz w:val="24"/>
          <w:szCs w:val="24"/>
        </w:rPr>
        <w:t>threatening</w:t>
      </w:r>
      <w:proofErr w:type="gramEnd"/>
      <w:r w:rsidR="00824CAD">
        <w:rPr>
          <w:color w:val="000000" w:themeColor="text1"/>
          <w:sz w:val="24"/>
          <w:szCs w:val="24"/>
        </w:rPr>
        <w:t xml:space="preserve"> and screaming at </w:t>
      </w:r>
      <w:r>
        <w:rPr>
          <w:color w:val="000000" w:themeColor="text1"/>
          <w:sz w:val="24"/>
          <w:szCs w:val="24"/>
        </w:rPr>
        <w:t>the Victim constantly and then a few hours later, crying and threatening to cause himself harm if she didn’t show empathy for him.</w:t>
      </w:r>
    </w:p>
    <w:p w14:paraId="09147E7F" w14:textId="77777777" w:rsidR="00A22D68" w:rsidRDefault="00A22D68" w:rsidP="00A043B4">
      <w:pPr>
        <w:spacing w:line="480" w:lineRule="auto"/>
        <w:ind w:right="237"/>
        <w:jc w:val="both"/>
        <w:rPr>
          <w:color w:val="000000" w:themeColor="text1"/>
          <w:sz w:val="24"/>
          <w:szCs w:val="24"/>
        </w:rPr>
      </w:pPr>
    </w:p>
    <w:p w14:paraId="1AAC1692" w14:textId="77777777" w:rsidR="00D25312" w:rsidRDefault="00D25312" w:rsidP="00A043B4">
      <w:pPr>
        <w:spacing w:line="480" w:lineRule="auto"/>
        <w:ind w:right="237"/>
        <w:jc w:val="both"/>
        <w:rPr>
          <w:color w:val="000000" w:themeColor="text1"/>
          <w:sz w:val="24"/>
          <w:szCs w:val="24"/>
        </w:rPr>
      </w:pPr>
    </w:p>
    <w:p w14:paraId="5EE2899A" w14:textId="1E97B3B0" w:rsidR="000677C2" w:rsidRDefault="000677C2" w:rsidP="00A043B4">
      <w:pPr>
        <w:spacing w:line="480" w:lineRule="auto"/>
        <w:ind w:right="237"/>
        <w:jc w:val="both"/>
        <w:rPr>
          <w:color w:val="000000" w:themeColor="text1"/>
          <w:sz w:val="24"/>
          <w:szCs w:val="24"/>
        </w:rPr>
      </w:pPr>
      <w:r>
        <w:rPr>
          <w:color w:val="000000" w:themeColor="text1"/>
          <w:sz w:val="24"/>
          <w:szCs w:val="24"/>
        </w:rPr>
        <w:t>The Victim had stated whilst I was obtaining a statement from her, that she believ</w:t>
      </w:r>
      <w:r w:rsidR="0029223E">
        <w:rPr>
          <w:color w:val="000000" w:themeColor="text1"/>
          <w:sz w:val="24"/>
          <w:szCs w:val="24"/>
        </w:rPr>
        <w:t xml:space="preserve">ed that actions like the Male threatening or mentioning suicide whenever she had doubts about the relationship and how he would always apologise and tell her how much he loves her, after a period of verbal abuse or stressful situations. </w:t>
      </w:r>
    </w:p>
    <w:p w14:paraId="585D0F6B" w14:textId="77777777" w:rsidR="0029223E" w:rsidRDefault="0029223E" w:rsidP="00A043B4">
      <w:pPr>
        <w:spacing w:line="480" w:lineRule="auto"/>
        <w:ind w:right="237"/>
        <w:jc w:val="both"/>
        <w:rPr>
          <w:color w:val="000000" w:themeColor="text1"/>
          <w:sz w:val="24"/>
          <w:szCs w:val="24"/>
        </w:rPr>
      </w:pPr>
    </w:p>
    <w:p w14:paraId="78503D41" w14:textId="3208A361" w:rsidR="0029223E" w:rsidRDefault="0029223E" w:rsidP="00A043B4">
      <w:pPr>
        <w:spacing w:line="480" w:lineRule="auto"/>
        <w:ind w:right="237"/>
        <w:jc w:val="both"/>
        <w:rPr>
          <w:color w:val="000000" w:themeColor="text1"/>
          <w:sz w:val="24"/>
          <w:szCs w:val="24"/>
        </w:rPr>
      </w:pPr>
      <w:r>
        <w:rPr>
          <w:color w:val="000000" w:themeColor="text1"/>
          <w:sz w:val="24"/>
          <w:szCs w:val="24"/>
        </w:rPr>
        <w:t>As per Fleetwood (2016) states that modern media portrays relationships requiring pain and hardship in order to have romantic love and this thus makes people grow up believing it to be acceptable behaviour and normalises the situations within a relationship and thus normalising abusive behaviour.</w:t>
      </w:r>
      <w:r w:rsidR="00810642">
        <w:rPr>
          <w:color w:val="000000" w:themeColor="text1"/>
          <w:sz w:val="24"/>
          <w:szCs w:val="24"/>
        </w:rPr>
        <w:t xml:space="preserve"> As Walby and Towers (2018) state that Domestic Violence is found mainly in the Men’s control over Women in a relationship. </w:t>
      </w:r>
      <w:r w:rsidR="00824CAD">
        <w:rPr>
          <w:color w:val="000000" w:themeColor="text1"/>
          <w:sz w:val="24"/>
          <w:szCs w:val="24"/>
        </w:rPr>
        <w:t>This</w:t>
      </w:r>
      <w:r w:rsidR="004A1CFD">
        <w:rPr>
          <w:color w:val="000000" w:themeColor="text1"/>
          <w:sz w:val="24"/>
          <w:szCs w:val="24"/>
        </w:rPr>
        <w:t xml:space="preserve"> is further backed up by Lea and Lynn (2012) who noted that Men tend to be the ones violent towards Women.</w:t>
      </w:r>
    </w:p>
    <w:p w14:paraId="1DE8543D" w14:textId="77777777" w:rsidR="0029223E" w:rsidRDefault="0029223E" w:rsidP="00A043B4">
      <w:pPr>
        <w:spacing w:line="480" w:lineRule="auto"/>
        <w:ind w:right="237"/>
        <w:jc w:val="both"/>
        <w:rPr>
          <w:color w:val="000000" w:themeColor="text1"/>
          <w:sz w:val="24"/>
          <w:szCs w:val="24"/>
        </w:rPr>
      </w:pPr>
    </w:p>
    <w:p w14:paraId="3FEDEB4A" w14:textId="77777777" w:rsidR="005A0B5A" w:rsidRDefault="005A0B5A" w:rsidP="00A043B4">
      <w:pPr>
        <w:spacing w:line="480" w:lineRule="auto"/>
        <w:ind w:right="237"/>
        <w:jc w:val="both"/>
        <w:rPr>
          <w:color w:val="000000" w:themeColor="text1"/>
          <w:sz w:val="24"/>
          <w:szCs w:val="24"/>
        </w:rPr>
      </w:pPr>
    </w:p>
    <w:p w14:paraId="0AB10058" w14:textId="385DA0DA" w:rsidR="00386B48" w:rsidRDefault="00A76FBA" w:rsidP="00A043B4">
      <w:pPr>
        <w:spacing w:line="480" w:lineRule="auto"/>
        <w:ind w:right="237"/>
        <w:jc w:val="both"/>
        <w:rPr>
          <w:color w:val="000000" w:themeColor="text1"/>
          <w:sz w:val="24"/>
          <w:szCs w:val="24"/>
        </w:rPr>
      </w:pPr>
      <w:r>
        <w:rPr>
          <w:color w:val="000000" w:themeColor="text1"/>
          <w:sz w:val="24"/>
          <w:szCs w:val="24"/>
        </w:rPr>
        <w:t>The Victim had made several other reports previously, including having seen him commit Grievous Bodily Harm to her friend that he believed she was cheating on him with. However, did not provide a complaint in any occasion until this incident due to the fear of retaliation she had.</w:t>
      </w:r>
      <w:r w:rsidR="005A0B5A">
        <w:rPr>
          <w:color w:val="000000" w:themeColor="text1"/>
          <w:sz w:val="24"/>
          <w:szCs w:val="24"/>
        </w:rPr>
        <w:t xml:space="preserve"> That as COP (2021) noted the behaviour of jealousy and isolating the Victim from friends and family is included in controlling and coercive behaviour.</w:t>
      </w:r>
    </w:p>
    <w:p w14:paraId="5F0F5ECB" w14:textId="77777777" w:rsidR="00C93E1D" w:rsidRDefault="00C93E1D" w:rsidP="00A043B4">
      <w:pPr>
        <w:spacing w:line="480" w:lineRule="auto"/>
        <w:ind w:right="237"/>
        <w:jc w:val="both"/>
        <w:rPr>
          <w:color w:val="000000" w:themeColor="text1"/>
          <w:sz w:val="24"/>
          <w:szCs w:val="24"/>
        </w:rPr>
      </w:pPr>
    </w:p>
    <w:p w14:paraId="0739BDD1" w14:textId="7DCAA1D7" w:rsidR="00C93E1D" w:rsidRDefault="00C93E1D" w:rsidP="00A043B4">
      <w:pPr>
        <w:spacing w:line="480" w:lineRule="auto"/>
        <w:ind w:right="237"/>
        <w:jc w:val="both"/>
        <w:rPr>
          <w:color w:val="000000" w:themeColor="text1"/>
          <w:sz w:val="24"/>
          <w:szCs w:val="24"/>
        </w:rPr>
      </w:pPr>
      <w:r>
        <w:rPr>
          <w:color w:val="000000" w:themeColor="text1"/>
          <w:sz w:val="24"/>
          <w:szCs w:val="24"/>
        </w:rPr>
        <w:t>As Walby and Towers (2018) state that there are three different types of Domestic Abuse, one of them is a Violence that escalates over time when the Victim doesn’t retaliate or defend themselves which is</w:t>
      </w:r>
      <w:r w:rsidR="00824CAD">
        <w:rPr>
          <w:color w:val="000000" w:themeColor="text1"/>
          <w:sz w:val="24"/>
          <w:szCs w:val="24"/>
        </w:rPr>
        <w:t xml:space="preserve"> a</w:t>
      </w:r>
      <w:r>
        <w:rPr>
          <w:color w:val="000000" w:themeColor="text1"/>
          <w:sz w:val="24"/>
          <w:szCs w:val="24"/>
        </w:rPr>
        <w:t xml:space="preserve"> clear example when the Victim has had the initial year of their relationship without issue. However, overtime the abuse has gotten worse to the point her Partner had committed Grievous Bodily Harm as per the Offences against the Person’s act, Section 20 (1861) to the Victim’s Friend. </w:t>
      </w:r>
    </w:p>
    <w:p w14:paraId="07A95BF7" w14:textId="77777777" w:rsidR="00C93E1D" w:rsidRDefault="00C93E1D" w:rsidP="00A043B4">
      <w:pPr>
        <w:spacing w:line="480" w:lineRule="auto"/>
        <w:ind w:right="237"/>
        <w:jc w:val="both"/>
        <w:rPr>
          <w:color w:val="000000" w:themeColor="text1"/>
          <w:sz w:val="24"/>
          <w:szCs w:val="24"/>
        </w:rPr>
      </w:pPr>
    </w:p>
    <w:p w14:paraId="0329F72D" w14:textId="77777777" w:rsidR="00D25312" w:rsidRDefault="00D25312" w:rsidP="00A043B4">
      <w:pPr>
        <w:spacing w:line="480" w:lineRule="auto"/>
        <w:ind w:right="237"/>
        <w:jc w:val="both"/>
        <w:rPr>
          <w:color w:val="000000" w:themeColor="text1"/>
          <w:sz w:val="24"/>
          <w:szCs w:val="24"/>
        </w:rPr>
      </w:pPr>
    </w:p>
    <w:p w14:paraId="68E82BBC" w14:textId="49FE2A08" w:rsidR="00D25312" w:rsidRDefault="00D25312" w:rsidP="00A043B4">
      <w:pPr>
        <w:spacing w:line="480" w:lineRule="auto"/>
        <w:ind w:right="237"/>
        <w:jc w:val="both"/>
        <w:rPr>
          <w:color w:val="000000" w:themeColor="text1"/>
          <w:sz w:val="24"/>
          <w:szCs w:val="24"/>
        </w:rPr>
      </w:pPr>
      <w:r>
        <w:rPr>
          <w:color w:val="000000" w:themeColor="text1"/>
          <w:sz w:val="24"/>
          <w:szCs w:val="24"/>
        </w:rPr>
        <w:lastRenderedPageBreak/>
        <w:t>The Victim initially did not wish to attend court, due to the fear of having to give evidence in</w:t>
      </w:r>
      <w:r w:rsidR="00C534EB">
        <w:rPr>
          <w:color w:val="000000" w:themeColor="text1"/>
          <w:sz w:val="24"/>
          <w:szCs w:val="24"/>
        </w:rPr>
        <w:t xml:space="preserve"> </w:t>
      </w:r>
      <w:r>
        <w:rPr>
          <w:color w:val="000000" w:themeColor="text1"/>
          <w:sz w:val="24"/>
          <w:szCs w:val="24"/>
        </w:rPr>
        <w:t xml:space="preserve">front of him. However, I had then explained Special Measures and her </w:t>
      </w:r>
      <w:proofErr w:type="gramStart"/>
      <w:r>
        <w:rPr>
          <w:color w:val="000000" w:themeColor="text1"/>
          <w:sz w:val="24"/>
          <w:szCs w:val="24"/>
        </w:rPr>
        <w:t>Sister</w:t>
      </w:r>
      <w:proofErr w:type="gramEnd"/>
      <w:r>
        <w:rPr>
          <w:color w:val="000000" w:themeColor="text1"/>
          <w:sz w:val="24"/>
          <w:szCs w:val="24"/>
        </w:rPr>
        <w:t xml:space="preserve"> was assisting in saying that she would support her throughout it all. Whereby the Victim had agreed to continue for the time being, where she noted that she might withdraw later on.</w:t>
      </w:r>
      <w:r>
        <w:rPr>
          <w:color w:val="000000" w:themeColor="text1"/>
          <w:sz w:val="24"/>
          <w:szCs w:val="24"/>
        </w:rPr>
        <w:t xml:space="preserve"> </w:t>
      </w:r>
    </w:p>
    <w:p w14:paraId="5302CE93" w14:textId="77777777" w:rsidR="00D25312" w:rsidRDefault="00D25312" w:rsidP="00A043B4">
      <w:pPr>
        <w:spacing w:line="480" w:lineRule="auto"/>
        <w:ind w:right="237"/>
        <w:jc w:val="both"/>
        <w:rPr>
          <w:color w:val="000000" w:themeColor="text1"/>
          <w:sz w:val="24"/>
          <w:szCs w:val="24"/>
        </w:rPr>
      </w:pPr>
    </w:p>
    <w:p w14:paraId="15439944" w14:textId="070F2EA0" w:rsidR="00D25312" w:rsidRDefault="00D25312" w:rsidP="00A043B4">
      <w:pPr>
        <w:spacing w:line="480" w:lineRule="auto"/>
        <w:ind w:right="237"/>
        <w:jc w:val="both"/>
        <w:rPr>
          <w:color w:val="000000" w:themeColor="text1"/>
          <w:sz w:val="24"/>
          <w:szCs w:val="24"/>
        </w:rPr>
      </w:pPr>
      <w:r>
        <w:rPr>
          <w:color w:val="000000" w:themeColor="text1"/>
          <w:sz w:val="24"/>
          <w:szCs w:val="24"/>
        </w:rPr>
        <w:t xml:space="preserve">This can be seen by what Birdsall and Boulton (2022) states that the ongoing challenge for Police upon attendance to Domestic Abuse calls is that the Victim either doesn’t wish to proceed with a complaint or withdraws their complaint at a later date. It is also noted that due to no complaint, prosecutions then become extremely difficult to pursue. </w:t>
      </w:r>
      <w:r w:rsidR="004A1CFD">
        <w:rPr>
          <w:color w:val="000000" w:themeColor="text1"/>
          <w:sz w:val="24"/>
          <w:szCs w:val="24"/>
        </w:rPr>
        <w:t xml:space="preserve">This is then backed up by Lea and Lynn (2012) whereby they have stated that even with numerous changes in policy for the Victims, cases have a high rate of attrition due to the withdrawal of Victim Complaints. </w:t>
      </w:r>
    </w:p>
    <w:p w14:paraId="679D0EBF" w14:textId="77777777" w:rsidR="003C3295" w:rsidRDefault="003C3295" w:rsidP="00A043B4">
      <w:pPr>
        <w:spacing w:line="480" w:lineRule="auto"/>
        <w:ind w:right="237"/>
        <w:jc w:val="both"/>
        <w:rPr>
          <w:color w:val="000000" w:themeColor="text1"/>
          <w:sz w:val="24"/>
          <w:szCs w:val="24"/>
        </w:rPr>
      </w:pPr>
    </w:p>
    <w:p w14:paraId="619A0C0A" w14:textId="3A8C6CF7" w:rsidR="003C3295" w:rsidRDefault="003C3295" w:rsidP="00A043B4">
      <w:pPr>
        <w:spacing w:line="480" w:lineRule="auto"/>
        <w:ind w:right="237"/>
        <w:jc w:val="both"/>
        <w:rPr>
          <w:color w:val="000000" w:themeColor="text1"/>
          <w:sz w:val="24"/>
          <w:szCs w:val="24"/>
        </w:rPr>
      </w:pPr>
      <w:r>
        <w:rPr>
          <w:color w:val="000000" w:themeColor="text1"/>
          <w:sz w:val="24"/>
          <w:szCs w:val="24"/>
        </w:rPr>
        <w:t>Barrow-</w:t>
      </w:r>
      <w:proofErr w:type="spellStart"/>
      <w:r>
        <w:rPr>
          <w:color w:val="000000" w:themeColor="text1"/>
          <w:sz w:val="24"/>
          <w:szCs w:val="24"/>
        </w:rPr>
        <w:t>grint</w:t>
      </w:r>
      <w:proofErr w:type="spellEnd"/>
      <w:r>
        <w:rPr>
          <w:color w:val="000000" w:themeColor="text1"/>
          <w:sz w:val="24"/>
          <w:szCs w:val="24"/>
        </w:rPr>
        <w:t xml:space="preserve"> et al (2023) also note on the IDVA’s who are an independent advisor for a Victim of Domestic Abuse. They provide an individual risk assessment and assist the Victim in working with different agencies. IDVA’s are a big part of </w:t>
      </w:r>
      <w:r>
        <w:rPr>
          <w:color w:val="000000" w:themeColor="text1"/>
          <w:sz w:val="24"/>
          <w:szCs w:val="24"/>
        </w:rPr>
        <w:t>Multi-Agency Risk Assessment Conferences (MARAC</w:t>
      </w:r>
      <w:r>
        <w:rPr>
          <w:color w:val="000000" w:themeColor="text1"/>
          <w:sz w:val="24"/>
          <w:szCs w:val="24"/>
        </w:rPr>
        <w:t>)</w:t>
      </w:r>
      <w:r w:rsidR="007000A7">
        <w:rPr>
          <w:color w:val="000000" w:themeColor="text1"/>
          <w:sz w:val="24"/>
          <w:szCs w:val="24"/>
        </w:rPr>
        <w:t xml:space="preserve"> as they advocate for the Victim and are in greater contact with them than the rest. Their primary focus is on the Victim and their transition away from an Abusive relationship.</w:t>
      </w:r>
    </w:p>
    <w:p w14:paraId="66B5D6F0" w14:textId="77777777" w:rsidR="003C3295" w:rsidRDefault="003C3295" w:rsidP="00A043B4">
      <w:pPr>
        <w:spacing w:line="480" w:lineRule="auto"/>
        <w:ind w:right="237"/>
        <w:jc w:val="both"/>
        <w:rPr>
          <w:color w:val="000000" w:themeColor="text1"/>
          <w:sz w:val="24"/>
          <w:szCs w:val="24"/>
        </w:rPr>
      </w:pPr>
    </w:p>
    <w:p w14:paraId="7018C2F3" w14:textId="77777777" w:rsidR="0041371E" w:rsidRDefault="0041371E" w:rsidP="00A043B4">
      <w:pPr>
        <w:spacing w:line="480" w:lineRule="auto"/>
        <w:ind w:right="237"/>
        <w:jc w:val="both"/>
        <w:rPr>
          <w:color w:val="000000" w:themeColor="text1"/>
          <w:sz w:val="24"/>
          <w:szCs w:val="24"/>
        </w:rPr>
      </w:pPr>
    </w:p>
    <w:p w14:paraId="58E6A689" w14:textId="37B2E15E" w:rsidR="0041371E" w:rsidRDefault="0041371E" w:rsidP="00A043B4">
      <w:pPr>
        <w:spacing w:line="480" w:lineRule="auto"/>
        <w:ind w:right="237"/>
        <w:jc w:val="both"/>
        <w:rPr>
          <w:color w:val="000000" w:themeColor="text1"/>
          <w:sz w:val="24"/>
          <w:szCs w:val="24"/>
        </w:rPr>
      </w:pPr>
      <w:r>
        <w:rPr>
          <w:color w:val="000000" w:themeColor="text1"/>
          <w:sz w:val="24"/>
          <w:szCs w:val="24"/>
        </w:rPr>
        <w:t xml:space="preserve">Whilst with the Victim, I have then had to ask a series of questions to the Victim in order to complete a Public Protection Notification (PPN) that is submitted to multiple agencies in order for them to assess the risk both going forward and from this </w:t>
      </w:r>
      <w:r>
        <w:rPr>
          <w:color w:val="000000" w:themeColor="text1"/>
          <w:sz w:val="24"/>
          <w:szCs w:val="24"/>
        </w:rPr>
        <w:lastRenderedPageBreak/>
        <w:t>incident to the Victim.</w:t>
      </w:r>
      <w:r w:rsidR="00073CDD">
        <w:rPr>
          <w:color w:val="000000" w:themeColor="text1"/>
          <w:sz w:val="24"/>
          <w:szCs w:val="24"/>
        </w:rPr>
        <w:t xml:space="preserve"> As per COP (2016) this is required in order to identify the risk towards the Victim going forward and to ensure safeguarding measures are put in place, within and outside of the Police</w:t>
      </w:r>
      <w:r w:rsidR="00A07DF9">
        <w:rPr>
          <w:color w:val="000000" w:themeColor="text1"/>
          <w:sz w:val="24"/>
          <w:szCs w:val="24"/>
        </w:rPr>
        <w:t xml:space="preserve"> for the safety of the Victim</w:t>
      </w:r>
      <w:r w:rsidR="00073CDD">
        <w:rPr>
          <w:color w:val="000000" w:themeColor="text1"/>
          <w:sz w:val="24"/>
          <w:szCs w:val="24"/>
        </w:rPr>
        <w:t>.</w:t>
      </w:r>
    </w:p>
    <w:p w14:paraId="65668FC5" w14:textId="77777777" w:rsidR="0041371E" w:rsidRDefault="0041371E" w:rsidP="00A043B4">
      <w:pPr>
        <w:spacing w:line="480" w:lineRule="auto"/>
        <w:ind w:right="237"/>
        <w:jc w:val="both"/>
        <w:rPr>
          <w:color w:val="000000" w:themeColor="text1"/>
          <w:sz w:val="24"/>
          <w:szCs w:val="24"/>
        </w:rPr>
      </w:pPr>
    </w:p>
    <w:p w14:paraId="366C204C" w14:textId="0BDF4938" w:rsidR="0041371E" w:rsidRDefault="0041371E" w:rsidP="00A043B4">
      <w:pPr>
        <w:spacing w:line="480" w:lineRule="auto"/>
        <w:ind w:right="237"/>
        <w:jc w:val="both"/>
        <w:rPr>
          <w:color w:val="000000" w:themeColor="text1"/>
          <w:sz w:val="24"/>
          <w:szCs w:val="24"/>
        </w:rPr>
      </w:pPr>
      <w:r>
        <w:rPr>
          <w:color w:val="000000" w:themeColor="text1"/>
          <w:sz w:val="24"/>
          <w:szCs w:val="24"/>
        </w:rPr>
        <w:t xml:space="preserve">As per Kennedy et al (2023) </w:t>
      </w:r>
      <w:r w:rsidR="009A09D6">
        <w:rPr>
          <w:color w:val="000000" w:themeColor="text1"/>
          <w:sz w:val="24"/>
          <w:szCs w:val="24"/>
        </w:rPr>
        <w:t>state that the data used in the PPN is then forwarded onto a Public Protection Department within the force. They use it to assess the risk of further harm to the victim and are also used to implement assistance and intervention for the Victim’s Safety and wellbeing.</w:t>
      </w:r>
      <w:r w:rsidR="007A0398">
        <w:rPr>
          <w:color w:val="000000" w:themeColor="text1"/>
          <w:sz w:val="24"/>
          <w:szCs w:val="24"/>
        </w:rPr>
        <w:t xml:space="preserve"> Barrow-</w:t>
      </w:r>
      <w:proofErr w:type="spellStart"/>
      <w:r w:rsidR="007A0398">
        <w:rPr>
          <w:color w:val="000000" w:themeColor="text1"/>
          <w:sz w:val="24"/>
          <w:szCs w:val="24"/>
        </w:rPr>
        <w:t>grint</w:t>
      </w:r>
      <w:proofErr w:type="spellEnd"/>
      <w:r w:rsidR="007A0398">
        <w:rPr>
          <w:color w:val="000000" w:themeColor="text1"/>
          <w:sz w:val="24"/>
          <w:szCs w:val="24"/>
        </w:rPr>
        <w:t xml:space="preserve"> et al (2023) note on the</w:t>
      </w:r>
      <w:r w:rsidR="003C3295">
        <w:rPr>
          <w:color w:val="000000" w:themeColor="text1"/>
          <w:sz w:val="24"/>
          <w:szCs w:val="24"/>
        </w:rPr>
        <w:t xml:space="preserve"> MARAC,</w:t>
      </w:r>
      <w:r w:rsidR="007A0398">
        <w:rPr>
          <w:color w:val="000000" w:themeColor="text1"/>
          <w:sz w:val="24"/>
          <w:szCs w:val="24"/>
        </w:rPr>
        <w:t xml:space="preserve"> whereby multiple members from different agencies, including the Police</w:t>
      </w:r>
      <w:r w:rsidR="003C3295">
        <w:rPr>
          <w:color w:val="000000" w:themeColor="text1"/>
          <w:sz w:val="24"/>
          <w:szCs w:val="24"/>
        </w:rPr>
        <w:t xml:space="preserve">, IDVA, Housing, </w:t>
      </w:r>
      <w:r w:rsidR="007A0398">
        <w:rPr>
          <w:color w:val="000000" w:themeColor="text1"/>
          <w:sz w:val="24"/>
          <w:szCs w:val="24"/>
        </w:rPr>
        <w:t>Social Services</w:t>
      </w:r>
      <w:r w:rsidR="003C3295">
        <w:rPr>
          <w:color w:val="000000" w:themeColor="text1"/>
          <w:sz w:val="24"/>
          <w:szCs w:val="24"/>
        </w:rPr>
        <w:t xml:space="preserve"> and plenty more</w:t>
      </w:r>
      <w:r w:rsidR="007A0398">
        <w:rPr>
          <w:color w:val="000000" w:themeColor="text1"/>
          <w:sz w:val="24"/>
          <w:szCs w:val="24"/>
        </w:rPr>
        <w:t xml:space="preserve"> join together in order to provide a </w:t>
      </w:r>
      <w:proofErr w:type="gramStart"/>
      <w:r w:rsidR="007A0398">
        <w:rPr>
          <w:color w:val="000000" w:themeColor="text1"/>
          <w:sz w:val="24"/>
          <w:szCs w:val="24"/>
        </w:rPr>
        <w:t>strategies</w:t>
      </w:r>
      <w:proofErr w:type="gramEnd"/>
      <w:r w:rsidR="007A0398">
        <w:rPr>
          <w:color w:val="000000" w:themeColor="text1"/>
          <w:sz w:val="24"/>
          <w:szCs w:val="24"/>
        </w:rPr>
        <w:t xml:space="preserve"> to implement said intervention that Kennedy et al had mentioned above. </w:t>
      </w:r>
    </w:p>
    <w:p w14:paraId="79FD6883" w14:textId="77777777" w:rsidR="004A1CFD" w:rsidRDefault="004A1CFD" w:rsidP="00A043B4">
      <w:pPr>
        <w:spacing w:line="480" w:lineRule="auto"/>
        <w:ind w:right="237"/>
        <w:jc w:val="both"/>
        <w:rPr>
          <w:color w:val="000000" w:themeColor="text1"/>
          <w:sz w:val="24"/>
          <w:szCs w:val="24"/>
        </w:rPr>
      </w:pPr>
    </w:p>
    <w:p w14:paraId="50D300B0" w14:textId="2C2F6CF7" w:rsidR="00367577" w:rsidRDefault="00367577" w:rsidP="00A043B4">
      <w:pPr>
        <w:spacing w:line="480" w:lineRule="auto"/>
        <w:ind w:right="237"/>
        <w:jc w:val="both"/>
        <w:rPr>
          <w:color w:val="000000" w:themeColor="text1"/>
          <w:sz w:val="24"/>
          <w:szCs w:val="24"/>
        </w:rPr>
      </w:pPr>
    </w:p>
    <w:p w14:paraId="28CD93BF" w14:textId="67D2C0F7" w:rsidR="00D25312" w:rsidRPr="00E676F7" w:rsidRDefault="00D25312" w:rsidP="00A043B4">
      <w:pPr>
        <w:spacing w:line="480" w:lineRule="auto"/>
        <w:ind w:right="237"/>
        <w:jc w:val="both"/>
        <w:rPr>
          <w:color w:val="000000" w:themeColor="text1"/>
          <w:sz w:val="24"/>
          <w:szCs w:val="24"/>
        </w:rPr>
      </w:pPr>
      <w:r>
        <w:rPr>
          <w:color w:val="000000" w:themeColor="text1"/>
          <w:sz w:val="24"/>
          <w:szCs w:val="24"/>
        </w:rPr>
        <w:t xml:space="preserve">Birdsall and Boulton (2022) also point out that it is difficult to assess if a Victim wishes to drop the charges due to being coerced or if they are making their own decision to withdraw. </w:t>
      </w:r>
      <w:r w:rsidR="00B03DBA">
        <w:rPr>
          <w:color w:val="000000" w:themeColor="text1"/>
          <w:sz w:val="24"/>
          <w:szCs w:val="24"/>
        </w:rPr>
        <w:t>However, noted that the solution to this may be to take a Victim-</w:t>
      </w:r>
      <w:r w:rsidR="00D05DDE">
        <w:rPr>
          <w:color w:val="000000" w:themeColor="text1"/>
          <w:sz w:val="24"/>
          <w:szCs w:val="24"/>
        </w:rPr>
        <w:t>centred</w:t>
      </w:r>
      <w:r w:rsidR="00B03DBA">
        <w:rPr>
          <w:color w:val="000000" w:themeColor="text1"/>
          <w:sz w:val="24"/>
          <w:szCs w:val="24"/>
        </w:rPr>
        <w:t xml:space="preserve"> approach and focus on understanding the Victim.</w:t>
      </w:r>
      <w:r w:rsidR="004A1CFD">
        <w:rPr>
          <w:color w:val="000000" w:themeColor="text1"/>
          <w:sz w:val="24"/>
          <w:szCs w:val="24"/>
        </w:rPr>
        <w:t xml:space="preserve"> </w:t>
      </w:r>
      <w:r w:rsidR="00655F11">
        <w:rPr>
          <w:color w:val="000000" w:themeColor="text1"/>
          <w:sz w:val="24"/>
          <w:szCs w:val="24"/>
        </w:rPr>
        <w:t xml:space="preserve">This ties into what </w:t>
      </w:r>
      <w:r w:rsidR="009A09D6">
        <w:rPr>
          <w:color w:val="000000" w:themeColor="text1"/>
          <w:sz w:val="24"/>
          <w:szCs w:val="24"/>
        </w:rPr>
        <w:t>Kennedy et al (2023) talk</w:t>
      </w:r>
      <w:r w:rsidR="00655F11">
        <w:rPr>
          <w:color w:val="000000" w:themeColor="text1"/>
          <w:sz w:val="24"/>
          <w:szCs w:val="24"/>
        </w:rPr>
        <w:t>s</w:t>
      </w:r>
      <w:r w:rsidR="009A09D6">
        <w:rPr>
          <w:color w:val="000000" w:themeColor="text1"/>
          <w:sz w:val="24"/>
          <w:szCs w:val="24"/>
        </w:rPr>
        <w:t xml:space="preserve"> about </w:t>
      </w:r>
      <w:r w:rsidR="00655F11">
        <w:rPr>
          <w:color w:val="000000" w:themeColor="text1"/>
          <w:sz w:val="24"/>
          <w:szCs w:val="24"/>
        </w:rPr>
        <w:t>in regards to the</w:t>
      </w:r>
      <w:r w:rsidR="009A09D6">
        <w:rPr>
          <w:color w:val="000000" w:themeColor="text1"/>
          <w:sz w:val="24"/>
          <w:szCs w:val="24"/>
        </w:rPr>
        <w:t xml:space="preserve"> PPN that is used in order to assess ongoing risk to a Victim</w:t>
      </w:r>
      <w:r w:rsidR="00655F11">
        <w:rPr>
          <w:color w:val="000000" w:themeColor="text1"/>
          <w:sz w:val="24"/>
          <w:szCs w:val="24"/>
        </w:rPr>
        <w:t xml:space="preserve"> and focuses purely on the Victim. Identifying risk and </w:t>
      </w:r>
      <w:r w:rsidR="009A09D6">
        <w:rPr>
          <w:color w:val="000000" w:themeColor="text1"/>
          <w:sz w:val="24"/>
          <w:szCs w:val="24"/>
        </w:rPr>
        <w:t>where support can be put in place by agencies outside of the Police to assist the Victim in both ongoing cases and cases where they do not cooperate.</w:t>
      </w:r>
      <w:r w:rsidR="004834E7">
        <w:rPr>
          <w:color w:val="000000" w:themeColor="text1"/>
          <w:sz w:val="24"/>
          <w:szCs w:val="24"/>
        </w:rPr>
        <w:t xml:space="preserve"> This is further backed up by Barrow-</w:t>
      </w:r>
      <w:proofErr w:type="spellStart"/>
      <w:r w:rsidR="004834E7">
        <w:rPr>
          <w:color w:val="000000" w:themeColor="text1"/>
          <w:sz w:val="24"/>
          <w:szCs w:val="24"/>
        </w:rPr>
        <w:t>grint</w:t>
      </w:r>
      <w:proofErr w:type="spellEnd"/>
      <w:r w:rsidR="004834E7">
        <w:rPr>
          <w:color w:val="000000" w:themeColor="text1"/>
          <w:sz w:val="24"/>
          <w:szCs w:val="24"/>
        </w:rPr>
        <w:t xml:space="preserve"> et al (2022) who have stated that the earlier risk assessment is important as if any risk is misidentified could lead to life threatening consequences for the Victim.</w:t>
      </w:r>
      <w:r w:rsidR="00E570A3">
        <w:rPr>
          <w:color w:val="000000" w:themeColor="text1"/>
          <w:sz w:val="24"/>
          <w:szCs w:val="24"/>
        </w:rPr>
        <w:t xml:space="preserve"> H</w:t>
      </w:r>
    </w:p>
    <w:p w14:paraId="72529F42" w14:textId="291D3A23" w:rsidR="00025650" w:rsidRDefault="00025650" w:rsidP="00A043B4">
      <w:pPr>
        <w:spacing w:line="480" w:lineRule="auto"/>
        <w:ind w:right="237"/>
        <w:jc w:val="both"/>
        <w:rPr>
          <w:color w:val="000000" w:themeColor="text1"/>
          <w:sz w:val="24"/>
          <w:szCs w:val="24"/>
        </w:rPr>
      </w:pPr>
    </w:p>
    <w:p w14:paraId="1D915D38" w14:textId="66435F1B" w:rsidR="00903BE5" w:rsidRDefault="00903BE5" w:rsidP="00A043B4">
      <w:pPr>
        <w:spacing w:line="480" w:lineRule="auto"/>
        <w:ind w:right="237"/>
        <w:jc w:val="both"/>
        <w:rPr>
          <w:color w:val="000000" w:themeColor="text1"/>
          <w:sz w:val="24"/>
          <w:szCs w:val="24"/>
        </w:rPr>
      </w:pPr>
      <w:r>
        <w:rPr>
          <w:color w:val="000000" w:themeColor="text1"/>
          <w:sz w:val="24"/>
          <w:szCs w:val="24"/>
        </w:rPr>
        <w:t xml:space="preserve">As </w:t>
      </w:r>
      <w:proofErr w:type="spellStart"/>
      <w:r>
        <w:rPr>
          <w:color w:val="000000" w:themeColor="text1"/>
          <w:sz w:val="24"/>
          <w:szCs w:val="24"/>
        </w:rPr>
        <w:t>Karavias</w:t>
      </w:r>
      <w:proofErr w:type="spellEnd"/>
      <w:r>
        <w:rPr>
          <w:color w:val="000000" w:themeColor="text1"/>
          <w:sz w:val="24"/>
          <w:szCs w:val="24"/>
        </w:rPr>
        <w:t xml:space="preserve"> et al (2023) state that in 2012-2014 a system called Cautioning and Relationship Abuse (CARA) had been tried for the first time on </w:t>
      </w:r>
      <w:proofErr w:type="gramStart"/>
      <w:r>
        <w:rPr>
          <w:color w:val="000000" w:themeColor="text1"/>
          <w:sz w:val="24"/>
          <w:szCs w:val="24"/>
        </w:rPr>
        <w:t>low risk</w:t>
      </w:r>
      <w:proofErr w:type="gramEnd"/>
      <w:r>
        <w:rPr>
          <w:color w:val="000000" w:themeColor="text1"/>
          <w:sz w:val="24"/>
          <w:szCs w:val="24"/>
        </w:rPr>
        <w:t xml:space="preserve"> Domestic Violence Offenders and that only 35% of Males who attended the service had gone onto reoffend afterwards</w:t>
      </w:r>
      <w:r w:rsidR="00E570A3">
        <w:rPr>
          <w:color w:val="000000" w:themeColor="text1"/>
          <w:sz w:val="24"/>
          <w:szCs w:val="24"/>
        </w:rPr>
        <w:t>. This</w:t>
      </w:r>
      <w:r>
        <w:rPr>
          <w:color w:val="000000" w:themeColor="text1"/>
          <w:sz w:val="24"/>
          <w:szCs w:val="24"/>
        </w:rPr>
        <w:t xml:space="preserve"> is being used and has made an effect on forces in England</w:t>
      </w:r>
      <w:r w:rsidR="001C2903">
        <w:rPr>
          <w:color w:val="000000" w:themeColor="text1"/>
          <w:sz w:val="24"/>
          <w:szCs w:val="24"/>
        </w:rPr>
        <w:t xml:space="preserve"> and would still provide the Offender with a Conditional Caution</w:t>
      </w:r>
      <w:r w:rsidR="002D20DB">
        <w:rPr>
          <w:color w:val="000000" w:themeColor="text1"/>
          <w:sz w:val="24"/>
          <w:szCs w:val="24"/>
        </w:rPr>
        <w:t>.</w:t>
      </w:r>
      <w:r w:rsidR="003465F6">
        <w:rPr>
          <w:color w:val="000000" w:themeColor="text1"/>
          <w:sz w:val="24"/>
          <w:szCs w:val="24"/>
        </w:rPr>
        <w:t xml:space="preserve"> That as Birdsall and Boulton (2022) stated </w:t>
      </w:r>
      <w:r w:rsidR="009E226B">
        <w:rPr>
          <w:color w:val="000000" w:themeColor="text1"/>
          <w:sz w:val="24"/>
          <w:szCs w:val="24"/>
        </w:rPr>
        <w:t xml:space="preserve">that lack of victim cooperation </w:t>
      </w:r>
      <w:r w:rsidR="003465F6">
        <w:rPr>
          <w:color w:val="000000" w:themeColor="text1"/>
          <w:sz w:val="24"/>
          <w:szCs w:val="24"/>
        </w:rPr>
        <w:t>is an ongoing issue.</w:t>
      </w:r>
      <w:r w:rsidR="009E226B">
        <w:rPr>
          <w:color w:val="000000" w:themeColor="text1"/>
          <w:sz w:val="24"/>
          <w:szCs w:val="24"/>
        </w:rPr>
        <w:t xml:space="preserve"> This strategy would therefore be a solve to this challenge.</w:t>
      </w:r>
    </w:p>
    <w:p w14:paraId="2A605355" w14:textId="77777777" w:rsidR="00367577" w:rsidRDefault="00367577" w:rsidP="00A043B4">
      <w:pPr>
        <w:spacing w:line="480" w:lineRule="auto"/>
        <w:ind w:right="237"/>
        <w:jc w:val="both"/>
        <w:rPr>
          <w:color w:val="000000" w:themeColor="text1"/>
          <w:sz w:val="24"/>
          <w:szCs w:val="24"/>
        </w:rPr>
      </w:pPr>
    </w:p>
    <w:p w14:paraId="6A0FA530" w14:textId="5F304069" w:rsidR="00014E26" w:rsidRDefault="00367577" w:rsidP="00A043B4">
      <w:pPr>
        <w:spacing w:line="480" w:lineRule="auto"/>
        <w:ind w:right="237"/>
        <w:jc w:val="both"/>
        <w:rPr>
          <w:color w:val="000000" w:themeColor="text1"/>
          <w:sz w:val="24"/>
          <w:szCs w:val="24"/>
        </w:rPr>
      </w:pPr>
      <w:r>
        <w:rPr>
          <w:color w:val="000000" w:themeColor="text1"/>
          <w:sz w:val="24"/>
          <w:szCs w:val="24"/>
        </w:rPr>
        <w:t>It is also noted in Bessant (2015) that Victims don’t have a voice in the decision of arresting a suspect or not and that it falls down solely to the Police. Even if it is purely an allegation with no proof, in order to further investigate that allegation as they can then send it to the Crown Prosecution Service for them to decide to prosecute or not. This allows for the safeguarding of Victims even when they don’t cooperate and the CPS could go forward with a Victimless Prosecution, however as stated by Birdsall and Boulton (2022) is highly unlikely.</w:t>
      </w:r>
      <w:r w:rsidR="00314C36">
        <w:rPr>
          <w:color w:val="000000" w:themeColor="text1"/>
          <w:sz w:val="24"/>
          <w:szCs w:val="24"/>
        </w:rPr>
        <w:t xml:space="preserve"> But it is another strategy in order to overcome a Victim Recantation or lack of Cooperation.</w:t>
      </w:r>
      <w:r w:rsidR="00014E26">
        <w:rPr>
          <w:color w:val="000000" w:themeColor="text1"/>
          <w:sz w:val="24"/>
          <w:szCs w:val="24"/>
        </w:rPr>
        <w:t xml:space="preserve"> This is backed up by COP (2016) whereby they state that as a response to an abusive incident positive action should be taken and to consider an arrest where lawfully appropriate. </w:t>
      </w:r>
    </w:p>
    <w:p w14:paraId="7742EBD2" w14:textId="77777777" w:rsidR="00F9457D" w:rsidRDefault="00F9457D" w:rsidP="00A043B4">
      <w:pPr>
        <w:spacing w:line="480" w:lineRule="auto"/>
        <w:ind w:right="237"/>
        <w:jc w:val="both"/>
        <w:rPr>
          <w:color w:val="000000" w:themeColor="text1"/>
          <w:sz w:val="24"/>
          <w:szCs w:val="24"/>
        </w:rPr>
      </w:pPr>
    </w:p>
    <w:p w14:paraId="700D5D63" w14:textId="3D2A334D" w:rsidR="00F9457D" w:rsidRDefault="00F9457D" w:rsidP="00A043B4">
      <w:pPr>
        <w:spacing w:line="480" w:lineRule="auto"/>
        <w:ind w:right="237"/>
        <w:jc w:val="both"/>
        <w:rPr>
          <w:color w:val="000000" w:themeColor="text1"/>
          <w:sz w:val="24"/>
          <w:szCs w:val="24"/>
        </w:rPr>
      </w:pPr>
      <w:r>
        <w:rPr>
          <w:color w:val="000000" w:themeColor="text1"/>
          <w:sz w:val="24"/>
          <w:szCs w:val="24"/>
        </w:rPr>
        <w:t xml:space="preserve">Bessant (2015) also talks about Domestic Violence Protection Notices and Orders (DVPN/DVPO) that have been effective in reducing domestic violence as a whole. These then prohibit the ability of the Suspect to attend the address that the Victim is residing at, even if the Suspect owns the address. A DVPN only lasts for 48 hours until a DVPO is then issued by the courts that is applied for during the DVPN time </w:t>
      </w:r>
      <w:r>
        <w:rPr>
          <w:color w:val="000000" w:themeColor="text1"/>
          <w:sz w:val="24"/>
          <w:szCs w:val="24"/>
        </w:rPr>
        <w:lastRenderedPageBreak/>
        <w:t>limit. This is another strategy in reducing the Suspect from reattending the address and causing the Victim to be in further fear of going through with the prosecution.</w:t>
      </w:r>
    </w:p>
    <w:p w14:paraId="440C1242" w14:textId="16A75D73" w:rsidR="00025650" w:rsidRPr="00E676F7" w:rsidRDefault="00243C0B" w:rsidP="00243C0B">
      <w:pPr>
        <w:overflowPunct/>
        <w:autoSpaceDE/>
        <w:autoSpaceDN/>
        <w:adjustRightInd/>
        <w:textAlignment w:val="auto"/>
        <w:rPr>
          <w:b/>
          <w:bCs/>
          <w:color w:val="000000" w:themeColor="text1"/>
          <w:sz w:val="28"/>
          <w:szCs w:val="28"/>
          <w:u w:val="single"/>
        </w:rPr>
      </w:pPr>
      <w:r>
        <w:rPr>
          <w:color w:val="000000" w:themeColor="text1"/>
          <w:sz w:val="24"/>
          <w:szCs w:val="24"/>
        </w:rPr>
        <w:br w:type="page"/>
      </w:r>
      <w:proofErr w:type="spellStart"/>
      <w:r w:rsidR="16967356" w:rsidRPr="5CE196A1">
        <w:rPr>
          <w:b/>
          <w:bCs/>
          <w:color w:val="000000" w:themeColor="text1"/>
          <w:sz w:val="28"/>
          <w:szCs w:val="28"/>
          <w:u w:val="single"/>
        </w:rPr>
        <w:lastRenderedPageBreak/>
        <w:t>sk</w:t>
      </w:r>
      <w:proofErr w:type="spellEnd"/>
      <w:r w:rsidR="16967356" w:rsidRPr="5CE196A1">
        <w:rPr>
          <w:b/>
          <w:bCs/>
          <w:color w:val="000000" w:themeColor="text1"/>
          <w:sz w:val="28"/>
          <w:szCs w:val="28"/>
          <w:u w:val="single"/>
        </w:rPr>
        <w:t xml:space="preserve"> 2 Option 2:</w:t>
      </w:r>
      <w:r w:rsidR="16967356"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Default="00025650" w:rsidP="0FF883D4">
      <w:pPr>
        <w:ind w:right="237"/>
        <w:jc w:val="both"/>
        <w:rPr>
          <w:b/>
          <w:bCs/>
          <w:color w:val="000000" w:themeColor="text1"/>
          <w:sz w:val="24"/>
          <w:szCs w:val="24"/>
        </w:rPr>
      </w:pPr>
    </w:p>
    <w:p w14:paraId="02E5B696" w14:textId="340362B8" w:rsidR="00BC1304" w:rsidRPr="00BC1304" w:rsidRDefault="00BC1304" w:rsidP="0FF883D4">
      <w:pPr>
        <w:ind w:right="237"/>
        <w:jc w:val="both"/>
        <w:rPr>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6F515179" w14:textId="77777777" w:rsidR="00243C0B" w:rsidRDefault="00243C0B">
      <w:pPr>
        <w:overflowPunct/>
        <w:autoSpaceDE/>
        <w:autoSpaceDN/>
        <w:adjustRightInd/>
        <w:textAlignment w:val="auto"/>
        <w:rPr>
          <w:rFonts w:eastAsia="Arial"/>
          <w:b/>
          <w:bCs/>
          <w:color w:val="000000" w:themeColor="text1"/>
          <w:sz w:val="28"/>
          <w:szCs w:val="28"/>
          <w:u w:val="single"/>
        </w:rPr>
      </w:pPr>
      <w:r>
        <w:rPr>
          <w:rFonts w:eastAsia="Arial"/>
          <w:b/>
          <w:bCs/>
          <w:color w:val="000000" w:themeColor="text1"/>
          <w:sz w:val="28"/>
          <w:szCs w:val="28"/>
          <w:u w:val="single"/>
        </w:rPr>
        <w:br w:type="page"/>
      </w:r>
    </w:p>
    <w:p w14:paraId="43EC7FA9" w14:textId="78910A9E"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52DFCF8D" w14:textId="423F6181" w:rsidR="0FF883D4" w:rsidRDefault="530F4161" w:rsidP="0FF883D4">
      <w:pPr>
        <w:ind w:right="237"/>
        <w:jc w:val="both"/>
        <w:rPr>
          <w:b/>
          <w:bCs/>
          <w:color w:val="000000" w:themeColor="text1"/>
          <w:sz w:val="24"/>
          <w:szCs w:val="24"/>
        </w:rPr>
      </w:pPr>
      <w:r w:rsidRPr="5CE196A1">
        <w:rPr>
          <w:b/>
          <w:bCs/>
          <w:sz w:val="24"/>
          <w:szCs w:val="24"/>
        </w:rPr>
        <w:t xml:space="preserve">Answer: </w:t>
      </w: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6AEFBFD8" w14:textId="77777777" w:rsidR="00243C0B" w:rsidRDefault="00243C0B">
      <w:pPr>
        <w:overflowPunct/>
        <w:autoSpaceDE/>
        <w:autoSpaceDN/>
        <w:adjustRightInd/>
        <w:textAlignment w:val="auto"/>
        <w:rPr>
          <w:rFonts w:eastAsia="Arial"/>
          <w:b/>
          <w:bCs/>
          <w:color w:val="000000" w:themeColor="text1"/>
          <w:sz w:val="28"/>
          <w:szCs w:val="28"/>
          <w:u w:val="single"/>
        </w:rPr>
      </w:pPr>
      <w:r>
        <w:rPr>
          <w:rFonts w:eastAsia="Arial"/>
          <w:b/>
          <w:bCs/>
          <w:color w:val="000000" w:themeColor="text1"/>
          <w:sz w:val="28"/>
          <w:szCs w:val="28"/>
          <w:u w:val="single"/>
        </w:rPr>
        <w:br w:type="page"/>
      </w:r>
    </w:p>
    <w:p w14:paraId="45169573" w14:textId="148C71A0"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30FD9487" w14:textId="55D790F9" w:rsidR="0FF883D4" w:rsidRDefault="530F4161" w:rsidP="0FF883D4">
      <w:pPr>
        <w:ind w:right="237"/>
        <w:jc w:val="both"/>
        <w:rPr>
          <w:color w:val="000000" w:themeColor="text1"/>
          <w:sz w:val="24"/>
          <w:szCs w:val="24"/>
        </w:rPr>
      </w:pPr>
      <w:r w:rsidRPr="5CE196A1">
        <w:rPr>
          <w:b/>
          <w:bCs/>
          <w:color w:val="000000" w:themeColor="text1"/>
          <w:sz w:val="28"/>
          <w:szCs w:val="28"/>
        </w:rPr>
        <w:t xml:space="preserve">Answer: </w:t>
      </w: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6A90821B" w14:textId="77777777" w:rsidR="00243C0B" w:rsidRDefault="00243C0B">
      <w:pPr>
        <w:overflowPunct/>
        <w:autoSpaceDE/>
        <w:autoSpaceDN/>
        <w:adjustRightInd/>
        <w:textAlignment w:val="auto"/>
        <w:rPr>
          <w:rFonts w:eastAsia="Arial"/>
          <w:b/>
          <w:bCs/>
          <w:color w:val="000000" w:themeColor="text1"/>
          <w:sz w:val="28"/>
          <w:szCs w:val="28"/>
          <w:u w:val="single"/>
        </w:rPr>
      </w:pPr>
      <w:r>
        <w:rPr>
          <w:rFonts w:eastAsia="Arial"/>
          <w:b/>
          <w:bCs/>
          <w:color w:val="000000" w:themeColor="text1"/>
          <w:sz w:val="28"/>
          <w:szCs w:val="28"/>
          <w:u w:val="single"/>
        </w:rPr>
        <w:br w:type="page"/>
      </w:r>
    </w:p>
    <w:p w14:paraId="58751063" w14:textId="49E17D4B"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2AF8B623" w14:textId="77777777" w:rsidR="00243C0B" w:rsidRDefault="00243C0B" w:rsidP="5CE196A1">
      <w:pPr>
        <w:rPr>
          <w:rFonts w:eastAsia="Arial"/>
          <w:b/>
          <w:bCs/>
          <w:color w:val="000000" w:themeColor="text1"/>
          <w:sz w:val="24"/>
          <w:szCs w:val="24"/>
        </w:rPr>
      </w:pPr>
    </w:p>
    <w:p w14:paraId="425A8041" w14:textId="0E682B07" w:rsidR="00243C0B" w:rsidRDefault="00A043B4" w:rsidP="5CE196A1">
      <w:r w:rsidRPr="00A043B4">
        <w:rPr>
          <w:rFonts w:eastAsia="Arial"/>
          <w:noProof/>
          <w:color w:val="000000" w:themeColor="text1"/>
          <w:sz w:val="24"/>
          <w:szCs w:val="24"/>
          <w:highlight w:val="yellow"/>
        </w:rPr>
        <w:drawing>
          <wp:anchor distT="0" distB="0" distL="114300" distR="114300" simplePos="0" relativeHeight="251658240" behindDoc="0" locked="0" layoutInCell="1" allowOverlap="1" wp14:anchorId="4D475F05" wp14:editId="7B8C0500">
            <wp:simplePos x="0" y="0"/>
            <wp:positionH relativeFrom="column">
              <wp:posOffset>0</wp:posOffset>
            </wp:positionH>
            <wp:positionV relativeFrom="paragraph">
              <wp:posOffset>2540</wp:posOffset>
            </wp:positionV>
            <wp:extent cx="2863850" cy="450850"/>
            <wp:effectExtent l="0" t="0" r="0" b="6350"/>
            <wp:wrapTopAndBottom/>
            <wp:docPr id="1436717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3850" cy="450850"/>
                    </a:xfrm>
                    <a:prstGeom prst="rect">
                      <a:avLst/>
                    </a:prstGeom>
                  </pic:spPr>
                </pic:pic>
              </a:graphicData>
            </a:graphic>
            <wp14:sizeRelH relativeFrom="page">
              <wp14:pctWidth>0</wp14:pctWidth>
            </wp14:sizeRelH>
            <wp14:sizeRelV relativeFrom="page">
              <wp14:pctHeight>0</wp14:pctHeight>
            </wp14:sizeRelV>
          </wp:anchor>
        </w:drawing>
      </w:r>
    </w:p>
    <w:p w14:paraId="563192E7" w14:textId="7A83C86F" w:rsidR="0FF883D4" w:rsidRDefault="5CE196A1" w:rsidP="5CE196A1">
      <w:r w:rsidRPr="5CE196A1">
        <w:rPr>
          <w:rFonts w:eastAsia="Arial"/>
          <w:b/>
          <w:bCs/>
          <w:color w:val="000000" w:themeColor="text1"/>
          <w:sz w:val="24"/>
          <w:szCs w:val="24"/>
        </w:rPr>
        <w:t xml:space="preserve"> </w:t>
      </w:r>
    </w:p>
    <w:p w14:paraId="0612145C" w14:textId="77777777" w:rsidR="00A043B4" w:rsidRDefault="00A043B4" w:rsidP="5CE196A1">
      <w:pPr>
        <w:rPr>
          <w:rFonts w:eastAsia="Arial"/>
          <w:b/>
          <w:bCs/>
          <w:color w:val="000000" w:themeColor="text1"/>
          <w:sz w:val="24"/>
          <w:szCs w:val="24"/>
        </w:rPr>
      </w:pPr>
    </w:p>
    <w:p w14:paraId="482B2B3A" w14:textId="1551B3AD" w:rsidR="0FF883D4" w:rsidRPr="00A043B4" w:rsidRDefault="5CE196A1" w:rsidP="00A043B4">
      <w:pPr>
        <w:sectPr w:rsidR="0FF883D4" w:rsidRPr="00A043B4" w:rsidSect="006E238A">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043B4">
        <w:t xml:space="preserve"> </w:t>
      </w:r>
      <w:r w:rsidR="00A043B4" w:rsidRPr="00A043B4">
        <w:rPr>
          <w:sz w:val="24"/>
          <w:szCs w:val="24"/>
          <w:lang w:eastAsia="zh-TW"/>
        </w:rPr>
        <w:t>28/04/2024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D0547C7" w14:textId="77777777" w:rsidR="0018299C" w:rsidRDefault="0018299C" w:rsidP="00EA28F1">
      <w:pPr>
        <w:keepNext/>
        <w:spacing w:before="240" w:after="60"/>
        <w:ind w:right="237"/>
        <w:jc w:val="both"/>
        <w:rPr>
          <w:sz w:val="24"/>
          <w:szCs w:val="24"/>
        </w:rPr>
      </w:pPr>
    </w:p>
    <w:sdt>
      <w:sdtPr>
        <w:rPr>
          <w:b w:val="0"/>
          <w:kern w:val="0"/>
          <w:sz w:val="20"/>
        </w:rPr>
        <w:id w:val="239998992"/>
        <w:docPartObj>
          <w:docPartGallery w:val="Bibliographies"/>
          <w:docPartUnique/>
        </w:docPartObj>
      </w:sdtPr>
      <w:sdtContent>
        <w:p w14:paraId="7CAF5F02" w14:textId="2D691415" w:rsidR="0018299C" w:rsidRDefault="0018299C">
          <w:pPr>
            <w:pStyle w:val="Heading1"/>
          </w:pPr>
          <w:r>
            <w:t>References</w:t>
          </w:r>
        </w:p>
        <w:sdt>
          <w:sdtPr>
            <w:rPr>
              <w:sz w:val="24"/>
              <w:szCs w:val="24"/>
            </w:rPr>
            <w:id w:val="-573587230"/>
            <w:bibliography/>
          </w:sdtPr>
          <w:sdtEndPr>
            <w:rPr>
              <w:sz w:val="20"/>
              <w:szCs w:val="20"/>
            </w:rPr>
          </w:sdtEndPr>
          <w:sdtContent>
            <w:p w14:paraId="7B813744" w14:textId="77777777" w:rsidR="003A30EF" w:rsidRPr="003A30EF" w:rsidRDefault="0018299C" w:rsidP="003A30EF">
              <w:pPr>
                <w:pStyle w:val="Bibliography"/>
                <w:spacing w:line="360" w:lineRule="auto"/>
                <w:rPr>
                  <w:noProof/>
                  <w:sz w:val="24"/>
                  <w:szCs w:val="24"/>
                </w:rPr>
              </w:pPr>
              <w:r w:rsidRPr="003A30EF">
                <w:rPr>
                  <w:sz w:val="24"/>
                  <w:szCs w:val="24"/>
                </w:rPr>
                <w:fldChar w:fldCharType="begin"/>
              </w:r>
              <w:r w:rsidRPr="003A30EF">
                <w:rPr>
                  <w:sz w:val="24"/>
                  <w:szCs w:val="24"/>
                </w:rPr>
                <w:instrText xml:space="preserve"> BIBLIOGRAPHY </w:instrText>
              </w:r>
              <w:r w:rsidRPr="003A30EF">
                <w:rPr>
                  <w:sz w:val="24"/>
                  <w:szCs w:val="24"/>
                </w:rPr>
                <w:fldChar w:fldCharType="separate"/>
              </w:r>
              <w:r w:rsidR="003A30EF" w:rsidRPr="003A30EF">
                <w:rPr>
                  <w:noProof/>
                  <w:sz w:val="24"/>
                  <w:szCs w:val="24"/>
                </w:rPr>
                <w:t xml:space="preserve">Barrow-Grint, K., Sebire, J., Turton, J. &amp; Weir, R., 2022. </w:t>
              </w:r>
              <w:r w:rsidR="003A30EF" w:rsidRPr="003A30EF">
                <w:rPr>
                  <w:i/>
                  <w:iCs/>
                  <w:noProof/>
                  <w:sz w:val="24"/>
                  <w:szCs w:val="24"/>
                </w:rPr>
                <w:t xml:space="preserve">Policing Domestic Abuse. </w:t>
              </w:r>
              <w:r w:rsidR="003A30EF" w:rsidRPr="003A30EF">
                <w:rPr>
                  <w:noProof/>
                  <w:sz w:val="24"/>
                  <w:szCs w:val="24"/>
                </w:rPr>
                <w:t>1 ed. London: Routledge.</w:t>
              </w:r>
            </w:p>
            <w:p w14:paraId="273217D4"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Bessant, C., 2015. Protecting Victims of Domestic Violence—Have We Got the Balance Right?. </w:t>
              </w:r>
              <w:r w:rsidRPr="003A30EF">
                <w:rPr>
                  <w:i/>
                  <w:iCs/>
                  <w:noProof/>
                  <w:sz w:val="24"/>
                  <w:szCs w:val="24"/>
                </w:rPr>
                <w:t xml:space="preserve">The Journal of Criminal Law, </w:t>
              </w:r>
              <w:r w:rsidRPr="003A30EF">
                <w:rPr>
                  <w:noProof/>
                  <w:sz w:val="24"/>
                  <w:szCs w:val="24"/>
                </w:rPr>
                <w:t>79(2).</w:t>
              </w:r>
            </w:p>
            <w:p w14:paraId="47C8D7B0"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Birdsall, N. &amp; Boulton, L., 2022. Theorising victim decision making in the police response to domestic abuse. </w:t>
              </w:r>
              <w:r w:rsidRPr="003A30EF">
                <w:rPr>
                  <w:i/>
                  <w:iCs/>
                  <w:noProof/>
                  <w:sz w:val="24"/>
                  <w:szCs w:val="24"/>
                </w:rPr>
                <w:t xml:space="preserve">International Review of Victimology, </w:t>
              </w:r>
              <w:r w:rsidRPr="003A30EF">
                <w:rPr>
                  <w:noProof/>
                  <w:sz w:val="24"/>
                  <w:szCs w:val="24"/>
                </w:rPr>
                <w:t>28(3).</w:t>
              </w:r>
            </w:p>
            <w:p w14:paraId="7F075333"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Bromley, H., Davis, S. K. &amp; Taylor-Dunn, H., 2024. The Professional Quality of Life of Domestic and Sexual Violence Advocates: A Systematic Review of Possible Risk and Protective Factors. </w:t>
              </w:r>
              <w:r w:rsidRPr="003A30EF">
                <w:rPr>
                  <w:i/>
                  <w:iCs/>
                  <w:noProof/>
                  <w:sz w:val="24"/>
                  <w:szCs w:val="24"/>
                </w:rPr>
                <w:t xml:space="preserve">Trauma, Violence, &amp; Abuse, </w:t>
              </w:r>
              <w:r w:rsidRPr="003A30EF">
                <w:rPr>
                  <w:noProof/>
                  <w:sz w:val="24"/>
                  <w:szCs w:val="24"/>
                </w:rPr>
                <w:t>25(2).</w:t>
              </w:r>
            </w:p>
            <w:p w14:paraId="570FCAAE"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Cesari, S., 2020. Prison Treatment Programs From an International Perspective. In: </w:t>
              </w:r>
              <w:r w:rsidRPr="003A30EF">
                <w:rPr>
                  <w:i/>
                  <w:iCs/>
                  <w:noProof/>
                  <w:sz w:val="24"/>
                  <w:szCs w:val="24"/>
                </w:rPr>
                <w:t xml:space="preserve">Handbook of Research on Trends and Issues in Crime Prevention, Rehabilitation, and Victim Support. </w:t>
              </w:r>
              <w:r w:rsidRPr="003A30EF">
                <w:rPr>
                  <w:noProof/>
                  <w:sz w:val="24"/>
                  <w:szCs w:val="24"/>
                </w:rPr>
                <w:t>s.l.:IGI Global, p. 16.</w:t>
              </w:r>
            </w:p>
            <w:p w14:paraId="13DF587E"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College of Policing, 2016. </w:t>
              </w:r>
              <w:r w:rsidRPr="003A30EF">
                <w:rPr>
                  <w:i/>
                  <w:iCs/>
                  <w:noProof/>
                  <w:sz w:val="24"/>
                  <w:szCs w:val="24"/>
                </w:rPr>
                <w:t xml:space="preserve">First response quick reference guide - domestic abuse. </w:t>
              </w:r>
              <w:r w:rsidRPr="003A30EF">
                <w:rPr>
                  <w:noProof/>
                  <w:sz w:val="24"/>
                  <w:szCs w:val="24"/>
                </w:rPr>
                <w:t xml:space="preserve">[Online] </w:t>
              </w:r>
              <w:r w:rsidRPr="003A30EF">
                <w:rPr>
                  <w:noProof/>
                  <w:sz w:val="24"/>
                  <w:szCs w:val="24"/>
                </w:rPr>
                <w:br/>
                <w:t xml:space="preserve">Available at: </w:t>
              </w:r>
              <w:r w:rsidRPr="003A30EF">
                <w:rPr>
                  <w:noProof/>
                  <w:sz w:val="24"/>
                  <w:szCs w:val="24"/>
                  <w:u w:val="single"/>
                </w:rPr>
                <w:t>https://www.college.police.uk/app/major-investigation-and-public-protection/domestic-abuse/first-response-quick-reference-guide-domestic-abuse</w:t>
              </w:r>
              <w:r w:rsidRPr="003A30EF">
                <w:rPr>
                  <w:noProof/>
                  <w:sz w:val="24"/>
                  <w:szCs w:val="24"/>
                </w:rPr>
                <w:br/>
                <w:t>[Accessed 28 04 2024].</w:t>
              </w:r>
            </w:p>
            <w:p w14:paraId="7A52A719"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College of Policing, 2018. </w:t>
              </w:r>
              <w:r w:rsidRPr="003A30EF">
                <w:rPr>
                  <w:i/>
                  <w:iCs/>
                  <w:noProof/>
                  <w:sz w:val="24"/>
                  <w:szCs w:val="24"/>
                </w:rPr>
                <w:t xml:space="preserve">For police first responders to a report of rape or sexual assault. </w:t>
              </w:r>
              <w:r w:rsidRPr="003A30EF">
                <w:rPr>
                  <w:noProof/>
                  <w:sz w:val="24"/>
                  <w:szCs w:val="24"/>
                </w:rPr>
                <w:t xml:space="preserve">[Online] </w:t>
              </w:r>
              <w:r w:rsidRPr="003A30EF">
                <w:rPr>
                  <w:noProof/>
                  <w:sz w:val="24"/>
                  <w:szCs w:val="24"/>
                </w:rPr>
                <w:br/>
                <w:t xml:space="preserve">Available at: </w:t>
              </w:r>
              <w:r w:rsidRPr="003A30EF">
                <w:rPr>
                  <w:noProof/>
                  <w:sz w:val="24"/>
                  <w:szCs w:val="24"/>
                  <w:u w:val="single"/>
                </w:rPr>
                <w:t>https://library.college.police.uk/docs/appref/C909E0418-First-Responders-Brief.pdf</w:t>
              </w:r>
              <w:r w:rsidRPr="003A30EF">
                <w:rPr>
                  <w:noProof/>
                  <w:sz w:val="24"/>
                  <w:szCs w:val="24"/>
                </w:rPr>
                <w:br/>
                <w:t>[Accessed 26 04 2024].</w:t>
              </w:r>
            </w:p>
            <w:p w14:paraId="4FE1554E"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College of Policing, 2021. </w:t>
              </w:r>
              <w:r w:rsidRPr="003A30EF">
                <w:rPr>
                  <w:i/>
                  <w:iCs/>
                  <w:noProof/>
                  <w:sz w:val="24"/>
                  <w:szCs w:val="24"/>
                </w:rPr>
                <w:t xml:space="preserve">Context and dynamics of domestic abuse. </w:t>
              </w:r>
              <w:r w:rsidRPr="003A30EF">
                <w:rPr>
                  <w:noProof/>
                  <w:sz w:val="24"/>
                  <w:szCs w:val="24"/>
                </w:rPr>
                <w:t xml:space="preserve">[Online] </w:t>
              </w:r>
              <w:r w:rsidRPr="003A30EF">
                <w:rPr>
                  <w:noProof/>
                  <w:sz w:val="24"/>
                  <w:szCs w:val="24"/>
                </w:rPr>
                <w:br/>
                <w:t xml:space="preserve">Available at: </w:t>
              </w:r>
              <w:r w:rsidRPr="003A30EF">
                <w:rPr>
                  <w:noProof/>
                  <w:sz w:val="24"/>
                  <w:szCs w:val="24"/>
                  <w:u w:val="single"/>
                </w:rPr>
                <w:t>https://www.college.police.uk/app/major-investigation-and-public-</w:t>
              </w:r>
              <w:r w:rsidRPr="003A30EF">
                <w:rPr>
                  <w:noProof/>
                  <w:sz w:val="24"/>
                  <w:szCs w:val="24"/>
                  <w:u w:val="single"/>
                </w:rPr>
                <w:lastRenderedPageBreak/>
                <w:t>protection/domestic-abuse/context-and-dynamics-domestic-abuse</w:t>
              </w:r>
              <w:r w:rsidRPr="003A30EF">
                <w:rPr>
                  <w:noProof/>
                  <w:sz w:val="24"/>
                  <w:szCs w:val="24"/>
                </w:rPr>
                <w:br/>
                <w:t>[Accessed 28 04 2024].</w:t>
              </w:r>
            </w:p>
            <w:p w14:paraId="1292687B"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College of Policing, 2021. </w:t>
              </w:r>
              <w:r w:rsidRPr="003A30EF">
                <w:rPr>
                  <w:i/>
                  <w:iCs/>
                  <w:noProof/>
                  <w:sz w:val="24"/>
                  <w:szCs w:val="24"/>
                </w:rPr>
                <w:t xml:space="preserve">What works in policing to reduce crime?. </w:t>
              </w:r>
              <w:r w:rsidRPr="003A30EF">
                <w:rPr>
                  <w:noProof/>
                  <w:sz w:val="24"/>
                  <w:szCs w:val="24"/>
                </w:rPr>
                <w:t xml:space="preserve">[Online] </w:t>
              </w:r>
              <w:r w:rsidRPr="003A30EF">
                <w:rPr>
                  <w:noProof/>
                  <w:sz w:val="24"/>
                  <w:szCs w:val="24"/>
                </w:rPr>
                <w:br/>
                <w:t xml:space="preserve">Available at: </w:t>
              </w:r>
              <w:r w:rsidRPr="003A30EF">
                <w:rPr>
                  <w:noProof/>
                  <w:sz w:val="24"/>
                  <w:szCs w:val="24"/>
                  <w:u w:val="single"/>
                </w:rPr>
                <w:t>https://www.college.police.uk/research/what-works-policing-reduce-crime</w:t>
              </w:r>
              <w:r w:rsidRPr="003A30EF">
                <w:rPr>
                  <w:noProof/>
                  <w:sz w:val="24"/>
                  <w:szCs w:val="24"/>
                </w:rPr>
                <w:br/>
                <w:t>[Accessed 26 04 2024].</w:t>
              </w:r>
            </w:p>
            <w:p w14:paraId="15BEF3AE"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Corcoran, J., 2014. Crime Victims. In: A. Gitterman, ed. </w:t>
              </w:r>
              <w:r w:rsidRPr="003A30EF">
                <w:rPr>
                  <w:i/>
                  <w:iCs/>
                  <w:noProof/>
                  <w:sz w:val="24"/>
                  <w:szCs w:val="24"/>
                </w:rPr>
                <w:t xml:space="preserve">Handbook of Social Work Practice with Vulnerable and Resilient Populations. </w:t>
              </w:r>
              <w:r w:rsidRPr="003A30EF">
                <w:rPr>
                  <w:noProof/>
                  <w:sz w:val="24"/>
                  <w:szCs w:val="24"/>
                </w:rPr>
                <w:t>s.l.:Columbia University Press, pp. 289-300.</w:t>
              </w:r>
            </w:p>
            <w:p w14:paraId="59970824"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Courtney, D. &amp; Hanson, M., 2014. Alcoholism and Other Drug Addictions. In: A. Gitterman, ed. </w:t>
              </w:r>
              <w:r w:rsidRPr="003A30EF">
                <w:rPr>
                  <w:i/>
                  <w:iCs/>
                  <w:noProof/>
                  <w:sz w:val="24"/>
                  <w:szCs w:val="24"/>
                </w:rPr>
                <w:t xml:space="preserve">Handbook of Social Work Practice with Vulnerable and Resilient Populations. </w:t>
              </w:r>
              <w:r w:rsidRPr="003A30EF">
                <w:rPr>
                  <w:noProof/>
                  <w:sz w:val="24"/>
                  <w:szCs w:val="24"/>
                </w:rPr>
                <w:t>s.l.:Columbia University Press, pp. 54-72.</w:t>
              </w:r>
            </w:p>
            <w:p w14:paraId="1220342F"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Criminal Damage Act, 1971. [Online] </w:t>
              </w:r>
              <w:r w:rsidRPr="003A30EF">
                <w:rPr>
                  <w:noProof/>
                  <w:sz w:val="24"/>
                  <w:szCs w:val="24"/>
                </w:rPr>
                <w:br/>
                <w:t xml:space="preserve">Available at: </w:t>
              </w:r>
              <w:r w:rsidRPr="003A30EF">
                <w:rPr>
                  <w:noProof/>
                  <w:sz w:val="24"/>
                  <w:szCs w:val="24"/>
                  <w:u w:val="single"/>
                </w:rPr>
                <w:t>https://www.legislation.gov.uk/ukpga/1971/48/contents</w:t>
              </w:r>
              <w:r w:rsidRPr="003A30EF">
                <w:rPr>
                  <w:noProof/>
                  <w:sz w:val="24"/>
                  <w:szCs w:val="24"/>
                </w:rPr>
                <w:br/>
                <w:t>[Accessed 28 04 2024].</w:t>
              </w:r>
            </w:p>
            <w:p w14:paraId="787EA026"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Domestic Abuse Act, Section 70, 2021. [Online] </w:t>
              </w:r>
              <w:r w:rsidRPr="003A30EF">
                <w:rPr>
                  <w:noProof/>
                  <w:sz w:val="24"/>
                  <w:szCs w:val="24"/>
                </w:rPr>
                <w:br/>
                <w:t xml:space="preserve">Available at: </w:t>
              </w:r>
              <w:r w:rsidRPr="003A30EF">
                <w:rPr>
                  <w:noProof/>
                  <w:sz w:val="24"/>
                  <w:szCs w:val="24"/>
                  <w:u w:val="single"/>
                </w:rPr>
                <w:t>https://www.legislation.gov.uk/ukpga/2021/17/section/70/enacted</w:t>
              </w:r>
              <w:r w:rsidRPr="003A30EF">
                <w:rPr>
                  <w:noProof/>
                  <w:sz w:val="24"/>
                  <w:szCs w:val="24"/>
                </w:rPr>
                <w:br/>
                <w:t>[Accessed 28 04 2024].</w:t>
              </w:r>
            </w:p>
            <w:p w14:paraId="2CD2D109"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Fleetwood, J., 2016. Sex, Love and Abuse: Discourses on Domestic Violence and Sexual Assault, By Sharon Hayes. </w:t>
              </w:r>
              <w:r w:rsidRPr="003A30EF">
                <w:rPr>
                  <w:i/>
                  <w:iCs/>
                  <w:noProof/>
                  <w:sz w:val="24"/>
                  <w:szCs w:val="24"/>
                </w:rPr>
                <w:t xml:space="preserve">The British Journal of Criminology, </w:t>
              </w:r>
              <w:r w:rsidRPr="003A30EF">
                <w:rPr>
                  <w:noProof/>
                  <w:sz w:val="24"/>
                  <w:szCs w:val="24"/>
                </w:rPr>
                <w:t>56(1), pp. 201-204.</w:t>
              </w:r>
            </w:p>
            <w:p w14:paraId="2EAA0A3B"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Kanougiya, S., Daruwalla, N. &amp; Osrin, D., 2021. Domestic Coercive Control and Common Mental Disorders Among Women in Informal Settlements in Mumbai, India: A Cross-Sectional Survey. </w:t>
              </w:r>
              <w:r w:rsidRPr="003A30EF">
                <w:rPr>
                  <w:i/>
                  <w:iCs/>
                  <w:noProof/>
                  <w:sz w:val="24"/>
                  <w:szCs w:val="24"/>
                </w:rPr>
                <w:t xml:space="preserve">Journal of Interpersonal Violence, </w:t>
              </w:r>
              <w:r w:rsidRPr="003A30EF">
                <w:rPr>
                  <w:noProof/>
                  <w:sz w:val="24"/>
                  <w:szCs w:val="24"/>
                </w:rPr>
                <w:t>37(19-20).</w:t>
              </w:r>
            </w:p>
            <w:p w14:paraId="4C57499B"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Karavias, Y. et al., 2023. Impact evaluation and economic benefit analysis of a domestic violence and abuse UK police intervention. </w:t>
              </w:r>
              <w:r w:rsidRPr="003A30EF">
                <w:rPr>
                  <w:i/>
                  <w:iCs/>
                  <w:noProof/>
                  <w:sz w:val="24"/>
                  <w:szCs w:val="24"/>
                </w:rPr>
                <w:t xml:space="preserve">Frontiers in Psychology, </w:t>
              </w:r>
              <w:r w:rsidRPr="003A30EF">
                <w:rPr>
                  <w:noProof/>
                  <w:sz w:val="24"/>
                  <w:szCs w:val="24"/>
                </w:rPr>
                <w:t>Volume 14.</w:t>
              </w:r>
            </w:p>
            <w:p w14:paraId="4BAFA6C9"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Kennedy, N. et al., 2023. Insights from linking police domestic abuse data and health data in South Wales, UK: a linked routine data analysis using decision tree classification. </w:t>
              </w:r>
              <w:r w:rsidRPr="003A30EF">
                <w:rPr>
                  <w:i/>
                  <w:iCs/>
                  <w:noProof/>
                  <w:sz w:val="24"/>
                  <w:szCs w:val="24"/>
                </w:rPr>
                <w:t xml:space="preserve">The Lancet Public Health, </w:t>
              </w:r>
              <w:r w:rsidRPr="003A30EF">
                <w:rPr>
                  <w:noProof/>
                  <w:sz w:val="24"/>
                  <w:szCs w:val="24"/>
                </w:rPr>
                <w:t>8(8), pp. 629-638.</w:t>
              </w:r>
            </w:p>
            <w:p w14:paraId="2C9E40F1"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Lea, S. J. &amp; Lynn, N., 2012. Dialogic Reverberations: Police, Domestic Abuse, and the Discontinuance of Cases. </w:t>
              </w:r>
              <w:r w:rsidRPr="003A30EF">
                <w:rPr>
                  <w:i/>
                  <w:iCs/>
                  <w:noProof/>
                  <w:sz w:val="24"/>
                  <w:szCs w:val="24"/>
                </w:rPr>
                <w:t xml:space="preserve">Journal of Interpersonal Violence, </w:t>
              </w:r>
              <w:r w:rsidRPr="003A30EF">
                <w:rPr>
                  <w:noProof/>
                  <w:sz w:val="24"/>
                  <w:szCs w:val="24"/>
                </w:rPr>
                <w:t>27(15).</w:t>
              </w:r>
            </w:p>
            <w:p w14:paraId="4E2E21CF"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Maria, D. M. S. et al., 2020. Gaps in Sexual Assault Health Care Among Homeless Young Adults. </w:t>
              </w:r>
              <w:r w:rsidRPr="003A30EF">
                <w:rPr>
                  <w:i/>
                  <w:iCs/>
                  <w:noProof/>
                  <w:sz w:val="24"/>
                  <w:szCs w:val="24"/>
                </w:rPr>
                <w:t xml:space="preserve">American Journal of Preventive Medicine, </w:t>
              </w:r>
              <w:r w:rsidRPr="003A30EF">
                <w:rPr>
                  <w:noProof/>
                  <w:sz w:val="24"/>
                  <w:szCs w:val="24"/>
                </w:rPr>
                <w:t>58(2), pp. 191-198.</w:t>
              </w:r>
            </w:p>
            <w:p w14:paraId="5AD3EE3F" w14:textId="77777777" w:rsidR="003A30EF" w:rsidRPr="003A30EF" w:rsidRDefault="003A30EF" w:rsidP="003A30EF">
              <w:pPr>
                <w:pStyle w:val="Bibliography"/>
                <w:spacing w:line="360" w:lineRule="auto"/>
                <w:rPr>
                  <w:noProof/>
                  <w:sz w:val="24"/>
                  <w:szCs w:val="24"/>
                </w:rPr>
              </w:pPr>
              <w:r w:rsidRPr="003A30EF">
                <w:rPr>
                  <w:noProof/>
                  <w:sz w:val="24"/>
                  <w:szCs w:val="24"/>
                </w:rPr>
                <w:lastRenderedPageBreak/>
                <w:t xml:space="preserve">Mcclendon, J. &amp; Lane, S., 2014. Homeless People. In: A. Gitterman, ed. </w:t>
              </w:r>
              <w:r w:rsidRPr="003A30EF">
                <w:rPr>
                  <w:i/>
                  <w:iCs/>
                  <w:noProof/>
                  <w:sz w:val="24"/>
                  <w:szCs w:val="24"/>
                </w:rPr>
                <w:t xml:space="preserve">Handbook of Social Work Practice with Vulnerable and Resilient Populations. </w:t>
              </w:r>
              <w:r w:rsidRPr="003A30EF">
                <w:rPr>
                  <w:noProof/>
                  <w:sz w:val="24"/>
                  <w:szCs w:val="24"/>
                </w:rPr>
                <w:t>s.l.:Columbia University Press, pp. 345-365.</w:t>
              </w:r>
            </w:p>
            <w:p w14:paraId="0F67BDE2"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O'Callaghan, E., Ullman, S. E., Shepp, V. &amp; Harris, C., 2023. Mental health help-seeking after a sexual assault: A dyadic study of sexual assault survivors and informal support providers.. </w:t>
              </w:r>
              <w:r w:rsidRPr="003A30EF">
                <w:rPr>
                  <w:i/>
                  <w:iCs/>
                  <w:noProof/>
                  <w:sz w:val="24"/>
                  <w:szCs w:val="24"/>
                </w:rPr>
                <w:t xml:space="preserve">Traumatology, </w:t>
              </w:r>
              <w:r w:rsidRPr="003A30EF">
                <w:rPr>
                  <w:noProof/>
                  <w:sz w:val="24"/>
                  <w:szCs w:val="24"/>
                </w:rPr>
                <w:t>29(1), pp. 65-75.</w:t>
              </w:r>
            </w:p>
            <w:p w14:paraId="19EC3629"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Offences Against the Person Act, Section 20, 1861. [Online] </w:t>
              </w:r>
              <w:r w:rsidRPr="003A30EF">
                <w:rPr>
                  <w:noProof/>
                  <w:sz w:val="24"/>
                  <w:szCs w:val="24"/>
                </w:rPr>
                <w:br/>
                <w:t xml:space="preserve">Available at: </w:t>
              </w:r>
              <w:r w:rsidRPr="003A30EF">
                <w:rPr>
                  <w:noProof/>
                  <w:sz w:val="24"/>
                  <w:szCs w:val="24"/>
                  <w:u w:val="single"/>
                </w:rPr>
                <w:t>https://www.legislation.gov.uk/ukpga/Vict/24-25/100/section/20</w:t>
              </w:r>
              <w:r w:rsidRPr="003A30EF">
                <w:rPr>
                  <w:noProof/>
                  <w:sz w:val="24"/>
                  <w:szCs w:val="24"/>
                </w:rPr>
                <w:br/>
                <w:t>[Accessed 26 04 2024].</w:t>
              </w:r>
            </w:p>
            <w:p w14:paraId="15E67912"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Office of National Statistics, 2022. </w:t>
              </w:r>
              <w:r w:rsidRPr="003A30EF">
                <w:rPr>
                  <w:i/>
                  <w:iCs/>
                  <w:noProof/>
                  <w:sz w:val="24"/>
                  <w:szCs w:val="24"/>
                </w:rPr>
                <w:t xml:space="preserve">Sexual offences in England and Wales overview: year ending March 2022. </w:t>
              </w:r>
              <w:r w:rsidRPr="003A30EF">
                <w:rPr>
                  <w:noProof/>
                  <w:sz w:val="24"/>
                  <w:szCs w:val="24"/>
                </w:rPr>
                <w:t xml:space="preserve">[Online] </w:t>
              </w:r>
              <w:r w:rsidRPr="003A30EF">
                <w:rPr>
                  <w:noProof/>
                  <w:sz w:val="24"/>
                  <w:szCs w:val="24"/>
                </w:rPr>
                <w:br/>
                <w:t xml:space="preserve">Available at: </w:t>
              </w:r>
              <w:r w:rsidRPr="003A30EF">
                <w:rPr>
                  <w:noProof/>
                  <w:sz w:val="24"/>
                  <w:szCs w:val="24"/>
                  <w:u w:val="single"/>
                </w:rPr>
                <w:t>https://www.ons.gov.uk/peoplepopulationandcommunity/crimeandjustice/bulletins/sexualoffencesinenglandandwalesoverview/march2022</w:t>
              </w:r>
              <w:r w:rsidRPr="003A30EF">
                <w:rPr>
                  <w:noProof/>
                  <w:sz w:val="24"/>
                  <w:szCs w:val="24"/>
                </w:rPr>
                <w:br/>
                <w:t>[Accessed 26 04 2024].</w:t>
              </w:r>
            </w:p>
            <w:p w14:paraId="45BF6787"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Patterson, D. &amp; Tringali, B., 2015. Understanding How Advocates Can Affect Sexual Assault Victim Engagement in the Criminal Justice Process. </w:t>
              </w:r>
              <w:r w:rsidRPr="003A30EF">
                <w:rPr>
                  <w:i/>
                  <w:iCs/>
                  <w:noProof/>
                  <w:sz w:val="24"/>
                  <w:szCs w:val="24"/>
                </w:rPr>
                <w:t xml:space="preserve">Journal of Interpersonal Violence, </w:t>
              </w:r>
              <w:r w:rsidRPr="003A30EF">
                <w:rPr>
                  <w:noProof/>
                  <w:sz w:val="24"/>
                  <w:szCs w:val="24"/>
                </w:rPr>
                <w:t>30(12).</w:t>
              </w:r>
            </w:p>
            <w:p w14:paraId="5AF38487"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Sexual Offences Act, 2003. [Online] </w:t>
              </w:r>
              <w:r w:rsidRPr="003A30EF">
                <w:rPr>
                  <w:noProof/>
                  <w:sz w:val="24"/>
                  <w:szCs w:val="24"/>
                </w:rPr>
                <w:br/>
                <w:t xml:space="preserve">Available at: </w:t>
              </w:r>
              <w:r w:rsidRPr="003A30EF">
                <w:rPr>
                  <w:noProof/>
                  <w:sz w:val="24"/>
                  <w:szCs w:val="24"/>
                  <w:u w:val="single"/>
                </w:rPr>
                <w:t>https://www.legislation.gov.uk/ukpga/2003/42/contents</w:t>
              </w:r>
              <w:r w:rsidRPr="003A30EF">
                <w:rPr>
                  <w:noProof/>
                  <w:sz w:val="24"/>
                  <w:szCs w:val="24"/>
                </w:rPr>
                <w:br/>
                <w:t>[Accessed 26 04 2024].</w:t>
              </w:r>
            </w:p>
            <w:p w14:paraId="4B300AC1"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Spooner, E., Hughes, C., Jones, P. M. &amp; Blockley, T., 2022. </w:t>
              </w:r>
              <w:r w:rsidRPr="003A30EF">
                <w:rPr>
                  <w:i/>
                  <w:iCs/>
                  <w:noProof/>
                  <w:sz w:val="24"/>
                  <w:szCs w:val="24"/>
                </w:rPr>
                <w:t xml:space="preserve">Police Research and Evidence-based Policing. </w:t>
              </w:r>
              <w:r w:rsidRPr="003A30EF">
                <w:rPr>
                  <w:noProof/>
                  <w:sz w:val="24"/>
                  <w:szCs w:val="24"/>
                </w:rPr>
                <w:t>St Albans: Critical Publishing.</w:t>
              </w:r>
            </w:p>
            <w:p w14:paraId="0D19748B"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Walby, S. &amp; Towers, J., 2018. Untangling the concept of coercive control: Theorizing domestic violent crime. </w:t>
              </w:r>
              <w:r w:rsidRPr="003A30EF">
                <w:rPr>
                  <w:i/>
                  <w:iCs/>
                  <w:noProof/>
                  <w:sz w:val="24"/>
                  <w:szCs w:val="24"/>
                </w:rPr>
                <w:t xml:space="preserve">Criminology &amp; Criminal Justice, </w:t>
              </w:r>
              <w:r w:rsidRPr="003A30EF">
                <w:rPr>
                  <w:noProof/>
                  <w:sz w:val="24"/>
                  <w:szCs w:val="24"/>
                </w:rPr>
                <w:t>18(1).</w:t>
              </w:r>
            </w:p>
            <w:p w14:paraId="2498B796" w14:textId="77777777" w:rsidR="003A30EF" w:rsidRPr="003A30EF" w:rsidRDefault="003A30EF" w:rsidP="003A30EF">
              <w:pPr>
                <w:pStyle w:val="Bibliography"/>
                <w:spacing w:line="360" w:lineRule="auto"/>
                <w:rPr>
                  <w:noProof/>
                  <w:sz w:val="24"/>
                  <w:szCs w:val="24"/>
                </w:rPr>
              </w:pPr>
              <w:r w:rsidRPr="003A30EF">
                <w:rPr>
                  <w:noProof/>
                  <w:sz w:val="24"/>
                  <w:szCs w:val="24"/>
                </w:rPr>
                <w:t xml:space="preserve">Widanaralalage, K. B., Muprhy, A. D. &amp; Loughlin, C., 2024. Support or justice: a triangulated multi-focal view of sexual assault victim support in a UK sexual assault referral centre (SARC). </w:t>
              </w:r>
              <w:r w:rsidRPr="003A30EF">
                <w:rPr>
                  <w:i/>
                  <w:iCs/>
                  <w:noProof/>
                  <w:sz w:val="24"/>
                  <w:szCs w:val="24"/>
                </w:rPr>
                <w:t xml:space="preserve">International Journal of Mental Health Systems, </w:t>
              </w:r>
              <w:r w:rsidRPr="003A30EF">
                <w:rPr>
                  <w:noProof/>
                  <w:sz w:val="24"/>
                  <w:szCs w:val="24"/>
                </w:rPr>
                <w:t>Volume 18, pp. 1-11.</w:t>
              </w:r>
            </w:p>
            <w:p w14:paraId="6EDCCCC8" w14:textId="415D2534" w:rsidR="0018299C" w:rsidRDefault="0018299C" w:rsidP="003A30EF">
              <w:pPr>
                <w:spacing w:line="360" w:lineRule="auto"/>
              </w:pPr>
              <w:r w:rsidRPr="003A30EF">
                <w:rPr>
                  <w:b/>
                  <w:bCs/>
                  <w:noProof/>
                  <w:sz w:val="24"/>
                  <w:szCs w:val="24"/>
                </w:rPr>
                <w:fldChar w:fldCharType="end"/>
              </w:r>
            </w:p>
          </w:sdtContent>
        </w:sdt>
      </w:sdtContent>
    </w:sdt>
    <w:p w14:paraId="5C4484A3" w14:textId="77777777" w:rsidR="0018299C" w:rsidRDefault="0018299C" w:rsidP="00EA28F1">
      <w:pPr>
        <w:keepNext/>
        <w:spacing w:before="240" w:after="60"/>
        <w:ind w:right="237"/>
        <w:jc w:val="both"/>
      </w:pPr>
    </w:p>
    <w:sectPr w:rsidR="0018299C" w:rsidSect="006E238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A95E3C" w14:textId="77777777" w:rsidR="006E238A" w:rsidRDefault="006E238A">
      <w:r>
        <w:separator/>
      </w:r>
    </w:p>
  </w:endnote>
  <w:endnote w:type="continuationSeparator" w:id="0">
    <w:p w14:paraId="6B62E14E" w14:textId="77777777" w:rsidR="006E238A" w:rsidRDefault="006E2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669731" w14:textId="77777777" w:rsidR="006E238A" w:rsidRDefault="006E238A">
      <w:r>
        <w:separator/>
      </w:r>
    </w:p>
  </w:footnote>
  <w:footnote w:type="continuationSeparator" w:id="0">
    <w:p w14:paraId="0D8D1202" w14:textId="77777777" w:rsidR="006E238A" w:rsidRDefault="006E238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4E2392B"/>
    <w:multiLevelType w:val="hybridMultilevel"/>
    <w:tmpl w:val="388C9E4C"/>
    <w:lvl w:ilvl="0" w:tplc="6C22CA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5"/>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524562109">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E26"/>
    <w:rsid w:val="00020EEC"/>
    <w:rsid w:val="00025650"/>
    <w:rsid w:val="00026FAB"/>
    <w:rsid w:val="00027B1F"/>
    <w:rsid w:val="0003088B"/>
    <w:rsid w:val="000325D9"/>
    <w:rsid w:val="000372B2"/>
    <w:rsid w:val="0004079F"/>
    <w:rsid w:val="00043937"/>
    <w:rsid w:val="00045B87"/>
    <w:rsid w:val="00045C07"/>
    <w:rsid w:val="00055D43"/>
    <w:rsid w:val="00056FAC"/>
    <w:rsid w:val="00057751"/>
    <w:rsid w:val="00062E39"/>
    <w:rsid w:val="0006580E"/>
    <w:rsid w:val="000677C2"/>
    <w:rsid w:val="00073CD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A81"/>
    <w:rsid w:val="000C6FFE"/>
    <w:rsid w:val="000C7484"/>
    <w:rsid w:val="000D0BB6"/>
    <w:rsid w:val="000E26B0"/>
    <w:rsid w:val="000F1599"/>
    <w:rsid w:val="000F1769"/>
    <w:rsid w:val="000F6196"/>
    <w:rsid w:val="000F7ECD"/>
    <w:rsid w:val="00101872"/>
    <w:rsid w:val="00102E64"/>
    <w:rsid w:val="0010312C"/>
    <w:rsid w:val="00106DC7"/>
    <w:rsid w:val="00112391"/>
    <w:rsid w:val="0011470A"/>
    <w:rsid w:val="00114F52"/>
    <w:rsid w:val="0012135C"/>
    <w:rsid w:val="00130E83"/>
    <w:rsid w:val="001346B7"/>
    <w:rsid w:val="001347F8"/>
    <w:rsid w:val="00137BB5"/>
    <w:rsid w:val="00137E05"/>
    <w:rsid w:val="001447F6"/>
    <w:rsid w:val="00147DE3"/>
    <w:rsid w:val="00150794"/>
    <w:rsid w:val="0015369D"/>
    <w:rsid w:val="001608C4"/>
    <w:rsid w:val="00171418"/>
    <w:rsid w:val="00181F9A"/>
    <w:rsid w:val="0018299C"/>
    <w:rsid w:val="00190913"/>
    <w:rsid w:val="001961CF"/>
    <w:rsid w:val="001A59BB"/>
    <w:rsid w:val="001A6A51"/>
    <w:rsid w:val="001A71B2"/>
    <w:rsid w:val="001A79C4"/>
    <w:rsid w:val="001B331A"/>
    <w:rsid w:val="001C0E74"/>
    <w:rsid w:val="001C2903"/>
    <w:rsid w:val="001C6CEC"/>
    <w:rsid w:val="001C715D"/>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4B3"/>
    <w:rsid w:val="00241C1B"/>
    <w:rsid w:val="002423B2"/>
    <w:rsid w:val="0024288B"/>
    <w:rsid w:val="00243C0B"/>
    <w:rsid w:val="00244BC6"/>
    <w:rsid w:val="00245A13"/>
    <w:rsid w:val="0025283B"/>
    <w:rsid w:val="00255D8E"/>
    <w:rsid w:val="00262D80"/>
    <w:rsid w:val="002657E9"/>
    <w:rsid w:val="0026665E"/>
    <w:rsid w:val="00270EEB"/>
    <w:rsid w:val="0027147E"/>
    <w:rsid w:val="002739D5"/>
    <w:rsid w:val="00274DE8"/>
    <w:rsid w:val="002761F4"/>
    <w:rsid w:val="002775E1"/>
    <w:rsid w:val="00277979"/>
    <w:rsid w:val="002808EB"/>
    <w:rsid w:val="0028095D"/>
    <w:rsid w:val="00291ADD"/>
    <w:rsid w:val="0029223E"/>
    <w:rsid w:val="00294868"/>
    <w:rsid w:val="00295CA1"/>
    <w:rsid w:val="002A291A"/>
    <w:rsid w:val="002A5604"/>
    <w:rsid w:val="002B1701"/>
    <w:rsid w:val="002B23C3"/>
    <w:rsid w:val="002B443A"/>
    <w:rsid w:val="002B5B35"/>
    <w:rsid w:val="002C256A"/>
    <w:rsid w:val="002C496D"/>
    <w:rsid w:val="002D05EB"/>
    <w:rsid w:val="002D20DB"/>
    <w:rsid w:val="002D2F29"/>
    <w:rsid w:val="002D2FD3"/>
    <w:rsid w:val="002E7017"/>
    <w:rsid w:val="002F4F6E"/>
    <w:rsid w:val="003015C3"/>
    <w:rsid w:val="0030698D"/>
    <w:rsid w:val="0031350A"/>
    <w:rsid w:val="00314C36"/>
    <w:rsid w:val="00316815"/>
    <w:rsid w:val="003168CA"/>
    <w:rsid w:val="00321255"/>
    <w:rsid w:val="0032230D"/>
    <w:rsid w:val="00322A0B"/>
    <w:rsid w:val="00332F54"/>
    <w:rsid w:val="00333125"/>
    <w:rsid w:val="00335FC5"/>
    <w:rsid w:val="00340E9A"/>
    <w:rsid w:val="003465F6"/>
    <w:rsid w:val="003516C0"/>
    <w:rsid w:val="00352E59"/>
    <w:rsid w:val="00354DBE"/>
    <w:rsid w:val="00355210"/>
    <w:rsid w:val="003555D5"/>
    <w:rsid w:val="00365DF9"/>
    <w:rsid w:val="0036668D"/>
    <w:rsid w:val="00367577"/>
    <w:rsid w:val="00372DB4"/>
    <w:rsid w:val="0037490C"/>
    <w:rsid w:val="00375AF5"/>
    <w:rsid w:val="003761BD"/>
    <w:rsid w:val="003769F6"/>
    <w:rsid w:val="0038137E"/>
    <w:rsid w:val="00384D4D"/>
    <w:rsid w:val="00385414"/>
    <w:rsid w:val="00386B48"/>
    <w:rsid w:val="00390074"/>
    <w:rsid w:val="0039495B"/>
    <w:rsid w:val="00394EC2"/>
    <w:rsid w:val="0039762B"/>
    <w:rsid w:val="003A0C37"/>
    <w:rsid w:val="003A1B6B"/>
    <w:rsid w:val="003A2F82"/>
    <w:rsid w:val="003A30EF"/>
    <w:rsid w:val="003A46C0"/>
    <w:rsid w:val="003A600E"/>
    <w:rsid w:val="003A6513"/>
    <w:rsid w:val="003B16C7"/>
    <w:rsid w:val="003C19F1"/>
    <w:rsid w:val="003C2678"/>
    <w:rsid w:val="003C3295"/>
    <w:rsid w:val="003C4186"/>
    <w:rsid w:val="003C458C"/>
    <w:rsid w:val="003C6185"/>
    <w:rsid w:val="003D0D2D"/>
    <w:rsid w:val="003D4710"/>
    <w:rsid w:val="003E16D7"/>
    <w:rsid w:val="003E197E"/>
    <w:rsid w:val="003F470F"/>
    <w:rsid w:val="004046F0"/>
    <w:rsid w:val="0040668F"/>
    <w:rsid w:val="00412677"/>
    <w:rsid w:val="0041371E"/>
    <w:rsid w:val="00417925"/>
    <w:rsid w:val="004348AE"/>
    <w:rsid w:val="00435E9A"/>
    <w:rsid w:val="004376C0"/>
    <w:rsid w:val="0044115F"/>
    <w:rsid w:val="0044223A"/>
    <w:rsid w:val="00446792"/>
    <w:rsid w:val="00446F80"/>
    <w:rsid w:val="00450C83"/>
    <w:rsid w:val="00451851"/>
    <w:rsid w:val="00451D39"/>
    <w:rsid w:val="00453343"/>
    <w:rsid w:val="004608B9"/>
    <w:rsid w:val="00460ADB"/>
    <w:rsid w:val="00465947"/>
    <w:rsid w:val="004672C1"/>
    <w:rsid w:val="00470BB1"/>
    <w:rsid w:val="004718F7"/>
    <w:rsid w:val="00473153"/>
    <w:rsid w:val="004743AF"/>
    <w:rsid w:val="00482C17"/>
    <w:rsid w:val="004834E7"/>
    <w:rsid w:val="004911B4"/>
    <w:rsid w:val="0049196A"/>
    <w:rsid w:val="004923DA"/>
    <w:rsid w:val="00493434"/>
    <w:rsid w:val="004962F9"/>
    <w:rsid w:val="004968E2"/>
    <w:rsid w:val="004A07F1"/>
    <w:rsid w:val="004A14C4"/>
    <w:rsid w:val="004A1CFD"/>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648"/>
    <w:rsid w:val="004F731B"/>
    <w:rsid w:val="004F740D"/>
    <w:rsid w:val="004F7B8F"/>
    <w:rsid w:val="00500748"/>
    <w:rsid w:val="005011D6"/>
    <w:rsid w:val="0050167A"/>
    <w:rsid w:val="005042F1"/>
    <w:rsid w:val="00510D6A"/>
    <w:rsid w:val="00513C7D"/>
    <w:rsid w:val="005169D1"/>
    <w:rsid w:val="00521123"/>
    <w:rsid w:val="00521221"/>
    <w:rsid w:val="00531467"/>
    <w:rsid w:val="00536FA9"/>
    <w:rsid w:val="005414F4"/>
    <w:rsid w:val="00546187"/>
    <w:rsid w:val="005463F1"/>
    <w:rsid w:val="00557D77"/>
    <w:rsid w:val="005623CB"/>
    <w:rsid w:val="00562EAA"/>
    <w:rsid w:val="00563B58"/>
    <w:rsid w:val="005640C4"/>
    <w:rsid w:val="00564C53"/>
    <w:rsid w:val="0056684C"/>
    <w:rsid w:val="005736E4"/>
    <w:rsid w:val="00574A0C"/>
    <w:rsid w:val="00576E4C"/>
    <w:rsid w:val="0057780F"/>
    <w:rsid w:val="00581E0A"/>
    <w:rsid w:val="00582870"/>
    <w:rsid w:val="00586D89"/>
    <w:rsid w:val="005916B8"/>
    <w:rsid w:val="00593D00"/>
    <w:rsid w:val="005A0B5A"/>
    <w:rsid w:val="005A1B4C"/>
    <w:rsid w:val="005A1BA3"/>
    <w:rsid w:val="005A545C"/>
    <w:rsid w:val="005C1567"/>
    <w:rsid w:val="005C6CE5"/>
    <w:rsid w:val="005C76DE"/>
    <w:rsid w:val="005D3F07"/>
    <w:rsid w:val="005D583E"/>
    <w:rsid w:val="005E13EA"/>
    <w:rsid w:val="005E53BD"/>
    <w:rsid w:val="005F505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5F11"/>
    <w:rsid w:val="006712A7"/>
    <w:rsid w:val="006733CC"/>
    <w:rsid w:val="00674FC2"/>
    <w:rsid w:val="00677E42"/>
    <w:rsid w:val="00682334"/>
    <w:rsid w:val="00684B16"/>
    <w:rsid w:val="006945C9"/>
    <w:rsid w:val="00694C00"/>
    <w:rsid w:val="00696F65"/>
    <w:rsid w:val="006A7A6D"/>
    <w:rsid w:val="006B4D57"/>
    <w:rsid w:val="006B5E67"/>
    <w:rsid w:val="006C2EB5"/>
    <w:rsid w:val="006D18A3"/>
    <w:rsid w:val="006D5970"/>
    <w:rsid w:val="006E238A"/>
    <w:rsid w:val="006E481E"/>
    <w:rsid w:val="006E795F"/>
    <w:rsid w:val="007000A7"/>
    <w:rsid w:val="00700249"/>
    <w:rsid w:val="0070604C"/>
    <w:rsid w:val="007069CD"/>
    <w:rsid w:val="00710D69"/>
    <w:rsid w:val="007110E6"/>
    <w:rsid w:val="00711143"/>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0398"/>
    <w:rsid w:val="007A1F6A"/>
    <w:rsid w:val="007B0DE3"/>
    <w:rsid w:val="007B491F"/>
    <w:rsid w:val="007B5CB2"/>
    <w:rsid w:val="007B7191"/>
    <w:rsid w:val="007C1634"/>
    <w:rsid w:val="007C1D94"/>
    <w:rsid w:val="007C2879"/>
    <w:rsid w:val="007C5F26"/>
    <w:rsid w:val="007C6A87"/>
    <w:rsid w:val="007C705D"/>
    <w:rsid w:val="007D0A07"/>
    <w:rsid w:val="007D0C96"/>
    <w:rsid w:val="007D133D"/>
    <w:rsid w:val="007D3EB4"/>
    <w:rsid w:val="007D3F16"/>
    <w:rsid w:val="007D6126"/>
    <w:rsid w:val="007D78CC"/>
    <w:rsid w:val="007E3DD9"/>
    <w:rsid w:val="007F3F7E"/>
    <w:rsid w:val="007F5497"/>
    <w:rsid w:val="00810642"/>
    <w:rsid w:val="008121F9"/>
    <w:rsid w:val="00813CEC"/>
    <w:rsid w:val="0081534C"/>
    <w:rsid w:val="008171E4"/>
    <w:rsid w:val="008208EA"/>
    <w:rsid w:val="00824CAD"/>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365C"/>
    <w:rsid w:val="008550A1"/>
    <w:rsid w:val="00861035"/>
    <w:rsid w:val="00861038"/>
    <w:rsid w:val="00865008"/>
    <w:rsid w:val="00866B50"/>
    <w:rsid w:val="008708F1"/>
    <w:rsid w:val="00880539"/>
    <w:rsid w:val="008810FA"/>
    <w:rsid w:val="008859E8"/>
    <w:rsid w:val="0088737B"/>
    <w:rsid w:val="00892716"/>
    <w:rsid w:val="00893067"/>
    <w:rsid w:val="008933DE"/>
    <w:rsid w:val="00895FCE"/>
    <w:rsid w:val="00897F3E"/>
    <w:rsid w:val="008A1BA8"/>
    <w:rsid w:val="008A21B4"/>
    <w:rsid w:val="008A288A"/>
    <w:rsid w:val="008A4576"/>
    <w:rsid w:val="008B00B2"/>
    <w:rsid w:val="008B07DE"/>
    <w:rsid w:val="008B28E7"/>
    <w:rsid w:val="008B3ADF"/>
    <w:rsid w:val="008C14C7"/>
    <w:rsid w:val="008C2FFB"/>
    <w:rsid w:val="008C6EEA"/>
    <w:rsid w:val="008D5813"/>
    <w:rsid w:val="008D634E"/>
    <w:rsid w:val="008D778A"/>
    <w:rsid w:val="008F22BD"/>
    <w:rsid w:val="00903BE5"/>
    <w:rsid w:val="009079BD"/>
    <w:rsid w:val="00912BD9"/>
    <w:rsid w:val="00912C65"/>
    <w:rsid w:val="00916CAD"/>
    <w:rsid w:val="00916CFB"/>
    <w:rsid w:val="00920E5B"/>
    <w:rsid w:val="009249F8"/>
    <w:rsid w:val="00926436"/>
    <w:rsid w:val="0093018C"/>
    <w:rsid w:val="009302AA"/>
    <w:rsid w:val="00932CCA"/>
    <w:rsid w:val="00942ED2"/>
    <w:rsid w:val="009544C0"/>
    <w:rsid w:val="00954FA4"/>
    <w:rsid w:val="00956AE9"/>
    <w:rsid w:val="00964CC6"/>
    <w:rsid w:val="00991FDA"/>
    <w:rsid w:val="009927A1"/>
    <w:rsid w:val="0099293E"/>
    <w:rsid w:val="0099774D"/>
    <w:rsid w:val="009A09D6"/>
    <w:rsid w:val="009A310E"/>
    <w:rsid w:val="009A5F3B"/>
    <w:rsid w:val="009B0B61"/>
    <w:rsid w:val="009B28C0"/>
    <w:rsid w:val="009B395A"/>
    <w:rsid w:val="009B7136"/>
    <w:rsid w:val="009B7806"/>
    <w:rsid w:val="009C3AC2"/>
    <w:rsid w:val="009D4365"/>
    <w:rsid w:val="009D4E3B"/>
    <w:rsid w:val="009D7BC9"/>
    <w:rsid w:val="009E0C5A"/>
    <w:rsid w:val="009E1982"/>
    <w:rsid w:val="009E226B"/>
    <w:rsid w:val="009E28A4"/>
    <w:rsid w:val="009E4D2C"/>
    <w:rsid w:val="009E77FD"/>
    <w:rsid w:val="009F0978"/>
    <w:rsid w:val="009F3AEC"/>
    <w:rsid w:val="00A00081"/>
    <w:rsid w:val="00A015F7"/>
    <w:rsid w:val="00A043B4"/>
    <w:rsid w:val="00A07DF9"/>
    <w:rsid w:val="00A10D56"/>
    <w:rsid w:val="00A12AAE"/>
    <w:rsid w:val="00A16DD1"/>
    <w:rsid w:val="00A221AB"/>
    <w:rsid w:val="00A22441"/>
    <w:rsid w:val="00A22D68"/>
    <w:rsid w:val="00A23F3B"/>
    <w:rsid w:val="00A24406"/>
    <w:rsid w:val="00A25F64"/>
    <w:rsid w:val="00A27CC2"/>
    <w:rsid w:val="00A323D0"/>
    <w:rsid w:val="00A3273B"/>
    <w:rsid w:val="00A40ED6"/>
    <w:rsid w:val="00A470EE"/>
    <w:rsid w:val="00A47621"/>
    <w:rsid w:val="00A479CD"/>
    <w:rsid w:val="00A50CFC"/>
    <w:rsid w:val="00A54D67"/>
    <w:rsid w:val="00A55A3F"/>
    <w:rsid w:val="00A56BC4"/>
    <w:rsid w:val="00A652F6"/>
    <w:rsid w:val="00A732EA"/>
    <w:rsid w:val="00A7489E"/>
    <w:rsid w:val="00A76FBA"/>
    <w:rsid w:val="00A8015F"/>
    <w:rsid w:val="00A80BD2"/>
    <w:rsid w:val="00A85039"/>
    <w:rsid w:val="00A851F7"/>
    <w:rsid w:val="00A906AA"/>
    <w:rsid w:val="00A94C5E"/>
    <w:rsid w:val="00AA241A"/>
    <w:rsid w:val="00AA252C"/>
    <w:rsid w:val="00AA666E"/>
    <w:rsid w:val="00AB0EC1"/>
    <w:rsid w:val="00AB5518"/>
    <w:rsid w:val="00AC01D4"/>
    <w:rsid w:val="00AC4A04"/>
    <w:rsid w:val="00AD336F"/>
    <w:rsid w:val="00AD3550"/>
    <w:rsid w:val="00AE2564"/>
    <w:rsid w:val="00AE301F"/>
    <w:rsid w:val="00AE3302"/>
    <w:rsid w:val="00AE7077"/>
    <w:rsid w:val="00AF61C2"/>
    <w:rsid w:val="00AF6CC6"/>
    <w:rsid w:val="00B011CD"/>
    <w:rsid w:val="00B0296A"/>
    <w:rsid w:val="00B03DBA"/>
    <w:rsid w:val="00B12295"/>
    <w:rsid w:val="00B137BE"/>
    <w:rsid w:val="00B17FA0"/>
    <w:rsid w:val="00B24344"/>
    <w:rsid w:val="00B26769"/>
    <w:rsid w:val="00B31C91"/>
    <w:rsid w:val="00B3747F"/>
    <w:rsid w:val="00B43194"/>
    <w:rsid w:val="00B47734"/>
    <w:rsid w:val="00B50FBA"/>
    <w:rsid w:val="00B558EB"/>
    <w:rsid w:val="00B577D3"/>
    <w:rsid w:val="00B60466"/>
    <w:rsid w:val="00B637F9"/>
    <w:rsid w:val="00B6548F"/>
    <w:rsid w:val="00B7502A"/>
    <w:rsid w:val="00B77305"/>
    <w:rsid w:val="00B82CC2"/>
    <w:rsid w:val="00B84A89"/>
    <w:rsid w:val="00B87FB0"/>
    <w:rsid w:val="00B92BEF"/>
    <w:rsid w:val="00B9689A"/>
    <w:rsid w:val="00BA074B"/>
    <w:rsid w:val="00BA1FFA"/>
    <w:rsid w:val="00BA2433"/>
    <w:rsid w:val="00BA2666"/>
    <w:rsid w:val="00BA7FF1"/>
    <w:rsid w:val="00BB06CB"/>
    <w:rsid w:val="00BB261F"/>
    <w:rsid w:val="00BB2887"/>
    <w:rsid w:val="00BB5EAA"/>
    <w:rsid w:val="00BB5F11"/>
    <w:rsid w:val="00BC0401"/>
    <w:rsid w:val="00BC04FA"/>
    <w:rsid w:val="00BC1304"/>
    <w:rsid w:val="00BC1C22"/>
    <w:rsid w:val="00BC460B"/>
    <w:rsid w:val="00BC5725"/>
    <w:rsid w:val="00BD30B1"/>
    <w:rsid w:val="00BE0F7B"/>
    <w:rsid w:val="00BE10C2"/>
    <w:rsid w:val="00BF1500"/>
    <w:rsid w:val="00C01D14"/>
    <w:rsid w:val="00C025B4"/>
    <w:rsid w:val="00C0275F"/>
    <w:rsid w:val="00C11F61"/>
    <w:rsid w:val="00C1340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34EB"/>
    <w:rsid w:val="00C54AED"/>
    <w:rsid w:val="00C55B2F"/>
    <w:rsid w:val="00C63D00"/>
    <w:rsid w:val="00C6441B"/>
    <w:rsid w:val="00C7108B"/>
    <w:rsid w:val="00C77D03"/>
    <w:rsid w:val="00C8089F"/>
    <w:rsid w:val="00C836CC"/>
    <w:rsid w:val="00C87A74"/>
    <w:rsid w:val="00C90A71"/>
    <w:rsid w:val="00C91574"/>
    <w:rsid w:val="00C91BC2"/>
    <w:rsid w:val="00C92C71"/>
    <w:rsid w:val="00C93E1D"/>
    <w:rsid w:val="00C93F8F"/>
    <w:rsid w:val="00C94BF2"/>
    <w:rsid w:val="00CA2745"/>
    <w:rsid w:val="00CA3593"/>
    <w:rsid w:val="00CA7F4F"/>
    <w:rsid w:val="00CB258E"/>
    <w:rsid w:val="00CB3C8F"/>
    <w:rsid w:val="00CB75CE"/>
    <w:rsid w:val="00CC02F1"/>
    <w:rsid w:val="00CC11A6"/>
    <w:rsid w:val="00CC135E"/>
    <w:rsid w:val="00CD5D3F"/>
    <w:rsid w:val="00CE5A2E"/>
    <w:rsid w:val="00CE6244"/>
    <w:rsid w:val="00CF1E90"/>
    <w:rsid w:val="00CF3DB3"/>
    <w:rsid w:val="00D052BC"/>
    <w:rsid w:val="00D05DDE"/>
    <w:rsid w:val="00D07026"/>
    <w:rsid w:val="00D07BAB"/>
    <w:rsid w:val="00D11C62"/>
    <w:rsid w:val="00D22C8F"/>
    <w:rsid w:val="00D25312"/>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6F16"/>
    <w:rsid w:val="00D876E6"/>
    <w:rsid w:val="00DA1025"/>
    <w:rsid w:val="00DA22EC"/>
    <w:rsid w:val="00DA5860"/>
    <w:rsid w:val="00DB2767"/>
    <w:rsid w:val="00DC4729"/>
    <w:rsid w:val="00DE556F"/>
    <w:rsid w:val="00E024F4"/>
    <w:rsid w:val="00E03B6D"/>
    <w:rsid w:val="00E0649E"/>
    <w:rsid w:val="00E17160"/>
    <w:rsid w:val="00E35BEC"/>
    <w:rsid w:val="00E50821"/>
    <w:rsid w:val="00E50EF8"/>
    <w:rsid w:val="00E51F91"/>
    <w:rsid w:val="00E570A3"/>
    <w:rsid w:val="00E676D4"/>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FF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0FC9"/>
    <w:rsid w:val="00F927A1"/>
    <w:rsid w:val="00F928B6"/>
    <w:rsid w:val="00F92E4D"/>
    <w:rsid w:val="00F94392"/>
    <w:rsid w:val="00F9457D"/>
    <w:rsid w:val="00F96C6A"/>
    <w:rsid w:val="00FA3764"/>
    <w:rsid w:val="00FA56ED"/>
    <w:rsid w:val="00FB5FA6"/>
    <w:rsid w:val="00FB6005"/>
    <w:rsid w:val="00FB76EF"/>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18299C"/>
    <w:rPr>
      <w:rFonts w:ascii="Arial" w:hAnsi="Arial" w:cs="Arial"/>
      <w:b/>
      <w:color w:val="000000"/>
      <w:kern w:val="28"/>
      <w:sz w:val="28"/>
      <w:lang w:eastAsia="en-GB"/>
    </w:rPr>
  </w:style>
  <w:style w:type="paragraph" w:styleId="Bibliography">
    <w:name w:val="Bibliography"/>
    <w:basedOn w:val="Normal"/>
    <w:next w:val="Normal"/>
    <w:uiPriority w:val="37"/>
    <w:unhideWhenUsed/>
    <w:rsid w:val="001829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1139495">
      <w:bodyDiv w:val="1"/>
      <w:marLeft w:val="0"/>
      <w:marRight w:val="0"/>
      <w:marTop w:val="0"/>
      <w:marBottom w:val="0"/>
      <w:divBdr>
        <w:top w:val="none" w:sz="0" w:space="0" w:color="auto"/>
        <w:left w:val="none" w:sz="0" w:space="0" w:color="auto"/>
        <w:bottom w:val="none" w:sz="0" w:space="0" w:color="auto"/>
        <w:right w:val="none" w:sz="0" w:space="0" w:color="auto"/>
      </w:divBdr>
    </w:div>
    <w:div w:id="521435248">
      <w:bodyDiv w:val="1"/>
      <w:marLeft w:val="0"/>
      <w:marRight w:val="0"/>
      <w:marTop w:val="0"/>
      <w:marBottom w:val="0"/>
      <w:divBdr>
        <w:top w:val="none" w:sz="0" w:space="0" w:color="auto"/>
        <w:left w:val="none" w:sz="0" w:space="0" w:color="auto"/>
        <w:bottom w:val="none" w:sz="0" w:space="0" w:color="auto"/>
        <w:right w:val="none" w:sz="0" w:space="0" w:color="auto"/>
      </w:divBdr>
    </w:div>
    <w:div w:id="627584619">
      <w:bodyDiv w:val="1"/>
      <w:marLeft w:val="0"/>
      <w:marRight w:val="0"/>
      <w:marTop w:val="0"/>
      <w:marBottom w:val="0"/>
      <w:divBdr>
        <w:top w:val="none" w:sz="0" w:space="0" w:color="auto"/>
        <w:left w:val="none" w:sz="0" w:space="0" w:color="auto"/>
        <w:bottom w:val="none" w:sz="0" w:space="0" w:color="auto"/>
        <w:right w:val="none" w:sz="0" w:space="0" w:color="auto"/>
      </w:divBdr>
    </w:div>
    <w:div w:id="718092136">
      <w:bodyDiv w:val="1"/>
      <w:marLeft w:val="0"/>
      <w:marRight w:val="0"/>
      <w:marTop w:val="0"/>
      <w:marBottom w:val="0"/>
      <w:divBdr>
        <w:top w:val="none" w:sz="0" w:space="0" w:color="auto"/>
        <w:left w:val="none" w:sz="0" w:space="0" w:color="auto"/>
        <w:bottom w:val="none" w:sz="0" w:space="0" w:color="auto"/>
        <w:right w:val="none" w:sz="0" w:space="0" w:color="auto"/>
      </w:divBdr>
    </w:div>
    <w:div w:id="10562472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Sex03</b:Tag>
    <b:SourceType>InternetSite</b:SourceType>
    <b:Guid>{8CEDDCE2-5A9C-4CEF-828E-11604DC83DDC}</b:Guid>
    <b:Author>
      <b:Author>
        <b:Corporate>Sexual Offences Act</b:Corporate>
      </b:Author>
    </b:Author>
    <b:Year>2003</b:Year>
    <b:URL>https://www.legislation.gov.uk/ukpga/2003/42/contents</b:URL>
    <b:YearAccessed>2024</b:YearAccessed>
    <b:MonthAccessed>04</b:MonthAccessed>
    <b:DayAccessed>26</b:DayAccessed>
    <b:RefOrder>1</b:RefOrder>
  </b:Source>
  <b:Source>
    <b:Tag>Off61</b:Tag>
    <b:SourceType>InternetSite</b:SourceType>
    <b:Guid>{517428BB-44B7-4F30-8FCD-D1C6B7AB185B}</b:Guid>
    <b:Author>
      <b:Author>
        <b:Corporate>Offences Against the Person Act, Section 20</b:Corporate>
      </b:Author>
    </b:Author>
    <b:Year>1861</b:Year>
    <b:URL>https://www.legislation.gov.uk/ukpga/Vict/24-25/100/section/20</b:URL>
    <b:YearAccessed>2024</b:YearAccessed>
    <b:MonthAccessed>04</b:MonthAccessed>
    <b:DayAccessed>26</b:DayAccessed>
    <b:RefOrder>2</b:RefOrder>
  </b:Source>
  <b:Source>
    <b:Tag>Off221</b:Tag>
    <b:SourceType>InternetSite</b:SourceType>
    <b:Guid>{C52A7628-554D-4CDB-B006-058B276C922B}</b:Guid>
    <b:Author>
      <b:Author>
        <b:Corporate>Office of National Statistics</b:Corporate>
      </b:Author>
    </b:Author>
    <b:Title>Sexual offences in England and Wales overview: year ending March 2022</b:Title>
    <b:Year>2022</b:Year>
    <b:YearAccessed>2024</b:YearAccessed>
    <b:MonthAccessed>04</b:MonthAccessed>
    <b:DayAccessed>26</b:DayAccessed>
    <b:URL>https://www.ons.gov.uk/peoplepopulationandcommunity/crimeandjustice/bulletins/sexualoffencesinenglandandwalesoverview/march2022</b:URL>
    <b:RefOrder>3</b:RefOrder>
  </b:Source>
  <b:Source>
    <b:Tag>Mar20</b:Tag>
    <b:SourceType>JournalArticle</b:SourceType>
    <b:Guid>{5F08EE73-FB54-4DAA-B391-ED2FB931CE4C}</b:Guid>
    <b:Title>Gaps in Sexual Assault Health Care Among Homeless Young Adults</b:Title>
    <b:Year>2020</b:Year>
    <b:JournalName>American Journal of Preventive Medicine</b:JournalName>
    <b:Pages>191-198</b:Pages>
    <b:Volume>58</b:Volume>
    <b:Issue>2</b:Issue>
    <b:Author>
      <b:Author>
        <b:NameList>
          <b:Person>
            <b:Last>Maria</b:Last>
            <b:Middle>M. Santa</b:Middle>
            <b:First>Diane</b:First>
          </b:Person>
          <b:Person>
            <b:Last>Breeden</b:Last>
            <b:First>Khara</b:First>
          </b:Person>
          <b:Person>
            <b:Last>Drake</b:Last>
            <b:First>Stacy</b:First>
          </b:Person>
          <b:Person>
            <b:Last>Narendorf</b:Last>
            <b:First>Sarah</b:First>
          </b:Person>
          <b:Person>
            <b:Last>Barman-Adhikari</b:Last>
            <b:First>Anamika</b:First>
          </b:Person>
          <b:Person>
            <b:Last>Petering</b:Last>
            <b:First>Robin</b:First>
          </b:Person>
          <b:Person>
            <b:Last>Hsu</b:Last>
            <b:First>Hsun-Ta</b:First>
          </b:Person>
          <b:Person>
            <b:Last>Shelton</b:Last>
            <b:First>James</b:First>
          </b:Person>
          <b:Person>
            <b:Last>Ferguson-Colvin</b:Last>
            <b:First>Kristin</b:First>
          </b:Person>
          <b:Person>
            <b:Last>Bender</b:Last>
            <b:First>Kimberly</b:First>
          </b:Person>
        </b:NameList>
      </b:Author>
    </b:Author>
    <b:RefOrder>4</b:RefOrder>
  </b:Source>
  <b:Source>
    <b:Tag>Col18</b:Tag>
    <b:SourceType>DocumentFromInternetSite</b:SourceType>
    <b:Guid>{7CD4B3F6-68CD-456A-BAAF-B9F40B46FA47}</b:Guid>
    <b:Title>For police first responders to a report of rape or sexual assault</b:Title>
    <b:Year>2018</b:Year>
    <b:Author>
      <b:Author>
        <b:Corporate>College of Policing</b:Corporate>
      </b:Author>
    </b:Author>
    <b:Month>May</b:Month>
    <b:Day>23</b:Day>
    <b:YearAccessed>2024</b:YearAccessed>
    <b:MonthAccessed>04</b:MonthAccessed>
    <b:DayAccessed>26</b:DayAccessed>
    <b:URL>https://library.college.police.uk/docs/appref/C909E0418-First-Responders-Brief.pdf</b:URL>
    <b:RefOrder>5</b:RefOrder>
  </b:Source>
  <b:Source>
    <b:Tag>Wid24</b:Tag>
    <b:SourceType>JournalArticle</b:SourceType>
    <b:Guid>{42C91FD7-2289-4ED6-B93B-8EC67A132733}</b:Guid>
    <b:Title>Support or justice: a triangulated multi-focal view of sexual assault victim support in a UK sexual assault referral centre (SARC)</b:Title>
    <b:Year>2024</b:Year>
    <b:JournalName>International Journal of Mental Health Systems</b:JournalName>
    <b:Pages>1-11</b:Pages>
    <b:Volume>18</b:Volume>
    <b:Author>
      <b:Author>
        <b:NameList>
          <b:Person>
            <b:Last>Widanaralalage</b:Last>
            <b:Middle>B</b:Middle>
            <b:First>Kennath</b:First>
          </b:Person>
          <b:Person>
            <b:Last>Muprhy</b:Last>
            <b:Middle>D</b:Middle>
            <b:First>Anthony</b:First>
          </b:Person>
          <b:Person>
            <b:Last>Loughlin</b:Last>
            <b:First>Casey</b:First>
          </b:Person>
        </b:NameList>
      </b:Author>
    </b:Author>
    <b:RefOrder>6</b:RefOrder>
  </b:Source>
  <b:Source>
    <b:Tag>Cou14</b:Tag>
    <b:SourceType>BookSection</b:SourceType>
    <b:Guid>{DA1F98FC-3F15-49A5-8C28-1FE4193C56BA}</b:Guid>
    <b:Title>Alcoholism and Other Drug Addictions</b:Title>
    <b:Year>2014</b:Year>
    <b:Pages>54-72</b:Pages>
    <b:Publisher>Columbia University Press</b:Publisher>
    <b:BookTitle>Handbook of Social Work Practice with Vulnerable and Resilient Populations</b:BookTitle>
    <b:Author>
      <b:Editor>
        <b:NameList>
          <b:Person>
            <b:Last>Gitterman</b:Last>
            <b:First>Alex</b:First>
          </b:Person>
        </b:NameList>
      </b:Editor>
      <b:Author>
        <b:NameList>
          <b:Person>
            <b:Last>Courtney</b:Last>
            <b:First>Deborah</b:First>
          </b:Person>
          <b:Person>
            <b:Last>Hanson</b:Last>
            <b:First>Meredith</b:First>
          </b:Person>
        </b:NameList>
      </b:Author>
    </b:Author>
    <b:RefOrder>7</b:RefOrder>
  </b:Source>
  <b:Source>
    <b:Tag>Cor14</b:Tag>
    <b:SourceType>BookSection</b:SourceType>
    <b:Guid>{FAFFBDEA-E81C-4185-845C-663866D9C37E}</b:Guid>
    <b:Title>Crime Victims</b:Title>
    <b:BookTitle>Handbook of Social Work Practice with Vulnerable and Resilient Populations</b:BookTitle>
    <b:Year>2014</b:Year>
    <b:Pages>289-300</b:Pages>
    <b:Publisher>Columbia University Press</b:Publisher>
    <b:Author>
      <b:Editor>
        <b:NameList>
          <b:Person>
            <b:Last>Gitterman</b:Last>
            <b:First>Alex</b:First>
          </b:Person>
        </b:NameList>
      </b:Editor>
      <b:Author>
        <b:NameList>
          <b:Person>
            <b:Last>Corcoran</b:Last>
            <b:First>Jacqueline</b:First>
          </b:Person>
        </b:NameList>
      </b:Author>
    </b:Author>
    <b:RefOrder>8</b:RefOrder>
  </b:Source>
  <b:Source>
    <b:Tag>Mcc14</b:Tag>
    <b:SourceType>BookSection</b:SourceType>
    <b:Guid>{CCD9A46E-0F78-4A35-8710-B553D7D5601C}</b:Guid>
    <b:Title>Homeless People</b:Title>
    <b:BookTitle>Handbook of Social Work Practice with Vulnerable and Resilient Populations</b:BookTitle>
    <b:Year>2014</b:Year>
    <b:Pages>345-365</b:Pages>
    <b:Publisher>Columbia University Press</b:Publisher>
    <b:Author>
      <b:Editor>
        <b:NameList>
          <b:Person>
            <b:Last>Gitterman</b:Last>
            <b:First>Alex</b:First>
          </b:Person>
        </b:NameList>
      </b:Editor>
      <b:Author>
        <b:NameList>
          <b:Person>
            <b:Last>Mcclendon</b:Last>
            <b:First>Jennifer</b:First>
          </b:Person>
          <b:Person>
            <b:Last>Lane</b:Last>
            <b:First>Shannon</b:First>
          </b:Person>
        </b:NameList>
      </b:Author>
    </b:Author>
    <b:RefOrder>9</b:RefOrder>
  </b:Source>
  <b:Source>
    <b:Tag>OCa23</b:Tag>
    <b:SourceType>JournalArticle</b:SourceType>
    <b:Guid>{6F34887A-364F-4D52-88B1-CBFC1E1ADD9C}</b:Guid>
    <b:Title>Mental health help-seeking after a sexual assault: A dyadic study of sexual assault survivors and informal support providers.</b:Title>
    <b:Year>2023</b:Year>
    <b:Pages>65-75</b:Pages>
    <b:JournalName>Traumatology</b:JournalName>
    <b:Volume>29</b:Volume>
    <b:Issue>1</b:Issue>
    <b:Author>
      <b:Author>
        <b:NameList>
          <b:Person>
            <b:Last>O'Callaghan</b:Last>
            <b:First>Erin</b:First>
          </b:Person>
          <b:Person>
            <b:Last>Ullman</b:Last>
            <b:Middle>E</b:Middle>
            <b:First>Sarah</b:First>
          </b:Person>
          <b:Person>
            <b:Last>Shepp</b:Last>
            <b:First>Veronica</b:First>
          </b:Person>
          <b:Person>
            <b:Last>Harris</b:Last>
            <b:First>Casey</b:First>
          </b:Person>
        </b:NameList>
      </b:Author>
    </b:Author>
    <b:RefOrder>10</b:RefOrder>
  </b:Source>
  <b:Source>
    <b:Tag>Pat15</b:Tag>
    <b:SourceType>JournalArticle</b:SourceType>
    <b:Guid>{B7F5D116-9B7F-4106-A9CA-FB7BF0BE69D4}</b:Guid>
    <b:Title>Understanding How Advocates Can Affect Sexual Assault Victim Engagement in the Criminal Justice Process</b:Title>
    <b:JournalName>Journal of Interpersonal Violence</b:JournalName>
    <b:Year>2015</b:Year>
    <b:Volume>30</b:Volume>
    <b:Issue>12</b:Issue>
    <b:Author>
      <b:Author>
        <b:NameList>
          <b:Person>
            <b:Last>Patterson</b:Last>
            <b:First>Debra</b:First>
          </b:Person>
          <b:Person>
            <b:Last>Tringali</b:Last>
            <b:First>Brenda</b:First>
          </b:Person>
        </b:NameList>
      </b:Author>
    </b:Author>
    <b:RefOrder>11</b:RefOrder>
  </b:Source>
  <b:Source>
    <b:Tag>Bro24</b:Tag>
    <b:SourceType>JournalArticle</b:SourceType>
    <b:Guid>{371898B3-D4D5-4B09-A119-D67A8DD7496A}</b:Guid>
    <b:Title>The Professional Quality of Life of Domestic and Sexual Violence Advocates: A Systematic Review of Possible Risk and Protective Factors</b:Title>
    <b:JournalName>Trauma, Violence, &amp; Abuse</b:JournalName>
    <b:Year>2024</b:Year>
    <b:Volume>25</b:Volume>
    <b:Issue>2</b:Issue>
    <b:Author>
      <b:Author>
        <b:NameList>
          <b:Person>
            <b:Last>Bromley</b:Last>
            <b:First>Harriet</b:First>
          </b:Person>
          <b:Person>
            <b:Last>Davis</b:Last>
            <b:Middle>K.</b:Middle>
            <b:First>Sarah</b:First>
          </b:Person>
          <b:Person>
            <b:Last>Taylor-Dunn</b:Last>
            <b:First>Holly</b:First>
          </b:Person>
        </b:NameList>
      </b:Author>
    </b:Author>
    <b:RefOrder>12</b:RefOrder>
  </b:Source>
  <b:Source>
    <b:Tag>Spo22</b:Tag>
    <b:SourceType>Book</b:SourceType>
    <b:Guid>{CA3183B8-812C-4EDA-AE13-FE7E6F6D6861}</b:Guid>
    <b:Title>Police Research and Evidence-based Policing</b:Title>
    <b:Year>2022</b:Year>
    <b:City>St Albans</b:City>
    <b:Publisher>Critical Publishing</b:Publisher>
    <b:Author>
      <b:Author>
        <b:NameList>
          <b:Person>
            <b:Last>Spooner</b:Last>
            <b:First>Emma</b:First>
          </b:Person>
          <b:Person>
            <b:Last>Hughes</b:Last>
            <b:First>Craig</b:First>
          </b:Person>
          <b:Person>
            <b:Last>Jones</b:Last>
            <b:Middle>Mike</b:Middle>
            <b:First>Phil</b:First>
          </b:Person>
          <b:Person>
            <b:Last>Blockley</b:Last>
            <b:First>Tony</b:First>
          </b:Person>
        </b:NameList>
      </b:Author>
    </b:Author>
    <b:RefOrder>13</b:RefOrder>
  </b:Source>
  <b:Source>
    <b:Tag>Col21</b:Tag>
    <b:SourceType>InternetSite</b:SourceType>
    <b:Guid>{511CB0FB-C272-437B-B467-A77444B15163}</b:Guid>
    <b:Title>What works in policing to reduce crime?</b:Title>
    <b:Year>2021</b:Year>
    <b:Author>
      <b:Author>
        <b:Corporate>College of Policing</b:Corporate>
      </b:Author>
    </b:Author>
    <b:YearAccessed>2024</b:YearAccessed>
    <b:MonthAccessed>04</b:MonthAccessed>
    <b:DayAccessed>26</b:DayAccessed>
    <b:URL>https://www.college.police.uk/research/what-works-policing-reduce-crime</b:URL>
    <b:RefOrder>14</b:RefOrder>
  </b:Source>
  <b:Source>
    <b:Tag>Ces20</b:Tag>
    <b:SourceType>BookSection</b:SourceType>
    <b:Guid>{90518D6E-95E0-48A8-A703-352DC515C71B}</b:Guid>
    <b:Title>Prison Treatment Programs From an International Perspective</b:Title>
    <b:Year>2020</b:Year>
    <b:BookTitle>Handbook of Research on Trends and Issues in Crime Prevention, Rehabilitation, and Victim Support</b:BookTitle>
    <b:Pages>16</b:Pages>
    <b:Publisher>IGI Global</b:Publisher>
    <b:Author>
      <b:Author>
        <b:NameList>
          <b:Person>
            <b:Last>Cesari</b:Last>
            <b:First>Stefano</b:First>
          </b:Person>
        </b:NameList>
      </b:Author>
    </b:Author>
    <b:RefOrder>15</b:RefOrder>
  </b:Source>
  <b:Source>
    <b:Tag>Hay16</b:Tag>
    <b:SourceType>JournalArticle</b:SourceType>
    <b:Guid>{0030C731-9D28-45CC-A4E5-4A8288CD4798}</b:Guid>
    <b:Title>Sex, Love and Abuse: Discourses on Domestic Violence and Sexual Assault, By Sharon Hayes</b:Title>
    <b:Year>2016</b:Year>
    <b:Pages>201-204</b:Pages>
    <b:JournalName>The British Journal of Criminology</b:JournalName>
    <b:Volume>56</b:Volume>
    <b:Issue>1</b:Issue>
    <b:Author>
      <b:Author>
        <b:NameList>
          <b:Person>
            <b:Last>Fleetwood</b:Last>
            <b:First>Jennifer</b:First>
          </b:Person>
        </b:NameList>
      </b:Author>
    </b:Author>
    <b:RefOrder>16</b:RefOrder>
  </b:Source>
  <b:Source>
    <b:Tag>Wal18</b:Tag>
    <b:SourceType>JournalArticle</b:SourceType>
    <b:Guid>{2DD139B3-6A0A-48BA-A5CF-E1F8375D7B2A}</b:Guid>
    <b:Title>Untangling the concept of coercive control: Theorizing domestic violent crime</b:Title>
    <b:JournalName>Criminology &amp; Criminal Justice</b:JournalName>
    <b:Year>2018</b:Year>
    <b:Volume>18</b:Volume>
    <b:Issue>1</b:Issue>
    <b:Author>
      <b:Author>
        <b:NameList>
          <b:Person>
            <b:Last>Walby</b:Last>
            <b:First>Sylvia</b:First>
          </b:Person>
          <b:Person>
            <b:Last>Towers</b:Last>
            <b:First>Jude</b:First>
          </b:Person>
        </b:NameList>
      </b:Author>
    </b:Author>
    <b:RefOrder>17</b:RefOrder>
  </b:Source>
  <b:Source>
    <b:Tag>Cri71</b:Tag>
    <b:SourceType>InternetSite</b:SourceType>
    <b:Guid>{2B78F209-55C7-4D77-AC72-58151CCCE6FB}</b:Guid>
    <b:Author>
      <b:Author>
        <b:Corporate>Criminal Damage Act</b:Corporate>
      </b:Author>
    </b:Author>
    <b:Year>1971</b:Year>
    <b:YearAccessed>2024</b:YearAccessed>
    <b:MonthAccessed>04</b:MonthAccessed>
    <b:DayAccessed>28</b:DayAccessed>
    <b:URL>https://www.legislation.gov.uk/ukpga/1971/48/contents</b:URL>
    <b:RefOrder>18</b:RefOrder>
  </b:Source>
  <b:Source>
    <b:Tag>Dom21</b:Tag>
    <b:SourceType>InternetSite</b:SourceType>
    <b:Guid>{CFD5230B-999A-4515-A2F3-1C739E63CB0D}</b:Guid>
    <b:Author>
      <b:Author>
        <b:Corporate>Domestic Abuse Act, Section 70</b:Corporate>
      </b:Author>
    </b:Author>
    <b:Year>2021</b:Year>
    <b:YearAccessed>2024</b:YearAccessed>
    <b:MonthAccessed>04</b:MonthAccessed>
    <b:DayAccessed>28</b:DayAccessed>
    <b:URL>https://www.legislation.gov.uk/ukpga/2021/17/section/70/enacted</b:URL>
    <b:RefOrder>19</b:RefOrder>
  </b:Source>
  <b:Source>
    <b:Tag>Kan21</b:Tag>
    <b:SourceType>JournalArticle</b:SourceType>
    <b:Guid>{E92862A5-3AD7-4573-8249-84ED205AC85B}</b:Guid>
    <b:Title>Domestic Coercive Control and Common Mental Disorders Among Women in Informal Settlements in Mumbai, India: A Cross-Sectional Survey</b:Title>
    <b:Year>2021</b:Year>
    <b:JournalName>Journal of Interpersonal Violence</b:JournalName>
    <b:Volume>37</b:Volume>
    <b:Issue>19-20</b:Issue>
    <b:Author>
      <b:Author>
        <b:NameList>
          <b:Person>
            <b:Last>Kanougiya</b:Last>
            <b:First>Suman</b:First>
          </b:Person>
          <b:Person>
            <b:Last>Daruwalla</b:Last>
            <b:First>Nayreen</b:First>
          </b:Person>
          <b:Person>
            <b:Last>Osrin</b:Last>
            <b:First>David</b:First>
          </b:Person>
        </b:NameList>
      </b:Author>
    </b:Author>
    <b:RefOrder>20</b:RefOrder>
  </b:Source>
  <b:Source>
    <b:Tag>Bir22</b:Tag>
    <b:SourceType>JournalArticle</b:SourceType>
    <b:Guid>{4C1D6155-8CF3-4FF6-B749-56BEBE816E61}</b:Guid>
    <b:Title>Theorising victim decision making in the police response to domestic abuse</b:Title>
    <b:JournalName>International Review of Victimology</b:JournalName>
    <b:Year>2022</b:Year>
    <b:Volume>28</b:Volume>
    <b:Issue>3</b:Issue>
    <b:Author>
      <b:Author>
        <b:NameList>
          <b:Person>
            <b:Last>Birdsall</b:Last>
            <b:First>Nathan</b:First>
          </b:Person>
          <b:Person>
            <b:Last>Boulton</b:Last>
            <b:First>Laura</b:First>
          </b:Person>
        </b:NameList>
      </b:Author>
    </b:Author>
    <b:RefOrder>21</b:RefOrder>
  </b:Source>
  <b:Source>
    <b:Tag>Lea12</b:Tag>
    <b:SourceType>JournalArticle</b:SourceType>
    <b:Guid>{73CD050D-C826-41A0-8B9B-D886B7B4255A}</b:Guid>
    <b:Title>Dialogic Reverberations: Police, Domestic Abuse, and the Discontinuance of Cases</b:Title>
    <b:JournalName>Journal of Interpersonal Violence</b:JournalName>
    <b:Year>2012</b:Year>
    <b:Volume>27</b:Volume>
    <b:Issue>15</b:Issue>
    <b:Author>
      <b:Author>
        <b:NameList>
          <b:Person>
            <b:Last>Lea</b:Last>
            <b:Middle>J.</b:Middle>
            <b:First>Susan</b:First>
          </b:Person>
          <b:Person>
            <b:Last>Lynn</b:Last>
            <b:First>Nick</b:First>
          </b:Person>
        </b:NameList>
      </b:Author>
    </b:Author>
    <b:RefOrder>22</b:RefOrder>
  </b:Source>
  <b:Source>
    <b:Tag>Kar23</b:Tag>
    <b:SourceType>JournalArticle</b:SourceType>
    <b:Guid>{5AEBF27A-3ADF-4ED9-9725-B5B84AD31678}</b:Guid>
    <b:Title>Impact evaluation and economic benefit analysis of a domestic violence and abuse UK police intervention</b:Title>
    <b:JournalName>Frontiers in Psychology</b:JournalName>
    <b:Year>2023</b:Year>
    <b:Volume>14</b:Volume>
    <b:Author>
      <b:Author>
        <b:NameList>
          <b:Person>
            <b:Last>Karavias</b:Last>
            <b:First>Yiannis</b:First>
          </b:Person>
          <b:Person>
            <b:Last>Flowe</b:Last>
            <b:Middle>D.</b:Middle>
            <b:First>Heather</b:First>
          </b:Person>
          <b:Person>
            <b:Last>Bandyopadhyay</b:Last>
            <b:First>Siddhartha</b:First>
          </b:Person>
          <b:Person>
            <b:Last>Chritie</b:Last>
            <b:First>Christine</b:First>
          </b:Person>
          <b:Person>
            <b:Last>Bradbury-Jones</b:Last>
            <b:First>Caroline</b:First>
          </b:Person>
          <b:Person>
            <b:Last>Taylor</b:Last>
            <b:First>Julie</b:First>
          </b:Person>
          <b:Person>
            <b:Last>Kane</b:Last>
            <b:First>Eddie</b:First>
          </b:Person>
        </b:NameList>
      </b:Author>
    </b:Author>
    <b:RefOrder>23</b:RefOrder>
  </b:Source>
  <b:Source>
    <b:Tag>Bes15</b:Tag>
    <b:SourceType>JournalArticle</b:SourceType>
    <b:Guid>{8D0BAE4C-C3ED-4BDF-BA92-5B20186419E8}</b:Guid>
    <b:Title>Protecting Victims of Domestic Violence—Have We Got the Balance Right?</b:Title>
    <b:JournalName>The Journal of Criminal Law</b:JournalName>
    <b:Year>2015</b:Year>
    <b:Volume>79</b:Volume>
    <b:Issue>2</b:Issue>
    <b:Author>
      <b:Author>
        <b:NameList>
          <b:Person>
            <b:Last>Bessant</b:Last>
            <b:First>Claire</b:First>
          </b:Person>
        </b:NameList>
      </b:Author>
    </b:Author>
    <b:RefOrder>24</b:RefOrder>
  </b:Source>
  <b:Source>
    <b:Tag>Ken23</b:Tag>
    <b:SourceType>JournalArticle</b:SourceType>
    <b:Guid>{3C029358-0835-45C7-AAE0-4FE269F0D760}</b:Guid>
    <b:Title>Insights from linking police domestic abuse data and health data in South Wales, UK: a linked routine data analysis using decision tree classification</b:Title>
    <b:JournalName>The Lancet Public Health</b:JournalName>
    <b:Year>2023</b:Year>
    <b:Pages>629-638</b:Pages>
    <b:Volume>8</b:Volume>
    <b:Issue>8</b:Issue>
    <b:Author>
      <b:Author>
        <b:NameList>
          <b:Person>
            <b:Last>Kennedy</b:Last>
            <b:First>Natasha</b:First>
          </b:Person>
          <b:Person>
            <b:Last>Lwin-Win</b:Last>
            <b:First>Tint</b:First>
          </b:Person>
          <b:Person>
            <b:Last>Bandyopadhyay</b:Last>
            <b:First>Amrita</b:First>
          </b:Person>
          <b:Person>
            <b:Last>Kennedy</b:Last>
            <b:First>Johnathan</b:First>
          </b:Person>
          <b:Person>
            <b:Last>Rowe</b:Last>
            <b:First>Benjamin</b:First>
          </b:Person>
          <b:Person>
            <b:Last>McNerny</b:Last>
            <b:First>Cynthia</b:First>
          </b:Person>
          <b:Person>
            <b:Last>Evans</b:Last>
            <b:First>Julie</b:First>
          </b:Person>
          <b:Person>
            <b:Last>Hughes</b:Last>
            <b:First>Karen</b:First>
          </b:Person>
          <b:Person>
            <b:Last>Bellis</b:Last>
            <b:Middle>A</b:Middle>
            <b:First>Mark</b:First>
          </b:Person>
          <b:Person>
            <b:Last>Jones</b:Last>
            <b:First>Angela</b:First>
          </b:Person>
          <b:Person>
            <b:Last>Harrington</b:Last>
            <b:First>Karen</b:First>
          </b:Person>
          <b:Person>
            <b:Last>Moore</b:Last>
            <b:First>Simon</b:First>
          </b:Person>
          <b:Person>
            <b:Last>Brophy</b:Last>
            <b:First>Sinead</b:First>
          </b:Person>
        </b:NameList>
      </b:Author>
    </b:Author>
    <b:RefOrder>25</b:RefOrder>
  </b:Source>
  <b:Source>
    <b:Tag>Bar22</b:Tag>
    <b:SourceType>Book</b:SourceType>
    <b:Guid>{BF88F5C5-1C5E-4CCD-91F5-D08D12089DC4}</b:Guid>
    <b:Title>Policing Domestic Abuse</b:Title>
    <b:Year>2022</b:Year>
    <b:City>London</b:City>
    <b:Publisher>Routledge</b:Publisher>
    <b:Edition>1</b:Edition>
    <b:Author>
      <b:Author>
        <b:NameList>
          <b:Person>
            <b:Last>Barrow-Grint</b:Last>
            <b:First>Katy</b:First>
          </b:Person>
          <b:Person>
            <b:Last>Sebire</b:Last>
            <b:First>Jacqueline</b:First>
          </b:Person>
          <b:Person>
            <b:Last>Turton</b:Last>
            <b:First>Jackie</b:First>
          </b:Person>
          <b:Person>
            <b:Last>Weir</b:Last>
            <b:First>Ruth</b:First>
          </b:Person>
        </b:NameList>
      </b:Author>
    </b:Author>
    <b:RefOrder>26</b:RefOrder>
  </b:Source>
  <b:Source>
    <b:Tag>Col16</b:Tag>
    <b:SourceType>InternetSite</b:SourceType>
    <b:Guid>{F76607E2-2D72-4E2F-8603-072FDF5117D0}</b:Guid>
    <b:Title>First response quick reference guide - domestic abuse</b:Title>
    <b:Year>2016</b:Year>
    <b:Author>
      <b:Author>
        <b:Corporate>College of Policing</b:Corporate>
      </b:Author>
    </b:Author>
    <b:YearAccessed>2024</b:YearAccessed>
    <b:MonthAccessed>04</b:MonthAccessed>
    <b:DayAccessed>28</b:DayAccessed>
    <b:URL>https://www.college.police.uk/app/major-investigation-and-public-protection/domestic-abuse/first-response-quick-reference-guide-domestic-abuse</b:URL>
    <b:RefOrder>27</b:RefOrder>
  </b:Source>
  <b:Source>
    <b:Tag>Col211</b:Tag>
    <b:SourceType>InternetSite</b:SourceType>
    <b:Guid>{39FCF4B3-8147-4BE0-8481-5D0B4D4DCDA2}</b:Guid>
    <b:Author>
      <b:Author>
        <b:Corporate>College of Policing</b:Corporate>
      </b:Author>
    </b:Author>
    <b:Title>Context and dynamics of domestic abuse</b:Title>
    <b:Year>2021</b:Year>
    <b:YearAccessed>2024</b:YearAccessed>
    <b:MonthAccessed>04</b:MonthAccessed>
    <b:DayAccessed>28</b:DayAccessed>
    <b:URL>https://www.college.police.uk/app/major-investigation-and-public-protection/domestic-abuse/context-and-dynamics-domestic-abuse</b:URL>
    <b:RefOrder>28</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25EE1AAF-3EE9-4936-A009-E2825D102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32</Pages>
  <Words>5982</Words>
  <Characters>34098</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Sean Holmes</cp:lastModifiedBy>
  <cp:revision>83</cp:revision>
  <cp:lastPrinted>2014-08-26T08:55:00Z</cp:lastPrinted>
  <dcterms:created xsi:type="dcterms:W3CDTF">2024-04-26T17:02:00Z</dcterms:created>
  <dcterms:modified xsi:type="dcterms:W3CDTF">2024-04-28T19:53:00Z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