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81AEAB" w14:textId="6D5D4A34" w:rsidR="00222160" w:rsidRPr="00222160" w:rsidRDefault="00222160" w:rsidP="00222160">
      <w:pPr>
        <w:spacing w:line="480" w:lineRule="auto"/>
        <w:ind w:left="720" w:hanging="360"/>
        <w:jc w:val="center"/>
        <w:rPr>
          <w:b/>
          <w:bCs/>
          <w:u w:val="single"/>
        </w:rPr>
      </w:pPr>
      <w:r w:rsidRPr="00222160">
        <w:rPr>
          <w:b/>
          <w:bCs/>
          <w:u w:val="single"/>
        </w:rPr>
        <w:t>Operational Policing Exam</w:t>
      </w:r>
    </w:p>
    <w:p w14:paraId="58E1AE56" w14:textId="5DEF6426" w:rsidR="0002685B" w:rsidRPr="00222160" w:rsidRDefault="005B0FC2" w:rsidP="00222160">
      <w:pPr>
        <w:pStyle w:val="ListParagraph"/>
        <w:numPr>
          <w:ilvl w:val="0"/>
          <w:numId w:val="1"/>
        </w:numPr>
        <w:spacing w:line="480" w:lineRule="auto"/>
        <w:rPr>
          <w:rFonts w:ascii="Arial" w:hAnsi="Arial" w:cs="Arial"/>
          <w:sz w:val="24"/>
          <w:szCs w:val="24"/>
        </w:rPr>
      </w:pPr>
      <w:r w:rsidRPr="0072377A">
        <w:rPr>
          <w:rFonts w:ascii="Arial" w:hAnsi="Arial" w:cs="Arial"/>
          <w:sz w:val="24"/>
          <w:szCs w:val="24"/>
        </w:rPr>
        <w:t>The word ‘Dishonestly’ is not actually defined in the Theft Act 1968. However, section 2(1) of the act does state situations where a person has not been dishonest in their appropriation of another property. It states that the first defence is having the right to law to take the item in question. This would be a scenario such as taking an item you own back from someone who is leaving with your item. The second defence is the owner would have given consent for the accused to take the item had the owner of the item known the circumstances. This could be where a neighbour has gone on holiday and asked you to clean his car, your hose pipe breaks so you get the neighbours hose out of their shed and use it to clean your own car too. The final defence for dishonesty is whether the owner of the item can be discovered taking reasonable steps. An example of this would be finding a wallet with an ID and money on the street. Reasonable steps can include social media posts, posters or taking it to the address stated on the ID card.</w:t>
      </w:r>
      <w:r w:rsidR="0002685B" w:rsidRPr="0072377A">
        <w:rPr>
          <w:rFonts w:ascii="Arial" w:hAnsi="Arial" w:cs="Arial"/>
          <w:sz w:val="24"/>
          <w:szCs w:val="24"/>
        </w:rPr>
        <w:t xml:space="preserve"> Section 2(2) states that being willing to pay for an item can still be deemed dishonest, for example taking a football from someone’s garden and leaving a ten-pound note by their front door would still possibly be deemed dishonest. The old test for dishonesty was a two limbed test. R v Gosh (1982) juries needed to objectively consider whether the act dishonest by standards of objective reasonable people. If the answer to that was yes, then a subjective test of if the defendant realised that a reasonable and honest person would have seen their behaviour as dishonest. The new test seen in R v Ivey (2017) would start with a subjective test, reviewing the case to determine if the defendant had </w:t>
      </w:r>
      <w:r w:rsidR="0002685B" w:rsidRPr="0072377A">
        <w:rPr>
          <w:rFonts w:ascii="Arial" w:hAnsi="Arial" w:cs="Arial"/>
          <w:sz w:val="24"/>
          <w:szCs w:val="24"/>
        </w:rPr>
        <w:lastRenderedPageBreak/>
        <w:t>reasonable knowledge or believed what they did. The second part of this test is objective and asks would a normal person consider the act as dishonest.</w:t>
      </w:r>
    </w:p>
    <w:p w14:paraId="01CB3404" w14:textId="08CBFDAB" w:rsidR="0002685B" w:rsidRPr="0072377A" w:rsidRDefault="0002685B" w:rsidP="007B35AF">
      <w:pPr>
        <w:pStyle w:val="ListParagraph"/>
        <w:spacing w:line="480" w:lineRule="auto"/>
        <w:ind w:firstLine="720"/>
        <w:rPr>
          <w:rFonts w:ascii="Arial" w:hAnsi="Arial" w:cs="Arial"/>
          <w:sz w:val="24"/>
          <w:szCs w:val="24"/>
        </w:rPr>
      </w:pPr>
      <w:r w:rsidRPr="0072377A">
        <w:rPr>
          <w:rFonts w:ascii="Arial" w:hAnsi="Arial" w:cs="Arial"/>
          <w:sz w:val="24"/>
          <w:szCs w:val="24"/>
        </w:rPr>
        <w:t xml:space="preserve">‘Property’ is defined in section 4 of the Theft Act 1968 as having the common meaning of moveable objects </w:t>
      </w:r>
      <w:r w:rsidRPr="0072377A">
        <w:rPr>
          <w:rFonts w:ascii="Arial" w:hAnsi="Arial" w:cs="Arial"/>
          <w:sz w:val="24"/>
          <w:szCs w:val="24"/>
        </w:rPr>
        <w:t>such as physical property like items being sold in a shop or property belonging to another person such as clothing.</w:t>
      </w:r>
      <w:r w:rsidRPr="0072377A">
        <w:rPr>
          <w:rFonts w:ascii="Arial" w:hAnsi="Arial" w:cs="Arial"/>
          <w:sz w:val="24"/>
          <w:szCs w:val="24"/>
        </w:rPr>
        <w:t xml:space="preserve"> It also includes intangible items such as oxygen. Electricity is not included and has its own offence. ‘Things in action</w:t>
      </w:r>
      <w:r w:rsidR="008662EE" w:rsidRPr="0072377A">
        <w:rPr>
          <w:rFonts w:ascii="Arial" w:hAnsi="Arial" w:cs="Arial"/>
          <w:sz w:val="24"/>
          <w:szCs w:val="24"/>
        </w:rPr>
        <w:t>’ are also property for the purposes of the act. This part of the law refers to rights rather than property such as rights to sue another person. In scenarios where there are shared assets such as organisations and trustees sharing bank accounts, money transferred into the bank become property of the bank. If a trustee cashes a cheque for themselves, the organisation under law has the right to sue the bank for the money back. Land cannot be stolen in general, and this would be a civil court matter. However, a trustee of an estate can sell land on behalf of another without their permission for profit which may be theft. ‘Turf, topsoil and cultivated trees’ as well as shrubs being removed without landowner’s permission can be considered theft as they amount to ‘real property’. Whole buildings cannot be stolen. Wild plants such as ‘fruit, foliage or fungi’ being taken is only theft if they are taken for the purpose of monetary gain or cannot grow back as they have been uprooted. Animals can only be stolen if they are tamed and not wild and are in captivity such as a zoo or wildlife park. If an animal is killed without the lawful permission of its owner, this may amount to theft</w:t>
      </w:r>
      <w:r w:rsidR="0018319F" w:rsidRPr="0072377A">
        <w:rPr>
          <w:rFonts w:ascii="Arial" w:hAnsi="Arial" w:cs="Arial"/>
          <w:sz w:val="24"/>
          <w:szCs w:val="24"/>
        </w:rPr>
        <w:t xml:space="preserve"> (</w:t>
      </w:r>
      <w:proofErr w:type="spellStart"/>
      <w:r w:rsidR="0018319F" w:rsidRPr="0072377A">
        <w:rPr>
          <w:rFonts w:ascii="Arial" w:hAnsi="Arial" w:cs="Arial"/>
          <w:sz w:val="24"/>
          <w:szCs w:val="24"/>
        </w:rPr>
        <w:t>Blackstones</w:t>
      </w:r>
      <w:proofErr w:type="spellEnd"/>
      <w:r w:rsidR="0018319F" w:rsidRPr="0072377A">
        <w:rPr>
          <w:rFonts w:ascii="Arial" w:hAnsi="Arial" w:cs="Arial"/>
          <w:sz w:val="24"/>
          <w:szCs w:val="24"/>
        </w:rPr>
        <w:t>, 2021)</w:t>
      </w:r>
      <w:r w:rsidR="008662EE" w:rsidRPr="0072377A">
        <w:rPr>
          <w:rFonts w:ascii="Arial" w:hAnsi="Arial" w:cs="Arial"/>
          <w:sz w:val="24"/>
          <w:szCs w:val="24"/>
        </w:rPr>
        <w:t xml:space="preserve">. </w:t>
      </w:r>
    </w:p>
    <w:p w14:paraId="446226D7" w14:textId="77777777" w:rsidR="0072377A" w:rsidRPr="0072377A" w:rsidRDefault="0072377A" w:rsidP="0072377A">
      <w:pPr>
        <w:pStyle w:val="ListParagraph"/>
        <w:spacing w:line="480" w:lineRule="auto"/>
        <w:rPr>
          <w:rFonts w:ascii="Arial" w:hAnsi="Arial" w:cs="Arial"/>
          <w:sz w:val="24"/>
          <w:szCs w:val="24"/>
        </w:rPr>
      </w:pPr>
    </w:p>
    <w:p w14:paraId="62BFDF25" w14:textId="6E8AF0AB" w:rsidR="004C6A67" w:rsidRPr="0072377A" w:rsidRDefault="004C6A67" w:rsidP="0072377A">
      <w:pPr>
        <w:pStyle w:val="ListParagraph"/>
        <w:numPr>
          <w:ilvl w:val="0"/>
          <w:numId w:val="1"/>
        </w:numPr>
        <w:spacing w:line="480" w:lineRule="auto"/>
        <w:rPr>
          <w:rFonts w:ascii="Arial" w:hAnsi="Arial" w:cs="Arial"/>
          <w:sz w:val="24"/>
          <w:szCs w:val="24"/>
        </w:rPr>
      </w:pPr>
      <w:r w:rsidRPr="0072377A">
        <w:rPr>
          <w:rFonts w:ascii="Arial" w:hAnsi="Arial" w:cs="Arial"/>
          <w:sz w:val="24"/>
          <w:szCs w:val="24"/>
        </w:rPr>
        <w:lastRenderedPageBreak/>
        <w:t xml:space="preserve">The term ‘enters’ in terms of the offence of burglary can be defined under section 9(1) of the Theft Act 1968. It states entry can occur in several ways. The first type of entry is where the person either by walking or climbing into a building whether entirely or just one body part through an opening such as a letter box can suffice. This must be more than minimal insertion </w:t>
      </w:r>
      <w:r w:rsidR="0018319F" w:rsidRPr="0072377A">
        <w:rPr>
          <w:rFonts w:ascii="Arial" w:hAnsi="Arial" w:cs="Arial"/>
          <w:sz w:val="24"/>
          <w:szCs w:val="24"/>
        </w:rPr>
        <w:t xml:space="preserve">simply sliding a hand across a window frame on the outside is not enough to suffice as entry. </w:t>
      </w:r>
      <w:r w:rsidR="00E43870">
        <w:rPr>
          <w:rFonts w:ascii="Arial" w:hAnsi="Arial" w:cs="Arial"/>
          <w:sz w:val="24"/>
          <w:szCs w:val="24"/>
        </w:rPr>
        <w:t>However,</w:t>
      </w:r>
      <w:r w:rsidR="007B35AF">
        <w:rPr>
          <w:rFonts w:ascii="Arial" w:hAnsi="Arial" w:cs="Arial"/>
          <w:sz w:val="24"/>
          <w:szCs w:val="24"/>
        </w:rPr>
        <w:t xml:space="preserve"> a partial entry is sufficient where the offender puts any body part within the building (R v Brown 1985). </w:t>
      </w:r>
      <w:r w:rsidR="0018319F" w:rsidRPr="0072377A">
        <w:rPr>
          <w:rFonts w:ascii="Arial" w:hAnsi="Arial" w:cs="Arial"/>
          <w:sz w:val="24"/>
          <w:szCs w:val="24"/>
        </w:rPr>
        <w:t>Another form of entry is using any tool to extend the size of the body to carry out the offence of burglary. No body part needs to enter the premises only the tool does. It must be more than just slight entry and the tool must be used to carry out the offence fully. A crowbar being used to open a door or window is not enough to suffice as entering. However, sticking a fishing rod through a letter box to hook someone’s car keys would suffice as entering and burglary being committed. The third and final form of entering would be the use of a blameless accomplice. This for example would be using a child under the age of 10 as a tool for extending the body. This would also have to be more than minimal, the full offence must be carried out by the accomplice and this would suffice as burglary</w:t>
      </w:r>
      <w:r w:rsidR="00E2097F" w:rsidRPr="0072377A">
        <w:rPr>
          <w:rFonts w:ascii="Arial" w:hAnsi="Arial" w:cs="Arial"/>
          <w:sz w:val="24"/>
          <w:szCs w:val="24"/>
        </w:rPr>
        <w:t xml:space="preserve"> (</w:t>
      </w:r>
      <w:proofErr w:type="spellStart"/>
      <w:r w:rsidR="00E2097F" w:rsidRPr="0072377A">
        <w:rPr>
          <w:rFonts w:ascii="Arial" w:hAnsi="Arial" w:cs="Arial"/>
          <w:sz w:val="24"/>
          <w:szCs w:val="24"/>
        </w:rPr>
        <w:t>Blackstones</w:t>
      </w:r>
      <w:proofErr w:type="spellEnd"/>
      <w:r w:rsidR="00E2097F" w:rsidRPr="0072377A">
        <w:rPr>
          <w:rFonts w:ascii="Arial" w:hAnsi="Arial" w:cs="Arial"/>
          <w:sz w:val="24"/>
          <w:szCs w:val="24"/>
        </w:rPr>
        <w:t>, 2021)</w:t>
      </w:r>
      <w:r w:rsidR="0018319F" w:rsidRPr="0072377A">
        <w:rPr>
          <w:rFonts w:ascii="Arial" w:hAnsi="Arial" w:cs="Arial"/>
          <w:sz w:val="24"/>
          <w:szCs w:val="24"/>
        </w:rPr>
        <w:t xml:space="preserve">. </w:t>
      </w:r>
    </w:p>
    <w:p w14:paraId="46540F3E" w14:textId="21D9A527" w:rsidR="00E2097F" w:rsidRPr="0072377A" w:rsidRDefault="00E2097F" w:rsidP="0072377A">
      <w:pPr>
        <w:pStyle w:val="ListParagraph"/>
        <w:spacing w:line="480" w:lineRule="auto"/>
        <w:rPr>
          <w:rFonts w:ascii="Arial" w:hAnsi="Arial" w:cs="Arial"/>
          <w:sz w:val="24"/>
          <w:szCs w:val="24"/>
        </w:rPr>
      </w:pPr>
    </w:p>
    <w:p w14:paraId="69BBB325" w14:textId="332CB765" w:rsidR="00E2097F" w:rsidRDefault="00E2097F" w:rsidP="0072377A">
      <w:pPr>
        <w:pStyle w:val="ListParagraph"/>
        <w:spacing w:line="480" w:lineRule="auto"/>
        <w:rPr>
          <w:rFonts w:ascii="Arial" w:hAnsi="Arial" w:cs="Arial"/>
          <w:sz w:val="24"/>
          <w:szCs w:val="24"/>
        </w:rPr>
      </w:pPr>
    </w:p>
    <w:p w14:paraId="55846206" w14:textId="77777777" w:rsidR="00222160" w:rsidRPr="0072377A" w:rsidRDefault="00222160" w:rsidP="0072377A">
      <w:pPr>
        <w:pStyle w:val="ListParagraph"/>
        <w:spacing w:line="480" w:lineRule="auto"/>
        <w:rPr>
          <w:rFonts w:ascii="Arial" w:hAnsi="Arial" w:cs="Arial"/>
          <w:sz w:val="24"/>
          <w:szCs w:val="24"/>
        </w:rPr>
      </w:pPr>
    </w:p>
    <w:p w14:paraId="55A8DA02" w14:textId="77777777" w:rsidR="00E2097F" w:rsidRPr="0072377A" w:rsidRDefault="00E2097F" w:rsidP="0072377A">
      <w:pPr>
        <w:pStyle w:val="ListParagraph"/>
        <w:spacing w:line="480" w:lineRule="auto"/>
        <w:rPr>
          <w:rFonts w:ascii="Arial" w:hAnsi="Arial" w:cs="Arial"/>
          <w:sz w:val="24"/>
          <w:szCs w:val="24"/>
        </w:rPr>
      </w:pPr>
    </w:p>
    <w:p w14:paraId="76C159ED" w14:textId="77777777" w:rsidR="00E2097F" w:rsidRPr="0072377A" w:rsidRDefault="00E2097F" w:rsidP="0072377A">
      <w:pPr>
        <w:pStyle w:val="ListParagraph"/>
        <w:spacing w:line="480" w:lineRule="auto"/>
        <w:rPr>
          <w:rFonts w:ascii="Arial" w:hAnsi="Arial" w:cs="Arial"/>
          <w:sz w:val="24"/>
          <w:szCs w:val="24"/>
        </w:rPr>
      </w:pPr>
    </w:p>
    <w:p w14:paraId="0942E4F2" w14:textId="77777777" w:rsidR="00E2097F" w:rsidRPr="009E79D6" w:rsidRDefault="00E2097F" w:rsidP="009E79D6">
      <w:pPr>
        <w:spacing w:line="480" w:lineRule="auto"/>
        <w:rPr>
          <w:rFonts w:ascii="Arial" w:hAnsi="Arial" w:cs="Arial"/>
          <w:sz w:val="24"/>
          <w:szCs w:val="24"/>
        </w:rPr>
      </w:pPr>
    </w:p>
    <w:p w14:paraId="408CC475" w14:textId="77777777" w:rsidR="007B35AF" w:rsidRDefault="00462D43" w:rsidP="007B35AF">
      <w:pPr>
        <w:pStyle w:val="ListParagraph"/>
        <w:numPr>
          <w:ilvl w:val="0"/>
          <w:numId w:val="1"/>
        </w:numPr>
        <w:spacing w:line="480" w:lineRule="auto"/>
        <w:rPr>
          <w:rFonts w:ascii="Arial" w:hAnsi="Arial" w:cs="Arial"/>
          <w:sz w:val="24"/>
          <w:szCs w:val="24"/>
        </w:rPr>
      </w:pPr>
      <w:r w:rsidRPr="0072377A">
        <w:rPr>
          <w:rFonts w:ascii="Arial" w:hAnsi="Arial" w:cs="Arial"/>
          <w:sz w:val="24"/>
          <w:szCs w:val="24"/>
        </w:rPr>
        <w:lastRenderedPageBreak/>
        <w:t>The phrase ‘really serious’ bodily harm is used which is what ‘grievous’ bodily harm should mean (</w:t>
      </w:r>
      <w:r w:rsidRPr="0072377A">
        <w:rPr>
          <w:rFonts w:ascii="Arial" w:hAnsi="Arial" w:cs="Arial"/>
          <w:sz w:val="24"/>
          <w:szCs w:val="24"/>
        </w:rPr>
        <w:t>Director of Public Prosecutions Appellant and Smith Respondent 1961</w:t>
      </w:r>
      <w:r w:rsidRPr="0072377A">
        <w:rPr>
          <w:rFonts w:ascii="Arial" w:hAnsi="Arial" w:cs="Arial"/>
          <w:sz w:val="24"/>
          <w:szCs w:val="24"/>
        </w:rPr>
        <w:t xml:space="preserve">). Therefore, the offence committed is </w:t>
      </w:r>
      <w:proofErr w:type="spellStart"/>
      <w:r w:rsidR="003D59DC" w:rsidRPr="0072377A">
        <w:rPr>
          <w:rFonts w:ascii="Arial" w:hAnsi="Arial" w:cs="Arial"/>
          <w:sz w:val="24"/>
          <w:szCs w:val="24"/>
        </w:rPr>
        <w:t>atleast</w:t>
      </w:r>
      <w:proofErr w:type="spellEnd"/>
      <w:r w:rsidRPr="0072377A">
        <w:rPr>
          <w:rFonts w:ascii="Arial" w:hAnsi="Arial" w:cs="Arial"/>
          <w:sz w:val="24"/>
          <w:szCs w:val="24"/>
        </w:rPr>
        <w:t xml:space="preserve"> Wounding or inflicting Grievous Bodily Harm under section 20 of the Offence Against a Persons Act </w:t>
      </w:r>
      <w:r w:rsidR="003D59DC" w:rsidRPr="0072377A">
        <w:rPr>
          <w:rFonts w:ascii="Arial" w:hAnsi="Arial" w:cs="Arial"/>
          <w:sz w:val="24"/>
          <w:szCs w:val="24"/>
        </w:rPr>
        <w:t>1861, Whosoever</w:t>
      </w:r>
      <w:r w:rsidR="003D59DC" w:rsidRPr="0072377A">
        <w:rPr>
          <w:rFonts w:ascii="Arial" w:hAnsi="Arial" w:cs="Arial"/>
          <w:sz w:val="24"/>
          <w:szCs w:val="24"/>
        </w:rPr>
        <w:t xml:space="preserve"> shall unlawfully and maliciously wound or inflict any grievous bodily harm upon any other person either with or without any weapon or instrument shall be guilty of </w:t>
      </w:r>
      <w:r w:rsidR="003D59DC" w:rsidRPr="0072377A">
        <w:rPr>
          <w:rFonts w:ascii="Arial" w:hAnsi="Arial" w:cs="Arial"/>
          <w:sz w:val="24"/>
          <w:szCs w:val="24"/>
        </w:rPr>
        <w:t>this</w:t>
      </w:r>
      <w:r w:rsidR="003D59DC" w:rsidRPr="0072377A">
        <w:rPr>
          <w:rFonts w:ascii="Arial" w:hAnsi="Arial" w:cs="Arial"/>
          <w:sz w:val="24"/>
          <w:szCs w:val="24"/>
        </w:rPr>
        <w:t xml:space="preserve"> offence.</w:t>
      </w:r>
      <w:r w:rsidR="003D59DC" w:rsidRPr="0072377A">
        <w:rPr>
          <w:rFonts w:ascii="Arial" w:hAnsi="Arial" w:cs="Arial"/>
          <w:sz w:val="24"/>
          <w:szCs w:val="24"/>
        </w:rPr>
        <w:t xml:space="preserve"> </w:t>
      </w:r>
      <w:r w:rsidR="003D59DC" w:rsidRPr="0072377A">
        <w:rPr>
          <w:rFonts w:ascii="Arial" w:hAnsi="Arial" w:cs="Arial"/>
          <w:sz w:val="24"/>
          <w:szCs w:val="24"/>
        </w:rPr>
        <w:t>Alongside</w:t>
      </w:r>
      <w:r w:rsidR="003D59DC" w:rsidRPr="003D59DC">
        <w:rPr>
          <w:rFonts w:ascii="Arial" w:hAnsi="Arial" w:cs="Arial"/>
          <w:sz w:val="24"/>
          <w:szCs w:val="24"/>
        </w:rPr>
        <w:t xml:space="preserve"> </w:t>
      </w:r>
      <w:r w:rsidR="003D59DC" w:rsidRPr="0072377A">
        <w:rPr>
          <w:rFonts w:ascii="Arial" w:hAnsi="Arial" w:cs="Arial"/>
          <w:sz w:val="24"/>
          <w:szCs w:val="24"/>
        </w:rPr>
        <w:t xml:space="preserve">doing </w:t>
      </w:r>
      <w:proofErr w:type="gramStart"/>
      <w:r w:rsidR="003D59DC" w:rsidRPr="0072377A">
        <w:rPr>
          <w:rFonts w:ascii="Arial" w:hAnsi="Arial" w:cs="Arial"/>
          <w:sz w:val="24"/>
          <w:szCs w:val="24"/>
        </w:rPr>
        <w:t>really serious</w:t>
      </w:r>
      <w:proofErr w:type="gramEnd"/>
      <w:r w:rsidR="003D59DC" w:rsidRPr="0072377A">
        <w:rPr>
          <w:rFonts w:ascii="Arial" w:hAnsi="Arial" w:cs="Arial"/>
          <w:sz w:val="24"/>
          <w:szCs w:val="24"/>
        </w:rPr>
        <w:t xml:space="preserve"> harm, it must be un</w:t>
      </w:r>
      <w:r w:rsidR="003D59DC" w:rsidRPr="003D59DC">
        <w:rPr>
          <w:rFonts w:ascii="Arial" w:hAnsi="Arial" w:cs="Arial"/>
          <w:sz w:val="24"/>
          <w:szCs w:val="24"/>
        </w:rPr>
        <w:t>lawful</w:t>
      </w:r>
      <w:r w:rsidR="003D59DC" w:rsidRPr="0072377A">
        <w:rPr>
          <w:rFonts w:ascii="Arial" w:hAnsi="Arial" w:cs="Arial"/>
          <w:sz w:val="24"/>
          <w:szCs w:val="24"/>
        </w:rPr>
        <w:t xml:space="preserve"> meaning there is no lawful justification as to why the brick was thrown. Finally, for the act of GBH it must be </w:t>
      </w:r>
      <w:r w:rsidR="003D59DC" w:rsidRPr="0072377A">
        <w:rPr>
          <w:rFonts w:ascii="Arial" w:hAnsi="Arial" w:cs="Arial"/>
          <w:sz w:val="24"/>
          <w:szCs w:val="24"/>
        </w:rPr>
        <w:t xml:space="preserve">malicious. This means </w:t>
      </w:r>
      <w:r w:rsidR="003D59DC" w:rsidRPr="0072377A">
        <w:rPr>
          <w:rFonts w:ascii="Arial" w:hAnsi="Arial" w:cs="Arial"/>
          <w:sz w:val="24"/>
          <w:szCs w:val="24"/>
        </w:rPr>
        <w:t>an actual intention to carry out that type of harm. Reckless as to whether that harm would be result of their actions. Example is an STI being transmitted whilst having sexual activity</w:t>
      </w:r>
      <w:r w:rsidR="003D59DC" w:rsidRPr="0072377A">
        <w:rPr>
          <w:rFonts w:ascii="Arial" w:hAnsi="Arial" w:cs="Arial"/>
          <w:sz w:val="24"/>
          <w:szCs w:val="24"/>
        </w:rPr>
        <w:t xml:space="preserve"> </w:t>
      </w:r>
      <w:r w:rsidR="003D59DC" w:rsidRPr="0072377A">
        <w:rPr>
          <w:rFonts w:ascii="Arial" w:hAnsi="Arial" w:cs="Arial"/>
          <w:sz w:val="24"/>
          <w:szCs w:val="24"/>
        </w:rPr>
        <w:t>is reckless</w:t>
      </w:r>
      <w:r w:rsidR="003D59DC" w:rsidRPr="0072377A">
        <w:rPr>
          <w:rFonts w:ascii="Arial" w:hAnsi="Arial" w:cs="Arial"/>
          <w:sz w:val="24"/>
          <w:szCs w:val="24"/>
        </w:rPr>
        <w:t xml:space="preserve"> (R v </w:t>
      </w:r>
      <w:proofErr w:type="spellStart"/>
      <w:r w:rsidR="003D59DC" w:rsidRPr="0072377A">
        <w:rPr>
          <w:rFonts w:ascii="Arial" w:hAnsi="Arial" w:cs="Arial"/>
          <w:sz w:val="24"/>
          <w:szCs w:val="24"/>
        </w:rPr>
        <w:t>Dica</w:t>
      </w:r>
      <w:proofErr w:type="spellEnd"/>
      <w:r w:rsidR="003D59DC" w:rsidRPr="0072377A">
        <w:rPr>
          <w:rFonts w:ascii="Arial" w:hAnsi="Arial" w:cs="Arial"/>
          <w:sz w:val="24"/>
          <w:szCs w:val="24"/>
        </w:rPr>
        <w:t xml:space="preserve"> 2004)</w:t>
      </w:r>
      <w:r w:rsidR="003D59DC" w:rsidRPr="0072377A">
        <w:rPr>
          <w:rFonts w:ascii="Arial" w:hAnsi="Arial" w:cs="Arial"/>
          <w:sz w:val="24"/>
          <w:szCs w:val="24"/>
        </w:rPr>
        <w:t>.</w:t>
      </w:r>
      <w:r w:rsidR="007B35AF">
        <w:rPr>
          <w:rFonts w:ascii="Arial" w:hAnsi="Arial" w:cs="Arial"/>
          <w:sz w:val="24"/>
          <w:szCs w:val="24"/>
        </w:rPr>
        <w:t xml:space="preserve"> </w:t>
      </w:r>
    </w:p>
    <w:p w14:paraId="35A184A9" w14:textId="65AD330F" w:rsidR="00E2097F" w:rsidRPr="007B35AF" w:rsidRDefault="003D59DC" w:rsidP="007B35AF">
      <w:pPr>
        <w:pStyle w:val="ListParagraph"/>
        <w:spacing w:line="480" w:lineRule="auto"/>
        <w:ind w:firstLine="720"/>
        <w:rPr>
          <w:rFonts w:ascii="Arial" w:hAnsi="Arial" w:cs="Arial"/>
          <w:sz w:val="24"/>
          <w:szCs w:val="24"/>
        </w:rPr>
      </w:pPr>
      <w:r w:rsidRPr="007B35AF">
        <w:rPr>
          <w:rFonts w:ascii="Arial" w:hAnsi="Arial" w:cs="Arial"/>
          <w:sz w:val="24"/>
          <w:szCs w:val="24"/>
        </w:rPr>
        <w:t>This offence would however be</w:t>
      </w:r>
      <w:r w:rsidR="00462D43" w:rsidRPr="007B35AF">
        <w:rPr>
          <w:rFonts w:ascii="Arial" w:hAnsi="Arial" w:cs="Arial"/>
          <w:sz w:val="24"/>
          <w:szCs w:val="24"/>
        </w:rPr>
        <w:t xml:space="preserve"> </w:t>
      </w:r>
      <w:r w:rsidRPr="007B35AF">
        <w:rPr>
          <w:rFonts w:ascii="Arial" w:hAnsi="Arial" w:cs="Arial"/>
          <w:sz w:val="24"/>
          <w:szCs w:val="24"/>
        </w:rPr>
        <w:t>w</w:t>
      </w:r>
      <w:r w:rsidR="00462D43" w:rsidRPr="007B35AF">
        <w:rPr>
          <w:rFonts w:ascii="Arial" w:hAnsi="Arial" w:cs="Arial"/>
          <w:sz w:val="24"/>
          <w:szCs w:val="24"/>
        </w:rPr>
        <w:t xml:space="preserve">ounding or inflicting Grievous Bodily Harm with Intent to do Grievous Bodily harm or to resist or prevent arrest under section 18 of the Offences Against a Persons Act 1861. As the scenario states there was an intention for the brick to strike and injure someone, this would come under section 18 offence as it was committing GBH with the intent. </w:t>
      </w:r>
      <w:r w:rsidRPr="007B35AF">
        <w:rPr>
          <w:rFonts w:ascii="Arial" w:hAnsi="Arial" w:cs="Arial"/>
          <w:sz w:val="24"/>
          <w:szCs w:val="24"/>
        </w:rPr>
        <w:t>Whosoever shall unlawfully and maliciously wound or inflict any grievous bodily harm upon any other person either with or without any weapon or instrument shall be guilty of an offence. Wounding or causing GBH with intent to do GBH to any person or prevent the lawful apprehension or detainer of any person</w:t>
      </w:r>
      <w:r w:rsidRPr="007B35AF">
        <w:rPr>
          <w:rFonts w:ascii="Arial" w:hAnsi="Arial" w:cs="Arial"/>
          <w:sz w:val="24"/>
          <w:szCs w:val="24"/>
        </w:rPr>
        <w:t xml:space="preserve"> would also be guilty of this offence. The use of a brick with the intention of hitting someone with the brick would mean that there was intention to do GBH to a person, it can be difficult to prove intent but if a weapon is used it can make it easier. The specific intent </w:t>
      </w:r>
      <w:r w:rsidR="00950261" w:rsidRPr="007B35AF">
        <w:rPr>
          <w:rFonts w:ascii="Arial" w:hAnsi="Arial" w:cs="Arial"/>
          <w:sz w:val="24"/>
          <w:szCs w:val="24"/>
        </w:rPr>
        <w:t>t</w:t>
      </w:r>
      <w:r w:rsidRPr="007B35AF">
        <w:rPr>
          <w:rFonts w:ascii="Arial" w:hAnsi="Arial" w:cs="Arial"/>
          <w:sz w:val="24"/>
          <w:szCs w:val="24"/>
        </w:rPr>
        <w:t xml:space="preserve">o cause a wound or </w:t>
      </w:r>
      <w:r w:rsidRPr="007B35AF">
        <w:rPr>
          <w:rFonts w:ascii="Arial" w:hAnsi="Arial" w:cs="Arial"/>
          <w:sz w:val="24"/>
          <w:szCs w:val="24"/>
        </w:rPr>
        <w:lastRenderedPageBreak/>
        <w:t xml:space="preserve">GBH is down to whether the suspect was reckless to the fact that they should have been aware that their actions would cause serious bodily harm. Throwing a brick into a group of people would suffice as the offender should have been aware it was </w:t>
      </w:r>
      <w:r w:rsidR="00950261" w:rsidRPr="007B35AF">
        <w:rPr>
          <w:rFonts w:ascii="Arial" w:hAnsi="Arial" w:cs="Arial"/>
          <w:sz w:val="24"/>
          <w:szCs w:val="24"/>
        </w:rPr>
        <w:t>dangerous,</w:t>
      </w:r>
      <w:r w:rsidRPr="007B35AF">
        <w:rPr>
          <w:rFonts w:ascii="Arial" w:hAnsi="Arial" w:cs="Arial"/>
          <w:sz w:val="24"/>
          <w:szCs w:val="24"/>
        </w:rPr>
        <w:t xml:space="preserve"> and risk of injury was high. </w:t>
      </w:r>
      <w:r w:rsidR="00950261" w:rsidRPr="007B35AF">
        <w:rPr>
          <w:rFonts w:ascii="Arial" w:hAnsi="Arial" w:cs="Arial"/>
          <w:sz w:val="24"/>
          <w:szCs w:val="24"/>
        </w:rPr>
        <w:t>GBH injuries include being incapacitated or needing lengthy medical treatment, as seen in this scenario, the victim needed medial treatment as they were hospitalised. This offence is triable by indictment only and the sentence is life imprisonment (</w:t>
      </w:r>
      <w:proofErr w:type="spellStart"/>
      <w:r w:rsidR="00950261" w:rsidRPr="007B35AF">
        <w:rPr>
          <w:rFonts w:ascii="Arial" w:hAnsi="Arial" w:cs="Arial"/>
          <w:sz w:val="24"/>
          <w:szCs w:val="24"/>
        </w:rPr>
        <w:t>Blackstones</w:t>
      </w:r>
      <w:proofErr w:type="spellEnd"/>
      <w:r w:rsidR="00950261" w:rsidRPr="007B35AF">
        <w:rPr>
          <w:rFonts w:ascii="Arial" w:hAnsi="Arial" w:cs="Arial"/>
          <w:sz w:val="24"/>
          <w:szCs w:val="24"/>
        </w:rPr>
        <w:t xml:space="preserve">, 2021). </w:t>
      </w:r>
    </w:p>
    <w:p w14:paraId="6DED0983" w14:textId="3992E1D9" w:rsidR="002415BE" w:rsidRPr="0072377A" w:rsidRDefault="002415BE" w:rsidP="0072377A">
      <w:pPr>
        <w:pStyle w:val="ListParagraph"/>
        <w:spacing w:line="480" w:lineRule="auto"/>
        <w:rPr>
          <w:rFonts w:ascii="Arial" w:hAnsi="Arial" w:cs="Arial"/>
          <w:sz w:val="24"/>
          <w:szCs w:val="24"/>
        </w:rPr>
      </w:pPr>
    </w:p>
    <w:p w14:paraId="52EF1407" w14:textId="38E03459" w:rsidR="002415BE" w:rsidRPr="0072377A" w:rsidRDefault="002415BE" w:rsidP="0072377A">
      <w:pPr>
        <w:pStyle w:val="ListParagraph"/>
        <w:spacing w:line="480" w:lineRule="auto"/>
        <w:rPr>
          <w:rFonts w:ascii="Arial" w:hAnsi="Arial" w:cs="Arial"/>
          <w:sz w:val="24"/>
          <w:szCs w:val="24"/>
        </w:rPr>
      </w:pPr>
    </w:p>
    <w:p w14:paraId="0C451214" w14:textId="50D33147" w:rsidR="002415BE" w:rsidRPr="0072377A" w:rsidRDefault="002415BE" w:rsidP="0072377A">
      <w:pPr>
        <w:pStyle w:val="ListParagraph"/>
        <w:spacing w:line="480" w:lineRule="auto"/>
        <w:rPr>
          <w:rFonts w:ascii="Arial" w:hAnsi="Arial" w:cs="Arial"/>
          <w:sz w:val="24"/>
          <w:szCs w:val="24"/>
        </w:rPr>
      </w:pPr>
    </w:p>
    <w:p w14:paraId="51164A7B" w14:textId="5F343AC8" w:rsidR="002415BE" w:rsidRPr="0072377A" w:rsidRDefault="002415BE" w:rsidP="0072377A">
      <w:pPr>
        <w:pStyle w:val="ListParagraph"/>
        <w:spacing w:line="480" w:lineRule="auto"/>
        <w:rPr>
          <w:rFonts w:ascii="Arial" w:hAnsi="Arial" w:cs="Arial"/>
          <w:sz w:val="24"/>
          <w:szCs w:val="24"/>
        </w:rPr>
      </w:pPr>
    </w:p>
    <w:p w14:paraId="71BFEC49" w14:textId="6AD8A05B" w:rsidR="002415BE" w:rsidRPr="0072377A" w:rsidRDefault="002415BE" w:rsidP="0072377A">
      <w:pPr>
        <w:pStyle w:val="ListParagraph"/>
        <w:spacing w:line="480" w:lineRule="auto"/>
        <w:rPr>
          <w:rFonts w:ascii="Arial" w:hAnsi="Arial" w:cs="Arial"/>
          <w:sz w:val="24"/>
          <w:szCs w:val="24"/>
        </w:rPr>
      </w:pPr>
    </w:p>
    <w:p w14:paraId="138CBC5F" w14:textId="19233EFD" w:rsidR="002415BE" w:rsidRPr="0072377A" w:rsidRDefault="002415BE" w:rsidP="0072377A">
      <w:pPr>
        <w:pStyle w:val="ListParagraph"/>
        <w:spacing w:line="480" w:lineRule="auto"/>
        <w:rPr>
          <w:rFonts w:ascii="Arial" w:hAnsi="Arial" w:cs="Arial"/>
          <w:sz w:val="24"/>
          <w:szCs w:val="24"/>
        </w:rPr>
      </w:pPr>
    </w:p>
    <w:p w14:paraId="78342568" w14:textId="038BFB26" w:rsidR="002415BE" w:rsidRPr="0072377A" w:rsidRDefault="002415BE" w:rsidP="0072377A">
      <w:pPr>
        <w:pStyle w:val="ListParagraph"/>
        <w:spacing w:line="480" w:lineRule="auto"/>
        <w:rPr>
          <w:rFonts w:ascii="Arial" w:hAnsi="Arial" w:cs="Arial"/>
          <w:sz w:val="24"/>
          <w:szCs w:val="24"/>
        </w:rPr>
      </w:pPr>
    </w:p>
    <w:p w14:paraId="2C2E97BB" w14:textId="127F99E2" w:rsidR="002415BE" w:rsidRPr="0072377A" w:rsidRDefault="002415BE" w:rsidP="0072377A">
      <w:pPr>
        <w:pStyle w:val="ListParagraph"/>
        <w:spacing w:line="480" w:lineRule="auto"/>
        <w:rPr>
          <w:rFonts w:ascii="Arial" w:hAnsi="Arial" w:cs="Arial"/>
          <w:sz w:val="24"/>
          <w:szCs w:val="24"/>
        </w:rPr>
      </w:pPr>
    </w:p>
    <w:p w14:paraId="443F2860" w14:textId="45FCCA55" w:rsidR="002415BE" w:rsidRPr="0072377A" w:rsidRDefault="002415BE" w:rsidP="0072377A">
      <w:pPr>
        <w:pStyle w:val="ListParagraph"/>
        <w:spacing w:line="480" w:lineRule="auto"/>
        <w:rPr>
          <w:rFonts w:ascii="Arial" w:hAnsi="Arial" w:cs="Arial"/>
          <w:sz w:val="24"/>
          <w:szCs w:val="24"/>
        </w:rPr>
      </w:pPr>
    </w:p>
    <w:p w14:paraId="0DEB0875" w14:textId="0CB0215C" w:rsidR="002415BE" w:rsidRPr="0072377A" w:rsidRDefault="002415BE" w:rsidP="0072377A">
      <w:pPr>
        <w:pStyle w:val="ListParagraph"/>
        <w:spacing w:line="480" w:lineRule="auto"/>
        <w:rPr>
          <w:rFonts w:ascii="Arial" w:hAnsi="Arial" w:cs="Arial"/>
          <w:sz w:val="24"/>
          <w:szCs w:val="24"/>
        </w:rPr>
      </w:pPr>
    </w:p>
    <w:p w14:paraId="5BFC8A61" w14:textId="0255A1C7" w:rsidR="002415BE" w:rsidRPr="0072377A" w:rsidRDefault="002415BE" w:rsidP="0072377A">
      <w:pPr>
        <w:pStyle w:val="ListParagraph"/>
        <w:spacing w:line="480" w:lineRule="auto"/>
        <w:rPr>
          <w:rFonts w:ascii="Arial" w:hAnsi="Arial" w:cs="Arial"/>
          <w:sz w:val="24"/>
          <w:szCs w:val="24"/>
        </w:rPr>
      </w:pPr>
    </w:p>
    <w:p w14:paraId="2A2C1068" w14:textId="0478D469" w:rsidR="002415BE" w:rsidRDefault="002415BE" w:rsidP="0072377A">
      <w:pPr>
        <w:pStyle w:val="ListParagraph"/>
        <w:spacing w:line="480" w:lineRule="auto"/>
        <w:rPr>
          <w:rFonts w:ascii="Arial" w:hAnsi="Arial" w:cs="Arial"/>
          <w:sz w:val="24"/>
          <w:szCs w:val="24"/>
        </w:rPr>
      </w:pPr>
    </w:p>
    <w:p w14:paraId="2A796C81" w14:textId="0F4458B9" w:rsidR="0072377A" w:rsidRDefault="0072377A" w:rsidP="0072377A">
      <w:pPr>
        <w:pStyle w:val="ListParagraph"/>
        <w:spacing w:line="480" w:lineRule="auto"/>
        <w:rPr>
          <w:rFonts w:ascii="Arial" w:hAnsi="Arial" w:cs="Arial"/>
          <w:sz w:val="24"/>
          <w:szCs w:val="24"/>
        </w:rPr>
      </w:pPr>
    </w:p>
    <w:p w14:paraId="4C0C6C1A" w14:textId="139BF272" w:rsidR="0072377A" w:rsidRDefault="0072377A" w:rsidP="0072377A">
      <w:pPr>
        <w:pStyle w:val="ListParagraph"/>
        <w:spacing w:line="480" w:lineRule="auto"/>
        <w:rPr>
          <w:rFonts w:ascii="Arial" w:hAnsi="Arial" w:cs="Arial"/>
          <w:sz w:val="24"/>
          <w:szCs w:val="24"/>
        </w:rPr>
      </w:pPr>
    </w:p>
    <w:p w14:paraId="60B0C073" w14:textId="77777777" w:rsidR="0072377A" w:rsidRPr="0072377A" w:rsidRDefault="0072377A" w:rsidP="0072377A">
      <w:pPr>
        <w:pStyle w:val="ListParagraph"/>
        <w:spacing w:line="480" w:lineRule="auto"/>
        <w:rPr>
          <w:rFonts w:ascii="Arial" w:hAnsi="Arial" w:cs="Arial"/>
          <w:sz w:val="24"/>
          <w:szCs w:val="24"/>
        </w:rPr>
      </w:pPr>
    </w:p>
    <w:p w14:paraId="72F9A019" w14:textId="6D7FC150" w:rsidR="002415BE" w:rsidRPr="0072377A" w:rsidRDefault="002415BE" w:rsidP="0072377A">
      <w:pPr>
        <w:pStyle w:val="ListParagraph"/>
        <w:spacing w:line="480" w:lineRule="auto"/>
        <w:rPr>
          <w:rFonts w:ascii="Arial" w:hAnsi="Arial" w:cs="Arial"/>
          <w:sz w:val="24"/>
          <w:szCs w:val="24"/>
        </w:rPr>
      </w:pPr>
    </w:p>
    <w:p w14:paraId="4E9CD102" w14:textId="77D3EF17" w:rsidR="00F4371F" w:rsidRDefault="002415BE" w:rsidP="0072377A">
      <w:pPr>
        <w:pStyle w:val="ListParagraph"/>
        <w:numPr>
          <w:ilvl w:val="0"/>
          <w:numId w:val="1"/>
        </w:numPr>
        <w:spacing w:line="480" w:lineRule="auto"/>
        <w:rPr>
          <w:rFonts w:ascii="Arial" w:hAnsi="Arial" w:cs="Arial"/>
          <w:sz w:val="24"/>
          <w:szCs w:val="24"/>
        </w:rPr>
      </w:pPr>
      <w:r w:rsidRPr="0072377A">
        <w:rPr>
          <w:rFonts w:ascii="Arial" w:hAnsi="Arial" w:cs="Arial"/>
          <w:sz w:val="24"/>
          <w:szCs w:val="24"/>
        </w:rPr>
        <w:lastRenderedPageBreak/>
        <w:t xml:space="preserve">In terms of meeting the needs of the victim, it starts of with the initial contact strategy. A witness is a person other than the defendant who is likely to give evidence in the court case. All victims are witnesses and therefore should be treated as such. The victims need must be recognised and they must be treated with dignity and respect, as failing to do so can have negative effects on the investigation. The officers investigating the case should set targets for the involved personnel </w:t>
      </w:r>
      <w:proofErr w:type="gramStart"/>
      <w:r w:rsidRPr="0072377A">
        <w:rPr>
          <w:rFonts w:ascii="Arial" w:hAnsi="Arial" w:cs="Arial"/>
          <w:sz w:val="24"/>
          <w:szCs w:val="24"/>
        </w:rPr>
        <w:t>in order to</w:t>
      </w:r>
      <w:proofErr w:type="gramEnd"/>
      <w:r w:rsidRPr="0072377A">
        <w:rPr>
          <w:rFonts w:ascii="Arial" w:hAnsi="Arial" w:cs="Arial"/>
          <w:sz w:val="24"/>
          <w:szCs w:val="24"/>
        </w:rPr>
        <w:t xml:space="preserve"> be prepared on how to deal with the victim. </w:t>
      </w:r>
      <w:r w:rsidRPr="0072377A">
        <w:rPr>
          <w:rFonts w:ascii="Arial" w:hAnsi="Arial" w:cs="Arial"/>
          <w:sz w:val="24"/>
          <w:szCs w:val="24"/>
        </w:rPr>
        <w:t>The witness can also be a crime scene in cases of physical violence or sexual assault. Early evidence can be obtained however the welfare and medical needs of the witness must also be prioritised alongside the investigation.</w:t>
      </w:r>
      <w:r w:rsidR="00F4371F" w:rsidRPr="0072377A">
        <w:rPr>
          <w:rFonts w:ascii="Arial" w:hAnsi="Arial" w:cs="Arial"/>
          <w:sz w:val="24"/>
          <w:szCs w:val="24"/>
        </w:rPr>
        <w:t xml:space="preserve"> </w:t>
      </w:r>
      <w:r w:rsidR="00F4371F" w:rsidRPr="0072377A">
        <w:rPr>
          <w:rFonts w:ascii="Arial" w:hAnsi="Arial" w:cs="Arial"/>
          <w:sz w:val="24"/>
          <w:szCs w:val="24"/>
        </w:rPr>
        <w:t xml:space="preserve">The police have </w:t>
      </w:r>
      <w:proofErr w:type="gramStart"/>
      <w:r w:rsidR="00F4371F" w:rsidRPr="0072377A">
        <w:rPr>
          <w:rFonts w:ascii="Arial" w:hAnsi="Arial" w:cs="Arial"/>
          <w:sz w:val="24"/>
          <w:szCs w:val="24"/>
        </w:rPr>
        <w:t>a number of</w:t>
      </w:r>
      <w:proofErr w:type="gramEnd"/>
      <w:r w:rsidR="00F4371F" w:rsidRPr="0072377A">
        <w:rPr>
          <w:rFonts w:ascii="Arial" w:hAnsi="Arial" w:cs="Arial"/>
          <w:sz w:val="24"/>
          <w:szCs w:val="24"/>
        </w:rPr>
        <w:t xml:space="preserve"> duties under the Code, arising from the first point of contact. Police officers must fully acquaint themselves with the content of the Code and their </w:t>
      </w:r>
      <w:r w:rsidR="00F4371F" w:rsidRPr="0072377A">
        <w:rPr>
          <w:rFonts w:ascii="Arial" w:hAnsi="Arial" w:cs="Arial"/>
          <w:sz w:val="24"/>
          <w:szCs w:val="24"/>
        </w:rPr>
        <w:t xml:space="preserve">obligations. They must </w:t>
      </w:r>
      <w:r w:rsidR="00F4371F" w:rsidRPr="0072377A">
        <w:rPr>
          <w:rFonts w:ascii="Arial" w:hAnsi="Arial" w:cs="Arial"/>
          <w:sz w:val="24"/>
          <w:szCs w:val="24"/>
        </w:rPr>
        <w:t>Make the victim aware of the Practice for Victims Code</w:t>
      </w:r>
      <w:r w:rsidR="00F4371F" w:rsidRPr="0072377A">
        <w:rPr>
          <w:rFonts w:ascii="Arial" w:hAnsi="Arial" w:cs="Arial"/>
          <w:sz w:val="24"/>
          <w:szCs w:val="24"/>
        </w:rPr>
        <w:t xml:space="preserve">, under the code the victim is entitled to written details and other sources of information of hat to expect. There are specially trained officers and institutions available where victims can be treated a best as possible by the most effective people. When managing victims, it is important to remember their entitlements this is done by an assessment of their needs. All victims must provide personal statements and kept up to date with the investigation. They must be told </w:t>
      </w:r>
      <w:proofErr w:type="gramStart"/>
      <w:r w:rsidR="00F4371F" w:rsidRPr="0072377A">
        <w:rPr>
          <w:rFonts w:ascii="Arial" w:hAnsi="Arial" w:cs="Arial"/>
          <w:sz w:val="24"/>
          <w:szCs w:val="24"/>
        </w:rPr>
        <w:t>whether or not</w:t>
      </w:r>
      <w:proofErr w:type="gramEnd"/>
      <w:r w:rsidR="00F4371F" w:rsidRPr="0072377A">
        <w:rPr>
          <w:rFonts w:ascii="Arial" w:hAnsi="Arial" w:cs="Arial"/>
          <w:sz w:val="24"/>
          <w:szCs w:val="24"/>
        </w:rPr>
        <w:t xml:space="preserve"> a crime is being investigated and why alongside being informed within 5 days if a suspect has been arrested, released or interviewed. Special measures are available for vulnerable or scared witnesses. The Youth and Criminal Justice Act 1999 allows for these measures. Section 16 </w:t>
      </w:r>
      <w:r w:rsidR="00F4371F" w:rsidRPr="0072377A">
        <w:rPr>
          <w:rFonts w:ascii="Arial" w:hAnsi="Arial" w:cs="Arial"/>
          <w:sz w:val="24"/>
          <w:szCs w:val="24"/>
        </w:rPr>
        <w:t xml:space="preserve">allows special measures for witnesses under the age of 18 or where evidence can be diminished due to the mental </w:t>
      </w:r>
      <w:r w:rsidR="00F4371F" w:rsidRPr="0072377A">
        <w:rPr>
          <w:rFonts w:ascii="Arial" w:hAnsi="Arial" w:cs="Arial"/>
          <w:sz w:val="24"/>
          <w:szCs w:val="24"/>
        </w:rPr>
        <w:lastRenderedPageBreak/>
        <w:t>health of a witness. Learning difficulties and social functionality issues such as physical disabilities or disorders can be eligible.</w:t>
      </w:r>
      <w:r w:rsidR="00F4371F" w:rsidRPr="0072377A">
        <w:rPr>
          <w:rFonts w:ascii="Arial" w:hAnsi="Arial" w:cs="Arial"/>
          <w:sz w:val="24"/>
          <w:szCs w:val="24"/>
        </w:rPr>
        <w:t xml:space="preserve"> </w:t>
      </w:r>
      <w:r w:rsidR="00F4371F" w:rsidRPr="0072377A">
        <w:rPr>
          <w:rFonts w:ascii="Arial" w:hAnsi="Arial" w:cs="Arial"/>
          <w:sz w:val="24"/>
          <w:szCs w:val="24"/>
        </w:rPr>
        <w:t>S</w:t>
      </w:r>
      <w:r w:rsidR="00F4371F" w:rsidRPr="0072377A">
        <w:rPr>
          <w:rFonts w:ascii="Arial" w:hAnsi="Arial" w:cs="Arial"/>
          <w:sz w:val="24"/>
          <w:szCs w:val="24"/>
        </w:rPr>
        <w:t xml:space="preserve">ection </w:t>
      </w:r>
      <w:r w:rsidR="00F4371F" w:rsidRPr="0072377A">
        <w:rPr>
          <w:rFonts w:ascii="Arial" w:hAnsi="Arial" w:cs="Arial"/>
          <w:sz w:val="24"/>
          <w:szCs w:val="24"/>
        </w:rPr>
        <w:t xml:space="preserve">17 allows special measures for those who </w:t>
      </w:r>
      <w:proofErr w:type="gramStart"/>
      <w:r w:rsidR="00F4371F" w:rsidRPr="0072377A">
        <w:rPr>
          <w:rFonts w:ascii="Arial" w:hAnsi="Arial" w:cs="Arial"/>
          <w:sz w:val="24"/>
          <w:szCs w:val="24"/>
        </w:rPr>
        <w:t>are scared of</w:t>
      </w:r>
      <w:proofErr w:type="gramEnd"/>
      <w:r w:rsidR="00F4371F" w:rsidRPr="0072377A">
        <w:rPr>
          <w:rFonts w:ascii="Arial" w:hAnsi="Arial" w:cs="Arial"/>
          <w:sz w:val="24"/>
          <w:szCs w:val="24"/>
        </w:rPr>
        <w:t xml:space="preserve"> testifying.</w:t>
      </w:r>
      <w:r w:rsidR="00F4371F" w:rsidRPr="0072377A">
        <w:rPr>
          <w:rFonts w:ascii="Arial" w:hAnsi="Arial" w:cs="Arial"/>
          <w:sz w:val="24"/>
          <w:szCs w:val="24"/>
        </w:rPr>
        <w:t xml:space="preserve"> An example of these special measures would be </w:t>
      </w:r>
      <w:r w:rsidR="00F4371F" w:rsidRPr="0072377A">
        <w:rPr>
          <w:rFonts w:ascii="Arial" w:hAnsi="Arial" w:cs="Arial"/>
          <w:sz w:val="24"/>
          <w:szCs w:val="24"/>
        </w:rPr>
        <w:t>if a witness gave video recorded evidence</w:t>
      </w:r>
      <w:r w:rsidR="00F31B17" w:rsidRPr="0072377A">
        <w:rPr>
          <w:rFonts w:ascii="Arial" w:hAnsi="Arial" w:cs="Arial"/>
          <w:sz w:val="24"/>
          <w:szCs w:val="24"/>
        </w:rPr>
        <w:t xml:space="preserve"> </w:t>
      </w:r>
      <w:r w:rsidR="00F4371F" w:rsidRPr="0072377A">
        <w:rPr>
          <w:rFonts w:ascii="Arial" w:hAnsi="Arial" w:cs="Arial"/>
          <w:sz w:val="24"/>
          <w:szCs w:val="24"/>
        </w:rPr>
        <w:t xml:space="preserve">on the grounds that they were under 18 years of age but </w:t>
      </w:r>
      <w:r w:rsidR="00F31B17" w:rsidRPr="0072377A">
        <w:rPr>
          <w:rFonts w:ascii="Arial" w:hAnsi="Arial" w:cs="Arial"/>
          <w:sz w:val="24"/>
          <w:szCs w:val="24"/>
        </w:rPr>
        <w:t>have since turned</w:t>
      </w:r>
      <w:r w:rsidR="00F4371F" w:rsidRPr="0072377A">
        <w:rPr>
          <w:rFonts w:ascii="Arial" w:hAnsi="Arial" w:cs="Arial"/>
          <w:sz w:val="24"/>
          <w:szCs w:val="24"/>
        </w:rPr>
        <w:t xml:space="preserve"> 18</w:t>
      </w:r>
      <w:r w:rsidR="00F31B17" w:rsidRPr="0072377A">
        <w:rPr>
          <w:rFonts w:ascii="Arial" w:hAnsi="Arial" w:cs="Arial"/>
          <w:sz w:val="24"/>
          <w:szCs w:val="24"/>
        </w:rPr>
        <w:t xml:space="preserve"> it is still</w:t>
      </w:r>
      <w:r w:rsidR="00F4371F" w:rsidRPr="0072377A">
        <w:rPr>
          <w:rFonts w:ascii="Arial" w:hAnsi="Arial" w:cs="Arial"/>
          <w:sz w:val="24"/>
          <w:szCs w:val="24"/>
        </w:rPr>
        <w:t xml:space="preserve"> admissible as evidence</w:t>
      </w:r>
      <w:r w:rsidR="00F31B17" w:rsidRPr="0072377A">
        <w:rPr>
          <w:rFonts w:ascii="Arial" w:hAnsi="Arial" w:cs="Arial"/>
          <w:sz w:val="24"/>
          <w:szCs w:val="24"/>
        </w:rPr>
        <w:t xml:space="preserve"> in court. Finally, when writing personal statements, victims can express their long and short terms effects of the crime and give police officers and justice agencies better knowledge on how to help. They must be voluntary statements, and these can help identify needed support. Organisations such as social services and more can be contacted to help. </w:t>
      </w:r>
    </w:p>
    <w:p w14:paraId="1888341A" w14:textId="6BDAA508" w:rsidR="0072377A" w:rsidRDefault="0072377A" w:rsidP="0072377A">
      <w:pPr>
        <w:spacing w:line="480" w:lineRule="auto"/>
        <w:rPr>
          <w:rFonts w:ascii="Arial" w:hAnsi="Arial" w:cs="Arial"/>
          <w:sz w:val="24"/>
          <w:szCs w:val="24"/>
        </w:rPr>
      </w:pPr>
    </w:p>
    <w:p w14:paraId="3DFA205D" w14:textId="3FB85E63" w:rsidR="0072377A" w:rsidRDefault="0072377A" w:rsidP="0072377A">
      <w:pPr>
        <w:spacing w:line="480" w:lineRule="auto"/>
        <w:rPr>
          <w:rFonts w:ascii="Arial" w:hAnsi="Arial" w:cs="Arial"/>
          <w:sz w:val="24"/>
          <w:szCs w:val="24"/>
        </w:rPr>
      </w:pPr>
    </w:p>
    <w:p w14:paraId="1F09C433" w14:textId="54B88FE6" w:rsidR="0072377A" w:rsidRDefault="0072377A" w:rsidP="0072377A">
      <w:pPr>
        <w:spacing w:line="480" w:lineRule="auto"/>
        <w:rPr>
          <w:rFonts w:ascii="Arial" w:hAnsi="Arial" w:cs="Arial"/>
          <w:sz w:val="24"/>
          <w:szCs w:val="24"/>
        </w:rPr>
      </w:pPr>
    </w:p>
    <w:p w14:paraId="47754D4F" w14:textId="7A23B8F8" w:rsidR="0072377A" w:rsidRDefault="0072377A" w:rsidP="0072377A">
      <w:pPr>
        <w:spacing w:line="480" w:lineRule="auto"/>
        <w:rPr>
          <w:rFonts w:ascii="Arial" w:hAnsi="Arial" w:cs="Arial"/>
          <w:sz w:val="24"/>
          <w:szCs w:val="24"/>
        </w:rPr>
      </w:pPr>
    </w:p>
    <w:p w14:paraId="477C0A2A" w14:textId="7C9EC1B3" w:rsidR="0072377A" w:rsidRDefault="0072377A" w:rsidP="0072377A">
      <w:pPr>
        <w:spacing w:line="480" w:lineRule="auto"/>
        <w:rPr>
          <w:rFonts w:ascii="Arial" w:hAnsi="Arial" w:cs="Arial"/>
          <w:sz w:val="24"/>
          <w:szCs w:val="24"/>
        </w:rPr>
      </w:pPr>
    </w:p>
    <w:p w14:paraId="7179E510" w14:textId="6C558C86" w:rsidR="0072377A" w:rsidRDefault="0072377A" w:rsidP="0072377A">
      <w:pPr>
        <w:spacing w:line="480" w:lineRule="auto"/>
        <w:rPr>
          <w:rFonts w:ascii="Arial" w:hAnsi="Arial" w:cs="Arial"/>
          <w:sz w:val="24"/>
          <w:szCs w:val="24"/>
        </w:rPr>
      </w:pPr>
    </w:p>
    <w:p w14:paraId="28FCD84F" w14:textId="07030A45" w:rsidR="0072377A" w:rsidRDefault="0072377A" w:rsidP="0072377A">
      <w:pPr>
        <w:spacing w:line="480" w:lineRule="auto"/>
        <w:rPr>
          <w:rFonts w:ascii="Arial" w:hAnsi="Arial" w:cs="Arial"/>
          <w:sz w:val="24"/>
          <w:szCs w:val="24"/>
        </w:rPr>
      </w:pPr>
    </w:p>
    <w:p w14:paraId="1AADBC0E" w14:textId="16142766" w:rsidR="0072377A" w:rsidRDefault="0072377A" w:rsidP="0072377A">
      <w:pPr>
        <w:spacing w:line="480" w:lineRule="auto"/>
        <w:rPr>
          <w:rFonts w:ascii="Arial" w:hAnsi="Arial" w:cs="Arial"/>
          <w:sz w:val="24"/>
          <w:szCs w:val="24"/>
        </w:rPr>
      </w:pPr>
    </w:p>
    <w:p w14:paraId="1E384461" w14:textId="6FA40C49" w:rsidR="0072377A" w:rsidRDefault="0072377A" w:rsidP="0072377A">
      <w:pPr>
        <w:spacing w:line="480" w:lineRule="auto"/>
        <w:rPr>
          <w:rFonts w:ascii="Arial" w:hAnsi="Arial" w:cs="Arial"/>
          <w:sz w:val="24"/>
          <w:szCs w:val="24"/>
        </w:rPr>
      </w:pPr>
    </w:p>
    <w:p w14:paraId="03783E90" w14:textId="3704DF79" w:rsidR="0072377A" w:rsidRDefault="0072377A" w:rsidP="0072377A">
      <w:pPr>
        <w:spacing w:line="480" w:lineRule="auto"/>
        <w:rPr>
          <w:rFonts w:ascii="Arial" w:hAnsi="Arial" w:cs="Arial"/>
          <w:sz w:val="24"/>
          <w:szCs w:val="24"/>
        </w:rPr>
      </w:pPr>
    </w:p>
    <w:p w14:paraId="50FDF188" w14:textId="3927E0AC" w:rsidR="0072377A" w:rsidRDefault="0072377A" w:rsidP="0072377A">
      <w:pPr>
        <w:spacing w:line="480" w:lineRule="auto"/>
        <w:rPr>
          <w:rFonts w:ascii="Arial" w:hAnsi="Arial" w:cs="Arial"/>
          <w:sz w:val="24"/>
          <w:szCs w:val="24"/>
        </w:rPr>
      </w:pPr>
    </w:p>
    <w:p w14:paraId="1D754082" w14:textId="36387E23" w:rsidR="0072377A" w:rsidRDefault="0072377A" w:rsidP="0072377A">
      <w:pPr>
        <w:spacing w:line="480" w:lineRule="auto"/>
        <w:rPr>
          <w:rFonts w:ascii="Arial" w:hAnsi="Arial" w:cs="Arial"/>
          <w:sz w:val="24"/>
          <w:szCs w:val="24"/>
        </w:rPr>
      </w:pPr>
    </w:p>
    <w:p w14:paraId="304BE66C" w14:textId="5DFA36EA" w:rsidR="0072377A" w:rsidRPr="0072377A" w:rsidRDefault="0072377A" w:rsidP="0072377A">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 xml:space="preserve">The PEACE model is the national framework for interviews during investigations. The ‘P’ is planning and preparation, this is one of the most vital parts in effective interviewing. This could be what the success of an investigation depends on. </w:t>
      </w:r>
      <w:r w:rsidR="00C35D44">
        <w:rPr>
          <w:rFonts w:ascii="Arial" w:hAnsi="Arial" w:cs="Arial"/>
          <w:sz w:val="24"/>
          <w:szCs w:val="24"/>
        </w:rPr>
        <w:t xml:space="preserve">The plan needs to be recorded, most likely written and practical aspects of the interview need to be considered. This includes elements such as the timing of the interviews, locations and who is going to be present. During this stage, the characteristics of the interviewee also need to be considered such as their ace, religion and how it needs to be accommodated for. The PACE act must also be used to record the interview as a form of evidence. The next part is ‘E’ meaning Engage and Explain. This means engaging with the interviewee and possibly building an early rapport. The interviewer must listen to the interviewee enabling the officer to identify topics of conversation and identify key information. Prior to an interview the objectives of the interview must be stated to the interviewee by the interviewer. They must be informed of necessary practises and procedures for example them nodding their head would cause the interviewer to state so for the recording. The interviewee must be encouraged to talk whenever they want and not interrupted. The ‘A’ is the Account, Clarification and Challenge element. To obtain an account from a witness, </w:t>
      </w:r>
      <w:r w:rsidR="00ED1417">
        <w:rPr>
          <w:rFonts w:ascii="Arial" w:hAnsi="Arial" w:cs="Arial"/>
          <w:sz w:val="24"/>
          <w:szCs w:val="24"/>
        </w:rPr>
        <w:t>open ended prompts can be used. To support the witness, actively listening and appropriate body language is important</w:t>
      </w:r>
      <w:r w:rsidR="00EF348F">
        <w:rPr>
          <w:rFonts w:ascii="Arial" w:hAnsi="Arial" w:cs="Arial"/>
          <w:sz w:val="24"/>
          <w:szCs w:val="24"/>
        </w:rPr>
        <w:t xml:space="preserve">. No interrupting of the interviewee is key as well as encouraging them to remember as much as possible. The clarification part of PEACE is where the account of the witness is broken down to them and questions are asked </w:t>
      </w:r>
      <w:proofErr w:type="gramStart"/>
      <w:r w:rsidR="00EF348F">
        <w:rPr>
          <w:rFonts w:ascii="Arial" w:hAnsi="Arial" w:cs="Arial"/>
          <w:sz w:val="24"/>
          <w:szCs w:val="24"/>
        </w:rPr>
        <w:t>in order to</w:t>
      </w:r>
      <w:proofErr w:type="gramEnd"/>
      <w:r w:rsidR="00EF348F">
        <w:rPr>
          <w:rFonts w:ascii="Arial" w:hAnsi="Arial" w:cs="Arial"/>
          <w:sz w:val="24"/>
          <w:szCs w:val="24"/>
        </w:rPr>
        <w:t xml:space="preserve"> get any missing information identified when planning. Questions can then be asked </w:t>
      </w:r>
      <w:proofErr w:type="gramStart"/>
      <w:r w:rsidR="00EF348F">
        <w:rPr>
          <w:rFonts w:ascii="Arial" w:hAnsi="Arial" w:cs="Arial"/>
          <w:sz w:val="24"/>
          <w:szCs w:val="24"/>
        </w:rPr>
        <w:t>in order to</w:t>
      </w:r>
      <w:proofErr w:type="gramEnd"/>
      <w:r w:rsidR="00EF348F">
        <w:rPr>
          <w:rFonts w:ascii="Arial" w:hAnsi="Arial" w:cs="Arial"/>
          <w:sz w:val="24"/>
          <w:szCs w:val="24"/>
        </w:rPr>
        <w:t xml:space="preserve"> challenge the account </w:t>
      </w:r>
      <w:r w:rsidR="00EF348F">
        <w:rPr>
          <w:rFonts w:ascii="Arial" w:hAnsi="Arial" w:cs="Arial"/>
          <w:sz w:val="24"/>
          <w:szCs w:val="24"/>
        </w:rPr>
        <w:lastRenderedPageBreak/>
        <w:t xml:space="preserve">keeping the language simple and easy to understand. The interview can then be closed in a structured manner. A summary of what has been said can be given to the interviewee and any amendments can be made. The recording is turned off after announcing the date and time. The final ‘E’ is the Evaluation stage. This is where the interview is </w:t>
      </w:r>
      <w:r w:rsidR="00B60F3E">
        <w:rPr>
          <w:rFonts w:ascii="Arial" w:hAnsi="Arial" w:cs="Arial"/>
          <w:sz w:val="24"/>
          <w:szCs w:val="24"/>
        </w:rPr>
        <w:t>analysed,</w:t>
      </w:r>
      <w:r w:rsidR="00EF348F">
        <w:rPr>
          <w:rFonts w:ascii="Arial" w:hAnsi="Arial" w:cs="Arial"/>
          <w:sz w:val="24"/>
          <w:szCs w:val="24"/>
        </w:rPr>
        <w:t xml:space="preserve"> and it is determined whether any further actions are needed</w:t>
      </w:r>
      <w:r w:rsidR="00B60F3E">
        <w:rPr>
          <w:rFonts w:ascii="Arial" w:hAnsi="Arial" w:cs="Arial"/>
          <w:sz w:val="24"/>
          <w:szCs w:val="24"/>
        </w:rPr>
        <w:t xml:space="preserve"> (College of Policing, 2021)</w:t>
      </w:r>
      <w:r w:rsidR="00EF348F">
        <w:rPr>
          <w:rFonts w:ascii="Arial" w:hAnsi="Arial" w:cs="Arial"/>
          <w:sz w:val="24"/>
          <w:szCs w:val="24"/>
        </w:rPr>
        <w:t>.</w:t>
      </w:r>
    </w:p>
    <w:p w14:paraId="11E2C744" w14:textId="30866A33" w:rsidR="0072377A" w:rsidRPr="0072377A" w:rsidRDefault="0072377A" w:rsidP="0072377A">
      <w:pPr>
        <w:spacing w:line="480" w:lineRule="auto"/>
        <w:rPr>
          <w:rFonts w:ascii="Arial" w:hAnsi="Arial" w:cs="Arial"/>
          <w:sz w:val="24"/>
          <w:szCs w:val="24"/>
        </w:rPr>
      </w:pPr>
    </w:p>
    <w:p w14:paraId="2FA4FECB" w14:textId="67CF8A89" w:rsidR="0072377A" w:rsidRPr="0072377A" w:rsidRDefault="0072377A" w:rsidP="0072377A">
      <w:pPr>
        <w:spacing w:line="480" w:lineRule="auto"/>
        <w:rPr>
          <w:rFonts w:ascii="Arial" w:hAnsi="Arial" w:cs="Arial"/>
          <w:sz w:val="24"/>
          <w:szCs w:val="24"/>
        </w:rPr>
      </w:pPr>
    </w:p>
    <w:p w14:paraId="20028CFA" w14:textId="1CE7192E" w:rsidR="0072377A" w:rsidRPr="0072377A" w:rsidRDefault="0072377A" w:rsidP="0072377A">
      <w:pPr>
        <w:spacing w:line="480" w:lineRule="auto"/>
        <w:rPr>
          <w:rFonts w:ascii="Arial" w:hAnsi="Arial" w:cs="Arial"/>
          <w:sz w:val="24"/>
          <w:szCs w:val="24"/>
        </w:rPr>
      </w:pPr>
    </w:p>
    <w:p w14:paraId="68BDC2B0" w14:textId="52E2D6FE" w:rsidR="0072377A" w:rsidRPr="0072377A" w:rsidRDefault="0072377A" w:rsidP="0072377A">
      <w:pPr>
        <w:spacing w:line="480" w:lineRule="auto"/>
        <w:rPr>
          <w:rFonts w:ascii="Arial" w:hAnsi="Arial" w:cs="Arial"/>
          <w:sz w:val="24"/>
          <w:szCs w:val="24"/>
        </w:rPr>
      </w:pPr>
    </w:p>
    <w:p w14:paraId="635EAE2E" w14:textId="424D07BB" w:rsidR="0072377A" w:rsidRPr="0072377A" w:rsidRDefault="0072377A" w:rsidP="0072377A">
      <w:pPr>
        <w:spacing w:line="480" w:lineRule="auto"/>
        <w:rPr>
          <w:rFonts w:ascii="Arial" w:hAnsi="Arial" w:cs="Arial"/>
          <w:sz w:val="24"/>
          <w:szCs w:val="24"/>
        </w:rPr>
      </w:pPr>
    </w:p>
    <w:p w14:paraId="202E75CA" w14:textId="31698C98" w:rsidR="0072377A" w:rsidRDefault="0072377A" w:rsidP="0072377A">
      <w:pPr>
        <w:rPr>
          <w:sz w:val="24"/>
          <w:szCs w:val="24"/>
        </w:rPr>
      </w:pPr>
    </w:p>
    <w:p w14:paraId="39435E43" w14:textId="68840F46" w:rsidR="0072377A" w:rsidRDefault="0072377A" w:rsidP="0072377A">
      <w:pPr>
        <w:rPr>
          <w:sz w:val="24"/>
          <w:szCs w:val="24"/>
        </w:rPr>
      </w:pPr>
    </w:p>
    <w:p w14:paraId="2D4ACF97" w14:textId="2A0AA18F" w:rsidR="0072377A" w:rsidRDefault="0072377A" w:rsidP="0072377A">
      <w:pPr>
        <w:rPr>
          <w:sz w:val="24"/>
          <w:szCs w:val="24"/>
        </w:rPr>
      </w:pPr>
    </w:p>
    <w:p w14:paraId="74E4AC49" w14:textId="03B25559" w:rsidR="0072377A" w:rsidRDefault="0072377A" w:rsidP="0072377A">
      <w:pPr>
        <w:rPr>
          <w:sz w:val="24"/>
          <w:szCs w:val="24"/>
        </w:rPr>
      </w:pPr>
    </w:p>
    <w:p w14:paraId="1E68B240" w14:textId="77777777" w:rsidR="0072377A" w:rsidRPr="0072377A" w:rsidRDefault="0072377A" w:rsidP="0072377A">
      <w:pPr>
        <w:rPr>
          <w:sz w:val="24"/>
          <w:szCs w:val="24"/>
        </w:rPr>
      </w:pPr>
    </w:p>
    <w:sectPr w:rsidR="0072377A" w:rsidRPr="0072377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31C973" w14:textId="77777777" w:rsidR="009E79D6" w:rsidRDefault="009E79D6" w:rsidP="009E79D6">
      <w:pPr>
        <w:spacing w:after="0" w:line="240" w:lineRule="auto"/>
      </w:pPr>
      <w:r>
        <w:separator/>
      </w:r>
    </w:p>
  </w:endnote>
  <w:endnote w:type="continuationSeparator" w:id="0">
    <w:p w14:paraId="5013083E" w14:textId="77777777" w:rsidR="009E79D6" w:rsidRDefault="009E79D6" w:rsidP="009E7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FE60E0" w14:textId="77777777" w:rsidR="009E79D6" w:rsidRDefault="009E79D6" w:rsidP="009E79D6">
      <w:pPr>
        <w:spacing w:after="0" w:line="240" w:lineRule="auto"/>
      </w:pPr>
      <w:r>
        <w:separator/>
      </w:r>
    </w:p>
  </w:footnote>
  <w:footnote w:type="continuationSeparator" w:id="0">
    <w:p w14:paraId="571C9D1C" w14:textId="77777777" w:rsidR="009E79D6" w:rsidRDefault="009E79D6" w:rsidP="009E79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C2334C" w14:textId="4F56AA38" w:rsidR="009E79D6" w:rsidRDefault="009E79D6">
    <w:pPr>
      <w:pStyle w:val="Header"/>
    </w:pPr>
    <w:r>
      <w:t>Harry Rudderham 1901040</w:t>
    </w:r>
  </w:p>
  <w:p w14:paraId="4ACCFD2F" w14:textId="63F2A211" w:rsidR="009E79D6" w:rsidRDefault="009E79D6">
    <w:pPr>
      <w:pStyle w:val="Header"/>
    </w:pPr>
    <w:r>
      <w:t>BMPS5001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5826C9"/>
    <w:multiLevelType w:val="hybridMultilevel"/>
    <w:tmpl w:val="34D8C6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FC2"/>
    <w:rsid w:val="0002685B"/>
    <w:rsid w:val="0018319F"/>
    <w:rsid w:val="00222160"/>
    <w:rsid w:val="002415BE"/>
    <w:rsid w:val="003D59DC"/>
    <w:rsid w:val="00462D43"/>
    <w:rsid w:val="004C6A67"/>
    <w:rsid w:val="005B0FC2"/>
    <w:rsid w:val="0072377A"/>
    <w:rsid w:val="007B35AF"/>
    <w:rsid w:val="008662EE"/>
    <w:rsid w:val="00950261"/>
    <w:rsid w:val="009E79D6"/>
    <w:rsid w:val="00A10542"/>
    <w:rsid w:val="00B60F3E"/>
    <w:rsid w:val="00C35D44"/>
    <w:rsid w:val="00E2097F"/>
    <w:rsid w:val="00E43870"/>
    <w:rsid w:val="00ED1417"/>
    <w:rsid w:val="00EF348F"/>
    <w:rsid w:val="00F31B17"/>
    <w:rsid w:val="00F43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0D0F3"/>
  <w15:chartTrackingRefBased/>
  <w15:docId w15:val="{15C8BF10-3F4F-4009-A424-56AB90BAD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0FC2"/>
    <w:pPr>
      <w:ind w:left="720"/>
      <w:contextualSpacing/>
    </w:pPr>
  </w:style>
  <w:style w:type="paragraph" w:styleId="Header">
    <w:name w:val="header"/>
    <w:basedOn w:val="Normal"/>
    <w:link w:val="HeaderChar"/>
    <w:uiPriority w:val="99"/>
    <w:unhideWhenUsed/>
    <w:rsid w:val="009E7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9D6"/>
  </w:style>
  <w:style w:type="paragraph" w:styleId="Footer">
    <w:name w:val="footer"/>
    <w:basedOn w:val="Normal"/>
    <w:link w:val="FooterChar"/>
    <w:uiPriority w:val="99"/>
    <w:unhideWhenUsed/>
    <w:rsid w:val="009E7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9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1841</Words>
  <Characters>10496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Rudderham</dc:creator>
  <cp:keywords/>
  <dc:description/>
  <cp:lastModifiedBy>Harry Rudderham</cp:lastModifiedBy>
  <cp:revision>2</cp:revision>
  <dcterms:created xsi:type="dcterms:W3CDTF">2021-03-09T11:01:00Z</dcterms:created>
  <dcterms:modified xsi:type="dcterms:W3CDTF">2021-03-09T11:01:00Z</dcterms:modified>
</cp:coreProperties>
</file>