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2541C"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b/>
          <w:bCs/>
          <w:kern w:val="0"/>
          <w14:ligatures w14:val="none"/>
        </w:rPr>
        <w:t>Play Diversity and Inclusion: Enabling Equitable Access for All</w:t>
      </w:r>
    </w:p>
    <w:p w14:paraId="45398396"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Diversity in play acknowledges differences in ethnicity, race, faith, religion, gender, and the experiences of groups such as Gypsy Travellers. In an inclusive play environment, every child, regardless of background or ability, should feel welcomed, valued, and supported in their right to play. The Children Act 1989 (UK Government, 1989) and the Equality Act 2010 (UK Government, 2010) reinforce the principle of inclusivity, ensuring non-discriminatory practices in play settings.</w:t>
      </w:r>
    </w:p>
    <w:p w14:paraId="02BD5264" w14:textId="7981ABCC" w:rsidR="00753F63" w:rsidRDefault="004C16E3" w:rsidP="00753F6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Ethnic and racial diversity in play is particularly significant in the UK, where multicultural communities necessitate play opportunities that reflect varied cultural identities. The inclusion of culturally relevant play materials, books, and activities fosters a sense of belonging and encourages children to learn about different traditions. Faith and religious inclusion in play settings can be facilitated by considering dietary requirements, prayer spaces, and culturally appropriate activities. Similarly, gender diversity should be embraced by challenging stereotypes and providing opportunities for children to explore a variety of play roles and activities free from societal constraints.</w:t>
      </w:r>
    </w:p>
    <w:p w14:paraId="378A0DBB" w14:textId="77777777" w:rsidR="00753F63" w:rsidRPr="00621589" w:rsidRDefault="00753F63" w:rsidP="00753F63">
      <w:pPr>
        <w:spacing w:before="100" w:beforeAutospacing="1" w:after="100" w:afterAutospacing="1" w:line="240" w:lineRule="auto"/>
        <w:rPr>
          <w:rFonts w:ascii="Times New Roman" w:eastAsia="Times New Roman" w:hAnsi="Times New Roman" w:cs="Times New Roman"/>
          <w:b/>
          <w:bCs/>
          <w:kern w:val="0"/>
          <w14:ligatures w14:val="none"/>
        </w:rPr>
      </w:pPr>
      <w:r w:rsidRPr="004C16E3">
        <w:rPr>
          <w:rFonts w:ascii="Times New Roman" w:eastAsia="Times New Roman" w:hAnsi="Times New Roman" w:cs="Times New Roman"/>
          <w:b/>
          <w:bCs/>
          <w:kern w:val="0"/>
          <w14:ligatures w14:val="none"/>
        </w:rPr>
        <w:t xml:space="preserve">Ethnic and racial diversity </w:t>
      </w:r>
    </w:p>
    <w:p w14:paraId="420D5792" w14:textId="77777777" w:rsidR="003821DB" w:rsidRDefault="00702FEF" w:rsidP="003821DB">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w:t>
      </w:r>
      <w:r w:rsidR="004C16E3" w:rsidRPr="004C16E3">
        <w:rPr>
          <w:rFonts w:ascii="Times New Roman" w:eastAsia="Times New Roman" w:hAnsi="Times New Roman" w:cs="Times New Roman"/>
          <w:kern w:val="0"/>
          <w14:ligatures w14:val="none"/>
        </w:rPr>
        <w:t>hildren from diverse ethnic backgrounds may face several challenges in accessing and enjoying play in their school environment. These difficulties can stem from social, cultural, and institutional barriers that impact their ability to participate fully.</w:t>
      </w:r>
    </w:p>
    <w:p w14:paraId="77B623BE" w14:textId="14E54386" w:rsidR="004C16E3" w:rsidRPr="004C16E3" w:rsidRDefault="004C16E3" w:rsidP="003821DB">
      <w:pPr>
        <w:spacing w:before="100" w:beforeAutospacing="1" w:after="100" w:afterAutospacing="1" w:line="240" w:lineRule="auto"/>
        <w:rPr>
          <w:rFonts w:ascii="Times New Roman" w:eastAsia="Times New Roman" w:hAnsi="Times New Roman" w:cs="Times New Roman"/>
          <w:kern w:val="0"/>
          <w:sz w:val="22"/>
          <w:szCs w:val="22"/>
          <w14:ligatures w14:val="none"/>
        </w:rPr>
      </w:pPr>
      <w:r w:rsidRPr="004C16E3">
        <w:rPr>
          <w:rFonts w:ascii="Times New Roman" w:eastAsia="Times New Roman" w:hAnsi="Times New Roman" w:cs="Times New Roman"/>
          <w:b/>
          <w:bCs/>
          <w:kern w:val="0"/>
          <w14:ligatures w14:val="none"/>
        </w:rPr>
        <w:t>Barriers to Play for Ethnic Minority Children in Schools</w:t>
      </w:r>
    </w:p>
    <w:p w14:paraId="21862237" w14:textId="1D21DFAE" w:rsidR="004C16E3" w:rsidRPr="005B63EF" w:rsidRDefault="004C16E3" w:rsidP="005B63EF">
      <w:pPr>
        <w:pStyle w:val="ListParagraph"/>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b/>
          <w:bCs/>
          <w:kern w:val="0"/>
          <w14:ligatures w14:val="none"/>
        </w:rPr>
        <w:t>Language Barriers</w:t>
      </w:r>
    </w:p>
    <w:p w14:paraId="31DB6AED" w14:textId="638349A6" w:rsidR="004C16E3" w:rsidRPr="005B63EF" w:rsidRDefault="004C16E3" w:rsidP="005B63EF">
      <w:pPr>
        <w:pStyle w:val="ListParagraph"/>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 xml:space="preserve">Children who speak English as an Additional Language (EAL) may struggle to communicate with peers during play. This can lead to isolation or difficulties </w:t>
      </w:r>
      <w:r w:rsidR="0059191C" w:rsidRPr="005B63EF">
        <w:rPr>
          <w:rFonts w:ascii="Times New Roman" w:eastAsia="Times New Roman" w:hAnsi="Times New Roman" w:cs="Times New Roman"/>
          <w:kern w:val="0"/>
          <w14:ligatures w14:val="none"/>
        </w:rPr>
        <w:t>engaging in group activities requiring</w:t>
      </w:r>
      <w:r w:rsidRPr="005B63EF">
        <w:rPr>
          <w:rFonts w:ascii="Times New Roman" w:eastAsia="Times New Roman" w:hAnsi="Times New Roman" w:cs="Times New Roman"/>
          <w:kern w:val="0"/>
          <w14:ligatures w14:val="none"/>
        </w:rPr>
        <w:t xml:space="preserve"> verbal interaction.</w:t>
      </w:r>
    </w:p>
    <w:p w14:paraId="49A1E2DC" w14:textId="3EAD4271" w:rsidR="004C16E3" w:rsidRDefault="004C16E3" w:rsidP="005B63EF">
      <w:pPr>
        <w:pStyle w:val="ListParagraph"/>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Instructions for structured play activities may be hard to understand, making it difficult for these children to join confidently.</w:t>
      </w:r>
    </w:p>
    <w:p w14:paraId="4AFBB263" w14:textId="77777777" w:rsidR="005B63EF" w:rsidRPr="005B63EF" w:rsidRDefault="005B63EF" w:rsidP="005B63EF">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6288E6D0" w14:textId="3A1FC12D" w:rsidR="004C16E3" w:rsidRPr="005B63EF" w:rsidRDefault="004C16E3" w:rsidP="005B63EF">
      <w:pPr>
        <w:pStyle w:val="ListParagraph"/>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b/>
          <w:bCs/>
          <w:kern w:val="0"/>
          <w14:ligatures w14:val="none"/>
        </w:rPr>
        <w:t>Cultural Differences in Play</w:t>
      </w:r>
    </w:p>
    <w:p w14:paraId="390BB20C" w14:textId="56C9FCC8" w:rsidR="004C16E3" w:rsidRPr="005B63EF" w:rsidRDefault="004C16E3" w:rsidP="005B63EF">
      <w:pPr>
        <w:pStyle w:val="ListParagraph"/>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Some ethnic minority children may come from backgrounds where certain types of play are less emphasised or even discouraged. For example, physical play, such as rough-and-tumble activities, may not be as common in some cultures.</w:t>
      </w:r>
    </w:p>
    <w:p w14:paraId="10BA5333" w14:textId="3D2EA51D" w:rsidR="004C16E3" w:rsidRDefault="004C16E3" w:rsidP="005B63EF">
      <w:pPr>
        <w:pStyle w:val="ListParagraph"/>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 xml:space="preserve">Certain play themes, such as fantasy or make-believe scenarios involving specific cultural references (e.g., fairy tales or superheroes), may be unfamiliar, making </w:t>
      </w:r>
      <w:r w:rsidR="0059191C" w:rsidRPr="005B63EF">
        <w:rPr>
          <w:rFonts w:ascii="Times New Roman" w:eastAsia="Times New Roman" w:hAnsi="Times New Roman" w:cs="Times New Roman"/>
          <w:kern w:val="0"/>
          <w14:ligatures w14:val="none"/>
        </w:rPr>
        <w:t>engaging harder for them</w:t>
      </w:r>
      <w:r w:rsidRPr="005B63EF">
        <w:rPr>
          <w:rFonts w:ascii="Times New Roman" w:eastAsia="Times New Roman" w:hAnsi="Times New Roman" w:cs="Times New Roman"/>
          <w:kern w:val="0"/>
          <w14:ligatures w14:val="none"/>
        </w:rPr>
        <w:t>.</w:t>
      </w:r>
    </w:p>
    <w:p w14:paraId="6F5B09A1" w14:textId="77777777" w:rsidR="005B63EF" w:rsidRPr="005B63EF" w:rsidRDefault="005B63EF" w:rsidP="005B63EF">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57168106" w14:textId="18A534B5" w:rsidR="004C16E3" w:rsidRPr="005B63EF" w:rsidRDefault="004C16E3" w:rsidP="005B63EF">
      <w:pPr>
        <w:pStyle w:val="ListParagraph"/>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b/>
          <w:bCs/>
          <w:kern w:val="0"/>
          <w14:ligatures w14:val="none"/>
        </w:rPr>
        <w:t>Social Exclusion and Discrimination</w:t>
      </w:r>
    </w:p>
    <w:p w14:paraId="1560B78C" w14:textId="77777777" w:rsidR="004C16E3" w:rsidRPr="005B63EF" w:rsidRDefault="004C16E3" w:rsidP="005B63EF">
      <w:pPr>
        <w:pStyle w:val="ListParagraph"/>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Children from minority ethnic backgrounds may experience unintentional or intentional exclusion from peer groups due to cultural differences.</w:t>
      </w:r>
    </w:p>
    <w:p w14:paraId="3A6E2CB5" w14:textId="38D6FD66" w:rsidR="004C16E3" w:rsidRDefault="004C16E3" w:rsidP="005B63EF">
      <w:pPr>
        <w:pStyle w:val="ListParagraph"/>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B63EF">
        <w:rPr>
          <w:rFonts w:ascii="Times New Roman" w:eastAsia="Times New Roman" w:hAnsi="Times New Roman" w:cs="Times New Roman"/>
          <w:kern w:val="0"/>
          <w14:ligatures w14:val="none"/>
        </w:rPr>
        <w:t xml:space="preserve">Stereotyping or bias from peers or even staff members can lead to feelings of alienation, </w:t>
      </w:r>
      <w:r w:rsidR="005B63EF">
        <w:rPr>
          <w:rFonts w:ascii="Times New Roman" w:eastAsia="Times New Roman" w:hAnsi="Times New Roman" w:cs="Times New Roman"/>
          <w:kern w:val="0"/>
          <w14:ligatures w14:val="none"/>
        </w:rPr>
        <w:t>which can affect</w:t>
      </w:r>
      <w:r w:rsidRPr="005B63EF">
        <w:rPr>
          <w:rFonts w:ascii="Times New Roman" w:eastAsia="Times New Roman" w:hAnsi="Times New Roman" w:cs="Times New Roman"/>
          <w:kern w:val="0"/>
          <w14:ligatures w14:val="none"/>
        </w:rPr>
        <w:t xml:space="preserve"> their willingness to participate in play.</w:t>
      </w:r>
    </w:p>
    <w:p w14:paraId="412973A8" w14:textId="77777777" w:rsidR="00F00896" w:rsidRPr="005B63EF" w:rsidRDefault="00F00896" w:rsidP="00F00896">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2FB5F418" w14:textId="756C6871" w:rsidR="004C16E3" w:rsidRPr="00F00896" w:rsidRDefault="004C16E3" w:rsidP="00F00896">
      <w:pPr>
        <w:pStyle w:val="ListParagraph"/>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b/>
          <w:bCs/>
          <w:kern w:val="0"/>
          <w14:ligatures w14:val="none"/>
        </w:rPr>
        <w:t>Lack of Culturally Inclusive Play Resources</w:t>
      </w:r>
    </w:p>
    <w:p w14:paraId="72621C79" w14:textId="77777777" w:rsidR="004C16E3" w:rsidRPr="00F00896" w:rsidRDefault="004C16E3" w:rsidP="00F00896">
      <w:pPr>
        <w:pStyle w:val="ListParagraph"/>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kern w:val="0"/>
          <w14:ligatures w14:val="none"/>
        </w:rPr>
        <w:lastRenderedPageBreak/>
        <w:t>Many play materials, such as dolls, books, and games, may predominantly reflect Western cultures, leaving children from ethnic minority backgrounds feeling unrepresented.</w:t>
      </w:r>
    </w:p>
    <w:p w14:paraId="38EB5368" w14:textId="77777777" w:rsidR="004C16E3" w:rsidRDefault="004C16E3" w:rsidP="00F00896">
      <w:pPr>
        <w:pStyle w:val="ListParagraph"/>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kern w:val="0"/>
          <w14:ligatures w14:val="none"/>
        </w:rPr>
        <w:t>The absence of diverse role models and culturally inclusive activities can make play environments less welcoming.</w:t>
      </w:r>
    </w:p>
    <w:p w14:paraId="523CB449" w14:textId="77777777" w:rsidR="00F00896" w:rsidRPr="00F00896" w:rsidRDefault="00F00896" w:rsidP="00F00896">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36EB8397" w14:textId="14F2321B" w:rsidR="004C16E3" w:rsidRPr="00F00896" w:rsidRDefault="004C16E3" w:rsidP="00F00896">
      <w:pPr>
        <w:pStyle w:val="ListParagraph"/>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b/>
          <w:bCs/>
          <w:kern w:val="0"/>
          <w14:ligatures w14:val="none"/>
        </w:rPr>
        <w:t>Religious Considerations</w:t>
      </w:r>
    </w:p>
    <w:p w14:paraId="04240449" w14:textId="77777777" w:rsidR="004C16E3" w:rsidRPr="00F00896" w:rsidRDefault="004C16E3" w:rsidP="00F00896">
      <w:pPr>
        <w:pStyle w:val="ListParagraph"/>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kern w:val="0"/>
          <w14:ligatures w14:val="none"/>
        </w:rPr>
        <w:t>Some religious practices may influence how children participate in play. For instance, children who wear specific religious attire, such as hijabs or turbans, may feel restricted in certain physical activities.</w:t>
      </w:r>
    </w:p>
    <w:p w14:paraId="180CFF32" w14:textId="77777777" w:rsidR="004C1724" w:rsidRDefault="004C16E3" w:rsidP="004C1724">
      <w:pPr>
        <w:pStyle w:val="ListParagraph"/>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00896">
        <w:rPr>
          <w:rFonts w:ascii="Times New Roman" w:eastAsia="Times New Roman" w:hAnsi="Times New Roman" w:cs="Times New Roman"/>
          <w:kern w:val="0"/>
          <w14:ligatures w14:val="none"/>
        </w:rPr>
        <w:t>Play opportunities involving themes or celebrations that contradict religious beliefs may lead to exclusion or discomfort.</w:t>
      </w:r>
    </w:p>
    <w:p w14:paraId="49C8D134" w14:textId="216874E3" w:rsidR="004C16E3" w:rsidRPr="004C1724" w:rsidRDefault="004C16E3" w:rsidP="004C1724">
      <w:p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b/>
          <w:bCs/>
          <w:kern w:val="0"/>
          <w:sz w:val="27"/>
          <w:szCs w:val="27"/>
          <w14:ligatures w14:val="none"/>
        </w:rPr>
        <w:t>Strategies to Overcome Barriers</w:t>
      </w:r>
    </w:p>
    <w:p w14:paraId="380E8FEF"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To foster an inclusive play environment for ethnically diverse children, schools can:</w:t>
      </w:r>
    </w:p>
    <w:p w14:paraId="21B487B6" w14:textId="77777777" w:rsidR="004C16E3" w:rsidRPr="004C16E3" w:rsidRDefault="004C16E3" w:rsidP="004C16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Introduce multilingual support in play areas through visual aids and peer assistance.</w:t>
      </w:r>
    </w:p>
    <w:p w14:paraId="25C71A53" w14:textId="77777777" w:rsidR="004C16E3" w:rsidRPr="004C16E3" w:rsidRDefault="004C16E3" w:rsidP="004C16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Encourage culturally diverse play activities, such as games from different countries, to reflect and respect various backgrounds.</w:t>
      </w:r>
    </w:p>
    <w:p w14:paraId="6249A762" w14:textId="77777777" w:rsidR="004C16E3" w:rsidRPr="004C16E3" w:rsidRDefault="004C16E3" w:rsidP="004C16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Provide diverse play materials, including dolls and books that represent different ethnicities and cultures.</w:t>
      </w:r>
    </w:p>
    <w:p w14:paraId="3EA75483" w14:textId="77777777" w:rsidR="004C16E3" w:rsidRPr="004C16E3" w:rsidRDefault="004C16E3" w:rsidP="004C16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Educate staff and students about cultural awareness to prevent exclusion and unconscious bias.</w:t>
      </w:r>
    </w:p>
    <w:p w14:paraId="3461ED5F" w14:textId="77777777" w:rsidR="004C16E3" w:rsidRPr="00201D87" w:rsidRDefault="004C16E3" w:rsidP="004C16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Offer flexible play options to accommodate different cultural and religious needs while ensuring all children feel included.</w:t>
      </w:r>
    </w:p>
    <w:p w14:paraId="3B3C8AB7" w14:textId="406906BE" w:rsidR="00E83F1E" w:rsidRPr="00732377" w:rsidRDefault="00732377" w:rsidP="00621589">
      <w:pPr>
        <w:spacing w:before="100" w:beforeAutospacing="1" w:after="100" w:afterAutospacing="1" w:line="240" w:lineRule="auto"/>
        <w:rPr>
          <w:rFonts w:ascii="Times New Roman" w:eastAsia="Times New Roman" w:hAnsi="Times New Roman" w:cs="Times New Roman"/>
          <w:b/>
          <w:bCs/>
          <w:kern w:val="0"/>
          <w14:ligatures w14:val="none"/>
        </w:rPr>
      </w:pPr>
      <w:r w:rsidRPr="00732377">
        <w:rPr>
          <w:rFonts w:ascii="Times New Roman" w:eastAsia="Times New Roman" w:hAnsi="Times New Roman" w:cs="Times New Roman"/>
          <w:b/>
          <w:bCs/>
          <w:kern w:val="0"/>
          <w14:ligatures w14:val="none"/>
        </w:rPr>
        <w:t>Gender</w:t>
      </w:r>
      <w:r w:rsidR="005C59BA">
        <w:rPr>
          <w:rFonts w:ascii="Times New Roman" w:eastAsia="Times New Roman" w:hAnsi="Times New Roman" w:cs="Times New Roman"/>
          <w:b/>
          <w:bCs/>
          <w:kern w:val="0"/>
          <w14:ligatures w14:val="none"/>
        </w:rPr>
        <w:t xml:space="preserve"> norms</w:t>
      </w:r>
    </w:p>
    <w:p w14:paraId="7AFE54B2" w14:textId="77777777" w:rsidR="00D373A7" w:rsidRDefault="00621589" w:rsidP="00D373A7">
      <w:p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Children who do not conform to traditional gender norms—such as non-binary, gender-fluid, or transgender children—may encounter several challenges when engaging in play at school. These difficulties stem from societal expectations, peer interactions, and institutional structures that do not always accommodate diverse gender identities.</w:t>
      </w:r>
    </w:p>
    <w:p w14:paraId="3ADA6D85" w14:textId="05B7AF26" w:rsidR="00621589" w:rsidRPr="004C1724" w:rsidRDefault="00621589" w:rsidP="004C1724">
      <w:pPr>
        <w:pStyle w:val="ListParagraph"/>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4C1724">
        <w:rPr>
          <w:rFonts w:ascii="Times New Roman" w:eastAsia="Times New Roman" w:hAnsi="Times New Roman" w:cs="Times New Roman"/>
          <w:b/>
          <w:bCs/>
          <w:kern w:val="0"/>
          <w14:ligatures w14:val="none"/>
        </w:rPr>
        <w:t>Gender-Stereotyped Play Expectations</w:t>
      </w:r>
    </w:p>
    <w:p w14:paraId="68A850D2" w14:textId="7E7A7399" w:rsidR="00621589" w:rsidRPr="004C1724" w:rsidRDefault="00621589" w:rsidP="004C1724">
      <w:pPr>
        <w:pStyle w:val="ListParagraph"/>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 xml:space="preserve">Many school environments still reinforce traditional gender norms, where certain activities are seen as "for boys" (e.g., football, building blocks) and others as "for girls" (e.g., role-playing with dolls, </w:t>
      </w:r>
      <w:r w:rsidR="00177F7B" w:rsidRPr="004C1724">
        <w:rPr>
          <w:rFonts w:ascii="Times New Roman" w:eastAsia="Times New Roman" w:hAnsi="Times New Roman" w:cs="Times New Roman"/>
          <w:kern w:val="0"/>
          <w14:ligatures w14:val="none"/>
        </w:rPr>
        <w:t>arts</w:t>
      </w:r>
      <w:r w:rsidRPr="004C1724">
        <w:rPr>
          <w:rFonts w:ascii="Times New Roman" w:eastAsia="Times New Roman" w:hAnsi="Times New Roman" w:cs="Times New Roman"/>
          <w:kern w:val="0"/>
          <w14:ligatures w14:val="none"/>
        </w:rPr>
        <w:t xml:space="preserve"> and crafts).</w:t>
      </w:r>
    </w:p>
    <w:p w14:paraId="1C316966" w14:textId="77777777" w:rsidR="00621589" w:rsidRPr="004C1724" w:rsidRDefault="00621589" w:rsidP="004C1724">
      <w:pPr>
        <w:pStyle w:val="ListParagraph"/>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Children who wish to engage in activities that do not align with these expectations may experience peer pressure, teasing, or exclusion.</w:t>
      </w:r>
    </w:p>
    <w:p w14:paraId="0657A5B0" w14:textId="77777777" w:rsidR="00A70498" w:rsidRDefault="00621589" w:rsidP="004C1724">
      <w:pPr>
        <w:pStyle w:val="ListParagraph"/>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A lack of gender-neutral play options can make it difficult for gender-diverse children to feel comfortable choosing activities they genuinely enjoy.</w:t>
      </w:r>
    </w:p>
    <w:p w14:paraId="001AA300" w14:textId="77777777" w:rsidR="004C1724" w:rsidRPr="004C1724" w:rsidRDefault="004C1724" w:rsidP="004C1724">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125A152E" w14:textId="6B6BF467" w:rsidR="00621589" w:rsidRPr="004C1724" w:rsidRDefault="00621589" w:rsidP="004C1724">
      <w:pPr>
        <w:pStyle w:val="ListParagraph"/>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b/>
          <w:bCs/>
          <w:kern w:val="0"/>
          <w14:ligatures w14:val="none"/>
        </w:rPr>
        <w:t>Social Exclusion and Bullying</w:t>
      </w:r>
    </w:p>
    <w:p w14:paraId="24EB51EA" w14:textId="77777777" w:rsidR="00621589" w:rsidRPr="004C1724" w:rsidRDefault="00621589" w:rsidP="004C1724">
      <w:pPr>
        <w:pStyle w:val="ListParagraph"/>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Gender-diverse children may face peer rejection if their play preferences challenge gender norms. For instance, a non-binary child who enjoys both rough-and-tumble play and dressing up may struggle to fit into either traditionally male or female playgroups.</w:t>
      </w:r>
    </w:p>
    <w:p w14:paraId="72B24D6E" w14:textId="77777777" w:rsidR="00621589" w:rsidRPr="004C1724" w:rsidRDefault="00621589" w:rsidP="004C1724">
      <w:pPr>
        <w:pStyle w:val="ListParagraph"/>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Some may experience bullying or verbal harassment from classmates who do not understand or accept diverse gender identities.</w:t>
      </w:r>
    </w:p>
    <w:p w14:paraId="04956068" w14:textId="77777777" w:rsidR="00A70498" w:rsidRDefault="00621589" w:rsidP="004C1724">
      <w:pPr>
        <w:pStyle w:val="ListParagraph"/>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lastRenderedPageBreak/>
        <w:t>The fear of being judged or singled out may lead some children to withdraw from play altogether, limiting their opportunities for social development.</w:t>
      </w:r>
    </w:p>
    <w:p w14:paraId="6267AAC2" w14:textId="77777777" w:rsidR="004C1724" w:rsidRPr="004C1724" w:rsidRDefault="004C1724" w:rsidP="004C1724">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76623C86" w14:textId="359C33E6" w:rsidR="00621589" w:rsidRPr="004C1724" w:rsidRDefault="00A70498" w:rsidP="004C1724">
      <w:pPr>
        <w:pStyle w:val="ListParagraph"/>
        <w:numPr>
          <w:ilvl w:val="0"/>
          <w:numId w:val="26"/>
        </w:numPr>
        <w:spacing w:before="100" w:beforeAutospacing="1" w:after="100" w:afterAutospacing="1" w:line="240" w:lineRule="auto"/>
        <w:rPr>
          <w:rFonts w:ascii="Times New Roman" w:eastAsia="Times New Roman" w:hAnsi="Times New Roman" w:cs="Times New Roman"/>
          <w:b/>
          <w:bCs/>
          <w:kern w:val="0"/>
          <w14:ligatures w14:val="none"/>
        </w:rPr>
      </w:pPr>
      <w:r w:rsidRPr="004C1724">
        <w:rPr>
          <w:rFonts w:ascii="Times New Roman" w:eastAsia="Times New Roman" w:hAnsi="Times New Roman" w:cs="Times New Roman"/>
          <w:b/>
          <w:bCs/>
          <w:kern w:val="0"/>
          <w14:ligatures w14:val="none"/>
        </w:rPr>
        <w:t>L</w:t>
      </w:r>
      <w:r w:rsidR="00621589" w:rsidRPr="004C1724">
        <w:rPr>
          <w:rFonts w:ascii="Times New Roman" w:eastAsia="Times New Roman" w:hAnsi="Times New Roman" w:cs="Times New Roman"/>
          <w:b/>
          <w:bCs/>
          <w:kern w:val="0"/>
          <w14:ligatures w14:val="none"/>
        </w:rPr>
        <w:t>imited Access to Gender-Inclusive Facilities and Spaces</w:t>
      </w:r>
    </w:p>
    <w:p w14:paraId="31B8CE87" w14:textId="77777777" w:rsidR="00621589" w:rsidRPr="004C1724" w:rsidRDefault="00621589" w:rsidP="004C1724">
      <w:pPr>
        <w:pStyle w:val="ListParagraph"/>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Playgrounds and sports activities often have gendered divisions (e.g., separate changing rooms, boys’ and girls’ sports teams). This can make it difficult for gender-diverse children to find a comfortable and inclusive space for play.</w:t>
      </w:r>
    </w:p>
    <w:p w14:paraId="28728F58" w14:textId="77777777" w:rsidR="006506AE" w:rsidRDefault="00621589" w:rsidP="004C1724">
      <w:pPr>
        <w:pStyle w:val="ListParagraph"/>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 xml:space="preserve">School uniforms and dress codes may restrict children's ability to </w:t>
      </w:r>
      <w:r w:rsidR="006506AE" w:rsidRPr="004C1724">
        <w:rPr>
          <w:rFonts w:ascii="Times New Roman" w:eastAsia="Times New Roman" w:hAnsi="Times New Roman" w:cs="Times New Roman"/>
          <w:kern w:val="0"/>
          <w14:ligatures w14:val="none"/>
        </w:rPr>
        <w:t>play freely</w:t>
      </w:r>
      <w:r w:rsidRPr="004C1724">
        <w:rPr>
          <w:rFonts w:ascii="Times New Roman" w:eastAsia="Times New Roman" w:hAnsi="Times New Roman" w:cs="Times New Roman"/>
          <w:kern w:val="0"/>
          <w14:ligatures w14:val="none"/>
        </w:rPr>
        <w:t>. For example, requiring girls to wear skirts can limit participation in activities like climbing or running.</w:t>
      </w:r>
    </w:p>
    <w:p w14:paraId="4E23DA7E" w14:textId="77777777" w:rsidR="004C1724" w:rsidRPr="004C1724" w:rsidRDefault="004C1724" w:rsidP="004C1724">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074460DA" w14:textId="07EFC9F9" w:rsidR="00621589" w:rsidRPr="004C1724" w:rsidRDefault="00621589" w:rsidP="004C1724">
      <w:pPr>
        <w:pStyle w:val="ListParagraph"/>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4C1724">
        <w:rPr>
          <w:rFonts w:ascii="Times New Roman" w:eastAsia="Times New Roman" w:hAnsi="Times New Roman" w:cs="Times New Roman"/>
          <w:b/>
          <w:bCs/>
          <w:kern w:val="0"/>
          <w14:ligatures w14:val="none"/>
        </w:rPr>
        <w:t>Lack of Representation in Play Materials and Activities</w:t>
      </w:r>
    </w:p>
    <w:p w14:paraId="6544421E" w14:textId="77777777" w:rsidR="00621589" w:rsidRPr="004C1724" w:rsidRDefault="00621589" w:rsidP="004C1724">
      <w:pPr>
        <w:pStyle w:val="ListParagraph"/>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Many storybooks, toys, and games reinforce binary gender roles, leaving gender-diverse children feeling unrepresented.</w:t>
      </w:r>
    </w:p>
    <w:p w14:paraId="06A95836" w14:textId="77777777" w:rsidR="00621589" w:rsidRPr="004C1724" w:rsidRDefault="00621589" w:rsidP="004C1724">
      <w:pPr>
        <w:pStyle w:val="ListParagraph"/>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A lack of diverse role models in play-related media may contribute to feelings of isolation or confusion about their identity.</w:t>
      </w:r>
    </w:p>
    <w:p w14:paraId="2765B92E" w14:textId="77777777" w:rsidR="006506AE" w:rsidRDefault="00621589" w:rsidP="004C1724">
      <w:pPr>
        <w:pStyle w:val="ListParagraph"/>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Gendered language in play (e.g., “boys vs. girls” in competitive games) can make non-binary or gender-fluid children feel excluded.</w:t>
      </w:r>
    </w:p>
    <w:p w14:paraId="74D02A8C" w14:textId="77777777" w:rsidR="004C1724" w:rsidRPr="004C1724" w:rsidRDefault="004C1724" w:rsidP="004C1724">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70F33E49" w14:textId="7555C871" w:rsidR="00621589" w:rsidRPr="004C1724" w:rsidRDefault="00621589" w:rsidP="004C1724">
      <w:pPr>
        <w:pStyle w:val="ListParagraph"/>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4C1724">
        <w:rPr>
          <w:rFonts w:ascii="Times New Roman" w:eastAsia="Times New Roman" w:hAnsi="Times New Roman" w:cs="Times New Roman"/>
          <w:b/>
          <w:bCs/>
          <w:kern w:val="0"/>
          <w14:ligatures w14:val="none"/>
        </w:rPr>
        <w:t>Adult Attitudes and Institutional Barriers</w:t>
      </w:r>
    </w:p>
    <w:p w14:paraId="3EA96018" w14:textId="5C7F5338" w:rsidR="00621589" w:rsidRPr="004C1724" w:rsidRDefault="00621589" w:rsidP="004C1724">
      <w:pPr>
        <w:pStyle w:val="ListParagraph"/>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Some school staff may unintentionally reinforce gender norms through the way they organise play activities or address children (e.g., grouping children by gender for certain tasks).</w:t>
      </w:r>
    </w:p>
    <w:p w14:paraId="02D85004" w14:textId="77777777" w:rsidR="00621589" w:rsidRPr="004C1724" w:rsidRDefault="00621589" w:rsidP="004C1724">
      <w:pPr>
        <w:pStyle w:val="ListParagraph"/>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A lack of staff training on gender inclusivity can result in missed opportunities to support gender-diverse children in play.</w:t>
      </w:r>
    </w:p>
    <w:p w14:paraId="3F824E05" w14:textId="77777777" w:rsidR="00621589" w:rsidRPr="004C1724" w:rsidRDefault="00621589" w:rsidP="004C1724">
      <w:pPr>
        <w:pStyle w:val="ListParagraph"/>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C1724">
        <w:rPr>
          <w:rFonts w:ascii="Times New Roman" w:eastAsia="Times New Roman" w:hAnsi="Times New Roman" w:cs="Times New Roman"/>
          <w:kern w:val="0"/>
          <w14:ligatures w14:val="none"/>
        </w:rPr>
        <w:t>Parents and caregivers may also have concerns or biases that influence how children are encouraged to play at school.</w:t>
      </w:r>
    </w:p>
    <w:p w14:paraId="04F7E1E0" w14:textId="77777777" w:rsidR="00621589" w:rsidRPr="00621589" w:rsidRDefault="00621589" w:rsidP="006215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1589">
        <w:rPr>
          <w:rFonts w:ascii="Times New Roman" w:eastAsia="Times New Roman" w:hAnsi="Times New Roman" w:cs="Times New Roman"/>
          <w:b/>
          <w:bCs/>
          <w:kern w:val="0"/>
          <w:sz w:val="27"/>
          <w:szCs w:val="27"/>
          <w14:ligatures w14:val="none"/>
        </w:rPr>
        <w:t>Strategies to Promote Gender-Inclusive Play</w:t>
      </w:r>
    </w:p>
    <w:p w14:paraId="34A10081" w14:textId="77777777" w:rsidR="00621589" w:rsidRPr="00621589" w:rsidRDefault="00621589" w:rsidP="00621589">
      <w:p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To create a more inclusive and welcoming play environment for gender-diverse children, schools can:</w:t>
      </w:r>
    </w:p>
    <w:p w14:paraId="1F9D1C33"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Encourage open-ended play by providing a variety of toys and activities that are not limited by gender stereotypes.</w:t>
      </w:r>
    </w:p>
    <w:p w14:paraId="694F8101"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Introduce gender-neutral language in play settings, such as using “friends” instead of “boys and girls” to address groups of children.</w:t>
      </w:r>
    </w:p>
    <w:p w14:paraId="2A14F136"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Ensure safe and inclusive spaces where children can play without fear of judgment, including access to gender-neutral toilets and changing areas.</w:t>
      </w:r>
    </w:p>
    <w:p w14:paraId="00766309"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Train staff on gender diversity so they can facilitate inclusive play and address discrimination or bias effectively.</w:t>
      </w:r>
    </w:p>
    <w:p w14:paraId="58C20F82"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Celebrate diverse role models through books, toys, and storytelling that reflect a variety of gender identities.</w:t>
      </w:r>
    </w:p>
    <w:p w14:paraId="27D9D3C2" w14:textId="77777777" w:rsidR="00621589" w:rsidRPr="00621589" w:rsidRDefault="00621589" w:rsidP="006215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Allow flexible dress codes that enable all children to move freely and engage in different forms of play.</w:t>
      </w:r>
    </w:p>
    <w:p w14:paraId="6A9D7D22" w14:textId="77777777" w:rsidR="00621589" w:rsidRPr="00621589" w:rsidRDefault="00621589" w:rsidP="00621589">
      <w:pPr>
        <w:spacing w:before="100" w:beforeAutospacing="1" w:after="100" w:afterAutospacing="1" w:line="240" w:lineRule="auto"/>
        <w:rPr>
          <w:rFonts w:ascii="Times New Roman" w:eastAsia="Times New Roman" w:hAnsi="Times New Roman" w:cs="Times New Roman"/>
          <w:kern w:val="0"/>
          <w14:ligatures w14:val="none"/>
        </w:rPr>
      </w:pPr>
      <w:r w:rsidRPr="00621589">
        <w:rPr>
          <w:rFonts w:ascii="Times New Roman" w:eastAsia="Times New Roman" w:hAnsi="Times New Roman" w:cs="Times New Roman"/>
          <w:kern w:val="0"/>
          <w14:ligatures w14:val="none"/>
        </w:rPr>
        <w:t>By implementing these changes, schools can create a play environment where all children—regardless of gender identity—feel valued, included, and free to express themselves.</w:t>
      </w:r>
    </w:p>
    <w:p w14:paraId="68E5EB97"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lastRenderedPageBreak/>
        <w:t>To further enhance inclusive play opportunities in the UK, several key actions should be considered:</w:t>
      </w:r>
    </w:p>
    <w:p w14:paraId="578BF99D" w14:textId="3F874961" w:rsidR="004C16E3" w:rsidRPr="004C16E3" w:rsidRDefault="004C16E3" w:rsidP="004C16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b/>
          <w:bCs/>
          <w:kern w:val="0"/>
          <w14:ligatures w14:val="none"/>
        </w:rPr>
        <w:t>Greater Collaboration</w:t>
      </w:r>
      <w:r w:rsidRPr="004C16E3">
        <w:rPr>
          <w:rFonts w:ascii="Times New Roman" w:eastAsia="Times New Roman" w:hAnsi="Times New Roman" w:cs="Times New Roman"/>
          <w:kern w:val="0"/>
          <w14:ligatures w14:val="none"/>
        </w:rPr>
        <w:t xml:space="preserve">: Schools, local councils, and community </w:t>
      </w:r>
      <w:r>
        <w:rPr>
          <w:rFonts w:ascii="Times New Roman" w:eastAsia="Times New Roman" w:hAnsi="Times New Roman" w:cs="Times New Roman"/>
          <w:kern w:val="0"/>
          <w14:ligatures w14:val="none"/>
        </w:rPr>
        <w:t>organisations</w:t>
      </w:r>
      <w:r w:rsidRPr="004C16E3">
        <w:rPr>
          <w:rFonts w:ascii="Times New Roman" w:eastAsia="Times New Roman" w:hAnsi="Times New Roman" w:cs="Times New Roman"/>
          <w:kern w:val="0"/>
          <w14:ligatures w14:val="none"/>
        </w:rPr>
        <w:t xml:space="preserve"> should work together to co-design play spaces that reflect community needs. Co-production with children and families ensures that play environments are inclusive and culturally relevant.</w:t>
      </w:r>
    </w:p>
    <w:p w14:paraId="2FF3DC3F" w14:textId="77777777" w:rsidR="004C16E3" w:rsidRPr="004C16E3" w:rsidRDefault="004C16E3" w:rsidP="004C16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b/>
          <w:bCs/>
          <w:kern w:val="0"/>
          <w14:ligatures w14:val="none"/>
        </w:rPr>
        <w:t>Technology Integration</w:t>
      </w:r>
      <w:r w:rsidRPr="004C16E3">
        <w:rPr>
          <w:rFonts w:ascii="Times New Roman" w:eastAsia="Times New Roman" w:hAnsi="Times New Roman" w:cs="Times New Roman"/>
          <w:kern w:val="0"/>
          <w14:ligatures w14:val="none"/>
        </w:rPr>
        <w:t>: Digital and augmented reality play experiences can be designed to be more inclusive, providing opportunities for children with disabilities or sensory processing differences to engage in play in unique ways.</w:t>
      </w:r>
    </w:p>
    <w:p w14:paraId="3955190E" w14:textId="3575E6B7" w:rsidR="004C16E3" w:rsidRPr="004C16E3" w:rsidRDefault="004C16E3" w:rsidP="004C16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b/>
          <w:bCs/>
          <w:kern w:val="0"/>
          <w14:ligatures w14:val="none"/>
        </w:rPr>
        <w:t>Research and Evaluation</w:t>
      </w:r>
      <w:r w:rsidRPr="004C16E3">
        <w:rPr>
          <w:rFonts w:ascii="Times New Roman" w:eastAsia="Times New Roman" w:hAnsi="Times New Roman" w:cs="Times New Roman"/>
          <w:kern w:val="0"/>
          <w14:ligatures w14:val="none"/>
        </w:rPr>
        <w:t xml:space="preserve">: Continuous research into inclusive play practices, including the impact of play on </w:t>
      </w:r>
      <w:r w:rsidR="00AD2096">
        <w:rPr>
          <w:rFonts w:ascii="Times New Roman" w:eastAsia="Times New Roman" w:hAnsi="Times New Roman" w:cs="Times New Roman"/>
          <w:kern w:val="0"/>
          <w14:ligatures w14:val="none"/>
        </w:rPr>
        <w:t>marginalised</w:t>
      </w:r>
      <w:r w:rsidRPr="004C16E3">
        <w:rPr>
          <w:rFonts w:ascii="Times New Roman" w:eastAsia="Times New Roman" w:hAnsi="Times New Roman" w:cs="Times New Roman"/>
          <w:kern w:val="0"/>
          <w14:ligatures w14:val="none"/>
        </w:rPr>
        <w:t xml:space="preserve"> groups, can inform policy and practice improvements. Establishing monitoring mechanisms to assess the effectiveness of inclusive play strategies will help identify areas for enhancement.</w:t>
      </w:r>
    </w:p>
    <w:p w14:paraId="24FE0A36" w14:textId="509B0DE3"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Play is a fundamental right of all children, yet barriers persist for many </w:t>
      </w:r>
      <w:r w:rsidR="00016B74">
        <w:rPr>
          <w:rFonts w:ascii="Times New Roman" w:eastAsia="Times New Roman" w:hAnsi="Times New Roman" w:cs="Times New Roman"/>
          <w:kern w:val="0"/>
          <w14:ligatures w14:val="none"/>
        </w:rPr>
        <w:t>marginalised</w:t>
      </w:r>
      <w:r w:rsidRPr="004C16E3">
        <w:rPr>
          <w:rFonts w:ascii="Times New Roman" w:eastAsia="Times New Roman" w:hAnsi="Times New Roman" w:cs="Times New Roman"/>
          <w:kern w:val="0"/>
          <w14:ligatures w14:val="none"/>
        </w:rPr>
        <w:t xml:space="preserve"> groups in the UK. Addressing physical, social, economic, and institutional barriers through inclusive policies, universal design, community engagement, and professional training can ensure equitable access to play. </w:t>
      </w:r>
      <w:r w:rsidR="00016B74">
        <w:rPr>
          <w:rFonts w:ascii="Times New Roman" w:eastAsia="Times New Roman" w:hAnsi="Times New Roman" w:cs="Times New Roman"/>
          <w:kern w:val="0"/>
          <w14:ligatures w14:val="none"/>
        </w:rPr>
        <w:t>Fostering</w:t>
      </w:r>
      <w:r w:rsidRPr="004C16E3">
        <w:rPr>
          <w:rFonts w:ascii="Times New Roman" w:eastAsia="Times New Roman" w:hAnsi="Times New Roman" w:cs="Times New Roman"/>
          <w:kern w:val="0"/>
          <w14:ligatures w14:val="none"/>
        </w:rPr>
        <w:t xml:space="preserve"> collaboration, leveraging technology, and </w:t>
      </w:r>
      <w:r w:rsidR="00016B74">
        <w:rPr>
          <w:rFonts w:ascii="Times New Roman" w:eastAsia="Times New Roman" w:hAnsi="Times New Roman" w:cs="Times New Roman"/>
          <w:kern w:val="0"/>
          <w14:ligatures w14:val="none"/>
        </w:rPr>
        <w:t>prioritising</w:t>
      </w:r>
      <w:r w:rsidRPr="004C16E3">
        <w:rPr>
          <w:rFonts w:ascii="Times New Roman" w:eastAsia="Times New Roman" w:hAnsi="Times New Roman" w:cs="Times New Roman"/>
          <w:kern w:val="0"/>
          <w14:ligatures w14:val="none"/>
        </w:rPr>
        <w:t xml:space="preserve"> research will enhance the inclusivity of play environments, ensuring that every child, regardless of background or ability, can fully experience the joy and developmental benefits of play.</w:t>
      </w:r>
    </w:p>
    <w:p w14:paraId="40DA8CF0" w14:textId="77777777" w:rsidR="004C16E3" w:rsidRPr="004C16E3" w:rsidRDefault="004C16E3" w:rsidP="004C16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6E3">
        <w:rPr>
          <w:rFonts w:ascii="Times New Roman" w:eastAsia="Times New Roman" w:hAnsi="Times New Roman" w:cs="Times New Roman"/>
          <w:b/>
          <w:bCs/>
          <w:kern w:val="0"/>
          <w:sz w:val="27"/>
          <w:szCs w:val="27"/>
          <w14:ligatures w14:val="none"/>
        </w:rPr>
        <w:t>References</w:t>
      </w:r>
    </w:p>
    <w:p w14:paraId="1B5DAC6E"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Booth, T., Ainscow, M., &amp; Kingston, D. (2006). </w:t>
      </w:r>
      <w:r w:rsidRPr="004C16E3">
        <w:rPr>
          <w:rFonts w:ascii="Times New Roman" w:eastAsia="Times New Roman" w:hAnsi="Times New Roman" w:cs="Times New Roman"/>
          <w:i/>
          <w:iCs/>
          <w:kern w:val="0"/>
          <w14:ligatures w14:val="none"/>
        </w:rPr>
        <w:t>Index for Inclusion: Developing Learning and Participation in Schools</w:t>
      </w:r>
      <w:r w:rsidRPr="004C16E3">
        <w:rPr>
          <w:rFonts w:ascii="Times New Roman" w:eastAsia="Times New Roman" w:hAnsi="Times New Roman" w:cs="Times New Roman"/>
          <w:kern w:val="0"/>
          <w14:ligatures w14:val="none"/>
        </w:rPr>
        <w:t>. Bristol: CSIE.</w:t>
      </w:r>
    </w:p>
    <w:p w14:paraId="73ACB83F"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Casey, T. (2010). </w:t>
      </w:r>
      <w:r w:rsidRPr="004C16E3">
        <w:rPr>
          <w:rFonts w:ascii="Times New Roman" w:eastAsia="Times New Roman" w:hAnsi="Times New Roman" w:cs="Times New Roman"/>
          <w:i/>
          <w:iCs/>
          <w:kern w:val="0"/>
          <w14:ligatures w14:val="none"/>
        </w:rPr>
        <w:t>Inclusive Play: Practical Strategies for Working with Children Aged 3 to 8</w:t>
      </w:r>
      <w:r w:rsidRPr="004C16E3">
        <w:rPr>
          <w:rFonts w:ascii="Times New Roman" w:eastAsia="Times New Roman" w:hAnsi="Times New Roman" w:cs="Times New Roman"/>
          <w:kern w:val="0"/>
          <w14:ligatures w14:val="none"/>
        </w:rPr>
        <w:t>. Jessica Kingsley Publishers.</w:t>
      </w:r>
    </w:p>
    <w:p w14:paraId="4425433F"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Casey, T., &amp; Harbottle, M. (2018). </w:t>
      </w:r>
      <w:r w:rsidRPr="004C16E3">
        <w:rPr>
          <w:rFonts w:ascii="Times New Roman" w:eastAsia="Times New Roman" w:hAnsi="Times New Roman" w:cs="Times New Roman"/>
          <w:i/>
          <w:iCs/>
          <w:kern w:val="0"/>
          <w14:ligatures w14:val="none"/>
        </w:rPr>
        <w:t>Free to Play: A Guide to Creating Accessible and Inclusive Public Play Spaces</w:t>
      </w:r>
      <w:r w:rsidRPr="004C16E3">
        <w:rPr>
          <w:rFonts w:ascii="Times New Roman" w:eastAsia="Times New Roman" w:hAnsi="Times New Roman" w:cs="Times New Roman"/>
          <w:kern w:val="0"/>
          <w14:ligatures w14:val="none"/>
        </w:rPr>
        <w:t>. Play Scotland.</w:t>
      </w:r>
    </w:p>
    <w:p w14:paraId="64919330"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C16E3">
        <w:rPr>
          <w:rFonts w:ascii="Times New Roman" w:eastAsia="Times New Roman" w:hAnsi="Times New Roman" w:cs="Times New Roman"/>
          <w:kern w:val="0"/>
          <w14:ligatures w14:val="none"/>
        </w:rPr>
        <w:t>Cemlyn</w:t>
      </w:r>
      <w:proofErr w:type="spellEnd"/>
      <w:r w:rsidRPr="004C16E3">
        <w:rPr>
          <w:rFonts w:ascii="Times New Roman" w:eastAsia="Times New Roman" w:hAnsi="Times New Roman" w:cs="Times New Roman"/>
          <w:kern w:val="0"/>
          <w14:ligatures w14:val="none"/>
        </w:rPr>
        <w:t xml:space="preserve">, S., Greenfields, M., Burnett, S., Matthews, Z., &amp; Whitwell, C. (2009). </w:t>
      </w:r>
      <w:r w:rsidRPr="004C16E3">
        <w:rPr>
          <w:rFonts w:ascii="Times New Roman" w:eastAsia="Times New Roman" w:hAnsi="Times New Roman" w:cs="Times New Roman"/>
          <w:i/>
          <w:iCs/>
          <w:kern w:val="0"/>
          <w14:ligatures w14:val="none"/>
        </w:rPr>
        <w:t>Inequalities Experienced by Gypsy and Traveller Communities: A Review</w:t>
      </w:r>
      <w:r w:rsidRPr="004C16E3">
        <w:rPr>
          <w:rFonts w:ascii="Times New Roman" w:eastAsia="Times New Roman" w:hAnsi="Times New Roman" w:cs="Times New Roman"/>
          <w:kern w:val="0"/>
          <w14:ligatures w14:val="none"/>
        </w:rPr>
        <w:t>. Equality and Human Rights Commission.</w:t>
      </w:r>
    </w:p>
    <w:p w14:paraId="0AFC9B21"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MacNaughton, G. (2006). </w:t>
      </w:r>
      <w:r w:rsidRPr="004C16E3">
        <w:rPr>
          <w:rFonts w:ascii="Times New Roman" w:eastAsia="Times New Roman" w:hAnsi="Times New Roman" w:cs="Times New Roman"/>
          <w:i/>
          <w:iCs/>
          <w:kern w:val="0"/>
          <w14:ligatures w14:val="none"/>
        </w:rPr>
        <w:t>Respect for Diversity: An International Overview</w:t>
      </w:r>
      <w:r w:rsidRPr="004C16E3">
        <w:rPr>
          <w:rFonts w:ascii="Times New Roman" w:eastAsia="Times New Roman" w:hAnsi="Times New Roman" w:cs="Times New Roman"/>
          <w:kern w:val="0"/>
          <w14:ligatures w14:val="none"/>
        </w:rPr>
        <w:t>. Bernard van Leer Foundation.</w:t>
      </w:r>
    </w:p>
    <w:p w14:paraId="17D7ECE6"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Murray, J., &amp; Penfold, C. (2015). </w:t>
      </w:r>
      <w:r w:rsidRPr="004C16E3">
        <w:rPr>
          <w:rFonts w:ascii="Times New Roman" w:eastAsia="Times New Roman" w:hAnsi="Times New Roman" w:cs="Times New Roman"/>
          <w:i/>
          <w:iCs/>
          <w:kern w:val="0"/>
          <w14:ligatures w14:val="none"/>
        </w:rPr>
        <w:t>Universal Design for Inclusive Playgrounds: A Framework for Play for All</w:t>
      </w:r>
      <w:r w:rsidRPr="004C16E3">
        <w:rPr>
          <w:rFonts w:ascii="Times New Roman" w:eastAsia="Times New Roman" w:hAnsi="Times New Roman" w:cs="Times New Roman"/>
          <w:kern w:val="0"/>
          <w14:ligatures w14:val="none"/>
        </w:rPr>
        <w:t>. Routledge.</w:t>
      </w:r>
    </w:p>
    <w:p w14:paraId="51A7F7F7" w14:textId="77777777" w:rsidR="004C16E3" w:rsidRPr="004C16E3" w:rsidRDefault="004C16E3" w:rsidP="004C16E3">
      <w:pPr>
        <w:spacing w:before="100" w:beforeAutospacing="1" w:after="100" w:afterAutospacing="1" w:line="240" w:lineRule="auto"/>
        <w:rPr>
          <w:rFonts w:ascii="Times New Roman" w:eastAsia="Times New Roman" w:hAnsi="Times New Roman" w:cs="Times New Roman"/>
          <w:kern w:val="0"/>
          <w14:ligatures w14:val="none"/>
        </w:rPr>
      </w:pPr>
      <w:r w:rsidRPr="004C16E3">
        <w:rPr>
          <w:rFonts w:ascii="Times New Roman" w:eastAsia="Times New Roman" w:hAnsi="Times New Roman" w:cs="Times New Roman"/>
          <w:kern w:val="0"/>
          <w14:ligatures w14:val="none"/>
        </w:rPr>
        <w:t xml:space="preserve">Siraj-Blatchford, I. (2006). </w:t>
      </w:r>
      <w:r w:rsidRPr="004C16E3">
        <w:rPr>
          <w:rFonts w:ascii="Times New Roman" w:eastAsia="Times New Roman" w:hAnsi="Times New Roman" w:cs="Times New Roman"/>
          <w:i/>
          <w:iCs/>
          <w:kern w:val="0"/>
          <w14:ligatures w14:val="none"/>
        </w:rPr>
        <w:t>Diversity, Inclusion and Learning in the Early Years</w:t>
      </w:r>
      <w:r w:rsidRPr="004C16E3">
        <w:rPr>
          <w:rFonts w:ascii="Times New Roman" w:eastAsia="Times New Roman" w:hAnsi="Times New Roman" w:cs="Times New Roman"/>
          <w:kern w:val="0"/>
          <w14:ligatures w14:val="none"/>
        </w:rPr>
        <w:t>. Open University Press.</w:t>
      </w:r>
    </w:p>
    <w:p w14:paraId="78036F4E" w14:textId="569DC603" w:rsidR="004C16E3" w:rsidRDefault="004C16E3" w:rsidP="0053235A">
      <w:pPr>
        <w:spacing w:before="100" w:beforeAutospacing="1" w:after="100" w:afterAutospacing="1" w:line="240" w:lineRule="auto"/>
      </w:pPr>
      <w:r w:rsidRPr="004C16E3">
        <w:rPr>
          <w:rFonts w:ascii="Times New Roman" w:eastAsia="Times New Roman" w:hAnsi="Times New Roman" w:cs="Times New Roman"/>
          <w:kern w:val="0"/>
          <w14:ligatures w14:val="none"/>
        </w:rPr>
        <w:t xml:space="preserve">Whitebread, D. (2012). </w:t>
      </w:r>
      <w:r w:rsidRPr="004C16E3">
        <w:rPr>
          <w:rFonts w:ascii="Times New Roman" w:eastAsia="Times New Roman" w:hAnsi="Times New Roman" w:cs="Times New Roman"/>
          <w:i/>
          <w:iCs/>
          <w:kern w:val="0"/>
          <w14:ligatures w14:val="none"/>
        </w:rPr>
        <w:t>The Importance of Play in Early Childhood Development</w:t>
      </w:r>
      <w:r w:rsidRPr="004C16E3">
        <w:rPr>
          <w:rFonts w:ascii="Times New Roman" w:eastAsia="Times New Roman" w:hAnsi="Times New Roman" w:cs="Times New Roman"/>
          <w:kern w:val="0"/>
          <w14:ligatures w14:val="none"/>
        </w:rPr>
        <w:t>. Cambridge University Press.</w:t>
      </w:r>
    </w:p>
    <w:sectPr w:rsidR="004C1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6492"/>
    <w:multiLevelType w:val="hybridMultilevel"/>
    <w:tmpl w:val="EEEC8B56"/>
    <w:lvl w:ilvl="0" w:tplc="35241256">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E6649"/>
    <w:multiLevelType w:val="multilevel"/>
    <w:tmpl w:val="83F4B3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661F8"/>
    <w:multiLevelType w:val="multilevel"/>
    <w:tmpl w:val="4D3E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10123"/>
    <w:multiLevelType w:val="multilevel"/>
    <w:tmpl w:val="9C54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23088"/>
    <w:multiLevelType w:val="multilevel"/>
    <w:tmpl w:val="C15C94E4"/>
    <w:lvl w:ilvl="0">
      <w:start w:val="1"/>
      <w:numFmt w:val="bullet"/>
      <w:lvlText w:val="o"/>
      <w:lvlJc w:val="left"/>
      <w:pPr>
        <w:tabs>
          <w:tab w:val="num" w:pos="1069"/>
        </w:tabs>
        <w:ind w:left="1069" w:hanging="360"/>
      </w:pPr>
      <w:rPr>
        <w:rFonts w:ascii="Courier New" w:hAnsi="Courier New" w:cs="Courier New" w:hint="default"/>
        <w:sz w:val="20"/>
      </w:rPr>
    </w:lvl>
    <w:lvl w:ilvl="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5" w15:restartNumberingAfterBreak="0">
    <w:nsid w:val="217F2C23"/>
    <w:multiLevelType w:val="hybridMultilevel"/>
    <w:tmpl w:val="DD5C98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91D7B"/>
    <w:multiLevelType w:val="hybridMultilevel"/>
    <w:tmpl w:val="3C2E31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15D7F"/>
    <w:multiLevelType w:val="multilevel"/>
    <w:tmpl w:val="83F4B3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CA7009"/>
    <w:multiLevelType w:val="hybridMultilevel"/>
    <w:tmpl w:val="B596B2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5562E"/>
    <w:multiLevelType w:val="multilevel"/>
    <w:tmpl w:val="C804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0705C"/>
    <w:multiLevelType w:val="hybridMultilevel"/>
    <w:tmpl w:val="79D20C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A218B"/>
    <w:multiLevelType w:val="hybridMultilevel"/>
    <w:tmpl w:val="DDF212FC"/>
    <w:lvl w:ilvl="0" w:tplc="EC203CB8">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BD14EC"/>
    <w:multiLevelType w:val="hybridMultilevel"/>
    <w:tmpl w:val="C5D05B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5754C"/>
    <w:multiLevelType w:val="hybridMultilevel"/>
    <w:tmpl w:val="5268BF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C055AC"/>
    <w:multiLevelType w:val="multilevel"/>
    <w:tmpl w:val="C15C94E4"/>
    <w:lvl w:ilvl="0">
      <w:start w:val="1"/>
      <w:numFmt w:val="bullet"/>
      <w:lvlText w:val="o"/>
      <w:lvlJc w:val="left"/>
      <w:pPr>
        <w:tabs>
          <w:tab w:val="num" w:pos="1069"/>
        </w:tabs>
        <w:ind w:left="1069" w:hanging="360"/>
      </w:pPr>
      <w:rPr>
        <w:rFonts w:ascii="Courier New" w:hAnsi="Courier New" w:cs="Courier New"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5" w15:restartNumberingAfterBreak="0">
    <w:nsid w:val="4DA02EE4"/>
    <w:multiLevelType w:val="multilevel"/>
    <w:tmpl w:val="1638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C53EE1"/>
    <w:multiLevelType w:val="multilevel"/>
    <w:tmpl w:val="FD44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1A0AAA"/>
    <w:multiLevelType w:val="hybridMultilevel"/>
    <w:tmpl w:val="88BC16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DE4562"/>
    <w:multiLevelType w:val="multilevel"/>
    <w:tmpl w:val="26AE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0409E1"/>
    <w:multiLevelType w:val="multilevel"/>
    <w:tmpl w:val="5A60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DF013D"/>
    <w:multiLevelType w:val="hybridMultilevel"/>
    <w:tmpl w:val="82BCEC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AB2A10"/>
    <w:multiLevelType w:val="multilevel"/>
    <w:tmpl w:val="BFE4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1E4828"/>
    <w:multiLevelType w:val="hybridMultilevel"/>
    <w:tmpl w:val="E8988F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B06AF1"/>
    <w:multiLevelType w:val="hybridMultilevel"/>
    <w:tmpl w:val="D374BA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BE5BEE"/>
    <w:multiLevelType w:val="multilevel"/>
    <w:tmpl w:val="F940A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C14576"/>
    <w:multiLevelType w:val="multilevel"/>
    <w:tmpl w:val="FAFE80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1C580A"/>
    <w:multiLevelType w:val="hybridMultilevel"/>
    <w:tmpl w:val="99FA7C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246698"/>
    <w:multiLevelType w:val="multilevel"/>
    <w:tmpl w:val="2E16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D248DE"/>
    <w:multiLevelType w:val="multilevel"/>
    <w:tmpl w:val="4150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351C76"/>
    <w:multiLevelType w:val="multilevel"/>
    <w:tmpl w:val="FEA2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3259D"/>
    <w:multiLevelType w:val="hybridMultilevel"/>
    <w:tmpl w:val="78F018AE"/>
    <w:lvl w:ilvl="0" w:tplc="DCF8B4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798885">
    <w:abstractNumId w:val="21"/>
  </w:num>
  <w:num w:numId="2" w16cid:durableId="1257442376">
    <w:abstractNumId w:val="18"/>
  </w:num>
  <w:num w:numId="3" w16cid:durableId="1662540011">
    <w:abstractNumId w:val="24"/>
  </w:num>
  <w:num w:numId="4" w16cid:durableId="1409159430">
    <w:abstractNumId w:val="28"/>
  </w:num>
  <w:num w:numId="5" w16cid:durableId="1243835449">
    <w:abstractNumId w:val="25"/>
  </w:num>
  <w:num w:numId="6" w16cid:durableId="544102091">
    <w:abstractNumId w:val="3"/>
  </w:num>
  <w:num w:numId="7" w16cid:durableId="436754195">
    <w:abstractNumId w:val="1"/>
  </w:num>
  <w:num w:numId="8" w16cid:durableId="84307525">
    <w:abstractNumId w:val="15"/>
  </w:num>
  <w:num w:numId="9" w16cid:durableId="1953978646">
    <w:abstractNumId w:val="27"/>
  </w:num>
  <w:num w:numId="10" w16cid:durableId="1396900013">
    <w:abstractNumId w:val="29"/>
  </w:num>
  <w:num w:numId="11" w16cid:durableId="1438522905">
    <w:abstractNumId w:val="2"/>
  </w:num>
  <w:num w:numId="12" w16cid:durableId="1972394498">
    <w:abstractNumId w:val="16"/>
  </w:num>
  <w:num w:numId="13" w16cid:durableId="1992979114">
    <w:abstractNumId w:val="19"/>
  </w:num>
  <w:num w:numId="14" w16cid:durableId="92825058">
    <w:abstractNumId w:val="9"/>
  </w:num>
  <w:num w:numId="15" w16cid:durableId="1556165338">
    <w:abstractNumId w:val="0"/>
  </w:num>
  <w:num w:numId="16" w16cid:durableId="1552380347">
    <w:abstractNumId w:val="14"/>
  </w:num>
  <w:num w:numId="17" w16cid:durableId="653412066">
    <w:abstractNumId w:val="4"/>
  </w:num>
  <w:num w:numId="18" w16cid:durableId="324551945">
    <w:abstractNumId w:val="7"/>
  </w:num>
  <w:num w:numId="19" w16cid:durableId="114561254">
    <w:abstractNumId w:val="30"/>
  </w:num>
  <w:num w:numId="20" w16cid:durableId="1220677369">
    <w:abstractNumId w:val="5"/>
  </w:num>
  <w:num w:numId="21" w16cid:durableId="778992862">
    <w:abstractNumId w:val="10"/>
  </w:num>
  <w:num w:numId="22" w16cid:durableId="1885021998">
    <w:abstractNumId w:val="13"/>
  </w:num>
  <w:num w:numId="23" w16cid:durableId="1802846250">
    <w:abstractNumId w:val="12"/>
  </w:num>
  <w:num w:numId="24" w16cid:durableId="1184512666">
    <w:abstractNumId w:val="26"/>
  </w:num>
  <w:num w:numId="25" w16cid:durableId="179393270">
    <w:abstractNumId w:val="22"/>
  </w:num>
  <w:num w:numId="26" w16cid:durableId="1913079241">
    <w:abstractNumId w:val="11"/>
  </w:num>
  <w:num w:numId="27" w16cid:durableId="1266310535">
    <w:abstractNumId w:val="20"/>
  </w:num>
  <w:num w:numId="28" w16cid:durableId="1765688566">
    <w:abstractNumId w:val="17"/>
  </w:num>
  <w:num w:numId="29" w16cid:durableId="1326399643">
    <w:abstractNumId w:val="6"/>
  </w:num>
  <w:num w:numId="30" w16cid:durableId="119999654">
    <w:abstractNumId w:val="23"/>
  </w:num>
  <w:num w:numId="31" w16cid:durableId="2419871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K0MDU2BpIWZhaGlko6SsGpxcWZ+XkgBca1AOj5dNIsAAAA"/>
  </w:docVars>
  <w:rsids>
    <w:rsidRoot w:val="004C16E3"/>
    <w:rsid w:val="00016B74"/>
    <w:rsid w:val="000854F5"/>
    <w:rsid w:val="00177F7B"/>
    <w:rsid w:val="00190DBD"/>
    <w:rsid w:val="00201D87"/>
    <w:rsid w:val="002F2C0E"/>
    <w:rsid w:val="003821DB"/>
    <w:rsid w:val="004C16E3"/>
    <w:rsid w:val="004C1724"/>
    <w:rsid w:val="00517E53"/>
    <w:rsid w:val="0053235A"/>
    <w:rsid w:val="0059191C"/>
    <w:rsid w:val="005B63EF"/>
    <w:rsid w:val="005C59BA"/>
    <w:rsid w:val="00621589"/>
    <w:rsid w:val="006506AE"/>
    <w:rsid w:val="00702FEF"/>
    <w:rsid w:val="00732377"/>
    <w:rsid w:val="00753F63"/>
    <w:rsid w:val="00785C3A"/>
    <w:rsid w:val="007D7839"/>
    <w:rsid w:val="00862B56"/>
    <w:rsid w:val="008A77DD"/>
    <w:rsid w:val="008C2E14"/>
    <w:rsid w:val="008C6B11"/>
    <w:rsid w:val="00A10BA9"/>
    <w:rsid w:val="00A70498"/>
    <w:rsid w:val="00AD2096"/>
    <w:rsid w:val="00B5356E"/>
    <w:rsid w:val="00BB37B7"/>
    <w:rsid w:val="00D373A7"/>
    <w:rsid w:val="00D42BA6"/>
    <w:rsid w:val="00DD3388"/>
    <w:rsid w:val="00E83F1E"/>
    <w:rsid w:val="00F008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33875"/>
  <w15:chartTrackingRefBased/>
  <w15:docId w15:val="{7DA1D2F0-6214-4B27-A6FB-B52D7254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1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1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6E3"/>
    <w:rPr>
      <w:rFonts w:eastAsiaTheme="majorEastAsia" w:cstheme="majorBidi"/>
      <w:color w:val="272727" w:themeColor="text1" w:themeTint="D8"/>
    </w:rPr>
  </w:style>
  <w:style w:type="paragraph" w:styleId="Title">
    <w:name w:val="Title"/>
    <w:basedOn w:val="Normal"/>
    <w:next w:val="Normal"/>
    <w:link w:val="TitleChar"/>
    <w:uiPriority w:val="10"/>
    <w:qFormat/>
    <w:rsid w:val="004C1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6E3"/>
    <w:pPr>
      <w:spacing w:before="160"/>
      <w:jc w:val="center"/>
    </w:pPr>
    <w:rPr>
      <w:i/>
      <w:iCs/>
      <w:color w:val="404040" w:themeColor="text1" w:themeTint="BF"/>
    </w:rPr>
  </w:style>
  <w:style w:type="character" w:customStyle="1" w:styleId="QuoteChar">
    <w:name w:val="Quote Char"/>
    <w:basedOn w:val="DefaultParagraphFont"/>
    <w:link w:val="Quote"/>
    <w:uiPriority w:val="29"/>
    <w:rsid w:val="004C16E3"/>
    <w:rPr>
      <w:i/>
      <w:iCs/>
      <w:color w:val="404040" w:themeColor="text1" w:themeTint="BF"/>
    </w:rPr>
  </w:style>
  <w:style w:type="paragraph" w:styleId="ListParagraph">
    <w:name w:val="List Paragraph"/>
    <w:basedOn w:val="Normal"/>
    <w:uiPriority w:val="34"/>
    <w:qFormat/>
    <w:rsid w:val="004C16E3"/>
    <w:pPr>
      <w:ind w:left="720"/>
      <w:contextualSpacing/>
    </w:pPr>
  </w:style>
  <w:style w:type="character" w:styleId="IntenseEmphasis">
    <w:name w:val="Intense Emphasis"/>
    <w:basedOn w:val="DefaultParagraphFont"/>
    <w:uiPriority w:val="21"/>
    <w:qFormat/>
    <w:rsid w:val="004C16E3"/>
    <w:rPr>
      <w:i/>
      <w:iCs/>
      <w:color w:val="0F4761" w:themeColor="accent1" w:themeShade="BF"/>
    </w:rPr>
  </w:style>
  <w:style w:type="paragraph" w:styleId="IntenseQuote">
    <w:name w:val="Intense Quote"/>
    <w:basedOn w:val="Normal"/>
    <w:next w:val="Normal"/>
    <w:link w:val="IntenseQuoteChar"/>
    <w:uiPriority w:val="30"/>
    <w:qFormat/>
    <w:rsid w:val="004C1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6E3"/>
    <w:rPr>
      <w:i/>
      <w:iCs/>
      <w:color w:val="0F4761" w:themeColor="accent1" w:themeShade="BF"/>
    </w:rPr>
  </w:style>
  <w:style w:type="character" w:styleId="IntenseReference">
    <w:name w:val="Intense Reference"/>
    <w:basedOn w:val="DefaultParagraphFont"/>
    <w:uiPriority w:val="32"/>
    <w:qFormat/>
    <w:rsid w:val="004C16E3"/>
    <w:rPr>
      <w:b/>
      <w:bCs/>
      <w:smallCaps/>
      <w:color w:val="0F4761" w:themeColor="accent1" w:themeShade="BF"/>
      <w:spacing w:val="5"/>
    </w:rPr>
  </w:style>
  <w:style w:type="paragraph" w:styleId="NormalWeb">
    <w:name w:val="Normal (Web)"/>
    <w:basedOn w:val="Normal"/>
    <w:uiPriority w:val="99"/>
    <w:semiHidden/>
    <w:unhideWhenUsed/>
    <w:rsid w:val="004C16E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16E3"/>
    <w:rPr>
      <w:b/>
      <w:bCs/>
    </w:rPr>
  </w:style>
  <w:style w:type="character" w:styleId="Emphasis">
    <w:name w:val="Emphasis"/>
    <w:basedOn w:val="DefaultParagraphFont"/>
    <w:uiPriority w:val="20"/>
    <w:qFormat/>
    <w:rsid w:val="004C16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80989">
      <w:bodyDiv w:val="1"/>
      <w:marLeft w:val="0"/>
      <w:marRight w:val="0"/>
      <w:marTop w:val="0"/>
      <w:marBottom w:val="0"/>
      <w:divBdr>
        <w:top w:val="none" w:sz="0" w:space="0" w:color="auto"/>
        <w:left w:val="none" w:sz="0" w:space="0" w:color="auto"/>
        <w:bottom w:val="none" w:sz="0" w:space="0" w:color="auto"/>
        <w:right w:val="none" w:sz="0" w:space="0" w:color="auto"/>
      </w:divBdr>
    </w:div>
    <w:div w:id="1044253907">
      <w:bodyDiv w:val="1"/>
      <w:marLeft w:val="0"/>
      <w:marRight w:val="0"/>
      <w:marTop w:val="0"/>
      <w:marBottom w:val="0"/>
      <w:divBdr>
        <w:top w:val="none" w:sz="0" w:space="0" w:color="auto"/>
        <w:left w:val="none" w:sz="0" w:space="0" w:color="auto"/>
        <w:bottom w:val="none" w:sz="0" w:space="0" w:color="auto"/>
        <w:right w:val="none" w:sz="0" w:space="0" w:color="auto"/>
      </w:divBdr>
    </w:div>
    <w:div w:id="1237714716">
      <w:bodyDiv w:val="1"/>
      <w:marLeft w:val="0"/>
      <w:marRight w:val="0"/>
      <w:marTop w:val="0"/>
      <w:marBottom w:val="0"/>
      <w:divBdr>
        <w:top w:val="none" w:sz="0" w:space="0" w:color="auto"/>
        <w:left w:val="none" w:sz="0" w:space="0" w:color="auto"/>
        <w:bottom w:val="none" w:sz="0" w:space="0" w:color="auto"/>
        <w:right w:val="none" w:sz="0" w:space="0" w:color="auto"/>
      </w:divBdr>
    </w:div>
    <w:div w:id="1442338319">
      <w:bodyDiv w:val="1"/>
      <w:marLeft w:val="0"/>
      <w:marRight w:val="0"/>
      <w:marTop w:val="0"/>
      <w:marBottom w:val="0"/>
      <w:divBdr>
        <w:top w:val="none" w:sz="0" w:space="0" w:color="auto"/>
        <w:left w:val="none" w:sz="0" w:space="0" w:color="auto"/>
        <w:bottom w:val="none" w:sz="0" w:space="0" w:color="auto"/>
        <w:right w:val="none" w:sz="0" w:space="0" w:color="auto"/>
      </w:divBdr>
    </w:div>
    <w:div w:id="185041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1494</Words>
  <Characters>8965</Characters>
  <Application>Microsoft Office Word</Application>
  <DocSecurity>0</DocSecurity>
  <Lines>169</Lines>
  <Paragraphs>83</Paragraphs>
  <ScaleCrop>false</ScaleCrop>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32</cp:revision>
  <dcterms:created xsi:type="dcterms:W3CDTF">2025-02-02T15:55:00Z</dcterms:created>
  <dcterms:modified xsi:type="dcterms:W3CDTF">2025-02-05T15:00:00Z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8cd4ece6-0ef8-4723-a47c-ffde2c5d09a5</vt:lpwstr>
  </property>
</Properties>
</file>