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word/header3.xml" ContentType="application/vnd.openxmlformats-officedocument.wordprocessingml.header+xml"/>
  <Override PartName="/word/styles.xml" ContentType="application/vnd.openxmlformats-officedocument.wordprocessingml.styles+xml"/>
  <Override PartName="/word/footer1.xml" ContentType="application/vnd.openxmlformats-officedocument.wordprocessingml.footer+xml"/>
  <Override PartName="/word/document.xml" ContentType="application/vnd.openxmlformats-officedocument.wordprocessingml.document.main+xml"/>
  <Override PartName="/word/header2.xml" ContentType="application/vnd.openxmlformats-officedocument.wordprocessingml.header+xml"/>
  <Override PartName="/word/media/hdphoto1.wdp" ContentType="image/vnd.ms-photo"/>
  <Override PartName="/word/header1.xml" ContentType="application/vnd.openxmlformats-officedocument.wordprocessingml.header+xml"/>
  <Override PartName="/word/footer3.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docProps/custom.xml" ContentType="application/vnd.openxmlformats-officedocument.custom-properti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spacing w:before="0" w:after="160"/>
        <w:jc w:val="center"/>
        <w:rPr>
          <w:rFonts w:ascii="Arial" w:hAnsi="Arial" w:cs="Arial"/>
        </w:rPr>
      </w:pPr>
      <w:r>
        <w:rPr/>
      </w:r>
    </w:p>
    <w:p>
      <w:pPr>
        <w:pStyle w:val="Normal"/>
        <w:spacing w:before="0" w:after="160"/>
        <w:jc w:val="center"/>
        <w:rPr>
          <w:rFonts w:ascii="Arial" w:hAnsi="Arial" w:cs="Arial"/>
          <w:i/>
          <w:iCs/>
        </w:rPr>
      </w:pPr>
      <w:r>
        <w:rPr/>
        <w:drawing>
          <wp:inline distT="0" distB="0" distL="0" distR="0">
            <wp:extent cx="5731510" cy="2393950"/>
            <wp:effectExtent l="0" t="0" r="0" b="0"/>
            <wp:docPr id="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aunches new digital healthcare  course - Digital Health and Care Wales"/>
                    <pic:cNvPicPr>
                      <a:picLocks noChangeAspect="1" noChangeArrowheads="1"/>
                    </pic:cNvPicPr>
                  </pic:nvPicPr>
                  <pic:blipFill>
                    <a:blip r:embed="rId2"/>
                    <a:stretch>
                      <a:fillRect/>
                    </a:stretch>
                  </pic:blipFill>
                  <pic:spPr bwMode="auto">
                    <a:xfrm>
                      <a:off x="0" y="0"/>
                      <a:ext cx="5731510" cy="2393950"/>
                    </a:xfrm>
                    <a:prstGeom prst="rect">
                      <a:avLst/>
                    </a:prstGeom>
                    <a:noFill/>
                  </pic:spPr>
                </pic:pic>
              </a:graphicData>
            </a:graphic>
          </wp:inline>
        </w:drawing>
      </w:r>
    </w:p>
    <w:p>
      <w:pPr>
        <w:pStyle w:val="Normal"/>
        <w:spacing w:before="0" w:after="160"/>
        <w:jc w:val="center"/>
        <w:rPr>
          <w:rFonts w:ascii="Arial" w:hAnsi="Arial" w:cs="Arial"/>
          <w:b/>
          <w:bCs/>
        </w:rPr>
      </w:pPr>
      <w:r>
        <w:rPr>
          <w:rFonts w:cs="Arial" w:ascii="Arial" w:hAnsi="Arial"/>
          <w:b/>
          <w:bCs/>
        </w:rPr>
      </w:r>
    </w:p>
    <w:p>
      <w:pPr>
        <w:pStyle w:val="Normal"/>
        <w:spacing w:before="0" w:after="160"/>
        <w:jc w:val="center"/>
        <w:rPr>
          <w:rFonts w:ascii="Arial" w:hAnsi="Arial" w:cs="Arial"/>
          <w:b/>
          <w:bCs/>
        </w:rPr>
      </w:pPr>
      <w:r>
        <w:rPr>
          <w:rFonts w:cs="Arial" w:ascii="Arial" w:hAnsi="Arial"/>
          <w:b/>
          <w:bCs/>
        </w:rPr>
        <w:t xml:space="preserve">Topic : </w:t>
      </w:r>
      <w:r>
        <w:rPr>
          <w:rFonts w:cs="Arial" w:ascii="Arial" w:hAnsi="Arial"/>
          <w:b/>
          <w:bCs/>
        </w:rPr>
        <w:t>Integrated Human Capital Blueprin</w:t>
      </w:r>
      <w:r>
        <w:rPr>
          <w:rFonts w:cs="Arial" w:ascii="Arial" w:hAnsi="Arial"/>
          <w:b/>
          <w:bCs/>
        </w:rPr>
        <w:t>t</w:t>
      </w:r>
    </w:p>
    <w:p>
      <w:pPr>
        <w:pStyle w:val="Normal"/>
        <w:spacing w:before="0" w:after="160"/>
        <w:jc w:val="center"/>
        <w:rPr>
          <w:rFonts w:ascii="Arial" w:hAnsi="Arial" w:cs="Arial"/>
        </w:rPr>
      </w:pPr>
      <w:r>
        <w:rPr>
          <w:rFonts w:ascii="Arial" w:hAnsi="Arial"/>
          <w:b/>
          <w:bCs/>
        </w:rPr>
        <w:t>Programme:</w:t>
      </w:r>
      <w:r>
        <w:rPr/>
        <w:t xml:space="preserve"> </w:t>
      </w:r>
      <w:r>
        <w:rPr>
          <w:rFonts w:ascii="Arial" w:hAnsi="Arial"/>
        </w:rPr>
        <w:t>Master of Business Administration (MBA)</w:t>
      </w:r>
    </w:p>
    <w:p>
      <w:pPr>
        <w:pStyle w:val="Normal"/>
        <w:spacing w:before="0" w:after="160"/>
        <w:jc w:val="center"/>
        <w:rPr>
          <w:rFonts w:ascii="Arial" w:hAnsi="Arial" w:cs="Arial"/>
        </w:rPr>
      </w:pPr>
      <w:r>
        <w:rPr>
          <w:rFonts w:cs="Arial" w:ascii="Arial" w:hAnsi="Arial"/>
          <w:b/>
          <w:bCs/>
        </w:rPr>
        <w:t>Module:</w:t>
      </w:r>
      <w:r>
        <w:rPr>
          <w:rFonts w:cs="Arial" w:ascii="Arial" w:hAnsi="Arial"/>
        </w:rPr>
        <w:t xml:space="preserve"> Human Capital Management</w:t>
      </w:r>
    </w:p>
    <w:p>
      <w:pPr>
        <w:pStyle w:val="Normal"/>
        <w:spacing w:before="0" w:after="160"/>
        <w:jc w:val="center"/>
        <w:rPr>
          <w:rFonts w:ascii="Arial" w:hAnsi="Arial" w:cs="Arial"/>
        </w:rPr>
      </w:pPr>
      <w:r>
        <w:rPr>
          <w:rFonts w:cs="Arial" w:ascii="Arial" w:hAnsi="Arial"/>
          <w:b/>
          <w:bCs/>
        </w:rPr>
        <w:t>Module Code:</w:t>
      </w:r>
      <w:r>
        <w:rPr>
          <w:rFonts w:cs="Arial" w:ascii="Arial" w:hAnsi="Arial"/>
        </w:rPr>
        <w:t xml:space="preserve"> LCMB7023</w:t>
      </w:r>
    </w:p>
    <w:p>
      <w:pPr>
        <w:pStyle w:val="Normal"/>
        <w:spacing w:before="0" w:after="160"/>
        <w:jc w:val="center"/>
        <w:rPr>
          <w:rFonts w:ascii="Arial" w:hAnsi="Arial" w:cs="Arial"/>
        </w:rPr>
      </w:pPr>
      <w:r>
        <w:rPr/>
      </w:r>
    </w:p>
    <w:p>
      <w:pPr>
        <w:pStyle w:val="Normal"/>
        <w:spacing w:lineRule="auto" w:line="259" w:before="0" w:after="160"/>
        <w:jc w:val="center"/>
        <w:rPr>
          <w:rFonts w:ascii="Arial" w:hAnsi="Arial"/>
        </w:rPr>
      </w:pPr>
      <w:r>
        <w:rPr>
          <w:rFonts w:ascii="Arial" w:hAnsi="Arial"/>
          <w:b/>
          <w:bCs/>
        </w:rPr>
        <w:t>Assignment Title</w:t>
      </w:r>
      <w:r>
        <w:rPr>
          <w:rFonts w:ascii="Arial" w:hAnsi="Arial"/>
        </w:rPr>
        <w:t>: Assessment Component 1: Individual Report - HR Strategy</w:t>
      </w:r>
    </w:p>
    <w:p>
      <w:pPr>
        <w:pStyle w:val="Normal"/>
        <w:spacing w:before="0" w:after="160"/>
        <w:jc w:val="center"/>
        <w:rPr>
          <w:rFonts w:ascii="Arial" w:hAnsi="Arial" w:cs="Arial"/>
        </w:rPr>
      </w:pPr>
      <w:r>
        <w:rPr>
          <w:rFonts w:cs="Arial" w:ascii="Arial" w:hAnsi="Arial"/>
        </w:rPr>
      </w:r>
    </w:p>
    <w:p>
      <w:pPr>
        <w:pStyle w:val="Normal"/>
        <w:spacing w:before="0" w:after="160"/>
        <w:jc w:val="center"/>
        <w:rPr>
          <w:rFonts w:ascii="Arial" w:hAnsi="Arial" w:cs="Arial"/>
        </w:rPr>
      </w:pPr>
      <w:r>
        <w:rPr>
          <w:rFonts w:cs="Arial" w:ascii="Arial" w:hAnsi="Arial"/>
          <w:b/>
          <w:bCs/>
        </w:rPr>
        <w:t>Student Name:</w:t>
      </w:r>
      <w:r>
        <w:rPr>
          <w:rFonts w:cs="Arial" w:ascii="Arial" w:hAnsi="Arial"/>
        </w:rPr>
        <w:t xml:space="preserve"> Asfiyabanu </w:t>
      </w:r>
      <w:r>
        <w:rPr>
          <w:rFonts w:cs="Arial" w:ascii="Arial" w:hAnsi="Arial"/>
        </w:rPr>
        <w:t>Muntasibahemad</w:t>
      </w:r>
      <w:r>
        <w:rPr>
          <w:rFonts w:cs="Arial" w:ascii="Arial" w:hAnsi="Arial"/>
        </w:rPr>
        <w:t xml:space="preserve"> Malek</w:t>
      </w:r>
    </w:p>
    <w:p>
      <w:pPr>
        <w:pStyle w:val="Normal"/>
        <w:spacing w:before="0" w:after="160"/>
        <w:jc w:val="center"/>
        <w:rPr>
          <w:rFonts w:ascii="Arial" w:hAnsi="Arial" w:cs="Arial"/>
        </w:rPr>
      </w:pPr>
      <w:r>
        <w:rPr>
          <w:rFonts w:cs="Arial" w:ascii="Arial" w:hAnsi="Arial"/>
          <w:b/>
          <w:bCs/>
        </w:rPr>
        <w:t>Student ID: 2521746</w:t>
      </w:r>
    </w:p>
    <w:p>
      <w:pPr>
        <w:pStyle w:val="Normal"/>
        <w:spacing w:before="0" w:after="160"/>
        <w:jc w:val="center"/>
        <w:rPr>
          <w:rFonts w:ascii="Arial" w:hAnsi="Arial" w:cs="Arial"/>
        </w:rPr>
      </w:pPr>
      <w:r>
        <w:rPr>
          <w:rFonts w:cs="Arial" w:ascii="Arial" w:hAnsi="Arial"/>
          <w:b/>
          <w:bCs/>
        </w:rPr>
      </w:r>
    </w:p>
    <w:p>
      <w:pPr>
        <w:pStyle w:val="Normal"/>
        <w:spacing w:before="0" w:after="160"/>
        <w:jc w:val="center"/>
        <w:rPr>
          <w:rFonts w:ascii="Arial" w:hAnsi="Arial" w:cs="Arial"/>
        </w:rPr>
      </w:pPr>
      <w:r>
        <w:rPr>
          <w:rFonts w:cs="Arial" w:ascii="Arial" w:hAnsi="Arial"/>
          <w:b/>
          <w:bCs/>
        </w:rPr>
        <w:t>Lecturer’</w:t>
      </w:r>
      <w:r>
        <w:rPr>
          <w:rFonts w:cs="Arial" w:ascii="Arial" w:hAnsi="Arial"/>
          <w:b/>
          <w:bCs/>
        </w:rPr>
        <w:t>s Name</w:t>
      </w:r>
      <w:r>
        <w:rPr>
          <w:rFonts w:cs="Arial" w:ascii="Arial" w:hAnsi="Arial"/>
          <w:b/>
          <w:bCs/>
        </w:rPr>
        <w:t xml:space="preserve">: </w:t>
      </w:r>
      <w:r>
        <w:rPr>
          <w:rFonts w:cs="Arial" w:ascii="Arial" w:hAnsi="Arial"/>
        </w:rPr>
        <w:t>Dr.Lakshani Mendis</w:t>
      </w:r>
      <w:r>
        <w:rPr>
          <w:rFonts w:cs="Arial" w:ascii="Arial" w:hAnsi="Arial"/>
        </w:rPr>
        <w:t xml:space="preserve">(London) </w:t>
      </w:r>
    </w:p>
    <w:p>
      <w:pPr>
        <w:pStyle w:val="Normal"/>
        <w:spacing w:before="0" w:after="160"/>
        <w:jc w:val="center"/>
        <w:rPr>
          <w:rFonts w:ascii="Arial" w:hAnsi="Arial" w:cs="Arial"/>
        </w:rPr>
      </w:pPr>
      <w:r>
        <w:rPr>
          <w:rFonts w:cs="Arial" w:ascii="Arial" w:hAnsi="Arial"/>
          <w:b/>
          <w:bCs/>
        </w:rPr>
      </w:r>
    </w:p>
    <w:p>
      <w:pPr>
        <w:pStyle w:val="Normal"/>
        <w:spacing w:before="0" w:after="160"/>
        <w:jc w:val="center"/>
        <w:rPr>
          <w:rFonts w:ascii="Arial" w:hAnsi="Arial" w:cs="Arial"/>
        </w:rPr>
      </w:pPr>
      <w:r>
        <w:rPr>
          <w:rFonts w:cs="Arial" w:ascii="Arial" w:hAnsi="Arial"/>
          <w:b/>
          <w:bCs/>
        </w:rPr>
        <w:t>Word Count:</w:t>
      </w:r>
      <w:r>
        <w:rPr>
          <w:rFonts w:cs="Arial" w:ascii="Arial" w:hAnsi="Arial"/>
        </w:rPr>
        <w:t xml:space="preserve"> 2,553 Words</w:t>
      </w:r>
    </w:p>
    <w:p>
      <w:pPr>
        <w:pStyle w:val="Normal"/>
        <w:spacing w:before="0" w:after="160"/>
        <w:jc w:val="center"/>
        <w:rPr>
          <w:rFonts w:ascii="Arial" w:hAnsi="Arial" w:cs="Arial"/>
        </w:rPr>
      </w:pPr>
      <w:r>
        <w:rPr/>
      </w:r>
    </w:p>
    <w:p>
      <w:pPr>
        <w:pStyle w:val="Normal"/>
        <w:spacing w:before="0" w:after="160"/>
        <w:jc w:val="start"/>
        <w:rPr>
          <w:rStyle w:val="bzpyqfadein"/>
          <w:rFonts w:ascii="Arial" w:hAnsi="Arial" w:eastAsia="" w:cs="Arial" w:eastAsiaTheme="majorEastAsia"/>
          <w:b/>
          <w:color w:themeColor="text1" w:val="000000"/>
        </w:rPr>
      </w:pPr>
      <w:r>
        <w:rPr>
          <w:rFonts w:eastAsia="" w:cs="Arial" w:eastAsiaTheme="majorEastAsia" w:ascii="Arial" w:hAnsi="Arial"/>
          <w:b/>
          <w:color w:themeColor="text1" w:val="000000"/>
        </w:rPr>
      </w:r>
    </w:p>
    <w:sdt>
      <w:sdtPr>
        <w:docPartObj>
          <w:docPartGallery w:val="Table of Contents"/>
          <w:docPartUnique w:val="true"/>
        </w:docPartObj>
      </w:sdtPr>
      <w:sdtContent>
        <w:p>
          <w:pPr>
            <w:pStyle w:val="TOCHeading"/>
            <w:spacing w:lineRule="auto" w:line="360" w:before="0" w:after="0"/>
            <w:jc w:val="center"/>
            <w:rPr>
              <w:rFonts w:ascii="Arial" w:hAnsi="Arial" w:cs="Arial"/>
              <w:b/>
              <w:bCs/>
              <w:color w:val="auto"/>
              <w:sz w:val="24"/>
              <w:szCs w:val="24"/>
            </w:rPr>
          </w:pPr>
          <w:r>
            <w:br w:type="page"/>
          </w:r>
          <w:r>
            <w:rPr>
              <w:rFonts w:cs="Arial" w:ascii="Arial" w:hAnsi="Arial"/>
              <w:b/>
              <w:bCs/>
              <w:color w:val="auto"/>
              <w:sz w:val="24"/>
              <w:szCs w:val="24"/>
            </w:rPr>
            <w:t>Table of Contents</w:t>
          </w:r>
        </w:p>
        <w:p>
          <w:pPr>
            <w:pStyle w:val="TOC1"/>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r>
            <w:fldChar w:fldCharType="begin"/>
          </w:r>
          <w:r>
            <w:rPr>
              <w:rStyle w:val="IndexLink"/>
              <w:rFonts w:eastAsia="" w:cs="Arial" w:ascii="Arial" w:hAnsi="Arial"/>
              <w:vanish w:val="false"/>
              <w:webHidden/>
            </w:rPr>
            <w:instrText xml:space="preserve"> TOC \z \o "1-3" \u \h</w:instrText>
          </w:r>
          <w:r>
            <w:rPr>
              <w:rStyle w:val="IndexLink"/>
              <w:rFonts w:eastAsia="" w:cs="Arial" w:ascii="Arial" w:hAnsi="Arial"/>
              <w:vanish w:val="false"/>
              <w:webHidden/>
            </w:rPr>
            <w:fldChar w:fldCharType="separate"/>
          </w:r>
          <w:hyperlink w:anchor="_Toc224648913">
            <w:r>
              <w:rPr>
                <w:rStyle w:val="IndexLink"/>
                <w:rFonts w:eastAsia="" w:cs="Arial" w:ascii="Arial" w:hAnsi="Arial" w:eastAsiaTheme="majorEastAsia"/>
                <w:vanish w:val="false"/>
                <w:webHidden/>
              </w:rPr>
              <w:t>PART 1 – Building a Culture of Innovation and Future Work Practices</w:t>
            </w:r>
            <w:r>
              <w:rPr>
                <w:webHidden/>
              </w:rPr>
              <w:fldChar w:fldCharType="begin"/>
            </w:r>
            <w:r>
              <w:rPr>
                <w:webHidden/>
              </w:rPr>
              <w:instrText xml:space="preserve">PAGEREF _Toc224648913 \h</w:instrText>
            </w:r>
            <w:r>
              <w:rPr>
                <w:webHidden/>
              </w:rPr>
              <w:fldChar w:fldCharType="separate"/>
            </w:r>
            <w:r>
              <w:rPr>
                <w:rStyle w:val="IndexLink"/>
                <w:vanish w:val="false"/>
              </w:rPr>
              <w:tab/>
              <w:t>3</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14">
            <w:r>
              <w:rPr>
                <w:rStyle w:val="IndexLink"/>
                <w:rFonts w:eastAsia="" w:cs="Arial" w:ascii="Arial" w:hAnsi="Arial" w:eastAsiaTheme="majorEastAsia"/>
                <w:vanish w:val="false"/>
                <w:webHidden/>
              </w:rPr>
              <w:t>1.1 Introduction</w:t>
            </w:r>
            <w:r>
              <w:rPr>
                <w:webHidden/>
              </w:rPr>
              <w:fldChar w:fldCharType="begin"/>
            </w:r>
            <w:r>
              <w:rPr>
                <w:webHidden/>
              </w:rPr>
              <w:instrText xml:space="preserve">PAGEREF _Toc224648914 \h</w:instrText>
            </w:r>
            <w:r>
              <w:rPr>
                <w:webHidden/>
              </w:rPr>
              <w:fldChar w:fldCharType="separate"/>
            </w:r>
            <w:r>
              <w:rPr>
                <w:rStyle w:val="IndexLink"/>
                <w:vanish w:val="false"/>
              </w:rPr>
              <w:tab/>
              <w:t>3</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15">
            <w:r>
              <w:rPr>
                <w:rStyle w:val="IndexLink"/>
                <w:rFonts w:eastAsia="" w:cs="Arial" w:ascii="Arial" w:hAnsi="Arial" w:eastAsiaTheme="majorEastAsia"/>
                <w:vanish w:val="false"/>
                <w:webHidden/>
                <w:lang w:val="en-US"/>
              </w:rPr>
              <w:t>1.2 Analysis of Existing Organisational Culture in the Technology Sector</w:t>
            </w:r>
            <w:r>
              <w:rPr>
                <w:webHidden/>
              </w:rPr>
              <w:fldChar w:fldCharType="begin"/>
            </w:r>
            <w:r>
              <w:rPr>
                <w:webHidden/>
              </w:rPr>
              <w:instrText xml:space="preserve">PAGEREF _Toc224648915 \h</w:instrText>
            </w:r>
            <w:r>
              <w:rPr>
                <w:webHidden/>
              </w:rPr>
              <w:fldChar w:fldCharType="separate"/>
            </w:r>
            <w:r>
              <w:rPr>
                <w:rStyle w:val="IndexLink"/>
                <w:vanish w:val="false"/>
              </w:rPr>
              <w:tab/>
              <w:t>4</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16">
            <w:r>
              <w:rPr>
                <w:rStyle w:val="IndexLink"/>
                <w:rFonts w:eastAsia="" w:cs="Arial" w:ascii="Arial" w:hAnsi="Arial" w:eastAsiaTheme="majorEastAsia"/>
                <w:vanish w:val="false"/>
                <w:webHidden/>
              </w:rPr>
              <w:t>1.3 Developing an Innovation-Oriented Culture at Aether Innovations</w:t>
            </w:r>
            <w:r>
              <w:rPr>
                <w:webHidden/>
              </w:rPr>
              <w:fldChar w:fldCharType="begin"/>
            </w:r>
            <w:r>
              <w:rPr>
                <w:webHidden/>
              </w:rPr>
              <w:instrText xml:space="preserve">PAGEREF _Toc224648916 \h</w:instrText>
            </w:r>
            <w:r>
              <w:rPr>
                <w:webHidden/>
              </w:rPr>
              <w:fldChar w:fldCharType="separate"/>
            </w:r>
            <w:r>
              <w:rPr>
                <w:rStyle w:val="IndexLink"/>
                <w:vanish w:val="false"/>
              </w:rPr>
              <w:tab/>
              <w:t>4</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17">
            <w:r>
              <w:rPr>
                <w:rStyle w:val="IndexLink"/>
                <w:rFonts w:eastAsia="" w:cs="Arial" w:ascii="Arial" w:hAnsi="Arial" w:eastAsiaTheme="majorEastAsia"/>
                <w:vanish w:val="false"/>
                <w:webHidden/>
              </w:rPr>
              <w:t>1.4 Strategic Initiatives to Foster Innovation and Creativity</w:t>
            </w:r>
            <w:r>
              <w:rPr>
                <w:webHidden/>
              </w:rPr>
              <w:fldChar w:fldCharType="begin"/>
            </w:r>
            <w:r>
              <w:rPr>
                <w:webHidden/>
              </w:rPr>
              <w:instrText xml:space="preserve">PAGEREF _Toc224648917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18">
            <w:r>
              <w:rPr>
                <w:rStyle w:val="IndexLink"/>
                <w:rFonts w:eastAsia="" w:cs="Arial" w:ascii="Arial" w:hAnsi="Arial" w:eastAsiaTheme="majorEastAsia"/>
                <w:vanish w:val="false"/>
                <w:webHidden/>
              </w:rPr>
              <w:t>1.5 Designing a Future of Work Model (Hybrid and Flexible Work Practices)</w:t>
            </w:r>
            <w:r>
              <w:rPr>
                <w:webHidden/>
              </w:rPr>
              <w:fldChar w:fldCharType="begin"/>
            </w:r>
            <w:r>
              <w:rPr>
                <w:webHidden/>
              </w:rPr>
              <w:instrText xml:space="preserve">PAGEREF _Toc224648918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19">
            <w:r>
              <w:rPr>
                <w:rStyle w:val="IndexLink"/>
                <w:rFonts w:eastAsia="" w:cs="Arial" w:ascii="Arial" w:hAnsi="Arial" w:eastAsiaTheme="majorEastAsia"/>
                <w:vanish w:val="false"/>
                <w:webHidden/>
              </w:rPr>
              <w:t>1.6 Enhancing Employee Motivation and Performance through Culture</w:t>
            </w:r>
            <w:r>
              <w:rPr>
                <w:webHidden/>
              </w:rPr>
              <w:fldChar w:fldCharType="begin"/>
            </w:r>
            <w:r>
              <w:rPr>
                <w:webHidden/>
              </w:rPr>
              <w:instrText xml:space="preserve">PAGEREF _Toc224648919 \h</w:instrText>
            </w:r>
            <w:r>
              <w:rPr>
                <w:webHidden/>
              </w:rPr>
              <w:fldChar w:fldCharType="separate"/>
            </w:r>
            <w:r>
              <w:rPr>
                <w:rStyle w:val="IndexLink"/>
                <w:vanish w:val="false"/>
              </w:rPr>
              <w:tab/>
              <w:t>6</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0">
            <w:r>
              <w:rPr>
                <w:rStyle w:val="IndexLink"/>
                <w:rFonts w:eastAsia="" w:cs="Arial" w:ascii="Arial" w:hAnsi="Arial" w:eastAsiaTheme="majorEastAsia"/>
                <w:vanish w:val="false"/>
                <w:webHidden/>
              </w:rPr>
              <w:t>1.7 Creating a Sustainable and Adaptive Work Environment</w:t>
            </w:r>
            <w:r>
              <w:rPr>
                <w:webHidden/>
              </w:rPr>
              <w:fldChar w:fldCharType="begin"/>
            </w:r>
            <w:r>
              <w:rPr>
                <w:webHidden/>
              </w:rPr>
              <w:instrText xml:space="preserve">PAGEREF _Toc224648920 \h</w:instrText>
            </w:r>
            <w:r>
              <w:rPr>
                <w:webHidden/>
              </w:rPr>
              <w:fldChar w:fldCharType="separate"/>
            </w:r>
            <w:r>
              <w:rPr>
                <w:rStyle w:val="IndexLink"/>
                <w:vanish w:val="false"/>
              </w:rPr>
              <w:tab/>
              <w:t>7</w:t>
            </w:r>
            <w:r>
              <w:rPr>
                <w:webHidden/>
              </w:rPr>
              <w:fldChar w:fldCharType="end"/>
            </w:r>
          </w:hyperlink>
        </w:p>
        <w:p>
          <w:pPr>
            <w:pStyle w:val="TOC1"/>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1">
            <w:r>
              <w:rPr>
                <w:rStyle w:val="IndexLink"/>
                <w:rFonts w:eastAsia="" w:cs="Arial" w:ascii="Arial" w:hAnsi="Arial" w:eastAsiaTheme="majorEastAsia"/>
                <w:vanish w:val="false"/>
                <w:webHidden/>
              </w:rPr>
              <w:t>PART 2: Reflection on Learning (Gibbs Reflective Cycle)</w:t>
            </w:r>
            <w:r>
              <w:rPr>
                <w:webHidden/>
              </w:rPr>
              <w:fldChar w:fldCharType="begin"/>
            </w:r>
            <w:r>
              <w:rPr>
                <w:webHidden/>
              </w:rPr>
              <w:instrText xml:space="preserve">PAGEREF _Toc224648921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2">
            <w:r>
              <w:rPr>
                <w:rStyle w:val="IndexLink"/>
                <w:rFonts w:eastAsia="" w:cs="Arial" w:ascii="Arial" w:hAnsi="Arial" w:eastAsiaTheme="majorEastAsia"/>
                <w:vanish w:val="false"/>
                <w:webHidden/>
              </w:rPr>
              <w:t>2.1 Description</w:t>
            </w:r>
            <w:r>
              <w:rPr>
                <w:webHidden/>
              </w:rPr>
              <w:fldChar w:fldCharType="begin"/>
            </w:r>
            <w:r>
              <w:rPr>
                <w:webHidden/>
              </w:rPr>
              <w:instrText xml:space="preserve">PAGEREF _Toc224648922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3">
            <w:r>
              <w:rPr>
                <w:rStyle w:val="IndexLink"/>
                <w:rFonts w:eastAsia="" w:cs="Arial" w:ascii="Arial" w:hAnsi="Arial" w:eastAsiaTheme="majorEastAsia"/>
                <w:vanish w:val="false"/>
                <w:webHidden/>
              </w:rPr>
              <w:t>2.2 Feelings</w:t>
            </w:r>
            <w:r>
              <w:rPr>
                <w:webHidden/>
              </w:rPr>
              <w:fldChar w:fldCharType="begin"/>
            </w:r>
            <w:r>
              <w:rPr>
                <w:webHidden/>
              </w:rPr>
              <w:instrText xml:space="preserve">PAGEREF _Toc224648923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4">
            <w:r>
              <w:rPr>
                <w:rStyle w:val="IndexLink"/>
                <w:rFonts w:eastAsia="" w:cs="Arial" w:ascii="Arial" w:hAnsi="Arial" w:eastAsiaTheme="majorEastAsia"/>
                <w:vanish w:val="false"/>
                <w:webHidden/>
              </w:rPr>
              <w:t>2.3 Evaluation</w:t>
            </w:r>
            <w:r>
              <w:rPr>
                <w:webHidden/>
              </w:rPr>
              <w:fldChar w:fldCharType="begin"/>
            </w:r>
            <w:r>
              <w:rPr>
                <w:webHidden/>
              </w:rPr>
              <w:instrText xml:space="preserve">PAGEREF _Toc224648924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5">
            <w:r>
              <w:rPr>
                <w:rStyle w:val="IndexLink"/>
                <w:rFonts w:eastAsia="" w:cs="Arial" w:ascii="Arial" w:hAnsi="Arial" w:eastAsiaTheme="majorEastAsia"/>
                <w:vanish w:val="false"/>
                <w:webHidden/>
              </w:rPr>
              <w:t>2.4 Analysis</w:t>
            </w:r>
            <w:r>
              <w:rPr>
                <w:webHidden/>
              </w:rPr>
              <w:fldChar w:fldCharType="begin"/>
            </w:r>
            <w:r>
              <w:rPr>
                <w:webHidden/>
              </w:rPr>
              <w:instrText xml:space="preserve">PAGEREF _Toc224648925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6">
            <w:r>
              <w:rPr>
                <w:rStyle w:val="IndexLink"/>
                <w:rFonts w:eastAsia="" w:cs="Arial" w:ascii="Arial" w:hAnsi="Arial" w:eastAsiaTheme="majorEastAsia"/>
                <w:vanish w:val="false"/>
                <w:webHidden/>
              </w:rPr>
              <w:t>2.5 Conclusion</w:t>
            </w:r>
            <w:r>
              <w:rPr>
                <w:webHidden/>
              </w:rPr>
              <w:fldChar w:fldCharType="begin"/>
            </w:r>
            <w:r>
              <w:rPr>
                <w:webHidden/>
              </w:rPr>
              <w:instrText xml:space="preserve">PAGEREF _Toc224648926 \h</w:instrText>
            </w:r>
            <w:r>
              <w:rPr>
                <w:webHidden/>
              </w:rPr>
              <w:fldChar w:fldCharType="separate"/>
            </w:r>
            <w:r>
              <w:rPr>
                <w:rStyle w:val="IndexLink"/>
                <w:vanish w:val="false"/>
              </w:rPr>
              <w:tab/>
              <w:t>9</w:t>
            </w:r>
            <w:r>
              <w:rPr>
                <w:webHidden/>
              </w:rPr>
              <w:fldChar w:fldCharType="end"/>
            </w:r>
          </w:hyperlink>
        </w:p>
        <w:p>
          <w:pPr>
            <w:pStyle w:val="TOC2"/>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7">
            <w:r>
              <w:rPr>
                <w:rStyle w:val="IndexLink"/>
                <w:rFonts w:eastAsia="" w:cs="Arial" w:ascii="Arial" w:hAnsi="Arial" w:eastAsiaTheme="majorEastAsia"/>
                <w:vanish w:val="false"/>
                <w:webHidden/>
              </w:rPr>
              <w:t>2.6 Action Plan</w:t>
            </w:r>
            <w:r>
              <w:rPr>
                <w:webHidden/>
              </w:rPr>
              <w:fldChar w:fldCharType="begin"/>
            </w:r>
            <w:r>
              <w:rPr>
                <w:webHidden/>
              </w:rPr>
              <w:instrText xml:space="preserve">PAGEREF _Toc224648927 \h</w:instrText>
            </w:r>
            <w:r>
              <w:rPr>
                <w:webHidden/>
              </w:rPr>
              <w:fldChar w:fldCharType="separate"/>
            </w:r>
            <w:r>
              <w:rPr>
                <w:rStyle w:val="IndexLink"/>
                <w:vanish w:val="false"/>
              </w:rPr>
              <w:tab/>
              <w:t>10</w:t>
            </w:r>
            <w:r>
              <w:rPr>
                <w:webHidden/>
              </w:rPr>
              <w:fldChar w:fldCharType="end"/>
            </w:r>
          </w:hyperlink>
        </w:p>
        <w:p>
          <w:pPr>
            <w:pStyle w:val="TOC1"/>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8">
            <w:r>
              <w:rPr>
                <w:rStyle w:val="IndexLink"/>
                <w:rFonts w:eastAsia="" w:cs="Arial" w:ascii="Arial" w:hAnsi="Arial" w:eastAsiaTheme="majorEastAsia"/>
                <w:vanish w:val="false"/>
                <w:webHidden/>
              </w:rPr>
              <w:t>3. AI and Future Career Development</w:t>
            </w:r>
            <w:r>
              <w:rPr>
                <w:webHidden/>
              </w:rPr>
              <w:fldChar w:fldCharType="begin"/>
            </w:r>
            <w:r>
              <w:rPr>
                <w:webHidden/>
              </w:rPr>
              <w:instrText xml:space="preserve">PAGEREF _Toc224648928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29">
            <w:r>
              <w:rPr>
                <w:rStyle w:val="IndexLink"/>
                <w:rFonts w:eastAsia="" w:cs="Arial" w:ascii="Arial" w:hAnsi="Arial" w:eastAsiaTheme="majorEastAsia"/>
                <w:vanish w:val="false"/>
                <w:webHidden/>
              </w:rPr>
              <w:t>4. CONCLUSION</w:t>
            </w:r>
            <w:r>
              <w:rPr>
                <w:webHidden/>
              </w:rPr>
              <w:fldChar w:fldCharType="begin"/>
            </w:r>
            <w:r>
              <w:rPr>
                <w:webHidden/>
              </w:rPr>
              <w:instrText xml:space="preserve">PAGEREF _Toc224648929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6" w:leader="dot"/>
            </w:tabs>
            <w:rPr>
              <w:rFonts w:ascii="Aptos" w:hAnsi="Aptos" w:eastAsia="" w:cs="" w:asciiTheme="minorHAnsi" w:cstheme="minorBidi" w:eastAsiaTheme="minorEastAsia" w:hAnsiTheme="minorHAnsi"/>
              <w:kern w:val="2"/>
              <w:lang w:eastAsia="en-IN"/>
              <w14:ligatures w14:val="standardContextual"/>
            </w:rPr>
          </w:pPr>
          <w:hyperlink w:anchor="_Toc224648930">
            <w:r>
              <w:rPr>
                <w:rStyle w:val="IndexLink"/>
                <w:rFonts w:eastAsia="" w:cs="Arial" w:ascii="Arial" w:hAnsi="Arial" w:eastAsiaTheme="majorEastAsia"/>
                <w:vanish w:val="false"/>
                <w:webHidden/>
              </w:rPr>
              <w:t>5. REFERENCES</w:t>
            </w:r>
            <w:r>
              <w:rPr>
                <w:webHidden/>
              </w:rPr>
              <w:fldChar w:fldCharType="begin"/>
            </w:r>
            <w:r>
              <w:rPr>
                <w:webHidden/>
              </w:rPr>
              <w:instrText xml:space="preserve">PAGEREF _Toc224648930 \h</w:instrText>
            </w:r>
            <w:r>
              <w:rPr>
                <w:webHidden/>
              </w:rPr>
              <w:fldChar w:fldCharType="separate"/>
            </w:r>
            <w:r>
              <w:rPr>
                <w:rStyle w:val="IndexLink"/>
                <w:vanish w:val="false"/>
              </w:rPr>
              <w:tab/>
              <w:t>13</w:t>
            </w:r>
            <w:r>
              <w:rPr>
                <w:webHidden/>
              </w:rPr>
              <w:fldChar w:fldCharType="end"/>
            </w:r>
          </w:hyperlink>
        </w:p>
        <w:p>
          <w:pPr>
            <w:pStyle w:val="Normal"/>
            <w:rPr>
              <w:rFonts w:ascii="Arial" w:hAnsi="Arial" w:cs="Arial"/>
            </w:rPr>
          </w:pPr>
          <w:r>
            <w:rPr>
              <w:rFonts w:cs="Arial" w:ascii="Arial" w:hAnsi="Arial"/>
            </w:rPr>
          </w:r>
          <w:r>
            <w:rPr>
              <w:rFonts w:cs="Arial" w:ascii="Arial" w:hAnsi="Arial"/>
            </w:rPr>
            <w:fldChar w:fldCharType="end"/>
          </w:r>
        </w:p>
      </w:sdtContent>
    </w:sdt>
    <w:p>
      <w:pPr>
        <w:pStyle w:val="Normal"/>
        <w:spacing w:before="0" w:after="160"/>
        <w:jc w:val="start"/>
        <w:rPr>
          <w:rStyle w:val="bzpyqfadein"/>
          <w:rFonts w:ascii="Arial" w:hAnsi="Arial" w:eastAsia="" w:cs="Arial" w:eastAsiaTheme="majorEastAsia"/>
          <w:b/>
          <w:color w:themeColor="text1" w:val="000000"/>
        </w:rPr>
      </w:pPr>
      <w:r>
        <w:rPr>
          <w:rFonts w:eastAsia="" w:cs="Arial" w:eastAsiaTheme="majorEastAsia" w:ascii="Arial" w:hAnsi="Arial"/>
          <w:b/>
          <w:color w:themeColor="text1" w:val="000000"/>
        </w:rPr>
      </w:r>
      <w:r>
        <w:br w:type="page"/>
      </w:r>
    </w:p>
    <w:p>
      <w:pPr>
        <w:pStyle w:val="Heading1"/>
        <w:spacing w:before="0" w:after="120"/>
        <w:rPr>
          <w:rFonts w:ascii="Arial" w:hAnsi="Arial" w:cs="Arial"/>
          <w:szCs w:val="24"/>
          <w:lang w:val="en-US"/>
        </w:rPr>
      </w:pPr>
      <w:bookmarkStart w:id="0" w:name="_Toc224648913"/>
      <w:r>
        <w:rPr>
          <w:rStyle w:val="bzpyqfadein"/>
          <w:rFonts w:cs="Arial" w:ascii="Arial" w:hAnsi="Arial"/>
          <w:szCs w:val="24"/>
        </w:rPr>
        <w:t>PART 1 – Building a Culture of Innovation and Future Work Practices</w:t>
      </w:r>
      <w:bookmarkEnd w:id="0"/>
    </w:p>
    <w:p>
      <w:pPr>
        <w:pStyle w:val="Heading2"/>
        <w:rPr>
          <w:rFonts w:ascii="Arial" w:hAnsi="Arial" w:cs="Arial"/>
          <w:szCs w:val="24"/>
        </w:rPr>
      </w:pPr>
      <w:bookmarkStart w:id="1" w:name="_Toc224648914"/>
      <w:r>
        <w:rPr>
          <w:rFonts w:cs="Arial" w:ascii="Arial" w:hAnsi="Arial"/>
          <w:szCs w:val="24"/>
        </w:rPr>
        <w:t>1.1 Introduction</w:t>
      </w:r>
      <w:bookmarkEnd w:id="1"/>
    </w:p>
    <w:p>
      <w:pPr>
        <w:pStyle w:val="Normal"/>
        <w:rPr>
          <w:rFonts w:ascii="Arial" w:hAnsi="Arial" w:cs="Arial"/>
        </w:rPr>
      </w:pPr>
      <w:r>
        <w:rPr>
          <w:rFonts w:cs="Arial" w:ascii="Arial" w:hAnsi="Arial"/>
        </w:rPr>
        <w:t>Organisational culture is crucial in determining the behaviour of the employees, innovation and business performance, especially in the technology industry (Egwu and Nwosu, 2025). An innovation-based culture helps organisations to evolve rapidly in a very competitive and pressurised setting and also promotes innovation and long-term development. The culture has a direct impact on how the employees work together, solve problems, and interact with the work and therefore is a major determinant of productivity and the experience of the employees.</w:t>
      </w:r>
    </w:p>
    <w:p>
      <w:pPr>
        <w:pStyle w:val="Normal"/>
        <w:rPr>
          <w:rFonts w:ascii="Arial" w:hAnsi="Arial" w:cs="Arial"/>
        </w:rPr>
      </w:pPr>
      <w:r>
        <w:rPr/>
        <mc:AlternateContent>
          <mc:Choice Requires="wps">
            <w:drawing>
              <wp:inline distT="0" distB="0" distL="0" distR="0" wp14:anchorId="2206B17D">
                <wp:extent cx="5731510" cy="3223895"/>
                <wp:effectExtent l="76200" t="76200" r="135890" b="128905"/>
                <wp:docPr id="2" name="Picture 3" descr="Organizational Culture: Definition, Importance, and Steps to Developing and  Sustaining It."/>
                <a:graphic xmlns:a="http://schemas.openxmlformats.org/drawingml/2006/main">
                  <a:graphicData uri="http://schemas.openxmlformats.org/drawingml/2006/picture">
                    <pic:pic xmlns:pic="http://schemas.openxmlformats.org/drawingml/2006/picture">
                      <pic:nvPicPr>
                        <pic:cNvPr id="3" name="Picture 3" descr="Organizational Culture: Definition, Importance, and Steps to Developing and  Sustaining It."/>
                        <pic:cNvPicPr/>
                      </pic:nvPicPr>
                      <pic:blipFill>
                        <a:blip r:embed="rId3"/>
                        <a:stretch/>
                      </pic:blipFill>
                      <pic:spPr>
                        <a:xfrm>
                          <a:off x="0" y="0"/>
                          <a:ext cx="5731560" cy="3223800"/>
                        </a:xfrm>
                        <a:prstGeom prst="rect">
                          <a:avLst/>
                        </a:prstGeom>
                        <a:noFill/>
                        <a:ln cap="sq" w="38100">
                          <a:solidFill>
                            <a:srgbClr val="000000"/>
                          </a:solidFill>
                          <a:miter/>
                        </a:ln>
                        <a:effectLst>
                          <a:outerShdw algn="tl" blurRad="50760" dir="2700000" dist="37674" rotWithShape="0">
                            <a:srgbClr val="000000">
                              <a:alpha val="43000"/>
                            </a:srgbClr>
                          </a:outerShdw>
                        </a:effectLst>
                      </pic:spPr>
                    </pic:pic>
                  </a:graphicData>
                </a:graphic>
              </wp:inline>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_0" stroked="t" o:allowincell="f" style="position:absolute;margin-left:0pt;margin-top:-270.05pt;width:451.25pt;height:253.8pt;mso-wrap-style:none;v-text-anchor:middle;mso-position-vertical:top" wp14:anchorId="2206B17D" type="_x0000_t75">
                <v:imagedata r:id="rId4" o:detectmouseclick="t"/>
                <v:stroke color="black" weight="38160" joinstyle="miter" endcap="square"/>
                <v:shadow on="t" obscured="f" color="black"/>
                <w10:wrap type="square"/>
              </v:shape>
            </w:pict>
          </mc:Fallback>
        </mc:AlternateContent>
      </w:r>
    </w:p>
    <w:p>
      <w:pPr>
        <w:pStyle w:val="Normal"/>
        <w:rPr>
          <w:rFonts w:ascii="Arial" w:hAnsi="Arial" w:cs="Arial"/>
        </w:rPr>
      </w:pPr>
      <w:r>
        <w:rPr>
          <w:rFonts w:cs="Arial" w:ascii="Arial" w:hAnsi="Arial"/>
        </w:rPr>
        <w:t>Aether Innovations is a developing technology firm that employs approximately 300 workers and has now experienced serious issues such as a low growth rate, excessive staff turnover, and poor customer satisfaction. These concerns indicate some vulnerabilities in the organisational culture and work, in which the employees might be unmotivated, disengaged, and deprived of a chance to be creative. The work structures and lack of flexibility may also decrease the performance of employees and organisational performance, further.</w:t>
      </w:r>
    </w:p>
    <w:p>
      <w:pPr>
        <w:pStyle w:val="Normal"/>
        <w:rPr>
          <w:rFonts w:ascii="Arial" w:hAnsi="Arial" w:cs="Arial"/>
        </w:rPr>
      </w:pPr>
      <w:r>
        <w:rPr>
          <w:rFonts w:cs="Arial" w:ascii="Arial" w:hAnsi="Arial"/>
        </w:rPr>
        <w:t>To address these obstacles, this report aims to come up with a robust, innovation-driven organisational culture that has been reinforced with contemporary work practices. It discusses strategic programs like working together, sharing of knowledge and empowering employees to become more creative and engaging. The report presents a vision of the way work should be in the future, incorporating hybrid and flexible working practices to enhance productivity and employee happiness. It aims at showing how the alignment of culture and organisational goals can help to achieve sustainable performance and competitive advantage.</w:t>
      </w:r>
    </w:p>
    <w:p>
      <w:pPr>
        <w:pStyle w:val="Heading2"/>
        <w:rPr>
          <w:rFonts w:ascii="Arial" w:hAnsi="Arial" w:cs="Arial"/>
          <w:szCs w:val="24"/>
          <w:lang w:val="en-US"/>
        </w:rPr>
      </w:pPr>
      <w:bookmarkStart w:id="2" w:name="_Toc224648915"/>
      <w:r>
        <w:rPr>
          <w:rFonts w:cs="Arial" w:ascii="Arial" w:hAnsi="Arial"/>
          <w:szCs w:val="24"/>
          <w:lang w:val="en-US"/>
        </w:rPr>
        <w:t>1.2 Analysis of Existing Organisational Culture in the Technology Sector</w:t>
      </w:r>
      <w:bookmarkEnd w:id="2"/>
    </w:p>
    <w:p>
      <w:pPr>
        <w:pStyle w:val="Normal"/>
        <w:rPr>
          <w:rFonts w:ascii="Arial" w:hAnsi="Arial" w:cs="Arial"/>
          <w:lang w:val="en-US"/>
        </w:rPr>
      </w:pPr>
      <w:r>
        <w:rPr>
          <w:rFonts w:cs="Arial" w:ascii="Arial" w:hAnsi="Arial"/>
          <w:lang w:val="en-US"/>
        </w:rPr>
        <w:t>Innovation, collaboration, and agility form the key features of the organisational culture of the technology market, and these can help to remain competitive in the world of rapidly evolving markets. Zamiri and Esmaeili (2024) state that technology companies usually encourage open communication, knowledge sharing, and ongoing learning so as to foster creativity and problem-solving. The Organisational Culture Theory by Schein states that culture has multiple planes of operation, namely visible practices, common values and assumptions. At tech companies, they are manifested in the form of an informal workplace, innovation-driven values, and a high focus on flexibility.</w:t>
      </w:r>
    </w:p>
    <w:p>
      <w:pPr>
        <w:pStyle w:val="Normal"/>
        <w:rPr>
          <w:rFonts w:ascii="Arial" w:hAnsi="Arial" w:cs="Arial"/>
          <w:lang w:val="en-US"/>
        </w:rPr>
      </w:pPr>
      <w:r>
        <w:rPr>
          <w:rFonts w:cs="Arial" w:ascii="Arial" w:hAnsi="Arial"/>
          <w:lang w:val="en-US"/>
        </w:rPr>
        <w:t xml:space="preserve">Modern tech organisations today use flat structures where decision-making processes are faster because top-level managers lack hierarchical levels to interact with (Caniago, 2024). This is an organisational structure that encourages cross-functional teams where employees in other departments work together on projects that are more creative and diverse. However, despite these positive factors, there are also several cultural challenges in the technology sector. The high-performance and innovation culture may put the workers in a high-pressure working environment, which could result in work stress and burnout. Having constant deadlines, quick changes in technology, and expectations might adversely affect the condition and job satisfaction of employees (Madhavi and Rao, 2023). </w:t>
      </w:r>
    </w:p>
    <w:p>
      <w:pPr>
        <w:pStyle w:val="Heading2"/>
        <w:rPr>
          <w:rFonts w:ascii="Arial" w:hAnsi="Arial" w:cs="Arial"/>
          <w:szCs w:val="24"/>
        </w:rPr>
      </w:pPr>
      <w:bookmarkStart w:id="3" w:name="_Toc224648916"/>
      <w:r>
        <w:rPr>
          <w:rFonts w:cs="Arial" w:ascii="Arial" w:hAnsi="Arial"/>
          <w:szCs w:val="24"/>
        </w:rPr>
        <w:t>1.3 Developing an Innovation-Oriented Culture at Aether Innovations</w:t>
      </w:r>
      <w:bookmarkEnd w:id="3"/>
    </w:p>
    <w:p>
      <w:pPr>
        <w:pStyle w:val="Normal"/>
        <w:rPr>
          <w:rFonts w:ascii="Arial" w:hAnsi="Arial" w:cs="Arial"/>
        </w:rPr>
      </w:pPr>
      <w:r>
        <w:rPr>
          <w:rFonts w:cs="Arial" w:ascii="Arial" w:hAnsi="Arial"/>
        </w:rPr>
        <w:t>Aether Innovations needs to establish an organisational culture that is innovation-focused to address the risks of stagnant growth, high employee turnover, and deteriorating customer satisfaction. A successful innovation culture is one in which the employees are empowered to pass ideas, explore new ways of doing things and make a contribution to organisational success without the fear of failure.</w:t>
      </w:r>
    </w:p>
    <w:p>
      <w:pPr>
        <w:pStyle w:val="Normal"/>
        <w:rPr>
          <w:rFonts w:ascii="Arial" w:hAnsi="Arial" w:cs="Arial"/>
        </w:rPr>
      </w:pPr>
      <w:r>
        <w:rPr>
          <w:rFonts w:cs="Arial" w:ascii="Arial" w:hAnsi="Arial"/>
        </w:rPr>
        <w:t>One of the main aspects of this culture is the establishment of a trust relationship, in which it is promoted to communicate openly and be transparent (Rajhi and Aljuhmani, 2026). The employees must be psychologically safe in presenting their opinions, questioning the current practice, and offering new solutions. Risk-taking behaviour also requires a supportive environment since innovation usually entails trial and error. The management should then encourage an attitude of looking at mistakes as an opportunity to learn and not as a failure.</w:t>
      </w:r>
    </w:p>
    <w:p>
      <w:pPr>
        <w:pStyle w:val="Normal"/>
        <w:rPr>
          <w:rFonts w:ascii="Arial" w:hAnsi="Arial" w:cs="Arial"/>
        </w:rPr>
      </w:pPr>
      <w:r>
        <w:rPr>
          <w:rFonts w:cs="Arial" w:ascii="Arial" w:hAnsi="Arial"/>
        </w:rPr>
        <w:t>It is important to create a culture of continuous learning to be successful in the long term. It is possible to achieve it through the provision of training programmes, encouraging knowledge exchange, and professional development (Mustafa and Lleshi, 2024). The idea of Learning Organisation (Senge) emphasises the significance of lifelong learning, flexibility and vision in facilitating innovation. Through this, Aether Innovations can make the employees flexible and responsive to the market dynamics.</w:t>
      </w:r>
    </w:p>
    <w:p>
      <w:pPr>
        <w:pStyle w:val="Normal"/>
        <w:rPr>
          <w:rFonts w:ascii="Arial" w:hAnsi="Arial" w:cs="Arial"/>
        </w:rPr>
      </w:pPr>
      <w:r>
        <w:rPr>
          <w:rFonts w:cs="Arial" w:ascii="Arial" w:hAnsi="Arial"/>
        </w:rPr>
        <w:t xml:space="preserve">Another significant phenomenon of an innovation-oriented culture is collaboration. Teamwork, interaction across functions, and the exchange of ideas may be encouraged to increase creativity and problem-solving (Ahmad </w:t>
      </w:r>
      <w:r>
        <w:rPr>
          <w:rFonts w:cs="Arial" w:ascii="Arial" w:hAnsi="Arial"/>
          <w:i/>
          <w:iCs/>
        </w:rPr>
        <w:t>et al.,</w:t>
      </w:r>
      <w:r>
        <w:rPr>
          <w:rFonts w:cs="Arial" w:ascii="Arial" w:hAnsi="Arial"/>
        </w:rPr>
        <w:t xml:space="preserve"> 2023). When employees collaborate and share different views will result in more innovations.</w:t>
      </w:r>
    </w:p>
    <w:p>
      <w:pPr>
        <w:pStyle w:val="Heading2"/>
        <w:rPr>
          <w:rFonts w:ascii="Arial" w:hAnsi="Arial" w:cs="Arial"/>
          <w:szCs w:val="24"/>
        </w:rPr>
      </w:pPr>
      <w:bookmarkStart w:id="4" w:name="_Toc224648917"/>
      <w:r>
        <w:rPr>
          <w:rFonts w:cs="Arial" w:ascii="Arial" w:hAnsi="Arial"/>
          <w:szCs w:val="24"/>
        </w:rPr>
        <w:t>1.4 Strategic Initiatives to Foster Innovation and Creativity</w:t>
      </w:r>
      <w:bookmarkEnd w:id="4"/>
    </w:p>
    <w:p>
      <w:pPr>
        <w:pStyle w:val="Normal"/>
        <w:rPr>
          <w:rFonts w:ascii="Arial" w:hAnsi="Arial" w:cs="Arial"/>
        </w:rPr>
      </w:pPr>
      <w:r>
        <w:rPr>
          <w:rFonts w:cs="Arial" w:ascii="Arial" w:hAnsi="Arial"/>
        </w:rPr>
        <w:t>To build a strong innovation-driven culture at Aether Innovations, it is of paramount importance to carry out systematic and planned measures that are proactive in the production of innovation, teamwork and ongoing enhancement. Such initiatives need to foster the generation of ideas and also facilitate the real application of new solutions. Among the strategies is the adoption of innovation sprints where the employees work continuously in a focused cycle, where they develop new ideas or solve a particular issue. Such sprints promote fast experimentation, collaboration, and fast decision-making. Through scheduled timeframes, workers are able to experiment and develop ideas effectively, improving them depending on the responses and thus achieving quicker outcomes in innovation (Day and Shea, 2020).</w:t>
      </w:r>
    </w:p>
    <w:p>
      <w:pPr>
        <w:pStyle w:val="Normal"/>
        <w:rPr>
          <w:rFonts w:ascii="Arial" w:hAnsi="Arial" w:cs="Arial"/>
        </w:rPr>
      </w:pPr>
      <w:r>
        <w:rPr>
          <w:rFonts w:cs="Arial" w:ascii="Arial" w:hAnsi="Arial"/>
        </w:rPr>
        <w:t xml:space="preserve">Another significant initiative is the creation of intrapreneurship programmes keeping employees who are also motivated to think and act as entrepreneurs in the organisation (Badoiu </w:t>
      </w:r>
      <w:r>
        <w:rPr>
          <w:rFonts w:cs="Arial" w:ascii="Arial" w:hAnsi="Arial"/>
          <w:i/>
          <w:iCs/>
        </w:rPr>
        <w:t>et al.,</w:t>
      </w:r>
      <w:r>
        <w:rPr>
          <w:rFonts w:cs="Arial" w:ascii="Arial" w:hAnsi="Arial"/>
        </w:rPr>
        <w:t xml:space="preserve"> 2020). This is the provision of employees with the freedom, resources, and encouragement to come up with new ideas, products, or processes. Intrapreneurship boosts employee involvement and ownership because employees feel appreciated for their contribution to organisational development. Organisational learning can be improved by introducing knowledge sharing systems, e.g. internal digital platforms, or collaborative tools (Zamiri and Esmaeili, 2024). The Knowledge Sharing Theory reports that sharing of knowledge and expertise among workers is the key to innovation. Free flow of knowledge in the organisation will create the chances of constant learning and enhancement.</w:t>
      </w:r>
    </w:p>
    <w:p>
      <w:pPr>
        <w:pStyle w:val="Normal"/>
        <w:rPr>
          <w:rFonts w:ascii="Arial" w:hAnsi="Arial" w:cs="Arial"/>
        </w:rPr>
      </w:pPr>
      <w:r>
        <w:rPr>
          <w:rFonts w:cs="Arial" w:ascii="Arial" w:hAnsi="Arial"/>
        </w:rPr>
        <w:t>Amabile Creativity Theory emphasising the role of intrinsic motivation, the supportive environment, and organisational encouragement, also underlies these initiatives (Nili and Tasavori, 2022). These measures will help Aether Innovations to develop a culture that not only generates innovative ideas but converts them into practical results, which will improve the performance of the entire organisation.</w:t>
      </w:r>
    </w:p>
    <w:p>
      <w:pPr>
        <w:pStyle w:val="Heading2"/>
        <w:rPr>
          <w:rFonts w:ascii="Arial" w:hAnsi="Arial" w:cs="Arial"/>
          <w:szCs w:val="24"/>
        </w:rPr>
      </w:pPr>
      <w:bookmarkStart w:id="5" w:name="_Toc224648918"/>
      <w:r>
        <w:rPr>
          <w:rFonts w:cs="Arial" w:ascii="Arial" w:hAnsi="Arial"/>
          <w:szCs w:val="24"/>
        </w:rPr>
        <w:t>1.5 Designing a Future of Work Model (Hybrid and Flexible Work Practices)</w:t>
      </w:r>
      <w:bookmarkEnd w:id="5"/>
    </w:p>
    <w:p>
      <w:pPr>
        <w:pStyle w:val="Normal"/>
        <w:rPr>
          <w:rFonts w:ascii="Arial" w:hAnsi="Arial" w:cs="Arial"/>
        </w:rPr>
      </w:pPr>
      <w:r>
        <w:rPr>
          <w:rFonts w:cs="Arial" w:ascii="Arial" w:hAnsi="Arial"/>
        </w:rPr>
        <w:t>Aether Innovations should embrace the future of work model that combines hybrid work, digital work, and flexible work to enhance innovation and sustain employee engagement. The form of work organisation plays a significant role in determining the productivity, creativity, and satisfaction of the employees within modern organisations. The hybrid work model is one of the major aspects of this model because it represents a combination of remote and office-based employment (Darlington, 2024). This will enable the employees to enjoy the flexibility, yet have the chance of collaborating face-to-face. Hybrid working may improve the work-life balance, decrease commuting stress, and boost job satisfaction.</w:t>
      </w:r>
    </w:p>
    <w:p>
      <w:pPr>
        <w:pStyle w:val="Normal"/>
        <w:rPr>
          <w:rFonts w:ascii="Arial" w:hAnsi="Arial" w:cs="Arial"/>
        </w:rPr>
      </w:pPr>
      <w:r>
        <w:rPr>
          <w:rFonts w:cs="Arial" w:ascii="Arial" w:hAnsi="Arial"/>
        </w:rPr>
        <w:t xml:space="preserve">Also, digital collaboration tools are necessary to guarantee effective communication within a hybrid environment. Virtual meeting tools, project management systems and shared digital workspaces are the platform that allows employees to work together in real time, no matter their location (Wu, 2022). These aid in coordination, transparency and efficiency, especially in cross-functional teams. However, this model is also not without challenges. Lack of face-to-face communication can also influence team cohesion, and distant work can occasionally bring about a communication gap or loneliness (Kumar, 2025). </w:t>
      </w:r>
    </w:p>
    <w:p>
      <w:pPr>
        <w:pStyle w:val="Heading2"/>
        <w:rPr>
          <w:rFonts w:ascii="Arial" w:hAnsi="Arial" w:cs="Arial"/>
          <w:szCs w:val="24"/>
        </w:rPr>
      </w:pPr>
      <w:bookmarkStart w:id="6" w:name="_Toc224648919"/>
      <w:r>
        <w:rPr>
          <w:rFonts w:cs="Arial" w:ascii="Arial" w:hAnsi="Arial"/>
          <w:szCs w:val="24"/>
        </w:rPr>
        <w:t>1.6 Enhancing Employee Motivation and Performance through Culture</w:t>
      </w:r>
      <w:bookmarkEnd w:id="6"/>
    </w:p>
    <w:p>
      <w:pPr>
        <w:pStyle w:val="Normal"/>
        <w:rPr>
          <w:rFonts w:ascii="Arial" w:hAnsi="Arial" w:cs="Arial"/>
        </w:rPr>
      </w:pPr>
      <w:r>
        <w:rPr>
          <w:rFonts w:cs="Arial" w:ascii="Arial" w:hAnsi="Arial"/>
        </w:rPr>
        <w:t>The innovation culture and flexible work model can be a great boost in motivating and performance of the employees at Aether Innovations. Employees will experience opportunities to cooperate, autonomy, and a supportive atmosphere; thus, they are more likely to be engaged and committed to their job (Myint, 2025). An organisational culture that promotes the exchange of ideas and rewards employee efforts enhances satisfaction and productivity.</w:t>
      </w:r>
    </w:p>
    <w:p>
      <w:pPr>
        <w:pStyle w:val="Normal"/>
        <w:rPr>
          <w:rFonts w:ascii="Arial" w:hAnsi="Arial" w:cs="Arial"/>
        </w:rPr>
      </w:pPr>
      <w:r>
        <w:rPr>
          <w:rFonts w:cs="Arial" w:ascii="Arial" w:hAnsi="Arial"/>
        </w:rPr>
        <w:t xml:space="preserve">The self-determination theory suggests that intrinsic variables like autonomy, competence, and relatedness are important determinants of motivation (Ryan and Deci, 2020). Workers feel more intrinsically motivated by offering them flexible working hours and skills training, which results in a higher level of performance. Also, extrinsic rewards, recognition and career development are extrinsic motivators which enhance positive behaviour. The presence of a safe and collaborative working environment will allow the employees to make decisions and work efficiently without being afraid of failure. </w:t>
      </w:r>
    </w:p>
    <w:p>
      <w:pPr>
        <w:pStyle w:val="Heading2"/>
        <w:rPr>
          <w:rFonts w:ascii="Arial" w:hAnsi="Arial" w:cs="Arial"/>
          <w:szCs w:val="24"/>
        </w:rPr>
      </w:pPr>
      <w:bookmarkStart w:id="7" w:name="_Toc224648920"/>
      <w:r>
        <w:rPr>
          <w:rFonts w:cs="Arial" w:ascii="Arial" w:hAnsi="Arial"/>
          <w:szCs w:val="24"/>
        </w:rPr>
        <w:t>1.7 Creating a Sustainable and Adaptive Work Environment</w:t>
      </w:r>
      <w:bookmarkEnd w:id="7"/>
    </w:p>
    <w:p>
      <w:pPr>
        <w:pStyle w:val="Normal"/>
        <w:rPr>
          <w:rFonts w:ascii="Arial" w:hAnsi="Arial" w:cs="Arial"/>
        </w:rPr>
      </w:pPr>
      <w:r>
        <w:rPr>
          <w:rFonts w:cs="Arial" w:ascii="Arial" w:hAnsi="Arial"/>
        </w:rPr>
        <w:t xml:space="preserve">To ensure long-term innovation at Aether Innovations, a sustainable and adaptive work environment is to be created. One of the major contributors to this is good leadership support, whereby the leaders work hard to promote innovation and promote new ideas and give clear direction. This is because leadership is essential in inculcating the other factor, adaptability, wherein the system and the workers should be adaptable enough to accommodate change (Sabuhari et al., 2020). Companies which embrace change are in a better position to continue with innovation in the long run. </w:t>
      </w:r>
    </w:p>
    <w:p>
      <w:pPr>
        <w:pStyle w:val="Normal"/>
        <w:rPr>
          <w:rFonts w:ascii="Arial" w:hAnsi="Arial" w:cs="Arial"/>
        </w:rPr>
      </w:pPr>
      <w:r>
        <w:rPr>
          <w:rFonts w:cs="Arial" w:ascii="Arial" w:hAnsi="Arial"/>
        </w:rPr>
      </w:r>
    </w:p>
    <w:p>
      <w:pPr>
        <w:pStyle w:val="Normal"/>
        <w:spacing w:before="0" w:after="160"/>
        <w:jc w:val="start"/>
        <w:rPr>
          <w:rFonts w:ascii="Arial" w:hAnsi="Arial" w:cs="Arial"/>
        </w:rPr>
      </w:pPr>
      <w:r>
        <w:rPr>
          <w:rFonts w:cs="Arial" w:ascii="Arial" w:hAnsi="Arial"/>
        </w:rPr>
      </w:r>
      <w:r>
        <w:br w:type="page"/>
      </w:r>
    </w:p>
    <w:p>
      <w:pPr>
        <w:pStyle w:val="Heading1"/>
        <w:spacing w:before="0" w:after="120"/>
        <w:rPr>
          <w:rFonts w:ascii="Arial" w:hAnsi="Arial" w:cs="Arial"/>
          <w:szCs w:val="24"/>
        </w:rPr>
      </w:pPr>
      <w:bookmarkStart w:id="8" w:name="_Toc224648921"/>
      <w:r>
        <w:rPr>
          <w:rFonts w:cs="Arial" w:ascii="Arial" w:hAnsi="Arial"/>
          <w:szCs w:val="24"/>
        </w:rPr>
        <w:t>PART 2: Reflection on Learning (Gibbs Reflective Cycle)</w:t>
      </w:r>
      <w:bookmarkEnd w:id="8"/>
    </w:p>
    <w:p>
      <w:pPr>
        <w:pStyle w:val="Normal"/>
        <w:rPr>
          <w:rFonts w:ascii="Arial" w:hAnsi="Arial" w:cs="Arial"/>
        </w:rPr>
      </w:pPr>
      <w:r>
        <w:rPr/>
        <mc:AlternateContent>
          <mc:Choice Requires="wps">
            <w:drawing>
              <wp:inline distT="0" distB="0" distL="0" distR="0" wp14:anchorId="600C60FF">
                <wp:extent cx="5731510" cy="2544445"/>
                <wp:effectExtent l="152400" t="152400" r="364490" b="370205"/>
                <wp:docPr id="4" name="Picture 4" descr="Gibbs Reflective Cycle [6 Stages + Examples] - Assignment Desk"/>
                <a:graphic xmlns:a="http://schemas.openxmlformats.org/drawingml/2006/main">
                  <a:graphicData uri="http://schemas.openxmlformats.org/drawingml/2006/picture">
                    <pic:pic xmlns:pic="http://schemas.openxmlformats.org/drawingml/2006/picture">
                      <pic:nvPicPr>
                        <pic:cNvPr id="5" name="Picture 4" descr="Gibbs Reflective Cycle [6 Stages + Examples] - Assignment Desk"/>
                        <pic:cNvPicPr/>
                      </pic:nvPicPr>
                      <pic:blipFill>
                        <a:blip r:embed="rId5">
                          <a:extLst>
                            <a:ext uri="{BEBA8EAE-BF5A-486C-A8C5-ECC9F3942E4B}">
                              <a14:imgProps xmlns:a14="http://schemas.microsoft.com/office/drawing/2010/main">
                                <a14:imgLayer r:embed="rId6">
                                  <a14:imgEffect>
                                    <a14:colorTemperature colorTemp="4700"/>
                                  </a14:imgEffect>
                                </a14:imgLayer>
                              </a14:imgProps>
                            </a:ext>
                          </a:extLst>
                        </a:blip>
                        <a:stretch/>
                      </pic:blipFill>
                      <pic:spPr>
                        <a:xfrm>
                          <a:off x="0" y="0"/>
                          <a:ext cx="5731560" cy="2544480"/>
                        </a:xfrm>
                        <a:prstGeom prst="rect">
                          <a:avLst/>
                        </a:prstGeom>
                        <a:noFill/>
                        <a:ln w="0">
                          <a:noFill/>
                        </a:ln>
                        <a:effectLst>
                          <a:outerShdw algn="tl" blurRad="291960" dir="2700000" dist="138479" rotWithShape="0">
                            <a:srgbClr val="333333">
                              <a:alpha val="65000"/>
                            </a:srgbClr>
                          </a:outerShdw>
                        </a:effectLst>
                      </pic:spPr>
                    </pic:pic>
                  </a:graphicData>
                </a:graphic>
              </wp:inline>
            </w:drawing>
          </mc:Choice>
          <mc:Fallback>
            <w:pict>
              <v:shape id="shape_0" stroked="f" o:allowincell="f" style="position:absolute;margin-left:0pt;margin-top:-241.55pt;width:451.25pt;height:200.3pt;mso-wrap-style:none;v-text-anchor:middle;mso-position-vertical:top" wp14:anchorId="600C60FF" type="_x0000_t75">
                <v:imagedata r:id="rId7" o:detectmouseclick="t"/>
                <v:stroke color="#3465a4" joinstyle="round" endcap="flat"/>
                <w10:wrap type="square"/>
              </v:shape>
            </w:pict>
          </mc:Fallback>
        </mc:AlternateContent>
      </w:r>
    </w:p>
    <w:p>
      <w:pPr>
        <w:pStyle w:val="Heading2"/>
        <w:rPr>
          <w:rFonts w:ascii="Arial" w:hAnsi="Arial" w:cs="Arial"/>
          <w:szCs w:val="24"/>
        </w:rPr>
      </w:pPr>
      <w:bookmarkStart w:id="9" w:name="_Toc224648922"/>
      <w:r>
        <w:rPr>
          <w:rFonts w:cs="Arial" w:ascii="Arial" w:hAnsi="Arial"/>
          <w:szCs w:val="24"/>
        </w:rPr>
        <w:t>2.1 Description</w:t>
      </w:r>
      <w:bookmarkEnd w:id="9"/>
    </w:p>
    <w:p>
      <w:pPr>
        <w:pStyle w:val="Normal"/>
        <w:rPr>
          <w:rFonts w:ascii="Arial" w:hAnsi="Arial" w:cs="Arial"/>
        </w:rPr>
      </w:pPr>
      <w:r>
        <w:rPr>
          <w:rFonts w:cs="Arial" w:ascii="Arial" w:hAnsi="Arial"/>
        </w:rPr>
        <w:t xml:space="preserve">In this Human Capital Management course, I gained an in-depth knowledge of the role of organisational culture, employee engagement, and strategic HR practices in general business performance. The most important concepts taught in the module were the culture of innovation, practices of flexible work, motivation of employees and performance management. I also got to know about such significant theoretical frameworks as the Organisational Culture Theory by Schein, the Self-Determination Theory, and the Learning Organisation concept (Boikanyo, 2024). An important aspect of my study was the study of ways to develop an organisational environment where innovativeness and adaptability are encouraged. I also researched how the contemporary work environment is changing to hybrid work environments, online collaboration, and employee empowerment. </w:t>
      </w:r>
    </w:p>
    <w:p>
      <w:pPr>
        <w:pStyle w:val="Heading2"/>
        <w:rPr>
          <w:rFonts w:ascii="Arial" w:hAnsi="Arial" w:cs="Arial"/>
          <w:szCs w:val="24"/>
        </w:rPr>
      </w:pPr>
      <w:bookmarkStart w:id="10" w:name="_Toc224648923"/>
      <w:r>
        <w:rPr>
          <w:rFonts w:cs="Arial" w:ascii="Arial" w:hAnsi="Arial"/>
          <w:szCs w:val="24"/>
        </w:rPr>
        <w:t>2.2 Feelings</w:t>
      </w:r>
      <w:bookmarkEnd w:id="10"/>
    </w:p>
    <w:p>
      <w:pPr>
        <w:pStyle w:val="Normal"/>
        <w:rPr>
          <w:rFonts w:ascii="Arial" w:hAnsi="Arial" w:cs="Arial"/>
        </w:rPr>
      </w:pPr>
      <w:r>
        <w:rPr>
          <w:rFonts w:cs="Arial" w:ascii="Arial" w:hAnsi="Arial"/>
        </w:rPr>
        <w:t xml:space="preserve">I have struggled to see the inter-relationship between various HR concepts at the onset of the module, including culture, motivation, and performance. I was first confused about how theoretical models can be applied in real organisational situations. Nevertheless, with time, my confidence level increased, and I began to find obvious connections between theory and practice (Markkanen et al., 2020). I took a specific interest in the idea of innovation culture and its impact on the behaviour of employees. Considering the internship, I found out that a lack of motivation and systematic feedback tended to influence the performance of the employees. </w:t>
      </w:r>
    </w:p>
    <w:p>
      <w:pPr>
        <w:pStyle w:val="Heading2"/>
        <w:rPr>
          <w:rFonts w:ascii="Arial" w:hAnsi="Arial" w:cs="Arial"/>
          <w:szCs w:val="24"/>
        </w:rPr>
      </w:pPr>
      <w:bookmarkStart w:id="11" w:name="_Toc224648924"/>
      <w:r>
        <w:rPr>
          <w:rFonts w:cs="Arial" w:ascii="Arial" w:hAnsi="Arial"/>
          <w:szCs w:val="24"/>
        </w:rPr>
        <w:t>2.3 Evaluation</w:t>
      </w:r>
      <w:bookmarkEnd w:id="11"/>
    </w:p>
    <w:p>
      <w:pPr>
        <w:pStyle w:val="Normal"/>
        <w:rPr>
          <w:rFonts w:ascii="Arial" w:hAnsi="Arial" w:cs="Arial"/>
        </w:rPr>
      </w:pPr>
      <w:r>
        <w:rPr>
          <w:rFonts w:cs="Arial" w:ascii="Arial" w:hAnsi="Arial"/>
        </w:rPr>
        <w:t xml:space="preserve">The practical relevance of this module was one of the most useful points. Incorporation of real-life examples and case studies assisted me in the process of knowing how HR strategies are implemented in organisations (Adeani </w:t>
      </w:r>
      <w:r>
        <w:rPr>
          <w:rFonts w:cs="Arial" w:ascii="Arial" w:hAnsi="Arial"/>
          <w:i/>
          <w:iCs/>
        </w:rPr>
        <w:t>et al.,</w:t>
      </w:r>
      <w:r>
        <w:rPr>
          <w:rFonts w:cs="Arial" w:ascii="Arial" w:hAnsi="Arial"/>
        </w:rPr>
        <w:t xml:space="preserve"> 2020). The knowledge on the culture of innovation, flexible working and motivation of employees equipped me with information on how to advance the performance of organisations. But I also experienced certain challenges, especially concerning the critical analysis of theories as opposed to describing them. Such models as the Culture Theory of Schein would have needed deeper thought and comprehension. </w:t>
      </w:r>
    </w:p>
    <w:p>
      <w:pPr>
        <w:pStyle w:val="Heading2"/>
        <w:rPr>
          <w:rFonts w:ascii="Arial" w:hAnsi="Arial" w:cs="Arial"/>
          <w:szCs w:val="24"/>
        </w:rPr>
      </w:pPr>
      <w:bookmarkStart w:id="12" w:name="_Toc224648925"/>
      <w:r>
        <w:rPr>
          <w:rFonts w:cs="Arial" w:ascii="Arial" w:hAnsi="Arial"/>
          <w:szCs w:val="24"/>
        </w:rPr>
        <w:t>2.4 Analysis</w:t>
      </w:r>
      <w:bookmarkEnd w:id="12"/>
    </w:p>
    <w:p>
      <w:pPr>
        <w:pStyle w:val="Normal"/>
        <w:rPr>
          <w:rFonts w:ascii="Arial" w:hAnsi="Arial" w:cs="Arial"/>
        </w:rPr>
      </w:pPr>
      <w:r>
        <w:rPr>
          <w:rFonts w:cs="Arial" w:ascii="Arial" w:hAnsi="Arial"/>
        </w:rPr>
        <w:t xml:space="preserve">This module has made me understand that organisational culture is a very strong variable that determines how employees behave and perform. A positive, innovative culture would promote the involvement of employees in terms of ideas and joining their efforts and sustain their interest. Other theories, including Self-Determination Theory, point out that employees will work better when they feel a sense of belonging, competency, and autonomy (Forner </w:t>
      </w:r>
      <w:r>
        <w:rPr>
          <w:rFonts w:cs="Arial" w:ascii="Arial" w:hAnsi="Arial"/>
          <w:i/>
          <w:iCs/>
        </w:rPr>
        <w:t>et al.,</w:t>
      </w:r>
      <w:r>
        <w:rPr>
          <w:rFonts w:cs="Arial" w:ascii="Arial" w:hAnsi="Arial"/>
        </w:rPr>
        <w:t xml:space="preserve"> 2021).</w:t>
      </w:r>
    </w:p>
    <w:p>
      <w:pPr>
        <w:pStyle w:val="Normal"/>
        <w:rPr>
          <w:rFonts w:ascii="Arial" w:hAnsi="Arial" w:cs="Arial"/>
        </w:rPr>
      </w:pPr>
      <w:r>
        <w:rPr>
          <w:rFonts w:cs="Arial" w:ascii="Arial" w:hAnsi="Arial"/>
        </w:rPr>
        <w:t xml:space="preserve">Connecting this with my internship experience with the Wides Trades, there was better performance of employees when they were recognised and supported. Where communication had been poor or there was a lack of feedback, the performance levels decreased. This proves the significance of HR practices in keeping employees motivated. I also learned that in the current organisations, flexible work can only be implemented to ensure the organisations remain competitive. Digital tools and hybrid work models provide employees with an opportunity to be efficient and have a balanced work-life. </w:t>
      </w:r>
    </w:p>
    <w:p>
      <w:pPr>
        <w:pStyle w:val="Heading2"/>
        <w:rPr>
          <w:rFonts w:ascii="Arial" w:hAnsi="Arial" w:cs="Arial"/>
          <w:szCs w:val="24"/>
        </w:rPr>
      </w:pPr>
      <w:bookmarkStart w:id="13" w:name="_Toc224648926"/>
      <w:r>
        <w:rPr>
          <w:rFonts w:cs="Arial" w:ascii="Arial" w:hAnsi="Arial"/>
          <w:szCs w:val="24"/>
        </w:rPr>
        <w:t>2.5 Conclusion</w:t>
      </w:r>
      <w:bookmarkEnd w:id="13"/>
    </w:p>
    <w:p>
      <w:pPr>
        <w:pStyle w:val="Normal"/>
        <w:rPr>
          <w:rFonts w:ascii="Arial" w:hAnsi="Arial" w:cs="Arial"/>
        </w:rPr>
      </w:pPr>
      <w:r>
        <w:rPr>
          <w:rFonts w:cs="Arial" w:ascii="Arial" w:hAnsi="Arial"/>
        </w:rPr>
        <w:t>The module has greatly contributed to my knowledge about Human Capital Management and its role in contemporary organisations. I have also gained knowledge on the effects of organisational culture, motivation, and flexible work practices on employee performance and business performance. Critical thinking and analytical skills have been enhanced because of the ability to relate theory to practical experience. The learning will prove most useful in my future as a professional, especially working in areas where I would be required to handle people and organisational performance.</w:t>
      </w:r>
    </w:p>
    <w:p>
      <w:pPr>
        <w:pStyle w:val="Heading2"/>
        <w:rPr>
          <w:rFonts w:ascii="Arial" w:hAnsi="Arial" w:cs="Arial"/>
          <w:szCs w:val="24"/>
        </w:rPr>
      </w:pPr>
      <w:bookmarkStart w:id="14" w:name="_Toc224648927"/>
      <w:r>
        <w:rPr>
          <w:rFonts w:cs="Arial" w:ascii="Arial" w:hAnsi="Arial"/>
          <w:szCs w:val="24"/>
        </w:rPr>
        <w:t>2.6 Action Plan</w:t>
      </w:r>
      <w:bookmarkEnd w:id="14"/>
    </w:p>
    <w:tbl>
      <w:tblPr>
        <w:tblStyle w:val="GridTable5Dark-Accent6"/>
        <w:tblW w:w="9016" w:type="dxa"/>
        <w:jc w:val="start"/>
        <w:tblInd w:w="0" w:type="dxa"/>
        <w:shd w:fill="D9F2D0" w:val="clear"/>
        <w:tblLayout w:type="fixed"/>
        <w:tblCellMar>
          <w:top w:w="0" w:type="dxa"/>
          <w:start w:w="108" w:type="dxa"/>
          <w:bottom w:w="0" w:type="dxa"/>
          <w:end w:w="108" w:type="dxa"/>
        </w:tblCellMar>
        <w:tblLook w:firstRow="1" w:noVBand="1" w:lastRow="0" w:firstColumn="1" w:lastColumn="0" w:noHBand="0" w:val="04a0"/>
      </w:tblPr>
      <w:tblGrid>
        <w:gridCol w:w="2242"/>
        <w:gridCol w:w="2624"/>
        <w:gridCol w:w="1573"/>
        <w:gridCol w:w="2577"/>
      </w:tblGrid>
      <w:tr>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2" w:type="dxa"/>
            <w:tcBorders/>
            <w:shd w:color="auto" w:fill="4EA72E" w:themeFill="accent6" w:val="clear"/>
          </w:tcPr>
          <w:p>
            <w:pPr>
              <w:pStyle w:val="Normal"/>
              <w:widowControl/>
              <w:suppressAutoHyphens w:val="true"/>
              <w:spacing w:before="0" w:after="0"/>
              <w:jc w:val="center"/>
              <w:rPr>
                <w:rFonts w:ascii="Arial" w:hAnsi="Arial" w:cs="Arial"/>
                <w:lang w:eastAsia="en-IN"/>
              </w:rPr>
            </w:pPr>
            <w:r>
              <w:rPr>
                <w:rFonts w:eastAsia="Times New Roman" w:cs="Arial" w:ascii="Arial" w:hAnsi="Arial"/>
                <w:b/>
                <w:bCs/>
                <w:color w:themeColor="background1" w:val="FFFFFF"/>
                <w:kern w:val="0"/>
                <w:lang w:val="en-IN" w:eastAsia="en-IN" w:bidi="ar-SA"/>
              </w:rPr>
              <w:t>Development Area</w:t>
            </w:r>
          </w:p>
        </w:tc>
        <w:tc>
          <w:tcPr>
            <w:tcW w:w="2624" w:type="dxa"/>
            <w:tcBorders>
              <w:bottom w:val="nil"/>
            </w:tcBorders>
            <w:shd w:color="auto" w:fill="4EA72E" w:themeFill="accent6" w:val="clear"/>
          </w:tcPr>
          <w:p>
            <w:pPr>
              <w:pStyle w:val="Normal"/>
              <w:widowControl/>
              <w:suppressAutoHyphens w:val="true"/>
              <w:spacing w:before="0" w:after="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b/>
                <w:bCs/>
                <w:color w:themeColor="background1" w:val="FFFFFF"/>
                <w:kern w:val="0"/>
                <w:lang w:val="en-IN" w:eastAsia="en-IN" w:bidi="ar-SA"/>
              </w:rPr>
              <w:t>Action Steps</w:t>
            </w:r>
          </w:p>
        </w:tc>
        <w:tc>
          <w:tcPr>
            <w:tcW w:w="1573" w:type="dxa"/>
            <w:tcBorders>
              <w:bottom w:val="nil"/>
            </w:tcBorders>
            <w:shd w:color="auto" w:fill="4EA72E" w:themeFill="accent6" w:val="clear"/>
          </w:tcPr>
          <w:p>
            <w:pPr>
              <w:pStyle w:val="Normal"/>
              <w:widowControl/>
              <w:suppressAutoHyphens w:val="true"/>
              <w:spacing w:before="0" w:after="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b/>
                <w:bCs/>
                <w:color w:themeColor="background1" w:val="FFFFFF"/>
                <w:kern w:val="0"/>
                <w:lang w:val="en-IN" w:eastAsia="en-IN" w:bidi="ar-SA"/>
              </w:rPr>
              <w:t>Timeframe</w:t>
            </w:r>
          </w:p>
        </w:tc>
        <w:tc>
          <w:tcPr>
            <w:tcW w:w="2577" w:type="dxa"/>
            <w:tcBorders>
              <w:bottom w:val="nil"/>
            </w:tcBorders>
            <w:shd w:color="auto" w:fill="4EA72E" w:themeFill="accent6" w:val="clear"/>
          </w:tcPr>
          <w:p>
            <w:pPr>
              <w:pStyle w:val="Normal"/>
              <w:widowControl/>
              <w:suppressAutoHyphens w:val="true"/>
              <w:spacing w:before="0" w:after="0"/>
              <w:jc w:val="center"/>
              <w:cnfStyle w:val="100000000000" w:firstRow="1"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b/>
                <w:bCs/>
                <w:color w:themeColor="background1" w:val="FFFFFF"/>
                <w:kern w:val="0"/>
                <w:lang w:val="en-IN" w:eastAsia="en-IN" w:bidi="ar-SA"/>
              </w:rPr>
              <w:t>Expected Outcome</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2" w:type="dxa"/>
            <w:tcBorders>
              <w:end w:val="nil"/>
            </w:tcBorders>
            <w:shd w:color="auto" w:fill="4EA72E" w:themeFill="accent6" w:val="clear"/>
          </w:tcPr>
          <w:p>
            <w:pPr>
              <w:pStyle w:val="Normal"/>
              <w:widowControl/>
              <w:suppressAutoHyphens w:val="true"/>
              <w:spacing w:before="0" w:after="0"/>
              <w:jc w:val="start"/>
              <w:rPr>
                <w:rFonts w:ascii="Arial" w:hAnsi="Arial" w:cs="Arial"/>
                <w:lang w:eastAsia="en-IN"/>
              </w:rPr>
            </w:pPr>
            <w:r>
              <w:rPr>
                <w:rFonts w:eastAsia="Times New Roman" w:cs="Arial" w:ascii="Arial" w:hAnsi="Arial"/>
                <w:b/>
                <w:bCs/>
                <w:color w:themeColor="background1" w:val="FFFFFF"/>
                <w:kern w:val="0"/>
                <w:lang w:val="en-IN" w:eastAsia="en-IN" w:bidi="ar-SA"/>
              </w:rPr>
              <w:t>HR Knowledge Development</w:t>
            </w:r>
          </w:p>
        </w:tc>
        <w:tc>
          <w:tcPr>
            <w:tcW w:w="2624"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Enrol in professional HR courses (e.g., CIPD, online certifications)</w:t>
            </w:r>
          </w:p>
        </w:tc>
        <w:tc>
          <w:tcPr>
            <w:tcW w:w="1573"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Within 6 months</w:t>
            </w:r>
          </w:p>
        </w:tc>
        <w:tc>
          <w:tcPr>
            <w:tcW w:w="2577"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Strong understanding of advanced HR concepts and practices</w:t>
            </w:r>
          </w:p>
        </w:tc>
      </w:tr>
      <w:tr>
        <w:trPr/>
        <w:tc>
          <w:tcPr>
            <w:cnfStyle w:val="001000000000" w:firstRow="0" w:lastRow="0" w:firstColumn="1" w:lastColumn="0" w:oddVBand="0" w:evenVBand="0" w:oddHBand="0" w:evenHBand="0" w:firstRowFirstColumn="0" w:firstRowLastColumn="0" w:lastRowFirstColumn="0" w:lastRowLastColumn="0"/>
            <w:tcW w:w="2242" w:type="dxa"/>
            <w:tcBorders>
              <w:end w:val="nil"/>
            </w:tcBorders>
            <w:shd w:color="auto" w:fill="4EA72E" w:themeFill="accent6" w:val="clear"/>
          </w:tcPr>
          <w:p>
            <w:pPr>
              <w:pStyle w:val="Normal"/>
              <w:widowControl/>
              <w:suppressAutoHyphens w:val="true"/>
              <w:spacing w:before="0" w:after="0"/>
              <w:jc w:val="start"/>
              <w:rPr>
                <w:rFonts w:ascii="Arial" w:hAnsi="Arial" w:cs="Arial"/>
                <w:lang w:eastAsia="en-IN"/>
              </w:rPr>
            </w:pPr>
            <w:r>
              <w:rPr>
                <w:rFonts w:eastAsia="Times New Roman" w:cs="Arial" w:ascii="Arial" w:hAnsi="Arial"/>
                <w:b/>
                <w:bCs/>
                <w:color w:themeColor="background1" w:val="FFFFFF"/>
                <w:kern w:val="0"/>
                <w:lang w:val="en-IN" w:eastAsia="en-IN" w:bidi="ar-SA"/>
              </w:rPr>
              <w:t>Industry Awareness</w:t>
            </w:r>
          </w:p>
        </w:tc>
        <w:tc>
          <w:tcPr>
            <w:tcW w:w="2624"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Read academic journals, HR blogs, and reports on digital HR and AI</w:t>
            </w:r>
          </w:p>
        </w:tc>
        <w:tc>
          <w:tcPr>
            <w:tcW w:w="1573"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Continuous (weekly)</w:t>
            </w:r>
          </w:p>
        </w:tc>
        <w:tc>
          <w:tcPr>
            <w:tcW w:w="2577"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Up-to-date knowledge of current HR trends and innovations</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2" w:type="dxa"/>
            <w:tcBorders>
              <w:end w:val="nil"/>
            </w:tcBorders>
            <w:shd w:color="auto" w:fill="4EA72E" w:themeFill="accent6" w:val="clear"/>
          </w:tcPr>
          <w:p>
            <w:pPr>
              <w:pStyle w:val="Normal"/>
              <w:widowControl/>
              <w:suppressAutoHyphens w:val="true"/>
              <w:spacing w:before="0" w:after="0"/>
              <w:jc w:val="start"/>
              <w:rPr>
                <w:rFonts w:ascii="Arial" w:hAnsi="Arial" w:cs="Arial"/>
                <w:lang w:eastAsia="en-IN"/>
              </w:rPr>
            </w:pPr>
            <w:r>
              <w:rPr>
                <w:rFonts w:eastAsia="Times New Roman" w:cs="Arial" w:ascii="Arial" w:hAnsi="Arial"/>
                <w:b/>
                <w:bCs/>
                <w:color w:themeColor="background1" w:val="FFFFFF"/>
                <w:kern w:val="0"/>
                <w:lang w:val="en-IN" w:eastAsia="en-IN" w:bidi="ar-SA"/>
              </w:rPr>
              <w:t>Communication Skills</w:t>
            </w:r>
          </w:p>
        </w:tc>
        <w:tc>
          <w:tcPr>
            <w:tcW w:w="2624"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Participate in presentations, group discussions, and professional writing</w:t>
            </w:r>
          </w:p>
        </w:tc>
        <w:tc>
          <w:tcPr>
            <w:tcW w:w="1573"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Continuous</w:t>
            </w:r>
          </w:p>
        </w:tc>
        <w:tc>
          <w:tcPr>
            <w:tcW w:w="2577"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Improved confidence and effective communication skills</w:t>
            </w:r>
          </w:p>
        </w:tc>
      </w:tr>
      <w:tr>
        <w:trPr/>
        <w:tc>
          <w:tcPr>
            <w:cnfStyle w:val="001000000000" w:firstRow="0" w:lastRow="0" w:firstColumn="1" w:lastColumn="0" w:oddVBand="0" w:evenVBand="0" w:oddHBand="0" w:evenHBand="0" w:firstRowFirstColumn="0" w:firstRowLastColumn="0" w:lastRowFirstColumn="0" w:lastRowLastColumn="0"/>
            <w:tcW w:w="2242" w:type="dxa"/>
            <w:tcBorders>
              <w:end w:val="nil"/>
            </w:tcBorders>
            <w:shd w:color="auto" w:fill="4EA72E" w:themeFill="accent6" w:val="clear"/>
          </w:tcPr>
          <w:p>
            <w:pPr>
              <w:pStyle w:val="Normal"/>
              <w:widowControl/>
              <w:suppressAutoHyphens w:val="true"/>
              <w:spacing w:before="0" w:after="0"/>
              <w:jc w:val="start"/>
              <w:rPr>
                <w:rFonts w:ascii="Arial" w:hAnsi="Arial" w:cs="Arial"/>
                <w:lang w:eastAsia="en-IN"/>
              </w:rPr>
            </w:pPr>
            <w:r>
              <w:rPr>
                <w:rFonts w:eastAsia="Times New Roman" w:cs="Arial" w:ascii="Arial" w:hAnsi="Arial"/>
                <w:b/>
                <w:bCs/>
                <w:color w:themeColor="background1" w:val="FFFFFF"/>
                <w:kern w:val="0"/>
                <w:lang w:val="en-IN" w:eastAsia="en-IN" w:bidi="ar-SA"/>
              </w:rPr>
              <w:t>Leadership Skills</w:t>
            </w:r>
          </w:p>
        </w:tc>
        <w:tc>
          <w:tcPr>
            <w:tcW w:w="2624"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Engage in group projects, leadership workshops, and team activities</w:t>
            </w:r>
          </w:p>
        </w:tc>
        <w:tc>
          <w:tcPr>
            <w:tcW w:w="1573"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3–6 months</w:t>
            </w:r>
          </w:p>
        </w:tc>
        <w:tc>
          <w:tcPr>
            <w:tcW w:w="2577"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Enhanced leadership and decision-making abilities</w:t>
            </w:r>
          </w:p>
        </w:tc>
      </w:tr>
      <w:tr>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2" w:type="dxa"/>
            <w:tcBorders>
              <w:end w:val="nil"/>
            </w:tcBorders>
            <w:shd w:color="auto" w:fill="4EA72E" w:themeFill="accent6" w:val="clear"/>
          </w:tcPr>
          <w:p>
            <w:pPr>
              <w:pStyle w:val="Normal"/>
              <w:widowControl/>
              <w:suppressAutoHyphens w:val="true"/>
              <w:spacing w:before="0" w:after="0"/>
              <w:jc w:val="start"/>
              <w:rPr>
                <w:rFonts w:ascii="Arial" w:hAnsi="Arial" w:cs="Arial"/>
                <w:lang w:eastAsia="en-IN"/>
              </w:rPr>
            </w:pPr>
            <w:r>
              <w:rPr>
                <w:rFonts w:eastAsia="Times New Roman" w:cs="Arial" w:ascii="Arial" w:hAnsi="Arial"/>
                <w:b/>
                <w:bCs/>
                <w:color w:themeColor="background1" w:val="FFFFFF"/>
                <w:kern w:val="0"/>
                <w:lang w:val="en-IN" w:eastAsia="en-IN" w:bidi="ar-SA"/>
              </w:rPr>
              <w:t>Practical Experience</w:t>
            </w:r>
          </w:p>
        </w:tc>
        <w:tc>
          <w:tcPr>
            <w:tcW w:w="2624"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Apply for internships or part-time roles related to HR or business</w:t>
            </w:r>
          </w:p>
        </w:tc>
        <w:tc>
          <w:tcPr>
            <w:tcW w:w="1573"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Within 6–12 months</w:t>
            </w:r>
          </w:p>
        </w:tc>
        <w:tc>
          <w:tcPr>
            <w:tcW w:w="2577" w:type="dxa"/>
            <w:tcBorders/>
            <w:shd w:color="auto" w:fill="B3E5A1" w:themeFill="accent6" w:themeFillTint="66" w:val="clear"/>
          </w:tcPr>
          <w:p>
            <w:pPr>
              <w:pStyle w:val="Normal"/>
              <w:widowControl/>
              <w:suppressAutoHyphens w:val="true"/>
              <w:spacing w:before="0" w:after="0"/>
              <w:jc w:val="start"/>
              <w:cnfStyle w:val="000000100000" w:firstRow="0" w:lastRow="0" w:firstColumn="0" w:lastColumn="0" w:oddVBand="0" w:evenVBand="0" w:oddHBand="1"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Real-world experience and application of theoretical knowledge</w:t>
            </w:r>
          </w:p>
        </w:tc>
      </w:tr>
      <w:tr>
        <w:trPr/>
        <w:tc>
          <w:tcPr>
            <w:cnfStyle w:val="001000000000" w:firstRow="0" w:lastRow="0" w:firstColumn="1" w:lastColumn="0" w:oddVBand="0" w:evenVBand="0" w:oddHBand="0" w:evenHBand="0" w:firstRowFirstColumn="0" w:firstRowLastColumn="0" w:lastRowFirstColumn="0" w:lastRowLastColumn="0"/>
            <w:tcW w:w="2242" w:type="dxa"/>
            <w:tcBorders>
              <w:end w:val="nil"/>
            </w:tcBorders>
            <w:shd w:color="auto" w:fill="4EA72E" w:themeFill="accent6" w:val="clear"/>
          </w:tcPr>
          <w:p>
            <w:pPr>
              <w:pStyle w:val="Normal"/>
              <w:widowControl/>
              <w:suppressAutoHyphens w:val="true"/>
              <w:spacing w:before="0" w:after="0"/>
              <w:jc w:val="start"/>
              <w:rPr>
                <w:rFonts w:ascii="Arial" w:hAnsi="Arial" w:cs="Arial"/>
                <w:lang w:eastAsia="en-IN"/>
              </w:rPr>
            </w:pPr>
            <w:r>
              <w:rPr>
                <w:rFonts w:eastAsia="Times New Roman" w:cs="Arial" w:ascii="Arial" w:hAnsi="Arial"/>
                <w:b/>
                <w:bCs/>
                <w:color w:themeColor="background1" w:val="FFFFFF"/>
                <w:kern w:val="0"/>
                <w:lang w:val="en-IN" w:eastAsia="en-IN" w:bidi="ar-SA"/>
              </w:rPr>
              <w:t>Self-Reflection &amp; Feedback</w:t>
            </w:r>
          </w:p>
        </w:tc>
        <w:tc>
          <w:tcPr>
            <w:tcW w:w="2624"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Regularly reflect on learning and seek feedback from peers and mentors</w:t>
            </w:r>
          </w:p>
        </w:tc>
        <w:tc>
          <w:tcPr>
            <w:tcW w:w="1573"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Monthly</w:t>
            </w:r>
          </w:p>
        </w:tc>
        <w:tc>
          <w:tcPr>
            <w:tcW w:w="2577" w:type="dxa"/>
            <w:tcBorders/>
            <w:shd w:color="auto" w:fill="D9F2D0" w:themeFill="accent6" w:themeFillTint="33" w:val="clear"/>
          </w:tcPr>
          <w:p>
            <w:pPr>
              <w:pStyle w:val="Normal"/>
              <w:widowControl/>
              <w:suppressAutoHyphens w:val="true"/>
              <w:spacing w:before="0" w:after="0"/>
              <w:jc w:val="start"/>
              <w:cnfStyle w:val="000000000000" w:firstRow="0" w:lastRow="0" w:firstColumn="0" w:lastColumn="0" w:oddVBand="0" w:evenVBand="0" w:oddHBand="0" w:evenHBand="0" w:firstRowFirstColumn="0" w:firstRowLastColumn="0" w:lastRowFirstColumn="0" w:lastRowLastColumn="0"/>
              <w:rPr>
                <w:rFonts w:ascii="Arial" w:hAnsi="Arial" w:cs="Arial"/>
                <w:lang w:eastAsia="en-IN"/>
              </w:rPr>
            </w:pPr>
            <w:r>
              <w:rPr>
                <w:rFonts w:eastAsia="Times New Roman" w:cs="Arial" w:ascii="Arial" w:hAnsi="Arial"/>
                <w:kern w:val="0"/>
                <w:lang w:val="en-IN" w:eastAsia="en-IN" w:bidi="ar-SA"/>
              </w:rPr>
              <w:t>Continuous personal and professional improvement</w:t>
            </w:r>
          </w:p>
        </w:tc>
      </w:tr>
    </w:tbl>
    <w:p>
      <w:pPr>
        <w:pStyle w:val="Heading1"/>
        <w:rPr>
          <w:rFonts w:ascii="Arial" w:hAnsi="Arial" w:cs="Arial"/>
          <w:szCs w:val="24"/>
        </w:rPr>
      </w:pPr>
      <w:bookmarkStart w:id="15" w:name="_Toc224648928"/>
      <w:r>
        <w:rPr>
          <w:rFonts w:cs="Arial" w:ascii="Arial" w:hAnsi="Arial"/>
          <w:szCs w:val="24"/>
        </w:rPr>
        <w:t>3. AI and Future Career Development</w:t>
      </w:r>
      <w:bookmarkEnd w:id="15"/>
    </w:p>
    <w:p>
      <w:pPr>
        <w:pStyle w:val="Normal"/>
        <w:rPr>
          <w:rFonts w:ascii="Arial" w:hAnsi="Arial" w:cs="Arial"/>
        </w:rPr>
      </w:pPr>
      <w:r>
        <w:rPr>
          <w:rFonts w:cs="Arial" w:ascii="Arial" w:hAnsi="Arial"/>
        </w:rPr>
        <w:t xml:space="preserve">The growing use of Artificial Intelligence (AI) within organisations is drastically altering the essence of work, especially within such fields as Human Resource Management and business activities (Nawaz </w:t>
      </w:r>
      <w:r>
        <w:rPr>
          <w:rFonts w:cs="Arial" w:ascii="Arial" w:hAnsi="Arial"/>
          <w:i/>
          <w:iCs/>
        </w:rPr>
        <w:t>et al.,</w:t>
      </w:r>
      <w:r>
        <w:rPr>
          <w:rFonts w:cs="Arial" w:ascii="Arial" w:hAnsi="Arial"/>
        </w:rPr>
        <w:t xml:space="preserve"> 2024). Repetitive tasks, such as screening of recruitment, data analysis, and tracking of the performance of employees, are widely automated using AI. These technologies enhance efficiency, minimise human error and enable quicker decision making. Analytics that are operated on AI allow organisations to anticipate the trend of events that include employee turnover, engagement rates, and the productivity of the workforce, so they can make a more informed strategic plan.</w:t>
      </w:r>
    </w:p>
    <w:p>
      <w:pPr>
        <w:pStyle w:val="Normal"/>
        <w:rPr>
          <w:rFonts w:ascii="Arial" w:hAnsi="Arial" w:cs="Arial"/>
        </w:rPr>
      </w:pPr>
      <w:r>
        <w:rPr>
          <w:rFonts w:cs="Arial" w:ascii="Arial" w:hAnsi="Arial"/>
        </w:rPr>
        <w:t>AI will not be able to take over human abilities completely in spite of these innovations. The skills that are still needed in the workplace are creativity, critical thinking, emotional intelligence, and adaptability (Spulbar and Mitrache, 2025). Such human attributes are essential in the resolution of problems, innovation, and the making of effective decisions, especially in dynamic and complex environments. Thus, career workers need to work on these competencies to stay competitive.</w:t>
      </w:r>
    </w:p>
    <w:p>
      <w:pPr>
        <w:pStyle w:val="Normal"/>
        <w:rPr>
          <w:rFonts w:ascii="Arial" w:hAnsi="Arial" w:cs="Arial"/>
        </w:rPr>
      </w:pPr>
      <w:r>
        <w:rPr>
          <w:rFonts w:cs="Arial" w:ascii="Arial" w:hAnsi="Arial"/>
        </w:rPr>
        <w:t>In this regard, AI can be considered as an augmentation tool, but not as a substitute. It can serve the purpose of assisting the professionals in that the data-intensive tasks can be managed, and individuals can dedicate their time to the strategic and value-added activities (Taheri Hosseinkhani, 2025). To illustrate, AI does not interpret the results, but the human mind is needed to interpret the performance data and make ethical decisions.</w:t>
      </w:r>
    </w:p>
    <w:p>
      <w:pPr>
        <w:pStyle w:val="Heading1"/>
        <w:rPr>
          <w:rFonts w:ascii="Arial" w:hAnsi="Arial" w:cs="Arial"/>
          <w:szCs w:val="24"/>
        </w:rPr>
      </w:pPr>
      <w:bookmarkStart w:id="16" w:name="_Toc224648929"/>
      <w:r>
        <w:rPr>
          <w:rFonts w:cs="Arial" w:ascii="Arial" w:hAnsi="Arial"/>
          <w:szCs w:val="24"/>
        </w:rPr>
        <w:t>4. CONCLUSION</w:t>
      </w:r>
      <w:bookmarkEnd w:id="16"/>
    </w:p>
    <w:p>
      <w:pPr>
        <w:pStyle w:val="Normal"/>
        <w:rPr>
          <w:rFonts w:ascii="Arial" w:hAnsi="Arial" w:cs="Arial"/>
        </w:rPr>
      </w:pPr>
      <w:r>
        <w:rPr>
          <w:rFonts w:cs="Arial" w:ascii="Arial" w:hAnsi="Arial"/>
        </w:rPr>
        <w:t>The above report concluded that organisational culture and modern work practices play a critical role in spurring innovation, employee engagement and overall business performance in Aether Innovations, as emphasised in this report. The report explains how organisations can solve the high turnover and deteriorating performance by using an innovative-oriented culture with the help of strategic initiatives and flexible work models through the analysis of the current industry practices and proposed innovation-oriented culture. Moreover, the reflection outlines the significance of lifelong learning and self-improvement during the process of adjusting to the evolving workplace needs. Altogether, culture, leadership, and work practices have to be aligned to ensure sustainable development and a competitive advantage in the ever-changing technological environment.</w:t>
      </w:r>
    </w:p>
    <w:p>
      <w:pPr>
        <w:pStyle w:val="Normal"/>
        <w:spacing w:before="0" w:after="160"/>
        <w:jc w:val="start"/>
        <w:rPr>
          <w:rFonts w:ascii="Arial" w:hAnsi="Arial" w:cs="Arial"/>
        </w:rPr>
      </w:pPr>
      <w:r>
        <w:rPr>
          <w:rFonts w:cs="Arial" w:ascii="Arial" w:hAnsi="Arial"/>
        </w:rPr>
      </w:r>
      <w:r>
        <w:br w:type="page"/>
      </w:r>
    </w:p>
    <w:p>
      <w:pPr>
        <w:pStyle w:val="Heading1"/>
        <w:spacing w:before="0" w:after="120"/>
        <w:rPr>
          <w:rFonts w:ascii="Arial" w:hAnsi="Arial" w:cs="Arial"/>
          <w:szCs w:val="24"/>
        </w:rPr>
      </w:pPr>
      <w:bookmarkStart w:id="17" w:name="_Toc224648930"/>
      <w:r>
        <w:rPr>
          <w:rFonts w:cs="Arial" w:ascii="Arial" w:hAnsi="Arial"/>
          <w:szCs w:val="24"/>
        </w:rPr>
        <w:t>5. REFERENCES</w:t>
      </w:r>
      <w:bookmarkEnd w:id="17"/>
    </w:p>
    <w:p>
      <w:pPr>
        <w:pStyle w:val="Normal"/>
        <w:rPr>
          <w:rFonts w:ascii="Arial" w:hAnsi="Arial" w:cs="Arial"/>
        </w:rPr>
      </w:pPr>
      <w:r>
        <w:rPr>
          <w:rFonts w:cs="Arial" w:ascii="Arial" w:hAnsi="Arial"/>
        </w:rPr>
        <w:t>Adeani, I.S., Febriani, R.B. and Syafryadin, S., 2020. Using GIBBS’reflective cycle in making reflections of literary analysis. </w:t>
      </w:r>
      <w:r>
        <w:rPr>
          <w:rFonts w:cs="Arial" w:ascii="Arial" w:hAnsi="Arial"/>
          <w:i/>
          <w:iCs/>
        </w:rPr>
        <w:t>Indonesian EFL Journal</w:t>
      </w:r>
      <w:r>
        <w:rPr>
          <w:rFonts w:cs="Arial" w:ascii="Arial" w:hAnsi="Arial"/>
        </w:rPr>
        <w:t>, </w:t>
      </w:r>
      <w:r>
        <w:rPr>
          <w:rFonts w:cs="Arial" w:ascii="Arial" w:hAnsi="Arial"/>
          <w:i/>
          <w:iCs/>
        </w:rPr>
        <w:t>6</w:t>
      </w:r>
      <w:r>
        <w:rPr>
          <w:rFonts w:cs="Arial" w:ascii="Arial" w:hAnsi="Arial"/>
        </w:rPr>
        <w:t>(2), pp.139-148.</w:t>
      </w:r>
    </w:p>
    <w:p>
      <w:pPr>
        <w:pStyle w:val="Normal"/>
        <w:rPr>
          <w:rFonts w:ascii="Arial" w:hAnsi="Arial" w:cs="Arial"/>
        </w:rPr>
      </w:pPr>
      <w:r>
        <w:rPr>
          <w:rFonts w:cs="Arial" w:ascii="Arial" w:hAnsi="Arial"/>
        </w:rPr>
        <w:t>Ahmad, T., Boit, J. and Aakula, A., 2023. The role of cross-functional collaboration in digital transformation. </w:t>
      </w:r>
      <w:r>
        <w:rPr>
          <w:rFonts w:cs="Arial" w:ascii="Arial" w:hAnsi="Arial"/>
          <w:i/>
          <w:iCs/>
        </w:rPr>
        <w:t>Journal of Computational Intelligence and Robotics</w:t>
      </w:r>
      <w:r>
        <w:rPr>
          <w:rFonts w:cs="Arial" w:ascii="Arial" w:hAnsi="Arial"/>
        </w:rPr>
        <w:t>, </w:t>
      </w:r>
      <w:r>
        <w:rPr>
          <w:rFonts w:cs="Arial" w:ascii="Arial" w:hAnsi="Arial"/>
          <w:i/>
          <w:iCs/>
        </w:rPr>
        <w:t>3</w:t>
      </w:r>
      <w:r>
        <w:rPr>
          <w:rFonts w:cs="Arial" w:ascii="Arial" w:hAnsi="Arial"/>
        </w:rPr>
        <w:t>(1), pp.205-42.</w:t>
      </w:r>
    </w:p>
    <w:p>
      <w:pPr>
        <w:pStyle w:val="Normal"/>
        <w:rPr>
          <w:rFonts w:ascii="Arial" w:hAnsi="Arial" w:cs="Arial"/>
        </w:rPr>
      </w:pPr>
      <w:r>
        <w:rPr>
          <w:rFonts w:cs="Arial" w:ascii="Arial" w:hAnsi="Arial"/>
        </w:rPr>
        <w:t>Badoiu, G.A., Segarra-Ciprés, M. and Escrig-Tena, A.B., 2020. Understanding employees’ intrapreneurial behavior: a case study. </w:t>
      </w:r>
      <w:r>
        <w:rPr>
          <w:rFonts w:cs="Arial" w:ascii="Arial" w:hAnsi="Arial"/>
          <w:i/>
          <w:iCs/>
        </w:rPr>
        <w:t>Personnel Review</w:t>
      </w:r>
      <w:r>
        <w:rPr>
          <w:rFonts w:cs="Arial" w:ascii="Arial" w:hAnsi="Arial"/>
        </w:rPr>
        <w:t>, </w:t>
      </w:r>
      <w:r>
        <w:rPr>
          <w:rFonts w:cs="Arial" w:ascii="Arial" w:hAnsi="Arial"/>
          <w:i/>
          <w:iCs/>
        </w:rPr>
        <w:t>49</w:t>
      </w:r>
      <w:r>
        <w:rPr>
          <w:rFonts w:cs="Arial" w:ascii="Arial" w:hAnsi="Arial"/>
        </w:rPr>
        <w:t>(8), pp.1677-1694.</w:t>
      </w:r>
    </w:p>
    <w:p>
      <w:pPr>
        <w:pStyle w:val="Normal"/>
        <w:rPr>
          <w:rFonts w:ascii="Arial" w:hAnsi="Arial" w:cs="Arial"/>
        </w:rPr>
      </w:pPr>
      <w:r>
        <w:rPr>
          <w:rFonts w:cs="Arial" w:ascii="Arial" w:hAnsi="Arial"/>
        </w:rPr>
        <w:t>Boikanyo, D.H., 2024. The Role of Employee Behavior and Organizational Culture in Strategy Implementation and Performance. </w:t>
      </w:r>
      <w:r>
        <w:rPr>
          <w:rFonts w:cs="Arial" w:ascii="Arial" w:hAnsi="Arial"/>
          <w:i/>
          <w:iCs/>
        </w:rPr>
        <w:t>Organizational Culture: Cultural Change and Technology</w:t>
      </w:r>
      <w:r>
        <w:rPr>
          <w:rFonts w:cs="Arial" w:ascii="Arial" w:hAnsi="Arial"/>
        </w:rPr>
        <w:t>, p.121.</w:t>
      </w:r>
    </w:p>
    <w:p>
      <w:pPr>
        <w:pStyle w:val="Normal"/>
        <w:rPr>
          <w:rFonts w:ascii="Arial" w:hAnsi="Arial" w:cs="Arial"/>
        </w:rPr>
      </w:pPr>
      <w:r>
        <w:rPr>
          <w:rFonts w:cs="Arial" w:ascii="Arial" w:hAnsi="Arial"/>
        </w:rPr>
        <w:t>Caniago, A., 2024. Analysis of Organizational Structure and Integrated Coordination on Organizational Growth. </w:t>
      </w:r>
      <w:r>
        <w:rPr>
          <w:rFonts w:cs="Arial" w:ascii="Arial" w:hAnsi="Arial"/>
          <w:i/>
          <w:iCs/>
        </w:rPr>
        <w:t>Asian Journal of Management, Entrepreneurship and Social Science</w:t>
      </w:r>
      <w:r>
        <w:rPr>
          <w:rFonts w:cs="Arial" w:ascii="Arial" w:hAnsi="Arial"/>
        </w:rPr>
        <w:t>, </w:t>
      </w:r>
      <w:r>
        <w:rPr>
          <w:rFonts w:cs="Arial" w:ascii="Arial" w:hAnsi="Arial"/>
          <w:i/>
          <w:iCs/>
        </w:rPr>
        <w:t>4</w:t>
      </w:r>
      <w:r>
        <w:rPr>
          <w:rFonts w:cs="Arial" w:ascii="Arial" w:hAnsi="Arial"/>
        </w:rPr>
        <w:t>(03), pp.1387-1400.</w:t>
      </w:r>
    </w:p>
    <w:p>
      <w:pPr>
        <w:pStyle w:val="Normal"/>
        <w:rPr>
          <w:rFonts w:ascii="Arial" w:hAnsi="Arial" w:cs="Arial"/>
        </w:rPr>
      </w:pPr>
      <w:r>
        <w:rPr>
          <w:rFonts w:cs="Arial" w:ascii="Arial" w:hAnsi="Arial"/>
        </w:rPr>
        <w:t>Darlington, J., 2024. Finding a balance between remote and office work. </w:t>
      </w:r>
      <w:r>
        <w:rPr>
          <w:rFonts w:cs="Arial" w:ascii="Arial" w:hAnsi="Arial"/>
          <w:i/>
          <w:iCs/>
        </w:rPr>
        <w:t>University of Turku</w:t>
      </w:r>
      <w:r>
        <w:rPr>
          <w:rFonts w:cs="Arial" w:ascii="Arial" w:hAnsi="Arial"/>
        </w:rPr>
        <w:t>.</w:t>
      </w:r>
    </w:p>
    <w:p>
      <w:pPr>
        <w:pStyle w:val="Normal"/>
        <w:rPr>
          <w:rFonts w:ascii="Arial" w:hAnsi="Arial" w:cs="Arial"/>
        </w:rPr>
      </w:pPr>
      <w:r>
        <w:rPr>
          <w:rFonts w:cs="Arial" w:ascii="Arial" w:hAnsi="Arial"/>
        </w:rPr>
        <w:t>Day, G.S. and Shea, G., 2020. Changing the work of innovation: A systems approach. </w:t>
      </w:r>
      <w:r>
        <w:rPr>
          <w:rFonts w:cs="Arial" w:ascii="Arial" w:hAnsi="Arial"/>
          <w:i/>
          <w:iCs/>
        </w:rPr>
        <w:t>California Management Review</w:t>
      </w:r>
      <w:r>
        <w:rPr>
          <w:rFonts w:cs="Arial" w:ascii="Arial" w:hAnsi="Arial"/>
        </w:rPr>
        <w:t>, </w:t>
      </w:r>
      <w:r>
        <w:rPr>
          <w:rFonts w:cs="Arial" w:ascii="Arial" w:hAnsi="Arial"/>
          <w:i/>
          <w:iCs/>
        </w:rPr>
        <w:t>63</w:t>
      </w:r>
      <w:r>
        <w:rPr>
          <w:rFonts w:cs="Arial" w:ascii="Arial" w:hAnsi="Arial"/>
        </w:rPr>
        <w:t>(1), pp.41-60.</w:t>
      </w:r>
    </w:p>
    <w:p>
      <w:pPr>
        <w:pStyle w:val="Normal"/>
        <w:rPr>
          <w:rFonts w:ascii="Arial" w:hAnsi="Arial" w:cs="Arial"/>
        </w:rPr>
      </w:pPr>
      <w:r>
        <w:rPr>
          <w:rFonts w:cs="Arial" w:ascii="Arial" w:hAnsi="Arial"/>
        </w:rPr>
        <w:t>Egwu, K.U. and Nwosu, I.A., 2025. Influence of Organisational Culture on Employee Behaviour and Productivity: A Narrative Review. </w:t>
      </w:r>
      <w:r>
        <w:rPr>
          <w:rFonts w:cs="Arial" w:ascii="Arial" w:hAnsi="Arial"/>
          <w:i/>
          <w:iCs/>
        </w:rPr>
        <w:t>International Journal of Sub-Saharan African Research</w:t>
      </w:r>
      <w:r>
        <w:rPr>
          <w:rFonts w:cs="Arial" w:ascii="Arial" w:hAnsi="Arial"/>
        </w:rPr>
        <w:t>, </w:t>
      </w:r>
      <w:r>
        <w:rPr>
          <w:rFonts w:cs="Arial" w:ascii="Arial" w:hAnsi="Arial"/>
          <w:i/>
          <w:iCs/>
        </w:rPr>
        <w:t>3</w:t>
      </w:r>
      <w:r>
        <w:rPr>
          <w:rFonts w:cs="Arial" w:ascii="Arial" w:hAnsi="Arial"/>
        </w:rPr>
        <w:t>(1), pp.291-302.</w:t>
      </w:r>
    </w:p>
    <w:p>
      <w:pPr>
        <w:pStyle w:val="Normal"/>
        <w:rPr>
          <w:rFonts w:ascii="Arial" w:hAnsi="Arial" w:cs="Arial"/>
        </w:rPr>
      </w:pPr>
      <w:r>
        <w:rPr>
          <w:rFonts w:cs="Arial" w:ascii="Arial" w:hAnsi="Arial"/>
        </w:rPr>
        <w:t>Forner, V.W., Jones, M., Berry, Y. and Eidenfalk, J., 2021. Motivating workers: how leaders apply self-determination theory in organizations. </w:t>
      </w:r>
      <w:r>
        <w:rPr>
          <w:rFonts w:cs="Arial" w:ascii="Arial" w:hAnsi="Arial"/>
          <w:i/>
          <w:iCs/>
        </w:rPr>
        <w:t>Organization Management Journal</w:t>
      </w:r>
      <w:r>
        <w:rPr>
          <w:rFonts w:cs="Arial" w:ascii="Arial" w:hAnsi="Arial"/>
        </w:rPr>
        <w:t>, </w:t>
      </w:r>
      <w:r>
        <w:rPr>
          <w:rFonts w:cs="Arial" w:ascii="Arial" w:hAnsi="Arial"/>
          <w:i/>
          <w:iCs/>
        </w:rPr>
        <w:t>18</w:t>
      </w:r>
      <w:r>
        <w:rPr>
          <w:rFonts w:cs="Arial" w:ascii="Arial" w:hAnsi="Arial"/>
        </w:rPr>
        <w:t>(2), pp.76-94.</w:t>
      </w:r>
    </w:p>
    <w:p>
      <w:pPr>
        <w:pStyle w:val="Normal"/>
        <w:rPr>
          <w:rFonts w:ascii="Arial" w:hAnsi="Arial" w:cs="Arial"/>
        </w:rPr>
      </w:pPr>
      <w:r>
        <w:rPr>
          <w:rFonts w:cs="Arial" w:ascii="Arial" w:hAnsi="Arial"/>
        </w:rPr>
        <w:t>Kumar, A., 2025. Decline of face-to-face communication in Modern society. </w:t>
      </w:r>
      <w:r>
        <w:rPr>
          <w:rFonts w:cs="Arial" w:ascii="Arial" w:hAnsi="Arial"/>
          <w:i/>
          <w:iCs/>
        </w:rPr>
        <w:t>Knowledgeable Research A Multidisciplinary Journal</w:t>
      </w:r>
      <w:r>
        <w:rPr>
          <w:rFonts w:cs="Arial" w:ascii="Arial" w:hAnsi="Arial"/>
        </w:rPr>
        <w:t>, </w:t>
      </w:r>
      <w:r>
        <w:rPr>
          <w:rFonts w:cs="Arial" w:ascii="Arial" w:hAnsi="Arial"/>
          <w:i/>
          <w:iCs/>
        </w:rPr>
        <w:t>4</w:t>
      </w:r>
      <w:r>
        <w:rPr>
          <w:rFonts w:cs="Arial" w:ascii="Arial" w:hAnsi="Arial"/>
        </w:rPr>
        <w:t>(09), pp.1-11.</w:t>
      </w:r>
    </w:p>
    <w:p>
      <w:pPr>
        <w:pStyle w:val="Normal"/>
        <w:rPr>
          <w:rFonts w:ascii="Arial" w:hAnsi="Arial" w:cs="Arial"/>
        </w:rPr>
      </w:pPr>
      <w:r>
        <w:rPr>
          <w:rFonts w:cs="Arial" w:ascii="Arial" w:hAnsi="Arial"/>
        </w:rPr>
        <w:t>Madhavi, A. and Rao, B.S., 2023. A study of work stress and its impact on employees’ performance and job satisfaction. </w:t>
      </w:r>
      <w:r>
        <w:rPr>
          <w:rFonts w:cs="Arial" w:ascii="Arial" w:hAnsi="Arial"/>
          <w:i/>
          <w:iCs/>
        </w:rPr>
        <w:t>International Journal of Education and Science Research Review</w:t>
      </w:r>
      <w:r>
        <w:rPr>
          <w:rFonts w:cs="Arial" w:ascii="Arial" w:hAnsi="Arial"/>
        </w:rPr>
        <w:t>, </w:t>
      </w:r>
      <w:r>
        <w:rPr>
          <w:rFonts w:cs="Arial" w:ascii="Arial" w:hAnsi="Arial"/>
          <w:i/>
          <w:iCs/>
        </w:rPr>
        <w:t>10</w:t>
      </w:r>
      <w:r>
        <w:rPr>
          <w:rFonts w:cs="Arial" w:ascii="Arial" w:hAnsi="Arial"/>
        </w:rPr>
        <w:t>(4), pp.119-125.</w:t>
      </w:r>
    </w:p>
    <w:p>
      <w:pPr>
        <w:pStyle w:val="Normal"/>
        <w:rPr>
          <w:rFonts w:ascii="Arial" w:hAnsi="Arial" w:cs="Arial"/>
        </w:rPr>
      </w:pPr>
      <w:r>
        <w:rPr>
          <w:rFonts w:cs="Arial" w:ascii="Arial" w:hAnsi="Arial"/>
        </w:rPr>
        <w:t>Markkanen, P., Välimäki, M., Anttila, M. and Kuuskorpi, M., 2020. A reflective cycle: Understanding challenging situations in a school setting. </w:t>
      </w:r>
      <w:r>
        <w:rPr>
          <w:rFonts w:cs="Arial" w:ascii="Arial" w:hAnsi="Arial"/>
          <w:i/>
          <w:iCs/>
        </w:rPr>
        <w:t>Educational Research</w:t>
      </w:r>
      <w:r>
        <w:rPr>
          <w:rFonts w:cs="Arial" w:ascii="Arial" w:hAnsi="Arial"/>
        </w:rPr>
        <w:t>, </w:t>
      </w:r>
      <w:r>
        <w:rPr>
          <w:rFonts w:cs="Arial" w:ascii="Arial" w:hAnsi="Arial"/>
          <w:i/>
          <w:iCs/>
        </w:rPr>
        <w:t>62</w:t>
      </w:r>
      <w:r>
        <w:rPr>
          <w:rFonts w:cs="Arial" w:ascii="Arial" w:hAnsi="Arial"/>
        </w:rPr>
        <w:t>(1), pp.46-62.</w:t>
      </w:r>
    </w:p>
    <w:p>
      <w:pPr>
        <w:pStyle w:val="Normal"/>
        <w:rPr>
          <w:rFonts w:ascii="Arial" w:hAnsi="Arial" w:cs="Arial"/>
        </w:rPr>
      </w:pPr>
      <w:r>
        <w:rPr>
          <w:rFonts w:cs="Arial" w:ascii="Arial" w:hAnsi="Arial"/>
        </w:rPr>
        <w:t>Mustafa, B. and Lleshi, S., 2024. The impact of lifelong learning and investments in employee development on employee productivity and performance. </w:t>
      </w:r>
      <w:r>
        <w:rPr>
          <w:rFonts w:cs="Arial" w:ascii="Arial" w:hAnsi="Arial"/>
          <w:i/>
          <w:iCs/>
        </w:rPr>
        <w:t>Multidisciplinary Reviews</w:t>
      </w:r>
      <w:r>
        <w:rPr>
          <w:rFonts w:cs="Arial" w:ascii="Arial" w:hAnsi="Arial"/>
        </w:rPr>
        <w:t>, </w:t>
      </w:r>
      <w:r>
        <w:rPr>
          <w:rFonts w:cs="Arial" w:ascii="Arial" w:hAnsi="Arial"/>
          <w:i/>
          <w:iCs/>
        </w:rPr>
        <w:t>7</w:t>
      </w:r>
      <w:r>
        <w:rPr>
          <w:rFonts w:cs="Arial" w:ascii="Arial" w:hAnsi="Arial"/>
        </w:rPr>
        <w:t>(8), pp.2024175-2024175.</w:t>
      </w:r>
    </w:p>
    <w:p>
      <w:pPr>
        <w:pStyle w:val="Normal"/>
        <w:rPr>
          <w:rFonts w:ascii="Arial" w:hAnsi="Arial" w:cs="Arial"/>
        </w:rPr>
      </w:pPr>
      <w:r>
        <w:rPr>
          <w:rFonts w:cs="Arial" w:ascii="Arial" w:hAnsi="Arial"/>
        </w:rPr>
        <w:t>Myint, K.T.C., 2025. </w:t>
      </w:r>
      <w:r>
        <w:rPr>
          <w:rFonts w:cs="Arial" w:ascii="Arial" w:hAnsi="Arial"/>
          <w:i/>
          <w:iCs/>
        </w:rPr>
        <w:t>Effect of Supportive Work Environment and Job Autonomy on Innovative Work Behaviour and Job Performance of Naung Yoe Technologies Co., Ltd (Kyi Thar Chan Myint, 2025)</w:t>
      </w:r>
      <w:r>
        <w:rPr>
          <w:rFonts w:cs="Arial" w:ascii="Arial" w:hAnsi="Arial"/>
        </w:rPr>
        <w:t> (Doctoral dissertation, MERAL Portal).</w:t>
      </w:r>
    </w:p>
    <w:p>
      <w:pPr>
        <w:pStyle w:val="Normal"/>
        <w:rPr>
          <w:rFonts w:ascii="Arial" w:hAnsi="Arial" w:cs="Arial"/>
        </w:rPr>
      </w:pPr>
      <w:r>
        <w:rPr>
          <w:rFonts w:cs="Arial" w:ascii="Arial" w:hAnsi="Arial"/>
        </w:rPr>
        <w:t>Nawaz, N., Arunachalam, H., Pathi, B.K. and Gajenderan, V., 2024. The adoption of artificial intelligence in human resources management practices. </w:t>
      </w:r>
      <w:r>
        <w:rPr>
          <w:rFonts w:cs="Arial" w:ascii="Arial" w:hAnsi="Arial"/>
          <w:i/>
          <w:iCs/>
        </w:rPr>
        <w:t>International journal of information management data insights</w:t>
      </w:r>
      <w:r>
        <w:rPr>
          <w:rFonts w:cs="Arial" w:ascii="Arial" w:hAnsi="Arial"/>
        </w:rPr>
        <w:t>, </w:t>
      </w:r>
      <w:r>
        <w:rPr>
          <w:rFonts w:cs="Arial" w:ascii="Arial" w:hAnsi="Arial"/>
          <w:i/>
          <w:iCs/>
        </w:rPr>
        <w:t>4</w:t>
      </w:r>
      <w:r>
        <w:rPr>
          <w:rFonts w:cs="Arial" w:ascii="Arial" w:hAnsi="Arial"/>
        </w:rPr>
        <w:t>(1), p.100208.</w:t>
      </w:r>
    </w:p>
    <w:p>
      <w:pPr>
        <w:pStyle w:val="Normal"/>
        <w:rPr>
          <w:rFonts w:ascii="Arial" w:hAnsi="Arial" w:cs="Arial"/>
        </w:rPr>
      </w:pPr>
      <w:r>
        <w:rPr>
          <w:rFonts w:cs="Arial" w:ascii="Arial" w:hAnsi="Arial"/>
        </w:rPr>
        <w:t>Nili, F. and Tasavori, M., 2022. Linking an autonomy-supportive climate and employee creativity: the influence of intrinsic motivation and company support for creativity. </w:t>
      </w:r>
      <w:r>
        <w:rPr>
          <w:rFonts w:cs="Arial" w:ascii="Arial" w:hAnsi="Arial"/>
          <w:i/>
          <w:iCs/>
        </w:rPr>
        <w:t>European Business Review</w:t>
      </w:r>
      <w:r>
        <w:rPr>
          <w:rFonts w:cs="Arial" w:ascii="Arial" w:hAnsi="Arial"/>
        </w:rPr>
        <w:t>, </w:t>
      </w:r>
      <w:r>
        <w:rPr>
          <w:rFonts w:cs="Arial" w:ascii="Arial" w:hAnsi="Arial"/>
          <w:i/>
          <w:iCs/>
        </w:rPr>
        <w:t>34</w:t>
      </w:r>
      <w:r>
        <w:rPr>
          <w:rFonts w:cs="Arial" w:ascii="Arial" w:hAnsi="Arial"/>
        </w:rPr>
        <w:t>(5), pp.666-688.</w:t>
      </w:r>
    </w:p>
    <w:p>
      <w:pPr>
        <w:pStyle w:val="Normal"/>
        <w:rPr>
          <w:rFonts w:ascii="Arial" w:hAnsi="Arial" w:cs="Arial"/>
        </w:rPr>
      </w:pPr>
      <w:r>
        <w:rPr>
          <w:rFonts w:cs="Arial" w:ascii="Arial" w:hAnsi="Arial"/>
        </w:rPr>
        <w:t>Rajhi, M. and Aljuhmani, H.Y., 2026. Fostering Sustainable Innovation Through Communication Quality: The Sequential Role of Trust in Leadership and Organizational Commitment in Team-Based Enterprises. </w:t>
      </w:r>
      <w:r>
        <w:rPr>
          <w:rFonts w:cs="Arial" w:ascii="Arial" w:hAnsi="Arial"/>
          <w:i/>
          <w:iCs/>
        </w:rPr>
        <w:t>Sustainability</w:t>
      </w:r>
      <w:r>
        <w:rPr>
          <w:rFonts w:cs="Arial" w:ascii="Arial" w:hAnsi="Arial"/>
        </w:rPr>
        <w:t>, </w:t>
      </w:r>
      <w:r>
        <w:rPr>
          <w:rFonts w:cs="Arial" w:ascii="Arial" w:hAnsi="Arial"/>
          <w:i/>
          <w:iCs/>
        </w:rPr>
        <w:t>18</w:t>
      </w:r>
      <w:r>
        <w:rPr>
          <w:rFonts w:cs="Arial" w:ascii="Arial" w:hAnsi="Arial"/>
        </w:rPr>
        <w:t>(2), p.554.</w:t>
      </w:r>
    </w:p>
    <w:p>
      <w:pPr>
        <w:pStyle w:val="Normal"/>
        <w:rPr>
          <w:rFonts w:ascii="Arial" w:hAnsi="Arial" w:cs="Arial"/>
        </w:rPr>
      </w:pPr>
      <w:r>
        <w:rPr>
          <w:rFonts w:cs="Arial" w:ascii="Arial" w:hAnsi="Arial"/>
        </w:rPr>
        <w:t>Ryan, R.M. and Deci, E.L., 2020. Intrinsic and extrinsic motivation from a self-determination theory perspective: Definitions, theory, practices, and future directions. </w:t>
      </w:r>
      <w:r>
        <w:rPr>
          <w:rFonts w:cs="Arial" w:ascii="Arial" w:hAnsi="Arial"/>
          <w:i/>
          <w:iCs/>
        </w:rPr>
        <w:t>Contemporary educational psychology</w:t>
      </w:r>
      <w:r>
        <w:rPr>
          <w:rFonts w:cs="Arial" w:ascii="Arial" w:hAnsi="Arial"/>
        </w:rPr>
        <w:t>, </w:t>
      </w:r>
      <w:r>
        <w:rPr>
          <w:rFonts w:cs="Arial" w:ascii="Arial" w:hAnsi="Arial"/>
          <w:i/>
          <w:iCs/>
        </w:rPr>
        <w:t>61</w:t>
      </w:r>
      <w:r>
        <w:rPr>
          <w:rFonts w:cs="Arial" w:ascii="Arial" w:hAnsi="Arial"/>
        </w:rPr>
        <w:t>, p.101860.</w:t>
      </w:r>
    </w:p>
    <w:p>
      <w:pPr>
        <w:pStyle w:val="Normal"/>
        <w:rPr>
          <w:rFonts w:ascii="Arial" w:hAnsi="Arial" w:cs="Arial"/>
        </w:rPr>
      </w:pPr>
      <w:r>
        <w:rPr>
          <w:rFonts w:cs="Arial" w:ascii="Arial" w:hAnsi="Arial"/>
        </w:rPr>
        <w:t>Sabuhari, R., Sudiro, A., Irawanto, D. and Rahayu, M., 2020. The effects of human resource flexibility, employee competency, organizational culture adaptation and job satisfaction on employee performance. </w:t>
      </w:r>
      <w:r>
        <w:rPr>
          <w:rFonts w:cs="Arial" w:ascii="Arial" w:hAnsi="Arial"/>
          <w:i/>
          <w:iCs/>
        </w:rPr>
        <w:t>Management science letters</w:t>
      </w:r>
      <w:r>
        <w:rPr>
          <w:rFonts w:cs="Arial" w:ascii="Arial" w:hAnsi="Arial"/>
        </w:rPr>
        <w:t>, </w:t>
      </w:r>
      <w:r>
        <w:rPr>
          <w:rFonts w:cs="Arial" w:ascii="Arial" w:hAnsi="Arial"/>
          <w:i/>
          <w:iCs/>
        </w:rPr>
        <w:t>10</w:t>
      </w:r>
      <w:r>
        <w:rPr>
          <w:rFonts w:cs="Arial" w:ascii="Arial" w:hAnsi="Arial"/>
        </w:rPr>
        <w:t>(8), pp.1775-1786.</w:t>
      </w:r>
    </w:p>
    <w:p>
      <w:pPr>
        <w:pStyle w:val="Normal"/>
        <w:rPr>
          <w:rFonts w:ascii="Arial" w:hAnsi="Arial" w:cs="Arial"/>
        </w:rPr>
      </w:pPr>
      <w:r>
        <w:rPr>
          <w:rFonts w:cs="Arial" w:ascii="Arial" w:hAnsi="Arial"/>
        </w:rPr>
        <w:t>Spulbar, L.F. and Mitrache, L.A., 2025. How humans and AI can thrive together in the workplace. </w:t>
      </w:r>
      <w:r>
        <w:rPr>
          <w:rFonts w:cs="Arial" w:ascii="Arial" w:hAnsi="Arial"/>
          <w:i/>
          <w:iCs/>
        </w:rPr>
        <w:t>Revista de Științe Politice. Revue des Sciences Politiques• No</w:t>
      </w:r>
      <w:r>
        <w:rPr>
          <w:rFonts w:cs="Arial" w:ascii="Arial" w:hAnsi="Arial"/>
        </w:rPr>
        <w:t>, </w:t>
      </w:r>
      <w:r>
        <w:rPr>
          <w:rFonts w:cs="Arial" w:ascii="Arial" w:hAnsi="Arial"/>
          <w:i/>
          <w:iCs/>
        </w:rPr>
        <w:t>86</w:t>
      </w:r>
      <w:r>
        <w:rPr>
          <w:rFonts w:cs="Arial" w:ascii="Arial" w:hAnsi="Arial"/>
        </w:rPr>
        <w:t>, pp.274-287.</w:t>
      </w:r>
    </w:p>
    <w:p>
      <w:pPr>
        <w:pStyle w:val="Normal"/>
        <w:rPr>
          <w:rFonts w:ascii="Arial" w:hAnsi="Arial" w:cs="Arial"/>
        </w:rPr>
      </w:pPr>
      <w:r>
        <w:rPr>
          <w:rFonts w:cs="Arial" w:ascii="Arial" w:hAnsi="Arial"/>
        </w:rPr>
        <w:t>Taheri Hosseinkhani, N., 2025. Economic and Social Implications of AI-Driven Automation and Workforce Transformation.</w:t>
      </w:r>
    </w:p>
    <w:p>
      <w:pPr>
        <w:pStyle w:val="Normal"/>
        <w:rPr>
          <w:rFonts w:ascii="Arial" w:hAnsi="Arial" w:cs="Arial"/>
        </w:rPr>
      </w:pPr>
      <w:r>
        <w:rPr>
          <w:rFonts w:cs="Arial" w:ascii="Arial" w:hAnsi="Arial"/>
        </w:rPr>
        <w:t>Van der Walt, F. and Wiese, L., 2025. The role of leadership and values in creating a positive organisational culture. </w:t>
      </w:r>
      <w:r>
        <w:rPr>
          <w:rFonts w:cs="Arial" w:ascii="Arial" w:hAnsi="Arial"/>
          <w:i/>
          <w:iCs/>
        </w:rPr>
        <w:t>South African Journal of Higher Education</w:t>
      </w:r>
      <w:r>
        <w:rPr>
          <w:rFonts w:cs="Arial" w:ascii="Arial" w:hAnsi="Arial"/>
        </w:rPr>
        <w:t>, </w:t>
      </w:r>
      <w:r>
        <w:rPr>
          <w:rFonts w:cs="Arial" w:ascii="Arial" w:hAnsi="Arial"/>
          <w:i/>
          <w:iCs/>
        </w:rPr>
        <w:t>39</w:t>
      </w:r>
      <w:r>
        <w:rPr>
          <w:rFonts w:cs="Arial" w:ascii="Arial" w:hAnsi="Arial"/>
        </w:rPr>
        <w:t>(3), pp.234-249.</w:t>
      </w:r>
    </w:p>
    <w:p>
      <w:pPr>
        <w:pStyle w:val="Normal"/>
        <w:rPr>
          <w:rFonts w:ascii="Arial" w:hAnsi="Arial" w:cs="Arial"/>
        </w:rPr>
      </w:pPr>
      <w:r>
        <w:rPr>
          <w:rFonts w:cs="Arial" w:ascii="Arial" w:hAnsi="Arial"/>
        </w:rPr>
        <w:t>Wu, T., 2022. Digital project management: rapid changes define new working environments. </w:t>
      </w:r>
      <w:r>
        <w:rPr>
          <w:rFonts w:cs="Arial" w:ascii="Arial" w:hAnsi="Arial"/>
          <w:i/>
          <w:iCs/>
        </w:rPr>
        <w:t>Journal of Business Strategy</w:t>
      </w:r>
      <w:r>
        <w:rPr>
          <w:rFonts w:cs="Arial" w:ascii="Arial" w:hAnsi="Arial"/>
        </w:rPr>
        <w:t>, </w:t>
      </w:r>
      <w:r>
        <w:rPr>
          <w:rFonts w:cs="Arial" w:ascii="Arial" w:hAnsi="Arial"/>
          <w:i/>
          <w:iCs/>
        </w:rPr>
        <w:t>43</w:t>
      </w:r>
      <w:r>
        <w:rPr>
          <w:rFonts w:cs="Arial" w:ascii="Arial" w:hAnsi="Arial"/>
        </w:rPr>
        <w:t>(5), pp.323-331.</w:t>
      </w:r>
    </w:p>
    <w:p>
      <w:pPr>
        <w:pStyle w:val="Normal"/>
        <w:rPr>
          <w:rFonts w:ascii="Arial" w:hAnsi="Arial" w:cs="Arial"/>
        </w:rPr>
      </w:pPr>
      <w:r>
        <w:rPr>
          <w:rFonts w:cs="Arial" w:ascii="Arial" w:hAnsi="Arial"/>
        </w:rPr>
        <w:t>Zamiri, M. and Esmaeili, A., 2024. Methods and technologies for supporting knowledge sharing within learning communities: A systematic literature review. </w:t>
      </w:r>
      <w:r>
        <w:rPr>
          <w:rFonts w:cs="Arial" w:ascii="Arial" w:hAnsi="Arial"/>
          <w:i/>
          <w:iCs/>
        </w:rPr>
        <w:t>Administrative Sciences</w:t>
      </w:r>
      <w:r>
        <w:rPr>
          <w:rFonts w:cs="Arial" w:ascii="Arial" w:hAnsi="Arial"/>
        </w:rPr>
        <w:t>, </w:t>
      </w:r>
      <w:r>
        <w:rPr>
          <w:rFonts w:cs="Arial" w:ascii="Arial" w:hAnsi="Arial"/>
          <w:i/>
          <w:iCs/>
        </w:rPr>
        <w:t>14</w:t>
      </w:r>
      <w:r>
        <w:rPr>
          <w:rFonts w:cs="Arial" w:ascii="Arial" w:hAnsi="Arial"/>
        </w:rPr>
        <w:t>(1), p.17.</w:t>
      </w:r>
    </w:p>
    <w:p>
      <w:pPr>
        <w:pStyle w:val="Normal"/>
        <w:spacing w:before="120" w:after="120"/>
        <w:rPr>
          <w:rFonts w:ascii="Arial" w:hAnsi="Arial" w:cs="Arial"/>
        </w:rPr>
      </w:pPr>
      <w:r>
        <w:rPr>
          <w:rFonts w:cs="Arial" w:ascii="Arial" w:hAnsi="Arial"/>
        </w:rPr>
        <w:t>Zamiri, M. and Esmaeili, A., 2024. Methods and technologies for supporting knowledge sharing within learning communities: A systematic literature review. </w:t>
      </w:r>
      <w:r>
        <w:rPr>
          <w:rFonts w:cs="Arial" w:ascii="Arial" w:hAnsi="Arial"/>
          <w:i/>
          <w:iCs/>
        </w:rPr>
        <w:t>Administrative Sciences</w:t>
      </w:r>
      <w:r>
        <w:rPr>
          <w:rFonts w:cs="Arial" w:ascii="Arial" w:hAnsi="Arial"/>
        </w:rPr>
        <w:t>, </w:t>
      </w:r>
      <w:r>
        <w:rPr>
          <w:rFonts w:cs="Arial" w:ascii="Arial" w:hAnsi="Arial"/>
          <w:i/>
          <w:iCs/>
        </w:rPr>
        <w:t>14</w:t>
      </w:r>
      <w:r>
        <w:rPr>
          <w:rFonts w:cs="Arial" w:ascii="Arial" w:hAnsi="Arial"/>
        </w:rPr>
        <w:t>(1), p.17.</w:t>
      </w:r>
    </w:p>
    <w:sectPr>
      <w:headerReference w:type="even" r:id="rId8"/>
      <w:headerReference w:type="default" r:id="rId9"/>
      <w:headerReference w:type="first" r:id="rId10"/>
      <w:footerReference w:type="even" r:id="rId11"/>
      <w:footerReference w:type="default" r:id="rId12"/>
      <w:footerReference w:type="first" r:id="rId13"/>
      <w:type w:val="nextPage"/>
      <w:pgSz w:w="11906" w:h="16838"/>
      <w:pgMar w:left="1440" w:right="1440" w:gutter="0" w:header="708" w:top="1440" w:footer="708" w:bottom="1440"/>
      <w:pgBorders w:display="allPages" w:offsetFrom="page">
        <w:top w:val="double" w:sz="4" w:space="24" w:color="000000"/>
        <w:left w:val="double" w:sz="4" w:space="24" w:color="000000"/>
        <w:bottom w:val="double" w:sz="4" w:space="24" w:color="000000"/>
        <w:right w:val="double" w:sz="4" w:space="24" w:color="000000"/>
      </w:pgBorders>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Aptos">
    <w:charset w:val="00" w:characterSet="windows-1252"/>
    <w:family w:val="roman"/>
    <w:pitch w:val="variable"/>
  </w:font>
  <w:font w:name="Aptos Display">
    <w:charset w:val="00" w:characterSet="windows-1252"/>
    <w:family w:val="roman"/>
    <w:pitch w:val="variable"/>
  </w:font>
  <w:font w:name="Liberation Sans">
    <w:altName w:val="Arial"/>
    <w:charset w:val="00" w:characterSet="windows-1252"/>
    <w:family w:val="swiss"/>
    <w:pitch w:val="variable"/>
  </w:font>
  <w:font w:name="Arial">
    <w:charset w:val="01"/>
    <w:family w:val="swiss"/>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560221524"/>
      <w:docPartObj>
        <w:docPartGallery w:val="Page Numbers (Bottom of Page)"/>
        <w:docPartUnique w:val="true"/>
      </w:docPartObj>
    </w:sdtPr>
    <w:sdtContent>
      <w:p>
        <w:pPr>
          <w:pStyle w:val="Footer"/>
          <w:jc w:val="center"/>
          <w:rPr/>
        </w:pPr>
        <w:r>
          <w:rPr/>
          <w:fldChar w:fldCharType="begin"/>
        </w:r>
        <w:r>
          <w:rPr/>
          <w:instrText xml:space="preserve"> PAGE </w:instrText>
        </w:r>
        <w:r>
          <w:rPr/>
          <w:fldChar w:fldCharType="separate"/>
        </w:r>
        <w:r>
          <w:rPr/>
          <w:t>15</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id w:val="560221524"/>
      <w:docPartObj>
        <w:docPartGallery w:val="Page Numbers (Bottom of Page)"/>
        <w:docPartUnique w:val="true"/>
      </w:docPartObj>
    </w:sdtPr>
    <w:sdtContent>
      <w:p>
        <w:pPr>
          <w:pStyle w:val="Footer"/>
          <w:jc w:val="center"/>
          <w:rPr/>
        </w:pPr>
        <w:r>
          <w:rPr/>
          <w:fldChar w:fldCharType="begin"/>
        </w:r>
        <w:r>
          <w:rPr/>
          <w:instrText xml:space="preserve"> PAGE </w:instrText>
        </w:r>
        <w:r>
          <w:rPr/>
          <w:fldChar w:fldCharType="separate"/>
        </w:r>
        <w:r>
          <w:rPr/>
          <w:t>15</w:t>
        </w:r>
        <w:r>
          <w:rPr/>
          <w:fldChar w:fldCharType="end"/>
        </w:r>
      </w:p>
    </w:sdtContent>
  </w:sdt>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drawing>
        <wp:anchor distT="0" distB="0" distL="114300" distR="114300" simplePos="0" relativeHeight="19" behindDoc="0" locked="0" layoutInCell="0" allowOverlap="1">
          <wp:simplePos x="0" y="0"/>
          <wp:positionH relativeFrom="column">
            <wp:posOffset>4991100</wp:posOffset>
          </wp:positionH>
          <wp:positionV relativeFrom="paragraph">
            <wp:posOffset>-106680</wp:posOffset>
          </wp:positionV>
          <wp:extent cx="1380490" cy="576580"/>
          <wp:effectExtent l="0" t="0" r="0" b="0"/>
          <wp:wrapTight wrapText="bothSides">
            <wp:wrapPolygon edited="0">
              <wp:start x="1" y="0"/>
              <wp:lineTo x="1" y="20697"/>
              <wp:lineTo x="21161" y="20697"/>
              <wp:lineTo x="21161" y="0"/>
              <wp:lineTo x="1" y="0"/>
            </wp:wrapPolygon>
          </wp:wrapTight>
          <wp:docPr id="6" name="Image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 descr="University of Wales Trinity Saint David launches new digital healthcare  course - Digital Health and Care Wales"/>
                  <pic:cNvPicPr>
                    <a:picLocks noChangeAspect="1" noChangeArrowheads="1"/>
                  </pic:cNvPicPr>
                </pic:nvPicPr>
                <pic:blipFill>
                  <a:blip r:embed="rId1"/>
                  <a:stretch>
                    <a:fillRect/>
                  </a:stretch>
                </pic:blipFill>
                <pic:spPr bwMode="auto">
                  <a:xfrm>
                    <a:off x="0" y="0"/>
                    <a:ext cx="1380490" cy="576580"/>
                  </a:xfrm>
                  <a:prstGeom prst="rect">
                    <a:avLst/>
                  </a:prstGeom>
                  <a:noFill/>
                </pic:spPr>
              </pic:pic>
            </a:graphicData>
          </a:graphic>
        </wp:anchor>
      </w:drawing>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drawing>
        <wp:anchor distT="0" distB="0" distL="114300" distR="114300" simplePos="0" relativeHeight="19" behindDoc="0" locked="0" layoutInCell="0" allowOverlap="1">
          <wp:simplePos x="0" y="0"/>
          <wp:positionH relativeFrom="column">
            <wp:posOffset>4991100</wp:posOffset>
          </wp:positionH>
          <wp:positionV relativeFrom="paragraph">
            <wp:posOffset>-106680</wp:posOffset>
          </wp:positionV>
          <wp:extent cx="1380490" cy="576580"/>
          <wp:effectExtent l="0" t="0" r="0" b="0"/>
          <wp:wrapTight wrapText="bothSides">
            <wp:wrapPolygon edited="0">
              <wp:start x="1" y="0"/>
              <wp:lineTo x="1" y="20697"/>
              <wp:lineTo x="21161" y="20697"/>
              <wp:lineTo x="21161" y="0"/>
              <wp:lineTo x="1" y="0"/>
            </wp:wrapPolygon>
          </wp:wrapTight>
          <wp:docPr id="7" name="Image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 descr="University of Wales Trinity Saint David launches new digital healthcare  course - Digital Health and Care Wales"/>
                  <pic:cNvPicPr>
                    <a:picLocks noChangeAspect="1" noChangeArrowheads="1"/>
                  </pic:cNvPicPr>
                </pic:nvPicPr>
                <pic:blipFill>
                  <a:blip r:embed="rId1"/>
                  <a:stretch>
                    <a:fillRect/>
                  </a:stretch>
                </pic:blipFill>
                <pic:spPr bwMode="auto">
                  <a:xfrm>
                    <a:off x="0" y="0"/>
                    <a:ext cx="1380490" cy="576580"/>
                  </a:xfrm>
                  <a:prstGeom prst="rect">
                    <a:avLst/>
                  </a:prstGeom>
                  <a:noFill/>
                </pic:spPr>
              </pic:pic>
            </a:graphicData>
          </a:graphic>
        </wp:anchor>
      </w:drawing>
    </w:r>
  </w:p>
</w:hdr>
</file>

<file path=word/settings.xml><?xml version="1.0" encoding="utf-8"?>
<w:settings xmlns:w="http://schemas.openxmlformats.org/wordprocessingml/2006/main">
  <w:zoom w:percent="75"/>
  <w:defaultTabStop w:val="720"/>
  <w:autoHyphenation w:val="true"/>
  <w:hyphenationZone w:val="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AyMDa3MLUwNDU0MjBQ0lEKTi0uzszPAykwrAUAh8mMViwAAAA="/>
  </w:docVars>
  <w:themeFontLang w:val="en-IN"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ptos" w:hAnsi="Aptos" w:eastAsia="Times New Roman" w:cs="" w:asciiTheme="minorHAnsi" w:cstheme="minorBidi" w:hAnsiTheme="minorHAnsi"/>
        <w:sz w:val="22"/>
        <w:szCs w:val="22"/>
        <w:lang w:val="en-IN" w:eastAsia="en-US"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24fd6"/>
    <w:pPr>
      <w:widowControl/>
      <w:suppressAutoHyphens w:val="true"/>
      <w:bidi w:val="0"/>
      <w:spacing w:lineRule="auto" w:line="360" w:before="120" w:after="120"/>
      <w:jc w:val="both"/>
    </w:pPr>
    <w:rPr>
      <w:rFonts w:ascii="Times New Roman" w:hAnsi="Times New Roman" w:eastAsia="Times New Roman" w:cs="Times New Roman"/>
      <w:color w:val="auto"/>
      <w:kern w:val="0"/>
      <w:sz w:val="24"/>
      <w:szCs w:val="24"/>
      <w:lang w:val="en-IN" w:eastAsia="en-GB" w:bidi="ar-SA"/>
    </w:rPr>
  </w:style>
  <w:style w:type="paragraph" w:styleId="Heading1">
    <w:name w:val="heading 1"/>
    <w:basedOn w:val="Normal"/>
    <w:next w:val="Normal"/>
    <w:link w:val="Heading1Char"/>
    <w:uiPriority w:val="9"/>
    <w:qFormat/>
    <w:rsid w:val="002260e5"/>
    <w:pPr>
      <w:keepNext w:val="true"/>
      <w:keepLines/>
      <w:outlineLvl w:val="0"/>
    </w:pPr>
    <w:rPr>
      <w:rFonts w:eastAsia="" w:cs="" w:cstheme="majorBidi" w:eastAsiaTheme="majorEastAsia"/>
      <w:b/>
      <w:color w:themeColor="text1" w:val="000000"/>
      <w:szCs w:val="40"/>
    </w:rPr>
  </w:style>
  <w:style w:type="paragraph" w:styleId="Heading2">
    <w:name w:val="heading 2"/>
    <w:basedOn w:val="Normal"/>
    <w:next w:val="Normal"/>
    <w:link w:val="Heading2Char"/>
    <w:uiPriority w:val="9"/>
    <w:unhideWhenUsed/>
    <w:qFormat/>
    <w:rsid w:val="0039134c"/>
    <w:pPr>
      <w:keepNext w:val="true"/>
      <w:keepLines/>
      <w:outlineLvl w:val="1"/>
    </w:pPr>
    <w:rPr>
      <w:rFonts w:eastAsia="" w:cs="" w:cstheme="majorBidi" w:eastAsiaTheme="majorEastAsia"/>
      <w:szCs w:val="32"/>
      <w:u w:val="single"/>
      <w:lang w:eastAsia="en-US"/>
    </w:rPr>
  </w:style>
  <w:style w:type="paragraph" w:styleId="Heading3">
    <w:name w:val="heading 3"/>
    <w:basedOn w:val="Normal"/>
    <w:next w:val="Normal"/>
    <w:link w:val="Heading3Char"/>
    <w:uiPriority w:val="9"/>
    <w:unhideWhenUsed/>
    <w:qFormat/>
    <w:rsid w:val="00600139"/>
    <w:pPr>
      <w:keepNext w:val="true"/>
      <w:keepLines/>
      <w:outlineLvl w:val="2"/>
    </w:pPr>
    <w:rPr>
      <w:rFonts w:eastAsia="" w:cs="" w:cstheme="majorBidi" w:eastAsiaTheme="majorEastAsia"/>
      <w:b/>
      <w:i/>
      <w:color w:themeColor="text1" w:val="000000"/>
      <w:szCs w:val="28"/>
    </w:rPr>
  </w:style>
  <w:style w:type="paragraph" w:styleId="Heading4">
    <w:name w:val="heading 4"/>
    <w:basedOn w:val="Normal"/>
    <w:next w:val="Normal"/>
    <w:link w:val="Heading4Char"/>
    <w:uiPriority w:val="9"/>
    <w:semiHidden/>
    <w:unhideWhenUsed/>
    <w:qFormat/>
    <w:rsid w:val="006f5461"/>
    <w:pPr>
      <w:keepNext w:val="true"/>
      <w:keepLines/>
      <w:spacing w:before="80" w:after="40"/>
      <w:outlineLvl w:val="3"/>
    </w:pPr>
    <w:rPr>
      <w:rFonts w:ascii="Aptos" w:hAnsi="Aptos" w:eastAsia="" w:cs="" w:asciiTheme="minorHAnsi" w:cstheme="majorBidi" w:eastAsiaTheme="majorEastAsia" w:hAnsiTheme="minorHAnsi"/>
      <w:i/>
      <w:iCs/>
      <w:color w:themeColor="accent1" w:themeShade="bf" w:val="0F4761"/>
    </w:rPr>
  </w:style>
  <w:style w:type="paragraph" w:styleId="Heading5">
    <w:name w:val="heading 5"/>
    <w:basedOn w:val="Normal"/>
    <w:next w:val="Normal"/>
    <w:link w:val="Heading5Char"/>
    <w:uiPriority w:val="9"/>
    <w:semiHidden/>
    <w:unhideWhenUsed/>
    <w:qFormat/>
    <w:rsid w:val="006f5461"/>
    <w:pPr>
      <w:keepNext w:val="true"/>
      <w:keepLines/>
      <w:spacing w:before="80" w:after="40"/>
      <w:outlineLvl w:val="4"/>
    </w:pPr>
    <w:rPr>
      <w:rFonts w:ascii="Aptos" w:hAnsi="Aptos" w:eastAsia="" w:cs="" w:asciiTheme="minorHAnsi" w:cstheme="majorBidi" w:eastAsiaTheme="majorEastAsia" w:hAnsiTheme="minorHAnsi"/>
      <w:color w:themeColor="accent1" w:themeShade="bf" w:val="0F4761"/>
    </w:rPr>
  </w:style>
  <w:style w:type="paragraph" w:styleId="Heading6">
    <w:name w:val="heading 6"/>
    <w:basedOn w:val="Normal"/>
    <w:next w:val="Normal"/>
    <w:link w:val="Heading6Char"/>
    <w:uiPriority w:val="9"/>
    <w:semiHidden/>
    <w:unhideWhenUsed/>
    <w:qFormat/>
    <w:rsid w:val="006f5461"/>
    <w:pPr>
      <w:keepNext w:val="true"/>
      <w:keepLines/>
      <w:spacing w:before="40" w:after="0"/>
      <w:outlineLvl w:val="5"/>
    </w:pPr>
    <w:rPr>
      <w:rFonts w:ascii="Aptos" w:hAnsi="Aptos" w:eastAsia="" w:cs="" w:asciiTheme="minorHAnsi" w:cstheme="majorBidi" w:eastAsiaTheme="majorEastAsia" w:hAnsiTheme="minorHAnsi"/>
      <w:i/>
      <w:iCs/>
      <w:color w:themeColor="text1" w:themeTint="a6" w:val="595959"/>
    </w:rPr>
  </w:style>
  <w:style w:type="paragraph" w:styleId="Heading7">
    <w:name w:val="heading 7"/>
    <w:basedOn w:val="Normal"/>
    <w:next w:val="Normal"/>
    <w:link w:val="Heading7Char"/>
    <w:uiPriority w:val="9"/>
    <w:semiHidden/>
    <w:unhideWhenUsed/>
    <w:qFormat/>
    <w:rsid w:val="006f5461"/>
    <w:pPr>
      <w:keepNext w:val="true"/>
      <w:keepLines/>
      <w:spacing w:before="40" w:after="0"/>
      <w:outlineLvl w:val="6"/>
    </w:pPr>
    <w:rPr>
      <w:rFonts w:ascii="Aptos" w:hAnsi="Aptos" w:eastAsia="" w:cs="" w:asciiTheme="minorHAnsi" w:cstheme="majorBidi" w:eastAsiaTheme="majorEastAsia" w:hAnsiTheme="minorHAnsi"/>
      <w:color w:themeColor="text1" w:themeTint="a6" w:val="595959"/>
    </w:rPr>
  </w:style>
  <w:style w:type="paragraph" w:styleId="Heading8">
    <w:name w:val="heading 8"/>
    <w:basedOn w:val="Normal"/>
    <w:next w:val="Normal"/>
    <w:link w:val="Heading8Char"/>
    <w:uiPriority w:val="9"/>
    <w:semiHidden/>
    <w:unhideWhenUsed/>
    <w:qFormat/>
    <w:rsid w:val="006f5461"/>
    <w:pPr>
      <w:keepNext w:val="true"/>
      <w:keepLines/>
      <w:spacing w:before="0" w:after="0"/>
      <w:outlineLvl w:val="7"/>
    </w:pPr>
    <w:rPr>
      <w:rFonts w:ascii="Aptos" w:hAnsi="Aptos" w:eastAsia="" w:cs="" w:asciiTheme="minorHAnsi" w:cstheme="majorBidi" w:eastAsiaTheme="majorEastAsia" w:hAnsiTheme="minorHAnsi"/>
      <w:i/>
      <w:iCs/>
      <w:color w:themeColor="text1" w:themeTint="d8" w:val="272727"/>
    </w:rPr>
  </w:style>
  <w:style w:type="paragraph" w:styleId="Heading9">
    <w:name w:val="heading 9"/>
    <w:basedOn w:val="Normal"/>
    <w:next w:val="Normal"/>
    <w:link w:val="Heading9Char"/>
    <w:uiPriority w:val="9"/>
    <w:semiHidden/>
    <w:unhideWhenUsed/>
    <w:qFormat/>
    <w:rsid w:val="006f5461"/>
    <w:pPr>
      <w:keepNext w:val="true"/>
      <w:keepLines/>
      <w:spacing w:before="0" w:after="0"/>
      <w:outlineLvl w:val="8"/>
    </w:pPr>
    <w:rPr>
      <w:rFonts w:ascii="Aptos" w:hAnsi="Aptos" w:eastAsia="" w:cs="" w:asciiTheme="minorHAnsi" w:cstheme="majorBidi" w:eastAsiaTheme="majorEastAsia" w:hAnsiTheme="minorHAnsi"/>
      <w:color w:themeColor="text1" w:themeTint="d8" w:val="272727"/>
    </w:rPr>
  </w:style>
  <w:style w:type="character" w:styleId="DefaultParagraphFont" w:default="1">
    <w:name w:val="Default Paragraph Font"/>
    <w:uiPriority w:val="1"/>
    <w:unhideWhenUsed/>
    <w:qFormat/>
    <w:rPr/>
  </w:style>
  <w:style w:type="character" w:styleId="Heading1Char" w:customStyle="1">
    <w:name w:val="Heading 1 Char"/>
    <w:basedOn w:val="DefaultParagraphFont"/>
    <w:link w:val="Heading1"/>
    <w:uiPriority w:val="9"/>
    <w:qFormat/>
    <w:rsid w:val="002260e5"/>
    <w:rPr>
      <w:rFonts w:ascii="Times New Roman" w:hAnsi="Times New Roman" w:eastAsia="" w:cs="" w:cstheme="majorBidi" w:eastAsiaTheme="majorEastAsia"/>
      <w:b/>
      <w:color w:themeColor="text1" w:val="000000"/>
      <w:sz w:val="24"/>
      <w:szCs w:val="40"/>
    </w:rPr>
  </w:style>
  <w:style w:type="character" w:styleId="Heading2Char" w:customStyle="1">
    <w:name w:val="Heading 2 Char"/>
    <w:basedOn w:val="DefaultParagraphFont"/>
    <w:link w:val="Heading2"/>
    <w:uiPriority w:val="9"/>
    <w:qFormat/>
    <w:rsid w:val="0039134c"/>
    <w:rPr>
      <w:rFonts w:ascii="Times New Roman" w:hAnsi="Times New Roman" w:eastAsia="" w:cs="" w:cstheme="majorBidi" w:eastAsiaTheme="majorEastAsia"/>
      <w:sz w:val="24"/>
      <w:szCs w:val="32"/>
      <w:u w:val="single"/>
    </w:rPr>
  </w:style>
  <w:style w:type="character" w:styleId="BodyTextChar" w:customStyle="1">
    <w:name w:val="Body Text Char"/>
    <w:basedOn w:val="DefaultParagraphFont"/>
    <w:uiPriority w:val="1"/>
    <w:qFormat/>
    <w:rsid w:val="00c77653"/>
    <w:rPr>
      <w:rFonts w:ascii="Times New Roman" w:hAnsi="Times New Roman" w:eastAsia="Times New Roman" w:cs="Times New Roman"/>
      <w:lang w:val="en-US"/>
    </w:rPr>
  </w:style>
  <w:style w:type="character" w:styleId="Heading3Char" w:customStyle="1">
    <w:name w:val="Heading 3 Char"/>
    <w:basedOn w:val="DefaultParagraphFont"/>
    <w:link w:val="Heading3"/>
    <w:uiPriority w:val="9"/>
    <w:qFormat/>
    <w:rsid w:val="00600139"/>
    <w:rPr>
      <w:rFonts w:ascii="Times New Roman" w:hAnsi="Times New Roman" w:eastAsia="" w:cs="" w:cstheme="majorBidi" w:eastAsiaTheme="majorEastAsia"/>
      <w:b/>
      <w:i/>
      <w:color w:themeColor="text1" w:val="000000"/>
      <w:kern w:val="2"/>
      <w:sz w:val="24"/>
      <w:szCs w:val="28"/>
      <w14:ligatures w14:val="standardContextual"/>
    </w:rPr>
  </w:style>
  <w:style w:type="character" w:styleId="Heading4Char" w:customStyle="1">
    <w:name w:val="Heading 4 Char"/>
    <w:basedOn w:val="DefaultParagraphFont"/>
    <w:link w:val="Heading4"/>
    <w:uiPriority w:val="9"/>
    <w:semiHidden/>
    <w:qFormat/>
    <w:rsid w:val="006f5461"/>
    <w:rPr>
      <w:rFonts w:eastAsia="" w:cs="" w:cstheme="majorBidi" w:eastAsiaTheme="majorEastAsia"/>
      <w:i/>
      <w:iCs/>
      <w:color w:themeColor="accent1" w:themeShade="bf" w:val="0F4761"/>
      <w:sz w:val="24"/>
      <w:szCs w:val="24"/>
      <w:lang w:eastAsia="en-GB"/>
    </w:rPr>
  </w:style>
  <w:style w:type="character" w:styleId="Heading5Char" w:customStyle="1">
    <w:name w:val="Heading 5 Char"/>
    <w:basedOn w:val="DefaultParagraphFont"/>
    <w:link w:val="Heading5"/>
    <w:uiPriority w:val="9"/>
    <w:semiHidden/>
    <w:qFormat/>
    <w:rsid w:val="006f5461"/>
    <w:rPr>
      <w:rFonts w:eastAsia="" w:cs="" w:cstheme="majorBidi" w:eastAsiaTheme="majorEastAsia"/>
      <w:color w:themeColor="accent1" w:themeShade="bf" w:val="0F4761"/>
      <w:sz w:val="24"/>
      <w:szCs w:val="24"/>
      <w:lang w:eastAsia="en-GB"/>
    </w:rPr>
  </w:style>
  <w:style w:type="character" w:styleId="Heading6Char" w:customStyle="1">
    <w:name w:val="Heading 6 Char"/>
    <w:basedOn w:val="DefaultParagraphFont"/>
    <w:link w:val="Heading6"/>
    <w:uiPriority w:val="9"/>
    <w:semiHidden/>
    <w:qFormat/>
    <w:rsid w:val="006f5461"/>
    <w:rPr>
      <w:rFonts w:eastAsia="" w:cs="" w:cstheme="majorBidi" w:eastAsiaTheme="majorEastAsia"/>
      <w:i/>
      <w:iCs/>
      <w:color w:themeColor="text1" w:themeTint="a6" w:val="595959"/>
      <w:sz w:val="24"/>
      <w:szCs w:val="24"/>
      <w:lang w:eastAsia="en-GB"/>
    </w:rPr>
  </w:style>
  <w:style w:type="character" w:styleId="Heading7Char" w:customStyle="1">
    <w:name w:val="Heading 7 Char"/>
    <w:basedOn w:val="DefaultParagraphFont"/>
    <w:link w:val="Heading7"/>
    <w:uiPriority w:val="9"/>
    <w:semiHidden/>
    <w:qFormat/>
    <w:rsid w:val="006f5461"/>
    <w:rPr>
      <w:rFonts w:eastAsia="" w:cs="" w:cstheme="majorBidi" w:eastAsiaTheme="majorEastAsia"/>
      <w:color w:themeColor="text1" w:themeTint="a6" w:val="595959"/>
      <w:sz w:val="24"/>
      <w:szCs w:val="24"/>
      <w:lang w:eastAsia="en-GB"/>
    </w:rPr>
  </w:style>
  <w:style w:type="character" w:styleId="Heading8Char" w:customStyle="1">
    <w:name w:val="Heading 8 Char"/>
    <w:basedOn w:val="DefaultParagraphFont"/>
    <w:link w:val="Heading8"/>
    <w:uiPriority w:val="9"/>
    <w:semiHidden/>
    <w:qFormat/>
    <w:rsid w:val="006f5461"/>
    <w:rPr>
      <w:rFonts w:eastAsia="" w:cs="" w:cstheme="majorBidi" w:eastAsiaTheme="majorEastAsia"/>
      <w:i/>
      <w:iCs/>
      <w:color w:themeColor="text1" w:themeTint="d8" w:val="272727"/>
      <w:sz w:val="24"/>
      <w:szCs w:val="24"/>
      <w:lang w:eastAsia="en-GB"/>
    </w:rPr>
  </w:style>
  <w:style w:type="character" w:styleId="Heading9Char" w:customStyle="1">
    <w:name w:val="Heading 9 Char"/>
    <w:basedOn w:val="DefaultParagraphFont"/>
    <w:link w:val="Heading9"/>
    <w:uiPriority w:val="9"/>
    <w:semiHidden/>
    <w:qFormat/>
    <w:rsid w:val="006f5461"/>
    <w:rPr>
      <w:rFonts w:eastAsia="" w:cs="" w:cstheme="majorBidi" w:eastAsiaTheme="majorEastAsia"/>
      <w:color w:themeColor="text1" w:themeTint="d8" w:val="272727"/>
      <w:sz w:val="24"/>
      <w:szCs w:val="24"/>
      <w:lang w:eastAsia="en-GB"/>
    </w:rPr>
  </w:style>
  <w:style w:type="character" w:styleId="TitleChar" w:customStyle="1">
    <w:name w:val="Title Char"/>
    <w:basedOn w:val="DefaultParagraphFont"/>
    <w:link w:val="Title"/>
    <w:uiPriority w:val="10"/>
    <w:qFormat/>
    <w:rsid w:val="006f5461"/>
    <w:rPr>
      <w:rFonts w:ascii="Aptos Display" w:hAnsi="Aptos Display" w:eastAsia="" w:cs="" w:asciiTheme="majorHAnsi" w:cstheme="majorBidi" w:eastAsiaTheme="majorEastAsia" w:hAnsiTheme="majorHAnsi"/>
      <w:spacing w:val="-10"/>
      <w:kern w:val="2"/>
      <w:sz w:val="56"/>
      <w:szCs w:val="56"/>
      <w:lang w:eastAsia="en-GB"/>
    </w:rPr>
  </w:style>
  <w:style w:type="character" w:styleId="SubtitleChar" w:customStyle="1">
    <w:name w:val="Subtitle Char"/>
    <w:basedOn w:val="DefaultParagraphFont"/>
    <w:link w:val="Subtitle"/>
    <w:uiPriority w:val="11"/>
    <w:qFormat/>
    <w:rsid w:val="006f5461"/>
    <w:rPr>
      <w:rFonts w:eastAsia="" w:cs="" w:cstheme="majorBidi" w:eastAsiaTheme="majorEastAsia"/>
      <w:color w:themeColor="text1" w:themeTint="a6" w:val="595959"/>
      <w:spacing w:val="15"/>
      <w:sz w:val="28"/>
      <w:szCs w:val="28"/>
      <w:lang w:eastAsia="en-GB"/>
    </w:rPr>
  </w:style>
  <w:style w:type="character" w:styleId="QuoteChar" w:customStyle="1">
    <w:name w:val="Quote Char"/>
    <w:basedOn w:val="DefaultParagraphFont"/>
    <w:link w:val="Quote"/>
    <w:uiPriority w:val="29"/>
    <w:qFormat/>
    <w:rsid w:val="006f5461"/>
    <w:rPr>
      <w:rFonts w:ascii="Times New Roman" w:hAnsi="Times New Roman" w:cs="Times New Roman"/>
      <w:i/>
      <w:iCs/>
      <w:color w:themeColor="text1" w:themeTint="bf" w:val="404040"/>
      <w:sz w:val="24"/>
      <w:szCs w:val="24"/>
      <w:lang w:eastAsia="en-GB"/>
    </w:rPr>
  </w:style>
  <w:style w:type="character" w:styleId="IntenseEmphasis">
    <w:name w:val="Intense Emphasis"/>
    <w:basedOn w:val="DefaultParagraphFont"/>
    <w:uiPriority w:val="21"/>
    <w:qFormat/>
    <w:rsid w:val="006f5461"/>
    <w:rPr>
      <w:i/>
      <w:iCs/>
      <w:color w:themeColor="accent1" w:themeShade="bf" w:val="0F4761"/>
    </w:rPr>
  </w:style>
  <w:style w:type="character" w:styleId="IntenseQuoteChar" w:customStyle="1">
    <w:name w:val="Intense Quote Char"/>
    <w:basedOn w:val="DefaultParagraphFont"/>
    <w:link w:val="IntenseQuote"/>
    <w:uiPriority w:val="30"/>
    <w:qFormat/>
    <w:rsid w:val="006f5461"/>
    <w:rPr>
      <w:rFonts w:ascii="Times New Roman" w:hAnsi="Times New Roman" w:cs="Times New Roman"/>
      <w:i/>
      <w:iCs/>
      <w:color w:themeColor="accent1" w:themeShade="bf" w:val="0F4761"/>
      <w:sz w:val="24"/>
      <w:szCs w:val="24"/>
      <w:lang w:eastAsia="en-GB"/>
    </w:rPr>
  </w:style>
  <w:style w:type="character" w:styleId="IntenseReference">
    <w:name w:val="Intense Reference"/>
    <w:basedOn w:val="DefaultParagraphFont"/>
    <w:uiPriority w:val="32"/>
    <w:qFormat/>
    <w:rsid w:val="006f5461"/>
    <w:rPr>
      <w:b/>
      <w:bCs/>
      <w:smallCaps/>
      <w:color w:themeColor="accent1" w:themeShade="bf" w:val="0F4761"/>
      <w:spacing w:val="5"/>
    </w:rPr>
  </w:style>
  <w:style w:type="character" w:styleId="bzpyqfadein" w:customStyle="1">
    <w:name w:val="bz_pyq_fadein"/>
    <w:basedOn w:val="DefaultParagraphFont"/>
    <w:qFormat/>
    <w:rsid w:val="006f5461"/>
    <w:rPr/>
  </w:style>
  <w:style w:type="character" w:styleId="Hyperlink">
    <w:name w:val="Hyperlink"/>
    <w:basedOn w:val="DefaultParagraphFont"/>
    <w:uiPriority w:val="99"/>
    <w:unhideWhenUsed/>
    <w:rsid w:val="005e5d27"/>
    <w:rPr>
      <w:color w:themeColor="hyperlink" w:val="467886"/>
      <w:u w:val="single"/>
    </w:rPr>
  </w:style>
  <w:style w:type="character" w:styleId="HeaderChar" w:customStyle="1">
    <w:name w:val="Header Char"/>
    <w:basedOn w:val="DefaultParagraphFont"/>
    <w:link w:val="Header"/>
    <w:uiPriority w:val="99"/>
    <w:qFormat/>
    <w:rsid w:val="00fd04f1"/>
    <w:rPr>
      <w:rFonts w:ascii="Times New Roman" w:hAnsi="Times New Roman" w:cs="Times New Roman"/>
      <w:sz w:val="24"/>
      <w:szCs w:val="24"/>
      <w:lang w:eastAsia="en-GB"/>
    </w:rPr>
  </w:style>
  <w:style w:type="character" w:styleId="FooterChar" w:customStyle="1">
    <w:name w:val="Footer Char"/>
    <w:basedOn w:val="DefaultParagraphFont"/>
    <w:link w:val="Footer"/>
    <w:uiPriority w:val="99"/>
    <w:qFormat/>
    <w:rsid w:val="00fd04f1"/>
    <w:rPr>
      <w:rFonts w:ascii="Times New Roman" w:hAnsi="Times New Roman" w:cs="Times New Roman"/>
      <w:sz w:val="24"/>
      <w:szCs w:val="24"/>
      <w:lang w:eastAsia="en-GB"/>
    </w:rPr>
  </w:style>
  <w:style w:type="character" w:styleId="Strong">
    <w:name w:val="Strong"/>
    <w:basedOn w:val="DefaultParagraphFont"/>
    <w:uiPriority w:val="22"/>
    <w:qFormat/>
    <w:rsid w:val="006a4f0d"/>
    <w:rPr>
      <w:b/>
      <w:bCs/>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Microsoft YaHei" w:cs="Lucida Sans"/>
      <w:sz w:val="28"/>
      <w:szCs w:val="28"/>
    </w:rPr>
  </w:style>
  <w:style w:type="paragraph" w:styleId="BodyText">
    <w:name w:val="Body Text"/>
    <w:basedOn w:val="Normal"/>
    <w:link w:val="BodyTextChar"/>
    <w:uiPriority w:val="1"/>
    <w:qFormat/>
    <w:rsid w:val="00c77653"/>
    <w:pPr>
      <w:widowControl w:val="false"/>
    </w:pPr>
    <w:rPr>
      <w:sz w:val="22"/>
      <w:lang w:val="en-US"/>
    </w:rPr>
  </w:style>
  <w:style w:type="paragraph" w:styleId="List">
    <w:name w:val="List"/>
    <w:basedOn w:val="BodyText"/>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Title">
    <w:name w:val="Title"/>
    <w:basedOn w:val="Normal"/>
    <w:next w:val="Normal"/>
    <w:link w:val="TitleChar"/>
    <w:uiPriority w:val="10"/>
    <w:qFormat/>
    <w:rsid w:val="006f5461"/>
    <w:pPr>
      <w:spacing w:lineRule="auto" w:line="240" w:before="0" w:after="80"/>
      <w:contextualSpacing/>
    </w:pPr>
    <w:rPr>
      <w:rFonts w:ascii="Aptos Display" w:hAnsi="Aptos Display" w:eastAsia="" w:cs="" w:asciiTheme="majorHAnsi" w:cstheme="majorBidi" w:eastAsiaTheme="majorEastAsia" w:hAnsiTheme="majorHAnsi"/>
      <w:spacing w:val="-10"/>
      <w:kern w:val="2"/>
      <w:sz w:val="56"/>
      <w:szCs w:val="56"/>
    </w:rPr>
  </w:style>
  <w:style w:type="paragraph" w:styleId="Subtitle">
    <w:name w:val="Subtitle"/>
    <w:basedOn w:val="Normal"/>
    <w:next w:val="Normal"/>
    <w:link w:val="SubtitleChar"/>
    <w:uiPriority w:val="11"/>
    <w:qFormat/>
    <w:rsid w:val="006f5461"/>
    <w:pPr>
      <w:spacing w:before="120" w:after="160"/>
    </w:pPr>
    <w:rPr>
      <w:rFonts w:ascii="Aptos" w:hAnsi="Aptos" w:eastAsia="" w:cs="" w:asciiTheme="minorHAnsi" w:cstheme="majorBidi" w:eastAsiaTheme="majorEastAsia" w:hAnsiTheme="minorHAnsi"/>
      <w:color w:themeColor="text1" w:themeTint="a6" w:val="595959"/>
      <w:spacing w:val="15"/>
      <w:sz w:val="28"/>
      <w:szCs w:val="28"/>
    </w:rPr>
  </w:style>
  <w:style w:type="paragraph" w:styleId="Quote">
    <w:name w:val="Quote"/>
    <w:basedOn w:val="Normal"/>
    <w:next w:val="Normal"/>
    <w:link w:val="QuoteChar"/>
    <w:uiPriority w:val="29"/>
    <w:qFormat/>
    <w:rsid w:val="006f5461"/>
    <w:pPr>
      <w:spacing w:before="160" w:after="160"/>
      <w:jc w:val="center"/>
    </w:pPr>
    <w:rPr>
      <w:i/>
      <w:iCs/>
      <w:color w:themeColor="text1" w:themeTint="bf" w:val="404040"/>
    </w:rPr>
  </w:style>
  <w:style w:type="paragraph" w:styleId="ListParagraph">
    <w:name w:val="List Paragraph"/>
    <w:basedOn w:val="Normal"/>
    <w:uiPriority w:val="34"/>
    <w:qFormat/>
    <w:rsid w:val="006f5461"/>
    <w:pPr>
      <w:spacing w:before="120" w:after="120"/>
      <w:ind w:start="720"/>
      <w:contextualSpacing/>
    </w:pPr>
    <w:rPr/>
  </w:style>
  <w:style w:type="paragraph" w:styleId="IntenseQuote">
    <w:name w:val="Intense Quote"/>
    <w:basedOn w:val="Normal"/>
    <w:next w:val="Normal"/>
    <w:link w:val="IntenseQuoteChar"/>
    <w:uiPriority w:val="30"/>
    <w:qFormat/>
    <w:rsid w:val="006f5461"/>
    <w:pPr>
      <w:pBdr>
        <w:top w:val="single" w:sz="4" w:space="10" w:color="0F4761" w:themeColor="accent1" w:themeShade="bf"/>
        <w:bottom w:val="single" w:sz="4" w:space="10" w:color="0F4761" w:themeColor="accent1" w:themeShade="bf"/>
      </w:pBdr>
      <w:spacing w:before="360" w:after="360"/>
      <w:ind w:start="864" w:end="864"/>
      <w:jc w:val="center"/>
    </w:pPr>
    <w:rPr>
      <w:i/>
      <w:iCs/>
      <w:color w:themeColor="accent1" w:themeShade="bf" w:val="0F4761"/>
    </w:rPr>
  </w:style>
  <w:style w:type="paragraph" w:styleId="IndexHeading">
    <w:name w:val="index heading"/>
    <w:basedOn w:val="Heading"/>
    <w:pPr/>
    <w:rPr/>
  </w:style>
  <w:style w:type="paragraph" w:styleId="TOCHeading">
    <w:name w:val="TOC Heading"/>
    <w:basedOn w:val="Heading1"/>
    <w:next w:val="Normal"/>
    <w:uiPriority w:val="39"/>
    <w:unhideWhenUsed/>
    <w:qFormat/>
    <w:rsid w:val="005e5d27"/>
    <w:pPr>
      <w:spacing w:lineRule="auto" w:line="259" w:before="240" w:after="0"/>
      <w:jc w:val="start"/>
      <w:outlineLvl w:val="9"/>
    </w:pPr>
    <w:rPr>
      <w:rFonts w:ascii="Aptos Display" w:hAnsi="Aptos Display" w:asciiTheme="majorHAnsi" w:hAnsiTheme="majorHAnsi"/>
      <w:b w:val="false"/>
      <w:color w:themeColor="accent1" w:themeShade="bf" w:val="0F4761"/>
      <w:sz w:val="32"/>
      <w:szCs w:val="32"/>
      <w:lang w:val="en-US" w:eastAsia="en-US"/>
    </w:rPr>
  </w:style>
  <w:style w:type="paragraph" w:styleId="TOC1">
    <w:name w:val="toc 1"/>
    <w:basedOn w:val="Normal"/>
    <w:next w:val="Normal"/>
    <w:autoRedefine/>
    <w:uiPriority w:val="39"/>
    <w:unhideWhenUsed/>
    <w:rsid w:val="005e5d27"/>
    <w:pPr>
      <w:spacing w:before="120" w:after="100"/>
    </w:pPr>
    <w:rPr/>
  </w:style>
  <w:style w:type="paragraph" w:styleId="TOC2">
    <w:name w:val="toc 2"/>
    <w:basedOn w:val="Normal"/>
    <w:next w:val="Normal"/>
    <w:autoRedefine/>
    <w:uiPriority w:val="39"/>
    <w:unhideWhenUsed/>
    <w:rsid w:val="005e5d27"/>
    <w:pPr>
      <w:spacing w:before="120" w:after="100"/>
      <w:ind w:start="24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fd04f1"/>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fd04f1"/>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GridTable5Dark-Accent6">
    <w:name w:val="Grid Table 5 Dark Accent 6"/>
    <w:basedOn w:val="TableNormal"/>
    <w:uiPriority w:val="50"/>
    <w:rsid w:val="006a4f0d"/>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9F2D0"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EA72E"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EA72E"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EA72E"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2.png"/><Relationship Id="rId5" Type="http://schemas.openxmlformats.org/officeDocument/2006/relationships/image" Target="media/image3.png"/><Relationship Id="rId6" Type="http://schemas.microsoft.com/office/2007/relationships/hdphoto" Target="media/hdphoto1.wdp"/><Relationship Id="rId7" Type="http://schemas.openxmlformats.org/officeDocument/2006/relationships/image" Target="media/image3.png"/><Relationship Id="rId8" Type="http://schemas.openxmlformats.org/officeDocument/2006/relationships/header" Target="header1.xml"/><Relationship Id="rId9" Type="http://schemas.openxmlformats.org/officeDocument/2006/relationships/header" Target="header2.xml"/><Relationship Id="rId10" Type="http://schemas.openxmlformats.org/officeDocument/2006/relationships/header" Target="header3.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Relationship Id="rId17" Type="http://schemas.openxmlformats.org/officeDocument/2006/relationships/customXml" Target="../customXml/item1.xml"/>
</Relationships>
</file>

<file path=word/_rels/header2.xml.rels><?xml version="1.0" encoding="UTF-8"?>
<Relationships xmlns="http://schemas.openxmlformats.org/package/2006/relationships"><Relationship Id="rId1" Type="http://schemas.openxmlformats.org/officeDocument/2006/relationships/image" Target="media/image1.png"/>
</Relationships>
</file>

<file path=word/_rels/header3.xml.rels><?xml version="1.0" encoding="UTF-8"?>
<Relationships xmlns="http://schemas.openxmlformats.org/package/2006/relationships"><Relationship Id="rId1" Type="http://schemas.openxmlformats.org/officeDocument/2006/relationships/image" Target="media/image1.png"/>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pitchFamily="0" charset="1"/>
        <a:ea typeface=""/>
        <a:cs typeface=""/>
      </a:majorFont>
      <a:minorFont>
        <a:latin typeface="Aptos" panose="02110004020202020204" pitchFamily="0" charset="1"/>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l="0" t="0" r="0" b="0"/>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l="0" t="0" r="0" b="0"/>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51D2F1-64BA-4754-A42B-0531E22F0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Application>LibreOffice/26.2.1.2$Windows_X86_64 LibreOffice_project/620$Build-2</Application>
  <AppVersion>15.0000</AppVersion>
  <Pages>15</Pages>
  <Words>3329</Words>
  <Characters>20327</Characters>
  <CharactersWithSpaces>23536</CharactersWithSpaces>
  <Paragraphs>131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2026-03-17T06:49:00Z</dcterms:created>
  <dc:creator/>
  <dc:description/>
  <dc:language>en-IN</dc:language>
  <cp:lastModifiedBy/>
  <dcterms:modified xsi:type="dcterms:W3CDTF">2026-03-19T23:48:58Z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