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4DBE0" w14:textId="39A52DBA" w:rsidR="001F3307" w:rsidRPr="00A85BFE" w:rsidRDefault="001F3307" w:rsidP="001F330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4A83090" wp14:editId="435BA8C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6183FFAF" w14:textId="77777777" w:rsidR="001F3307" w:rsidRPr="00A406E5" w:rsidRDefault="001F3307" w:rsidP="001F3307">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F3307" w:rsidRPr="00A406E5" w14:paraId="0A4BCF14" w14:textId="77777777" w:rsidTr="0087184F">
        <w:tc>
          <w:tcPr>
            <w:tcW w:w="9922" w:type="dxa"/>
            <w:shd w:val="clear" w:color="auto" w:fill="C0C0C0"/>
          </w:tcPr>
          <w:p w14:paraId="1FF4B837" w14:textId="77777777" w:rsidR="001F3307" w:rsidRPr="00A406E5" w:rsidRDefault="001F3307" w:rsidP="0087184F">
            <w:pPr>
              <w:pStyle w:val="Heading4"/>
              <w:rPr>
                <w:rFonts w:ascii="Arial" w:hAnsi="Arial" w:cs="Arial"/>
                <w:b/>
              </w:rPr>
            </w:pPr>
            <w:r w:rsidRPr="00A406E5">
              <w:rPr>
                <w:rFonts w:ascii="Arial" w:hAnsi="Arial" w:cs="Arial"/>
                <w:b/>
              </w:rPr>
              <w:t xml:space="preserve">LEVEL 6 ASSESSMENT SPECIFICATION </w:t>
            </w:r>
          </w:p>
        </w:tc>
      </w:tr>
    </w:tbl>
    <w:p w14:paraId="1953F57B" w14:textId="77777777" w:rsidR="001F3307" w:rsidRPr="00A406E5" w:rsidRDefault="001F3307" w:rsidP="001F3307">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1F3307" w:rsidRPr="00A406E5" w14:paraId="35C61042" w14:textId="77777777" w:rsidTr="0087184F">
        <w:tc>
          <w:tcPr>
            <w:tcW w:w="2093" w:type="dxa"/>
            <w:shd w:val="pct15" w:color="auto" w:fill="auto"/>
          </w:tcPr>
          <w:p w14:paraId="44FD2089" w14:textId="77777777" w:rsidR="001F3307" w:rsidRPr="00A406E5" w:rsidRDefault="001F3307" w:rsidP="0087184F">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D61218" w14:textId="18ADACC8" w:rsidR="001F3307" w:rsidRPr="00A406E5" w:rsidRDefault="001F3307" w:rsidP="0087184F">
            <w:pPr>
              <w:spacing w:before="120" w:after="120"/>
              <w:jc w:val="both"/>
              <w:rPr>
                <w:rFonts w:ascii="Arial" w:hAnsi="Arial" w:cs="Arial"/>
                <w:b/>
                <w:sz w:val="22"/>
                <w:szCs w:val="22"/>
              </w:rPr>
            </w:pPr>
            <w:r>
              <w:rPr>
                <w:rFonts w:ascii="Arial" w:hAnsi="Arial" w:cs="Arial"/>
                <w:b/>
                <w:sz w:val="22"/>
                <w:szCs w:val="22"/>
              </w:rPr>
              <w:t>Sarah Louise Hoffmann</w:t>
            </w:r>
          </w:p>
        </w:tc>
        <w:tc>
          <w:tcPr>
            <w:tcW w:w="2268" w:type="dxa"/>
            <w:shd w:val="clear" w:color="auto" w:fill="D9D9D9"/>
          </w:tcPr>
          <w:p w14:paraId="5880F2E4" w14:textId="77777777" w:rsidR="001F3307" w:rsidRPr="00A406E5" w:rsidRDefault="001F3307" w:rsidP="0087184F">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5F2FC4D" w14:textId="7C8FBD1B" w:rsidR="001F3307" w:rsidRPr="00A406E5" w:rsidRDefault="001F3307" w:rsidP="0087184F">
            <w:pPr>
              <w:spacing w:before="120" w:after="120"/>
              <w:jc w:val="both"/>
              <w:rPr>
                <w:rFonts w:ascii="Arial" w:hAnsi="Arial" w:cs="Arial"/>
                <w:b/>
                <w:sz w:val="22"/>
                <w:szCs w:val="22"/>
              </w:rPr>
            </w:pPr>
            <w:r>
              <w:rPr>
                <w:rFonts w:ascii="Arial" w:hAnsi="Arial" w:cs="Arial"/>
                <w:b/>
                <w:sz w:val="22"/>
                <w:szCs w:val="22"/>
              </w:rPr>
              <w:t>2315599</w:t>
            </w:r>
          </w:p>
        </w:tc>
      </w:tr>
      <w:tr w:rsidR="001F3307" w:rsidRPr="00A406E5" w14:paraId="02E91277" w14:textId="77777777" w:rsidTr="0087184F">
        <w:tc>
          <w:tcPr>
            <w:tcW w:w="2093" w:type="dxa"/>
            <w:shd w:val="pct15" w:color="auto" w:fill="auto"/>
          </w:tcPr>
          <w:p w14:paraId="0A6A783D" w14:textId="77777777" w:rsidR="001F3307" w:rsidRPr="00A406E5" w:rsidRDefault="001F3307" w:rsidP="0087184F">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19381D8" w14:textId="77777777" w:rsidR="001F3307" w:rsidRPr="00A406E5" w:rsidRDefault="001F3307" w:rsidP="0087184F">
            <w:pPr>
              <w:spacing w:before="120" w:after="120"/>
              <w:jc w:val="both"/>
              <w:rPr>
                <w:rFonts w:ascii="Arial" w:hAnsi="Arial" w:cs="Arial"/>
                <w:b/>
                <w:sz w:val="22"/>
                <w:szCs w:val="22"/>
              </w:rPr>
            </w:pPr>
            <w:r>
              <w:rPr>
                <w:rFonts w:ascii="Arial" w:hAnsi="Arial" w:cs="Arial"/>
                <w:b/>
                <w:sz w:val="22"/>
                <w:szCs w:val="22"/>
              </w:rPr>
              <w:t xml:space="preserve">LLB Law and Legal Practice </w:t>
            </w:r>
          </w:p>
        </w:tc>
      </w:tr>
      <w:tr w:rsidR="001F3307" w:rsidRPr="00A406E5" w14:paraId="44298D71" w14:textId="77777777" w:rsidTr="0087184F">
        <w:tc>
          <w:tcPr>
            <w:tcW w:w="2093" w:type="dxa"/>
            <w:shd w:val="pct15" w:color="auto" w:fill="auto"/>
          </w:tcPr>
          <w:p w14:paraId="42760E49" w14:textId="77777777" w:rsidR="001F3307" w:rsidRPr="00A406E5" w:rsidRDefault="001F3307" w:rsidP="0087184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60EE30F" w14:textId="77777777" w:rsidR="001F3307" w:rsidRPr="00A406E5" w:rsidRDefault="001F3307" w:rsidP="0087184F">
            <w:pPr>
              <w:spacing w:before="120" w:after="120"/>
              <w:jc w:val="both"/>
              <w:rPr>
                <w:rFonts w:ascii="Arial" w:hAnsi="Arial" w:cs="Arial"/>
                <w:b/>
                <w:sz w:val="22"/>
                <w:szCs w:val="22"/>
              </w:rPr>
            </w:pPr>
            <w:r w:rsidRPr="008E10A7">
              <w:rPr>
                <w:rFonts w:ascii="Arial" w:hAnsi="Arial" w:cs="Arial"/>
                <w:b/>
                <w:sz w:val="22"/>
                <w:szCs w:val="22"/>
              </w:rPr>
              <w:t>Wills and Probate Practice</w:t>
            </w:r>
          </w:p>
        </w:tc>
      </w:tr>
      <w:tr w:rsidR="001F3307" w:rsidRPr="00A406E5" w14:paraId="1AEAF312" w14:textId="77777777" w:rsidTr="0087184F">
        <w:tc>
          <w:tcPr>
            <w:tcW w:w="2093" w:type="dxa"/>
            <w:shd w:val="pct15" w:color="auto" w:fill="auto"/>
          </w:tcPr>
          <w:p w14:paraId="0923FD79" w14:textId="77777777" w:rsidR="001F3307" w:rsidRPr="00A406E5" w:rsidRDefault="001F3307" w:rsidP="0087184F">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4BFC121" w14:textId="77777777" w:rsidR="001F3307" w:rsidRPr="00A406E5" w:rsidRDefault="001F3307" w:rsidP="0087184F">
            <w:pPr>
              <w:spacing w:before="120" w:after="120"/>
              <w:jc w:val="both"/>
              <w:rPr>
                <w:rFonts w:ascii="Arial" w:hAnsi="Arial" w:cs="Arial"/>
                <w:b/>
                <w:sz w:val="22"/>
                <w:szCs w:val="22"/>
              </w:rPr>
            </w:pPr>
            <w:r w:rsidRPr="008E10A7">
              <w:rPr>
                <w:rFonts w:ascii="Arial" w:hAnsi="Arial" w:cs="Arial"/>
                <w:b/>
                <w:sz w:val="22"/>
                <w:szCs w:val="22"/>
              </w:rPr>
              <w:t>BMLC6012</w:t>
            </w:r>
          </w:p>
        </w:tc>
        <w:tc>
          <w:tcPr>
            <w:tcW w:w="2268" w:type="dxa"/>
            <w:shd w:val="clear" w:color="auto" w:fill="D9D9D9"/>
          </w:tcPr>
          <w:p w14:paraId="0B60F558" w14:textId="77777777" w:rsidR="001F3307" w:rsidRPr="004D5E9B" w:rsidRDefault="001F3307" w:rsidP="0087184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21B0E918" w14:textId="77777777" w:rsidR="001F3307" w:rsidRPr="00A406E5" w:rsidRDefault="001F3307" w:rsidP="0087184F">
            <w:pPr>
              <w:spacing w:before="120" w:after="120"/>
              <w:jc w:val="both"/>
              <w:rPr>
                <w:rFonts w:ascii="Arial" w:hAnsi="Arial" w:cs="Arial"/>
                <w:b/>
                <w:sz w:val="22"/>
                <w:szCs w:val="22"/>
              </w:rPr>
            </w:pPr>
            <w:r>
              <w:rPr>
                <w:rFonts w:ascii="Arial" w:hAnsi="Arial" w:cs="Arial"/>
                <w:b/>
                <w:sz w:val="22"/>
                <w:szCs w:val="22"/>
              </w:rPr>
              <w:t>50%</w:t>
            </w:r>
          </w:p>
        </w:tc>
      </w:tr>
      <w:tr w:rsidR="001F3307" w:rsidRPr="00A406E5" w14:paraId="05F680F5" w14:textId="77777777" w:rsidTr="0087184F">
        <w:tc>
          <w:tcPr>
            <w:tcW w:w="2093" w:type="dxa"/>
            <w:shd w:val="pct15" w:color="auto" w:fill="auto"/>
          </w:tcPr>
          <w:p w14:paraId="427BB99A" w14:textId="77777777" w:rsidR="001F3307" w:rsidRPr="00A406E5" w:rsidRDefault="001F3307" w:rsidP="001F330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F8C2E67" w14:textId="77777777" w:rsidR="001F3307" w:rsidRPr="00A406E5" w:rsidRDefault="001F3307" w:rsidP="001F3307">
            <w:pPr>
              <w:spacing w:before="120" w:after="120"/>
              <w:jc w:val="both"/>
              <w:rPr>
                <w:rFonts w:ascii="Arial" w:hAnsi="Arial" w:cs="Arial"/>
                <w:b/>
                <w:sz w:val="22"/>
                <w:szCs w:val="22"/>
              </w:rPr>
            </w:pPr>
            <w:r>
              <w:rPr>
                <w:rFonts w:ascii="Arial" w:hAnsi="Arial" w:cs="Arial"/>
                <w:b/>
                <w:sz w:val="22"/>
                <w:szCs w:val="22"/>
              </w:rPr>
              <w:t>Juliet Phillips-James</w:t>
            </w:r>
          </w:p>
        </w:tc>
        <w:tc>
          <w:tcPr>
            <w:tcW w:w="2268" w:type="dxa"/>
            <w:shd w:val="clear" w:color="auto" w:fill="D9D9D9"/>
          </w:tcPr>
          <w:p w14:paraId="5FDCD6A5" w14:textId="62E69C55" w:rsidR="001F3307" w:rsidRPr="00A406E5" w:rsidRDefault="001F3307" w:rsidP="001F3307">
            <w:pPr>
              <w:spacing w:before="120" w:after="120"/>
              <w:jc w:val="both"/>
              <w:rPr>
                <w:rFonts w:ascii="Arial" w:hAnsi="Arial" w:cs="Arial"/>
                <w:b/>
                <w:sz w:val="22"/>
                <w:szCs w:val="22"/>
              </w:rPr>
            </w:pPr>
            <w:r w:rsidRPr="00A406E5">
              <w:rPr>
                <w:rFonts w:ascii="Arial" w:hAnsi="Arial" w:cs="Arial"/>
                <w:b/>
                <w:sz w:val="22"/>
                <w:szCs w:val="22"/>
              </w:rPr>
              <w:t>Assignment Title:</w:t>
            </w:r>
          </w:p>
        </w:tc>
        <w:tc>
          <w:tcPr>
            <w:tcW w:w="2268" w:type="dxa"/>
          </w:tcPr>
          <w:p w14:paraId="36235EBE" w14:textId="44086197" w:rsidR="001F3307" w:rsidRPr="00A406E5" w:rsidRDefault="001F3307" w:rsidP="001F3307">
            <w:pPr>
              <w:spacing w:before="120" w:after="120"/>
              <w:jc w:val="both"/>
              <w:rPr>
                <w:rFonts w:ascii="Arial" w:hAnsi="Arial" w:cs="Arial"/>
                <w:b/>
                <w:sz w:val="22"/>
                <w:szCs w:val="22"/>
              </w:rPr>
            </w:pPr>
            <w:r>
              <w:rPr>
                <w:rFonts w:ascii="Arial" w:hAnsi="Arial" w:cs="Arial"/>
                <w:b/>
                <w:sz w:val="22"/>
                <w:szCs w:val="22"/>
              </w:rPr>
              <w:t xml:space="preserve">Wills and Probate in Practice </w:t>
            </w:r>
          </w:p>
        </w:tc>
      </w:tr>
      <w:tr w:rsidR="001F3307" w:rsidRPr="00A406E5" w14:paraId="31A65F80" w14:textId="77777777" w:rsidTr="0087184F">
        <w:tc>
          <w:tcPr>
            <w:tcW w:w="2093" w:type="dxa"/>
            <w:shd w:val="pct15" w:color="auto" w:fill="auto"/>
          </w:tcPr>
          <w:p w14:paraId="5CBDF9FD" w14:textId="30300112" w:rsidR="001F3307" w:rsidRPr="00A406E5" w:rsidRDefault="001F3307" w:rsidP="0087184F">
            <w:pPr>
              <w:spacing w:before="120" w:after="120"/>
              <w:jc w:val="both"/>
              <w:rPr>
                <w:rFonts w:ascii="Arial" w:hAnsi="Arial" w:cs="Arial"/>
                <w:b/>
                <w:sz w:val="22"/>
                <w:szCs w:val="22"/>
              </w:rPr>
            </w:pPr>
          </w:p>
        </w:tc>
        <w:tc>
          <w:tcPr>
            <w:tcW w:w="3293" w:type="dxa"/>
          </w:tcPr>
          <w:p w14:paraId="7F2C4795" w14:textId="6D31F279" w:rsidR="001F3307" w:rsidRPr="00A406E5" w:rsidRDefault="001F3307" w:rsidP="0087184F">
            <w:pPr>
              <w:spacing w:before="120" w:after="120"/>
              <w:jc w:val="both"/>
              <w:rPr>
                <w:rFonts w:ascii="Arial" w:hAnsi="Arial" w:cs="Arial"/>
                <w:b/>
                <w:sz w:val="22"/>
                <w:szCs w:val="22"/>
              </w:rPr>
            </w:pPr>
          </w:p>
        </w:tc>
        <w:tc>
          <w:tcPr>
            <w:tcW w:w="2268" w:type="dxa"/>
            <w:shd w:val="pct15" w:color="auto" w:fill="auto"/>
          </w:tcPr>
          <w:p w14:paraId="60C315D0" w14:textId="03568CD7" w:rsidR="001F3307" w:rsidRPr="00A406E5" w:rsidRDefault="001F3307" w:rsidP="0087184F">
            <w:pPr>
              <w:spacing w:before="120" w:after="120"/>
              <w:jc w:val="both"/>
              <w:rPr>
                <w:rFonts w:ascii="Arial" w:hAnsi="Arial" w:cs="Arial"/>
                <w:b/>
                <w:sz w:val="22"/>
                <w:szCs w:val="22"/>
              </w:rPr>
            </w:pPr>
          </w:p>
        </w:tc>
        <w:tc>
          <w:tcPr>
            <w:tcW w:w="2268" w:type="dxa"/>
          </w:tcPr>
          <w:p w14:paraId="3728C1FA" w14:textId="77777777" w:rsidR="001F3307" w:rsidRPr="00A406E5" w:rsidRDefault="001F3307" w:rsidP="0087184F">
            <w:pPr>
              <w:spacing w:before="120" w:after="120"/>
              <w:jc w:val="both"/>
              <w:rPr>
                <w:rFonts w:ascii="Arial" w:hAnsi="Arial" w:cs="Arial"/>
                <w:b/>
                <w:sz w:val="22"/>
                <w:szCs w:val="22"/>
              </w:rPr>
            </w:pPr>
          </w:p>
        </w:tc>
      </w:tr>
      <w:tr w:rsidR="001F3307" w:rsidRPr="00A406E5" w14:paraId="0B563126" w14:textId="77777777" w:rsidTr="0087184F">
        <w:tc>
          <w:tcPr>
            <w:tcW w:w="2093" w:type="dxa"/>
            <w:shd w:val="pct15" w:color="auto" w:fill="auto"/>
          </w:tcPr>
          <w:p w14:paraId="56AA7682" w14:textId="77777777" w:rsidR="001F3307" w:rsidRPr="00A406E5" w:rsidRDefault="001F3307" w:rsidP="0087184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64913E3A" w14:textId="1BC56AF2" w:rsidR="001F3307" w:rsidRPr="00A406E5" w:rsidRDefault="001F3307" w:rsidP="0087184F">
            <w:pPr>
              <w:spacing w:before="120" w:after="120"/>
              <w:jc w:val="both"/>
              <w:rPr>
                <w:rFonts w:ascii="Arial" w:hAnsi="Arial" w:cs="Arial"/>
                <w:b/>
                <w:sz w:val="22"/>
                <w:szCs w:val="22"/>
              </w:rPr>
            </w:pPr>
            <w:r>
              <w:rPr>
                <w:rFonts w:ascii="Arial" w:hAnsi="Arial" w:cs="Arial"/>
                <w:b/>
                <w:sz w:val="22"/>
                <w:szCs w:val="22"/>
              </w:rPr>
              <w:t>Friday 8</w:t>
            </w:r>
            <w:r w:rsidRPr="00EF2857">
              <w:rPr>
                <w:rFonts w:ascii="Arial" w:hAnsi="Arial" w:cs="Arial"/>
                <w:b/>
                <w:sz w:val="22"/>
                <w:szCs w:val="22"/>
                <w:vertAlign w:val="superscript"/>
              </w:rPr>
              <w:t>th</w:t>
            </w:r>
            <w:r>
              <w:rPr>
                <w:rFonts w:ascii="Arial" w:hAnsi="Arial" w:cs="Arial"/>
                <w:b/>
                <w:sz w:val="22"/>
                <w:szCs w:val="22"/>
              </w:rPr>
              <w:t xml:space="preserve"> May 2026 </w:t>
            </w:r>
          </w:p>
        </w:tc>
        <w:tc>
          <w:tcPr>
            <w:tcW w:w="2268" w:type="dxa"/>
            <w:shd w:val="pct15" w:color="auto" w:fill="auto"/>
          </w:tcPr>
          <w:p w14:paraId="330D3194" w14:textId="0AEF5CBD" w:rsidR="001F3307" w:rsidRPr="00A406E5" w:rsidRDefault="001F3307" w:rsidP="0087184F">
            <w:pPr>
              <w:spacing w:before="120" w:after="120"/>
              <w:jc w:val="both"/>
              <w:rPr>
                <w:rFonts w:ascii="Arial" w:hAnsi="Arial" w:cs="Arial"/>
                <w:b/>
                <w:sz w:val="22"/>
                <w:szCs w:val="22"/>
              </w:rPr>
            </w:pPr>
          </w:p>
        </w:tc>
        <w:tc>
          <w:tcPr>
            <w:tcW w:w="2268" w:type="dxa"/>
          </w:tcPr>
          <w:p w14:paraId="1C33D3EF" w14:textId="322D324C" w:rsidR="001F3307" w:rsidRPr="00A406E5" w:rsidRDefault="001F3307" w:rsidP="0087184F">
            <w:pPr>
              <w:spacing w:before="120" w:after="120"/>
              <w:jc w:val="both"/>
              <w:rPr>
                <w:rFonts w:ascii="Arial" w:hAnsi="Arial" w:cs="Arial"/>
                <w:b/>
                <w:sz w:val="22"/>
                <w:szCs w:val="22"/>
              </w:rPr>
            </w:pPr>
          </w:p>
        </w:tc>
      </w:tr>
    </w:tbl>
    <w:p w14:paraId="2A77913E" w14:textId="77777777" w:rsidR="001F3307" w:rsidRDefault="001F3307"/>
    <w:p w14:paraId="354B4954" w14:textId="77777777" w:rsidR="007556DA" w:rsidRDefault="007556DA">
      <w:pPr>
        <w:spacing w:after="160" w:line="278" w:lineRule="auto"/>
      </w:pPr>
    </w:p>
    <w:p w14:paraId="0D8CA087" w14:textId="381FD89F" w:rsidR="009B0E40" w:rsidRPr="007556DA" w:rsidRDefault="007556DA" w:rsidP="007556DA">
      <w:pPr>
        <w:spacing w:after="160" w:line="278" w:lineRule="auto"/>
        <w:ind w:left="567"/>
        <w:jc w:val="both"/>
        <w:rPr>
          <w:rFonts w:asciiTheme="minorHAnsi" w:hAnsiTheme="minorHAnsi"/>
          <w:sz w:val="28"/>
          <w:szCs w:val="28"/>
        </w:rPr>
      </w:pPr>
      <w:r w:rsidRPr="007556DA">
        <w:rPr>
          <w:rFonts w:asciiTheme="minorHAnsi" w:hAnsiTheme="minorHAnsi"/>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9B0E40" w:rsidRPr="007556DA">
        <w:rPr>
          <w:rFonts w:asciiTheme="minorHAnsi" w:hAnsiTheme="minorHAnsi"/>
          <w:sz w:val="28"/>
          <w:szCs w:val="28"/>
        </w:rPr>
        <w:br w:type="page"/>
      </w:r>
    </w:p>
    <w:p w14:paraId="31FCF312" w14:textId="43B7CA8E" w:rsidR="009B0E40" w:rsidRDefault="009B0E40" w:rsidP="009B0E40">
      <w:pPr>
        <w:pStyle w:val="Heading2"/>
      </w:pPr>
      <w:r>
        <w:lastRenderedPageBreak/>
        <w:t xml:space="preserve">TASK1 </w:t>
      </w:r>
    </w:p>
    <w:p w14:paraId="766B8B5D" w14:textId="1CB3D597" w:rsidR="009B0E40" w:rsidRPr="009B0E40" w:rsidRDefault="009B0E40" w:rsidP="009B0E40">
      <w:pPr>
        <w:spacing w:after="160" w:line="278" w:lineRule="auto"/>
        <w:jc w:val="both"/>
        <w:rPr>
          <w:rFonts w:asciiTheme="minorHAnsi" w:hAnsiTheme="minorHAnsi"/>
          <w:sz w:val="24"/>
          <w:szCs w:val="24"/>
          <w:lang w:eastAsia="en-US"/>
        </w:rPr>
      </w:pPr>
      <w:r w:rsidRPr="009B0E40">
        <w:rPr>
          <w:rFonts w:asciiTheme="minorHAnsi" w:hAnsiTheme="minorHAnsi"/>
          <w:sz w:val="24"/>
          <w:szCs w:val="24"/>
          <w:lang w:eastAsia="en-US"/>
        </w:rPr>
        <w:t xml:space="preserve">Margaret requires a </w:t>
      </w:r>
      <w:r w:rsidR="002F043F">
        <w:rPr>
          <w:rFonts w:asciiTheme="minorHAnsi" w:hAnsiTheme="minorHAnsi"/>
          <w:sz w:val="24"/>
          <w:szCs w:val="24"/>
          <w:lang w:eastAsia="en-US"/>
        </w:rPr>
        <w:t>W</w:t>
      </w:r>
      <w:r w:rsidRPr="009B0E40">
        <w:rPr>
          <w:rFonts w:asciiTheme="minorHAnsi" w:hAnsiTheme="minorHAnsi"/>
          <w:sz w:val="24"/>
          <w:szCs w:val="24"/>
          <w:lang w:eastAsia="en-US"/>
        </w:rPr>
        <w:t xml:space="preserve">ill that reflects her testamentary wishes while ensuring tax efficiency and appropriate protection for her son Daniel. The </w:t>
      </w:r>
      <w:r w:rsidR="00C17CF4">
        <w:rPr>
          <w:rFonts w:asciiTheme="minorHAnsi" w:hAnsiTheme="minorHAnsi"/>
          <w:sz w:val="24"/>
          <w:szCs w:val="24"/>
          <w:lang w:eastAsia="en-US"/>
        </w:rPr>
        <w:t>W</w:t>
      </w:r>
      <w:r w:rsidRPr="009B0E40">
        <w:rPr>
          <w:rFonts w:asciiTheme="minorHAnsi" w:hAnsiTheme="minorHAnsi"/>
          <w:sz w:val="24"/>
          <w:szCs w:val="24"/>
          <w:lang w:eastAsia="en-US"/>
        </w:rPr>
        <w:t xml:space="preserve">ill should begin with standard introductory provisions, including a revocation clause compliant with the Wills Act 1837, s.20, to ensure all previous testamentary dispositions are revoked. Margaret wishes to appoint her daughter Anna as executor and trustee, and it is advisable to include a substitute executor to prevent administrative failure should Anna be unwilling or unable to act. These appointments form the foundation of the </w:t>
      </w:r>
      <w:r w:rsidR="00C17CF4">
        <w:rPr>
          <w:rFonts w:asciiTheme="minorHAnsi" w:hAnsiTheme="minorHAnsi"/>
          <w:sz w:val="24"/>
          <w:szCs w:val="24"/>
          <w:lang w:eastAsia="en-US"/>
        </w:rPr>
        <w:t>W</w:t>
      </w:r>
      <w:r w:rsidRPr="009B0E40">
        <w:rPr>
          <w:rFonts w:asciiTheme="minorHAnsi" w:hAnsiTheme="minorHAnsi"/>
          <w:sz w:val="24"/>
          <w:szCs w:val="24"/>
          <w:lang w:eastAsia="en-US"/>
        </w:rPr>
        <w:t>ill’s administrative structure and ensure continuity in the management of the estate.</w:t>
      </w:r>
    </w:p>
    <w:p w14:paraId="16CE73C9" w14:textId="2EA3ECDF" w:rsidR="009B0E40" w:rsidRPr="009B0E40" w:rsidRDefault="009B0E40" w:rsidP="009B0E40">
      <w:pPr>
        <w:spacing w:after="160" w:line="278" w:lineRule="auto"/>
        <w:jc w:val="both"/>
        <w:rPr>
          <w:rFonts w:asciiTheme="minorHAnsi" w:hAnsiTheme="minorHAnsi"/>
          <w:sz w:val="24"/>
          <w:szCs w:val="24"/>
          <w:lang w:eastAsia="en-US"/>
        </w:rPr>
      </w:pPr>
      <w:r w:rsidRPr="009B0E40">
        <w:rPr>
          <w:rFonts w:asciiTheme="minorHAnsi" w:hAnsiTheme="minorHAnsi"/>
          <w:sz w:val="24"/>
          <w:szCs w:val="24"/>
          <w:lang w:eastAsia="en-US"/>
        </w:rPr>
        <w:t xml:space="preserve">The </w:t>
      </w:r>
      <w:r w:rsidR="002F043F">
        <w:rPr>
          <w:rFonts w:asciiTheme="minorHAnsi" w:hAnsiTheme="minorHAnsi"/>
          <w:sz w:val="24"/>
          <w:szCs w:val="24"/>
          <w:lang w:eastAsia="en-US"/>
        </w:rPr>
        <w:t>W</w:t>
      </w:r>
      <w:r w:rsidRPr="009B0E40">
        <w:rPr>
          <w:rFonts w:asciiTheme="minorHAnsi" w:hAnsiTheme="minorHAnsi"/>
          <w:sz w:val="24"/>
          <w:szCs w:val="24"/>
          <w:lang w:eastAsia="en-US"/>
        </w:rPr>
        <w:t xml:space="preserve">ill should then set out Margaret’s specific gifts. She intends to leave her jewellery and car to Anna, which constitute specific legacies. These items must be clearly identified to avoid uncertainty, as demonstrated in </w:t>
      </w:r>
      <w:r w:rsidRPr="009B0E40">
        <w:rPr>
          <w:rFonts w:asciiTheme="minorHAnsi" w:hAnsiTheme="minorHAnsi"/>
          <w:i/>
          <w:iCs/>
          <w:sz w:val="24"/>
          <w:szCs w:val="24"/>
          <w:lang w:eastAsia="en-US"/>
        </w:rPr>
        <w:t>Re London Wine Co (Shippers) Ltd</w:t>
      </w:r>
      <w:r w:rsidRPr="009B0E40">
        <w:rPr>
          <w:rFonts w:asciiTheme="minorHAnsi" w:hAnsiTheme="minorHAnsi"/>
          <w:sz w:val="24"/>
          <w:szCs w:val="24"/>
          <w:lang w:eastAsia="en-US"/>
        </w:rPr>
        <w:t xml:space="preserve"> [1986], where unidentifiable assets could not be validly gifted. Following this, the </w:t>
      </w:r>
      <w:r w:rsidR="002F043F">
        <w:rPr>
          <w:rFonts w:asciiTheme="minorHAnsi" w:hAnsiTheme="minorHAnsi"/>
          <w:sz w:val="24"/>
          <w:szCs w:val="24"/>
          <w:lang w:eastAsia="en-US"/>
        </w:rPr>
        <w:t>W</w:t>
      </w:r>
      <w:r w:rsidRPr="009B0E40">
        <w:rPr>
          <w:rFonts w:asciiTheme="minorHAnsi" w:hAnsiTheme="minorHAnsi"/>
          <w:sz w:val="24"/>
          <w:szCs w:val="24"/>
          <w:lang w:eastAsia="en-US"/>
        </w:rPr>
        <w:t>ill should include pecuniary legacies: £20,000 to her granddaughter Emily, held on a statutory trust until she reaches 18 under the Trustee Act 1925, s.31, and £10,000 to the Dogs Trust, which qualifies for charitable exemption under the Inheritance Tax Act 1984 (IHTA 1984), s.23. These legacies should be expressed as free of tax to avoid ambiguity.</w:t>
      </w:r>
    </w:p>
    <w:p w14:paraId="5CDD9526" w14:textId="4D14627C" w:rsidR="004E76C5" w:rsidRPr="009B0E40" w:rsidRDefault="004E76C5" w:rsidP="009B0E40">
      <w:pPr>
        <w:spacing w:after="160" w:line="278" w:lineRule="auto"/>
        <w:jc w:val="both"/>
        <w:rPr>
          <w:rFonts w:asciiTheme="minorHAnsi" w:hAnsiTheme="minorHAnsi"/>
          <w:sz w:val="24"/>
          <w:szCs w:val="24"/>
          <w:lang w:eastAsia="en-US"/>
        </w:rPr>
      </w:pPr>
      <w:r>
        <w:rPr>
          <w:rFonts w:asciiTheme="minorHAnsi" w:hAnsiTheme="minorHAnsi"/>
          <w:sz w:val="24"/>
          <w:szCs w:val="24"/>
          <w:lang w:eastAsia="en-US"/>
        </w:rPr>
        <w:t xml:space="preserve">The </w:t>
      </w:r>
      <w:r w:rsidRPr="004E76C5">
        <w:rPr>
          <w:rFonts w:asciiTheme="minorHAnsi" w:hAnsiTheme="minorHAnsi"/>
          <w:sz w:val="24"/>
          <w:szCs w:val="24"/>
          <w:lang w:eastAsia="en-US"/>
        </w:rPr>
        <w:t>residuary estate</w:t>
      </w:r>
      <w:r>
        <w:rPr>
          <w:rFonts w:asciiTheme="minorHAnsi" w:hAnsiTheme="minorHAnsi"/>
          <w:sz w:val="24"/>
          <w:szCs w:val="24"/>
          <w:lang w:eastAsia="en-US"/>
        </w:rPr>
        <w:t xml:space="preserve"> which consists of Margaret’s </w:t>
      </w:r>
      <w:r w:rsidRPr="004E76C5">
        <w:rPr>
          <w:rFonts w:asciiTheme="minorHAnsi" w:hAnsiTheme="minorHAnsi"/>
          <w:sz w:val="24"/>
          <w:szCs w:val="24"/>
          <w:lang w:eastAsia="en-US"/>
        </w:rPr>
        <w:t>home</w:t>
      </w:r>
      <w:r>
        <w:rPr>
          <w:rFonts w:asciiTheme="minorHAnsi" w:hAnsiTheme="minorHAnsi"/>
          <w:sz w:val="24"/>
          <w:szCs w:val="24"/>
          <w:lang w:eastAsia="en-US"/>
        </w:rPr>
        <w:t xml:space="preserve"> is</w:t>
      </w:r>
      <w:r w:rsidRPr="004E76C5">
        <w:rPr>
          <w:rFonts w:asciiTheme="minorHAnsi" w:hAnsiTheme="minorHAnsi"/>
          <w:sz w:val="24"/>
          <w:szCs w:val="24"/>
          <w:lang w:eastAsia="en-US"/>
        </w:rPr>
        <w:t xml:space="preserve"> worth £480,000 and savings of around £320,000</w:t>
      </w:r>
      <w:r>
        <w:rPr>
          <w:rFonts w:asciiTheme="minorHAnsi" w:hAnsiTheme="minorHAnsi"/>
          <w:sz w:val="24"/>
          <w:szCs w:val="24"/>
          <w:lang w:eastAsia="en-US"/>
        </w:rPr>
        <w:t xml:space="preserve">. These </w:t>
      </w:r>
      <w:r w:rsidRPr="004E76C5">
        <w:rPr>
          <w:rFonts w:asciiTheme="minorHAnsi" w:hAnsiTheme="minorHAnsi"/>
          <w:sz w:val="24"/>
          <w:szCs w:val="24"/>
          <w:lang w:eastAsia="en-US"/>
        </w:rPr>
        <w:t>should be divided between her children, with 50% passing to Anna outright and 50% placed in trust for Daniel to reflect concerns about his financial management. Daniel’s share should be held in a fixed</w:t>
      </w:r>
      <w:r w:rsidRPr="004E76C5">
        <w:rPr>
          <w:rFonts w:asciiTheme="minorHAnsi" w:hAnsiTheme="minorHAnsi"/>
          <w:sz w:val="24"/>
          <w:szCs w:val="24"/>
          <w:lang w:eastAsia="en-US"/>
        </w:rPr>
        <w:noBreakHyphen/>
        <w:t>age contingency trust, giving him full entitlement at 55, while the trustees manage the fund in the meantime. They may apply or accumulate income under the Trustee Act 1925, s.31, and Margaret can decide whether Daniel should receive income during the trust period by granting the trustees discretion to make payments.</w:t>
      </w:r>
    </w:p>
    <w:p w14:paraId="773AD363" w14:textId="77777777" w:rsidR="009B0E40" w:rsidRPr="009B0E40" w:rsidRDefault="009B0E40" w:rsidP="009B0E40">
      <w:pPr>
        <w:spacing w:after="160" w:line="278" w:lineRule="auto"/>
        <w:jc w:val="both"/>
        <w:rPr>
          <w:rFonts w:asciiTheme="minorHAnsi" w:hAnsiTheme="minorHAnsi"/>
          <w:sz w:val="24"/>
          <w:szCs w:val="24"/>
          <w:lang w:eastAsia="en-US"/>
        </w:rPr>
      </w:pPr>
      <w:r w:rsidRPr="009B0E40">
        <w:rPr>
          <w:rFonts w:asciiTheme="minorHAnsi" w:hAnsiTheme="minorHAnsi"/>
          <w:sz w:val="24"/>
          <w:szCs w:val="24"/>
          <w:lang w:eastAsia="en-US"/>
        </w:rPr>
        <w:t>The trustees’ powers should incorporate the statutory framework of the Trustee Act 2000, which imposes a duty of care (s.1) and grants wide investment powers (s.3), subject to the standard investment criteria (s.4). Trustees must review investments periodically and may delegate functions under s.11. These provisions ensure the trust fund is managed prudently and in Daniel’s best interests. The trustees should also have the power to advance capital under Trustee Act 1925, s.32, unless Margaret wishes to restrict this. This power allows trustees to provide Daniel with early access to capital if appropriate, up to 100% of his presumptive share.</w:t>
      </w:r>
    </w:p>
    <w:p w14:paraId="26CC8569" w14:textId="77777777" w:rsidR="009B0E40" w:rsidRPr="009B0E40" w:rsidRDefault="009B0E40" w:rsidP="009B0E40">
      <w:pPr>
        <w:spacing w:after="160" w:line="278" w:lineRule="auto"/>
        <w:jc w:val="both"/>
        <w:rPr>
          <w:rFonts w:asciiTheme="minorHAnsi" w:hAnsiTheme="minorHAnsi"/>
          <w:sz w:val="24"/>
          <w:szCs w:val="24"/>
          <w:lang w:eastAsia="en-US"/>
        </w:rPr>
      </w:pPr>
      <w:r w:rsidRPr="009B0E40">
        <w:rPr>
          <w:rFonts w:asciiTheme="minorHAnsi" w:hAnsiTheme="minorHAnsi"/>
          <w:sz w:val="24"/>
          <w:szCs w:val="24"/>
          <w:lang w:eastAsia="en-US"/>
        </w:rPr>
        <w:t xml:space="preserve">Daniel’s rights under the trust are limited until he reaches 55. He holds a contingent interest and cannot demand early access to capital unless the trustees exercise their discretion. The rule in </w:t>
      </w:r>
      <w:r w:rsidRPr="009B0E40">
        <w:rPr>
          <w:rFonts w:asciiTheme="minorHAnsi" w:hAnsiTheme="minorHAnsi"/>
          <w:i/>
          <w:iCs/>
          <w:sz w:val="24"/>
          <w:szCs w:val="24"/>
          <w:lang w:eastAsia="en-US"/>
        </w:rPr>
        <w:t>Saunders v Vautier</w:t>
      </w:r>
      <w:r w:rsidRPr="009B0E40">
        <w:rPr>
          <w:rFonts w:asciiTheme="minorHAnsi" w:hAnsiTheme="minorHAnsi"/>
          <w:sz w:val="24"/>
          <w:szCs w:val="24"/>
          <w:lang w:eastAsia="en-US"/>
        </w:rPr>
        <w:t xml:space="preserve"> (1841), which allows beneficiaries who are absolutely entitled and of full age to collapse a trust, would not apply unless Daniel becomes the sole beneficiary with an absolute vested interest. If the trust includes </w:t>
      </w:r>
      <w:r w:rsidRPr="009B0E40">
        <w:rPr>
          <w:rFonts w:asciiTheme="minorHAnsi" w:hAnsiTheme="minorHAnsi"/>
          <w:sz w:val="24"/>
          <w:szCs w:val="24"/>
          <w:lang w:eastAsia="en-US"/>
        </w:rPr>
        <w:lastRenderedPageBreak/>
        <w:t xml:space="preserve">default beneficiaries, such as Emily, the trust cannot be terminated early without unanimous consent. Daniel does, however, retain the right to ensure trustees act properly, as recognised in </w:t>
      </w:r>
      <w:r w:rsidRPr="009B0E40">
        <w:rPr>
          <w:rFonts w:asciiTheme="minorHAnsi" w:hAnsiTheme="minorHAnsi"/>
          <w:i/>
          <w:iCs/>
          <w:sz w:val="24"/>
          <w:szCs w:val="24"/>
          <w:lang w:eastAsia="en-US"/>
        </w:rPr>
        <w:t>Re Londonderry’s Settlement</w:t>
      </w:r>
      <w:r w:rsidRPr="009B0E40">
        <w:rPr>
          <w:rFonts w:asciiTheme="minorHAnsi" w:hAnsiTheme="minorHAnsi"/>
          <w:sz w:val="24"/>
          <w:szCs w:val="24"/>
          <w:lang w:eastAsia="en-US"/>
        </w:rPr>
        <w:t xml:space="preserve"> [1965], although trustees are not obliged to disclose all documents relating to their deliberations.</w:t>
      </w:r>
    </w:p>
    <w:p w14:paraId="0F26DE25" w14:textId="77777777" w:rsidR="009B0E40" w:rsidRPr="009B0E40" w:rsidRDefault="009B0E40" w:rsidP="009B0E40">
      <w:pPr>
        <w:spacing w:after="160" w:line="278" w:lineRule="auto"/>
        <w:jc w:val="both"/>
        <w:rPr>
          <w:rFonts w:asciiTheme="minorHAnsi" w:hAnsiTheme="minorHAnsi"/>
          <w:sz w:val="24"/>
          <w:szCs w:val="24"/>
          <w:lang w:eastAsia="en-US"/>
        </w:rPr>
      </w:pPr>
      <w:r w:rsidRPr="009B0E40">
        <w:rPr>
          <w:rFonts w:asciiTheme="minorHAnsi" w:hAnsiTheme="minorHAnsi"/>
          <w:sz w:val="24"/>
          <w:szCs w:val="24"/>
          <w:lang w:eastAsia="en-US"/>
        </w:rPr>
        <w:t>Turning to inheritance tax (IHT), Margaret’s estate benefits from several key reliefs. The standard nil</w:t>
      </w:r>
      <w:r w:rsidRPr="009B0E40">
        <w:rPr>
          <w:rFonts w:asciiTheme="minorHAnsi" w:hAnsiTheme="minorHAnsi"/>
          <w:sz w:val="24"/>
          <w:szCs w:val="24"/>
          <w:lang w:eastAsia="en-US"/>
        </w:rPr>
        <w:noBreakHyphen/>
        <w:t>rate band (NRB) is £325,000, and because her late husband Derek left his entire estate to her, his unused NRB can be transferred, giving a combined NRB of £650,000 under IHTA 1984, s.8A. Margaret also qualifies for the residence nil</w:t>
      </w:r>
      <w:r w:rsidRPr="009B0E40">
        <w:rPr>
          <w:rFonts w:asciiTheme="minorHAnsi" w:hAnsiTheme="minorHAnsi"/>
          <w:sz w:val="24"/>
          <w:szCs w:val="24"/>
          <w:lang w:eastAsia="en-US"/>
        </w:rPr>
        <w:noBreakHyphen/>
        <w:t>rate band (RNRB) of £175,000, which can also be transferred from Derek, resulting in a total RNRB of £350,000 (IHTA 1984, s.8D). The RNRB applies because Margaret’s home passes to lineal descendants. Her estate totals £800,000, reduced to £790,000 after the charitable gift. As the combined NRB and RNRB amount to £1,000,000, no IHT is payable on her death.</w:t>
      </w:r>
    </w:p>
    <w:p w14:paraId="0822136A" w14:textId="54482325" w:rsidR="004E76C5" w:rsidRDefault="004E76C5" w:rsidP="009B0E40">
      <w:pPr>
        <w:spacing w:after="160" w:line="278" w:lineRule="auto"/>
        <w:jc w:val="both"/>
        <w:rPr>
          <w:rFonts w:asciiTheme="minorHAnsi" w:hAnsiTheme="minorHAnsi"/>
          <w:sz w:val="24"/>
          <w:szCs w:val="24"/>
          <w:lang w:eastAsia="en-US"/>
        </w:rPr>
      </w:pPr>
      <w:r w:rsidRPr="004E76C5">
        <w:rPr>
          <w:rFonts w:asciiTheme="minorHAnsi" w:hAnsiTheme="minorHAnsi"/>
          <w:sz w:val="24"/>
          <w:szCs w:val="24"/>
          <w:lang w:eastAsia="en-US"/>
        </w:rPr>
        <w:t>Daniel’s trust falls within the relevant property regime under the Inheritance Tax Act 1984, s.58, meaning that although there is no entry charge for a will</w:t>
      </w:r>
      <w:r w:rsidRPr="004E76C5">
        <w:rPr>
          <w:rFonts w:asciiTheme="minorHAnsi" w:hAnsiTheme="minorHAnsi"/>
          <w:sz w:val="24"/>
          <w:szCs w:val="24"/>
          <w:lang w:eastAsia="en-US"/>
        </w:rPr>
        <w:noBreakHyphen/>
        <w:t>created trust, it may still be subject to ten</w:t>
      </w:r>
      <w:r w:rsidRPr="004E76C5">
        <w:rPr>
          <w:rFonts w:asciiTheme="minorHAnsi" w:hAnsiTheme="minorHAnsi"/>
          <w:sz w:val="24"/>
          <w:szCs w:val="24"/>
          <w:lang w:eastAsia="en-US"/>
        </w:rPr>
        <w:noBreakHyphen/>
        <w:t>yearly periodic charges of up to 6% and potential exit charges. In practice, these are likely to be minimal because the trust’s initial value should fall within the available nil</w:t>
      </w:r>
      <w:r w:rsidRPr="004E76C5">
        <w:rPr>
          <w:rFonts w:asciiTheme="minorHAnsi" w:hAnsiTheme="minorHAnsi"/>
          <w:sz w:val="24"/>
          <w:szCs w:val="24"/>
          <w:lang w:eastAsia="en-US"/>
        </w:rPr>
        <w:noBreakHyphen/>
        <w:t>rate band. The trustees will also face ongoing tax obligations, including income tax at the trust rate of 45% and capital gains tax at 20% with a reduced annual exemption. These long</w:t>
      </w:r>
      <w:r w:rsidRPr="004E76C5">
        <w:rPr>
          <w:rFonts w:asciiTheme="minorHAnsi" w:hAnsiTheme="minorHAnsi"/>
          <w:sz w:val="24"/>
          <w:szCs w:val="24"/>
          <w:lang w:eastAsia="en-US"/>
        </w:rPr>
        <w:noBreakHyphen/>
        <w:t xml:space="preserve">term tax implications should be explained to </w:t>
      </w:r>
      <w:proofErr w:type="gramStart"/>
      <w:r w:rsidRPr="004E76C5">
        <w:rPr>
          <w:rFonts w:asciiTheme="minorHAnsi" w:hAnsiTheme="minorHAnsi"/>
          <w:sz w:val="24"/>
          <w:szCs w:val="24"/>
          <w:lang w:eastAsia="en-US"/>
        </w:rPr>
        <w:t>Margaret</w:t>
      </w:r>
      <w:proofErr w:type="gramEnd"/>
      <w:r w:rsidRPr="004E76C5">
        <w:rPr>
          <w:rFonts w:asciiTheme="minorHAnsi" w:hAnsiTheme="minorHAnsi"/>
          <w:sz w:val="24"/>
          <w:szCs w:val="24"/>
          <w:lang w:eastAsia="en-US"/>
        </w:rPr>
        <w:t xml:space="preserve"> so she understands the financial consequences of establishing the trust (HMRC, 2024).</w:t>
      </w:r>
    </w:p>
    <w:p w14:paraId="617725A2" w14:textId="1E4F7C29" w:rsidR="009B0E40" w:rsidRPr="009B0E40" w:rsidRDefault="009B0E40" w:rsidP="009B0E40">
      <w:pPr>
        <w:spacing w:after="160" w:line="278" w:lineRule="auto"/>
        <w:jc w:val="both"/>
        <w:rPr>
          <w:rFonts w:asciiTheme="minorHAnsi" w:hAnsiTheme="minorHAnsi"/>
          <w:sz w:val="24"/>
          <w:szCs w:val="24"/>
          <w:lang w:eastAsia="en-US"/>
        </w:rPr>
      </w:pPr>
      <w:r w:rsidRPr="009B0E40">
        <w:rPr>
          <w:rFonts w:asciiTheme="minorHAnsi" w:hAnsiTheme="minorHAnsi"/>
          <w:sz w:val="24"/>
          <w:szCs w:val="24"/>
          <w:lang w:eastAsia="en-US"/>
        </w:rPr>
        <w:t>In terms of HMRC compliance, Anna must complete the appropriate probate and IHT reporting. If the estate qualifies as an excepted estate, an IHT205 may be used; otherwise, a full IHT400 return is required. The trust for Daniel must be registered on the Trust Registration Service (TRS) within 90 days of creation or becoming taxable. Trustees must maintain accurate records, file annual trust tax returns (SA900), comply with the Trustee Act 2000 investment duties, and update the TRS when circumstances change. These obligations ensure transparency and compliance with HMRC requirements.</w:t>
      </w:r>
    </w:p>
    <w:p w14:paraId="32EBA699" w14:textId="77777777" w:rsidR="009B0E40" w:rsidRPr="009B0E40" w:rsidRDefault="009B0E40" w:rsidP="009B0E40">
      <w:pPr>
        <w:spacing w:after="160" w:line="278" w:lineRule="auto"/>
        <w:jc w:val="both"/>
        <w:rPr>
          <w:rFonts w:asciiTheme="minorHAnsi" w:hAnsiTheme="minorHAnsi"/>
          <w:sz w:val="24"/>
          <w:szCs w:val="24"/>
          <w:lang w:eastAsia="en-US"/>
        </w:rPr>
      </w:pPr>
      <w:r w:rsidRPr="009B0E40">
        <w:rPr>
          <w:rFonts w:asciiTheme="minorHAnsi" w:hAnsiTheme="minorHAnsi"/>
          <w:sz w:val="24"/>
          <w:szCs w:val="24"/>
          <w:lang w:eastAsia="en-US"/>
        </w:rPr>
        <w:t>Overall, the proposed will structure effectively reflects Margaret’s wishes, protects Daniel’s inheritance, and ensures tax efficiency. The combination of transferable nil</w:t>
      </w:r>
      <w:r w:rsidRPr="009B0E40">
        <w:rPr>
          <w:rFonts w:asciiTheme="minorHAnsi" w:hAnsiTheme="minorHAnsi"/>
          <w:sz w:val="24"/>
          <w:szCs w:val="24"/>
          <w:lang w:eastAsia="en-US"/>
        </w:rPr>
        <w:noBreakHyphen/>
        <w:t xml:space="preserve">rate bands and the charitable gift </w:t>
      </w:r>
      <w:proofErr w:type="gramStart"/>
      <w:r w:rsidRPr="009B0E40">
        <w:rPr>
          <w:rFonts w:asciiTheme="minorHAnsi" w:hAnsiTheme="minorHAnsi"/>
          <w:sz w:val="24"/>
          <w:szCs w:val="24"/>
          <w:lang w:eastAsia="en-US"/>
        </w:rPr>
        <w:t>eliminates</w:t>
      </w:r>
      <w:proofErr w:type="gramEnd"/>
      <w:r w:rsidRPr="009B0E40">
        <w:rPr>
          <w:rFonts w:asciiTheme="minorHAnsi" w:hAnsiTheme="minorHAnsi"/>
          <w:sz w:val="24"/>
          <w:szCs w:val="24"/>
          <w:lang w:eastAsia="en-US"/>
        </w:rPr>
        <w:t xml:space="preserve"> IHT liability, while the trust structure provides long</w:t>
      </w:r>
      <w:r w:rsidRPr="009B0E40">
        <w:rPr>
          <w:rFonts w:asciiTheme="minorHAnsi" w:hAnsiTheme="minorHAnsi"/>
          <w:sz w:val="24"/>
          <w:szCs w:val="24"/>
          <w:lang w:eastAsia="en-US"/>
        </w:rPr>
        <w:noBreakHyphen/>
        <w:t>term financial protection for Daniel. Clear drafting and appropriate trustee powers will ensure the will operates smoothly and in accordance with Margaret’s intentions.</w:t>
      </w:r>
    </w:p>
    <w:p w14:paraId="17A80BFB" w14:textId="55A94892" w:rsidR="009B0E40" w:rsidRPr="009B0E40" w:rsidRDefault="009B0E40" w:rsidP="009B0E40">
      <w:pPr>
        <w:spacing w:after="160" w:line="278" w:lineRule="auto"/>
        <w:jc w:val="both"/>
        <w:rPr>
          <w:rFonts w:asciiTheme="minorHAnsi" w:hAnsiTheme="minorHAnsi"/>
          <w:sz w:val="24"/>
          <w:szCs w:val="24"/>
          <w:lang w:eastAsia="en-US"/>
        </w:rPr>
      </w:pPr>
      <w:r w:rsidRPr="009B0E40">
        <w:rPr>
          <w:rFonts w:asciiTheme="minorHAnsi" w:hAnsiTheme="minorHAnsi"/>
          <w:sz w:val="24"/>
          <w:szCs w:val="24"/>
          <w:lang w:eastAsia="en-US"/>
        </w:rPr>
        <w:br w:type="page"/>
      </w:r>
    </w:p>
    <w:p w14:paraId="5A51F8D5" w14:textId="5DA7B23B" w:rsidR="009B0E40" w:rsidRDefault="009B0E40" w:rsidP="009B0E40">
      <w:pPr>
        <w:pStyle w:val="Heading2"/>
      </w:pPr>
      <w:r>
        <w:lastRenderedPageBreak/>
        <w:t xml:space="preserve">TASK 2 </w:t>
      </w:r>
    </w:p>
    <w:p w14:paraId="17A8E81C" w14:textId="5BBFE7D3" w:rsidR="0067659D" w:rsidRPr="0067659D" w:rsidRDefault="0067659D" w:rsidP="0067659D">
      <w:pPr>
        <w:spacing w:after="160" w:line="278" w:lineRule="auto"/>
        <w:jc w:val="both"/>
        <w:rPr>
          <w:rFonts w:asciiTheme="minorHAnsi" w:hAnsiTheme="minorHAnsi"/>
          <w:sz w:val="24"/>
          <w:szCs w:val="24"/>
          <w:lang w:eastAsia="en-US"/>
        </w:rPr>
      </w:pPr>
      <w:r w:rsidRPr="0067659D">
        <w:rPr>
          <w:rFonts w:asciiTheme="minorHAnsi" w:hAnsiTheme="minorHAnsi"/>
          <w:sz w:val="24"/>
          <w:szCs w:val="24"/>
          <w:lang w:eastAsia="en-US"/>
        </w:rPr>
        <w:t>Following Margaret’s death, Anna’s first responsibilities as executor involve</w:t>
      </w:r>
      <w:r w:rsidR="00AB7366">
        <w:rPr>
          <w:rFonts w:asciiTheme="minorHAnsi" w:hAnsiTheme="minorHAnsi"/>
          <w:sz w:val="24"/>
          <w:szCs w:val="24"/>
          <w:lang w:eastAsia="en-US"/>
        </w:rPr>
        <w:t>s</w:t>
      </w:r>
      <w:r w:rsidRPr="0067659D">
        <w:rPr>
          <w:rFonts w:asciiTheme="minorHAnsi" w:hAnsiTheme="minorHAnsi"/>
          <w:sz w:val="24"/>
          <w:szCs w:val="24"/>
          <w:lang w:eastAsia="en-US"/>
        </w:rPr>
        <w:t xml:space="preserve"> both practical and legal actions. She must register the death within five days and obtain several certified copies of the death certificate, which will be required by banks, investment providers, and HMCTS. She must also locate the original </w:t>
      </w:r>
      <w:r w:rsidR="00AB7366">
        <w:rPr>
          <w:rFonts w:asciiTheme="minorHAnsi" w:hAnsiTheme="minorHAnsi"/>
          <w:sz w:val="24"/>
          <w:szCs w:val="24"/>
          <w:lang w:eastAsia="en-US"/>
        </w:rPr>
        <w:t>W</w:t>
      </w:r>
      <w:r w:rsidRPr="0067659D">
        <w:rPr>
          <w:rFonts w:asciiTheme="minorHAnsi" w:hAnsiTheme="minorHAnsi"/>
          <w:sz w:val="24"/>
          <w:szCs w:val="24"/>
          <w:lang w:eastAsia="en-US"/>
        </w:rPr>
        <w:t xml:space="preserve">ill, secure Margaret’s property, and arrange </w:t>
      </w:r>
      <w:r w:rsidR="00AB7366">
        <w:rPr>
          <w:rFonts w:asciiTheme="minorHAnsi" w:hAnsiTheme="minorHAnsi"/>
          <w:sz w:val="24"/>
          <w:szCs w:val="24"/>
          <w:lang w:eastAsia="en-US"/>
        </w:rPr>
        <w:t>her</w:t>
      </w:r>
      <w:r w:rsidRPr="0067659D">
        <w:rPr>
          <w:rFonts w:asciiTheme="minorHAnsi" w:hAnsiTheme="minorHAnsi"/>
          <w:sz w:val="24"/>
          <w:szCs w:val="24"/>
          <w:lang w:eastAsia="en-US"/>
        </w:rPr>
        <w:t xml:space="preserve"> funeral. Funeral expenses may be paid directly from the deceased’s bank account upon presentation of the invoice, even before probate is granted. These steps ensure the estate is protected and that Anna can begin the administration process in accordance with the Administration of Estates Act 1925.</w:t>
      </w:r>
    </w:p>
    <w:p w14:paraId="11291D15" w14:textId="495515E9" w:rsidR="00A94EE6" w:rsidRDefault="00A94EE6" w:rsidP="0067659D">
      <w:pPr>
        <w:spacing w:after="160" w:line="278" w:lineRule="auto"/>
        <w:jc w:val="both"/>
        <w:rPr>
          <w:rFonts w:asciiTheme="minorHAnsi" w:hAnsiTheme="minorHAnsi"/>
          <w:sz w:val="24"/>
          <w:szCs w:val="24"/>
          <w:lang w:eastAsia="en-US"/>
        </w:rPr>
      </w:pPr>
      <w:r w:rsidRPr="00A94EE6">
        <w:rPr>
          <w:rFonts w:asciiTheme="minorHAnsi" w:hAnsiTheme="minorHAnsi"/>
          <w:sz w:val="24"/>
          <w:szCs w:val="24"/>
          <w:lang w:eastAsia="en-US"/>
        </w:rPr>
        <w:t xml:space="preserve">Before applying for probate, it is necessary to confirm that the Will is valid by ensuring that the document located is the original final version and that it meets the statutory execution requirements. Under the Wills Act 1837, s.9, a valid will must be in writing, signed by the testator with intent, and witnessed by two individuals present together, a principle reaffirmed in </w:t>
      </w:r>
      <w:r w:rsidRPr="00A94EE6">
        <w:rPr>
          <w:rFonts w:asciiTheme="minorHAnsi" w:hAnsiTheme="minorHAnsi"/>
          <w:i/>
          <w:iCs/>
          <w:sz w:val="24"/>
          <w:szCs w:val="24"/>
          <w:lang w:eastAsia="en-US"/>
        </w:rPr>
        <w:t>Marley v Rawlings</w:t>
      </w:r>
      <w:r w:rsidRPr="00A94EE6">
        <w:rPr>
          <w:rFonts w:asciiTheme="minorHAnsi" w:hAnsiTheme="minorHAnsi"/>
          <w:sz w:val="24"/>
          <w:szCs w:val="24"/>
          <w:lang w:eastAsia="en-US"/>
        </w:rPr>
        <w:t xml:space="preserve"> [2014] UKSC 2. Any concerns such as missing pages, handwritten alterations, or questions about capacity or undue influence require further investigation, which may include obtaining statements from the witnesses, consistent with the evidential approach in </w:t>
      </w:r>
      <w:r w:rsidRPr="00A94EE6">
        <w:rPr>
          <w:rFonts w:asciiTheme="minorHAnsi" w:hAnsiTheme="minorHAnsi"/>
          <w:i/>
          <w:iCs/>
          <w:sz w:val="24"/>
          <w:szCs w:val="24"/>
          <w:lang w:eastAsia="en-US"/>
        </w:rPr>
        <w:t xml:space="preserve">Re </w:t>
      </w:r>
      <w:proofErr w:type="spellStart"/>
      <w:r w:rsidRPr="00A94EE6">
        <w:rPr>
          <w:rFonts w:asciiTheme="minorHAnsi" w:hAnsiTheme="minorHAnsi"/>
          <w:i/>
          <w:iCs/>
          <w:sz w:val="24"/>
          <w:szCs w:val="24"/>
          <w:lang w:eastAsia="en-US"/>
        </w:rPr>
        <w:t>Groffman</w:t>
      </w:r>
      <w:proofErr w:type="spellEnd"/>
      <w:r w:rsidRPr="00A94EE6">
        <w:rPr>
          <w:rFonts w:asciiTheme="minorHAnsi" w:hAnsiTheme="minorHAnsi"/>
          <w:sz w:val="24"/>
          <w:szCs w:val="24"/>
          <w:lang w:eastAsia="en-US"/>
        </w:rPr>
        <w:t xml:space="preserve"> [1969] 1 WLR 733. Where a will has been professionally stored, for example by a solicitor or bank, it is usually released upon production of the death certificate in line with standard probate practice (Law Society, 2022).</w:t>
      </w:r>
    </w:p>
    <w:p w14:paraId="53914F6E" w14:textId="2E32DCFE" w:rsidR="0067659D" w:rsidRPr="0067659D" w:rsidRDefault="0067659D" w:rsidP="0067659D">
      <w:pPr>
        <w:spacing w:after="160" w:line="278" w:lineRule="auto"/>
        <w:jc w:val="both"/>
        <w:rPr>
          <w:rFonts w:asciiTheme="minorHAnsi" w:hAnsiTheme="minorHAnsi"/>
          <w:sz w:val="24"/>
          <w:szCs w:val="24"/>
          <w:lang w:eastAsia="en-US"/>
        </w:rPr>
      </w:pPr>
      <w:r w:rsidRPr="0067659D">
        <w:rPr>
          <w:rFonts w:asciiTheme="minorHAnsi" w:hAnsiTheme="minorHAnsi"/>
          <w:sz w:val="24"/>
          <w:szCs w:val="24"/>
          <w:lang w:eastAsia="en-US"/>
        </w:rPr>
        <w:t xml:space="preserve">Regarding executor eligibility, Anna may act alone because the </w:t>
      </w:r>
      <w:r w:rsidR="00AB7366">
        <w:rPr>
          <w:rFonts w:asciiTheme="minorHAnsi" w:hAnsiTheme="minorHAnsi"/>
          <w:sz w:val="24"/>
          <w:szCs w:val="24"/>
          <w:lang w:eastAsia="en-US"/>
        </w:rPr>
        <w:t>W</w:t>
      </w:r>
      <w:r w:rsidRPr="0067659D">
        <w:rPr>
          <w:rFonts w:asciiTheme="minorHAnsi" w:hAnsiTheme="minorHAnsi"/>
          <w:sz w:val="24"/>
          <w:szCs w:val="24"/>
          <w:lang w:eastAsia="en-US"/>
        </w:rPr>
        <w:t xml:space="preserve">ill appoints her as sole executor. The absence of a substitute executor does not invalidate the </w:t>
      </w:r>
      <w:r w:rsidR="00AB7366">
        <w:rPr>
          <w:rFonts w:asciiTheme="minorHAnsi" w:hAnsiTheme="minorHAnsi"/>
          <w:sz w:val="24"/>
          <w:szCs w:val="24"/>
          <w:lang w:eastAsia="en-US"/>
        </w:rPr>
        <w:t>W</w:t>
      </w:r>
      <w:r w:rsidRPr="0067659D">
        <w:rPr>
          <w:rFonts w:asciiTheme="minorHAnsi" w:hAnsiTheme="minorHAnsi"/>
          <w:sz w:val="24"/>
          <w:szCs w:val="24"/>
          <w:lang w:eastAsia="en-US"/>
        </w:rPr>
        <w:t>ill</w:t>
      </w:r>
      <w:r w:rsidR="00AB7366">
        <w:rPr>
          <w:rFonts w:asciiTheme="minorHAnsi" w:hAnsiTheme="minorHAnsi"/>
          <w:sz w:val="24"/>
          <w:szCs w:val="24"/>
          <w:lang w:eastAsia="en-US"/>
        </w:rPr>
        <w:t>. I</w:t>
      </w:r>
      <w:r w:rsidRPr="0067659D">
        <w:rPr>
          <w:rFonts w:asciiTheme="minorHAnsi" w:hAnsiTheme="minorHAnsi"/>
          <w:sz w:val="24"/>
          <w:szCs w:val="24"/>
          <w:lang w:eastAsia="en-US"/>
        </w:rPr>
        <w:t>f Anna were unwilling or unable to act, the Non</w:t>
      </w:r>
      <w:r w:rsidRPr="0067659D">
        <w:rPr>
          <w:rFonts w:asciiTheme="minorHAnsi" w:hAnsiTheme="minorHAnsi"/>
          <w:sz w:val="24"/>
          <w:szCs w:val="24"/>
          <w:lang w:eastAsia="en-US"/>
        </w:rPr>
        <w:noBreakHyphen/>
        <w:t>Contentious Probate Rules 1987 would determine who is entitled to apply. The existence of a trust for Daniel does not prevent Anna from acting as sole executor, but at least two trustees are required to administer a continuing trust or hold land on trust. Therefore, once probate is granted, Anna must appoint a co</w:t>
      </w:r>
      <w:r w:rsidRPr="0067659D">
        <w:rPr>
          <w:rFonts w:asciiTheme="minorHAnsi" w:hAnsiTheme="minorHAnsi"/>
          <w:sz w:val="24"/>
          <w:szCs w:val="24"/>
          <w:lang w:eastAsia="en-US"/>
        </w:rPr>
        <w:noBreakHyphen/>
        <w:t>trustee to administer Daniel’s trust in accordance with the Trustee Act 1925.</w:t>
      </w:r>
    </w:p>
    <w:p w14:paraId="255654CB" w14:textId="067D9BA2" w:rsidR="00740FF8" w:rsidRDefault="00740FF8" w:rsidP="0067659D">
      <w:pPr>
        <w:spacing w:after="160" w:line="278" w:lineRule="auto"/>
        <w:jc w:val="both"/>
        <w:rPr>
          <w:rFonts w:asciiTheme="minorHAnsi" w:hAnsiTheme="minorHAnsi"/>
          <w:sz w:val="24"/>
          <w:szCs w:val="24"/>
          <w:lang w:eastAsia="en-US"/>
        </w:rPr>
      </w:pPr>
      <w:r w:rsidRPr="00740FF8">
        <w:rPr>
          <w:rFonts w:asciiTheme="minorHAnsi" w:hAnsiTheme="minorHAnsi"/>
          <w:sz w:val="24"/>
          <w:szCs w:val="24"/>
          <w:lang w:eastAsia="en-US"/>
        </w:rPr>
        <w:t>Solicitors must comply with the Solicitors Regulation Authority (SRA) Codes of Conduct, which require them to give clear client</w:t>
      </w:r>
      <w:r w:rsidRPr="00740FF8">
        <w:rPr>
          <w:rFonts w:asciiTheme="minorHAnsi" w:hAnsiTheme="minorHAnsi"/>
          <w:sz w:val="24"/>
          <w:szCs w:val="24"/>
          <w:lang w:eastAsia="en-US"/>
        </w:rPr>
        <w:noBreakHyphen/>
        <w:t>care information, including costs, timescales and responsibilities, and to act with integrity while maintaining high professional standards. They must also communicate in a way clients can understand and take particular care when advising vulnerable or bereaved individuals, ensuring that guidance is delivered sensitively and that appropriate support is provided throughout the process (SRA, 2023).</w:t>
      </w:r>
    </w:p>
    <w:p w14:paraId="42D78ED1" w14:textId="7BFFB700" w:rsidR="0067659D" w:rsidRPr="0067659D" w:rsidRDefault="0067659D" w:rsidP="0067659D">
      <w:pPr>
        <w:spacing w:after="160" w:line="278" w:lineRule="auto"/>
        <w:jc w:val="both"/>
        <w:rPr>
          <w:rFonts w:asciiTheme="minorHAnsi" w:hAnsiTheme="minorHAnsi"/>
          <w:sz w:val="24"/>
          <w:szCs w:val="24"/>
          <w:lang w:eastAsia="en-US"/>
        </w:rPr>
      </w:pPr>
      <w:r w:rsidRPr="0067659D">
        <w:rPr>
          <w:rFonts w:asciiTheme="minorHAnsi" w:hAnsiTheme="minorHAnsi"/>
          <w:sz w:val="24"/>
          <w:szCs w:val="24"/>
          <w:lang w:eastAsia="en-US"/>
        </w:rPr>
        <w:t xml:space="preserve">An initial schedule of assets and liabilities must be prepared to determine the value of Margaret’s estate. This includes her Swansea property, valued at approximately £480,000, her savings and investments totalling around £320,000, her car, jewellery, and any outstanding debts or liabilities. Assets must be valued at their open market value on the date of death, in accordance with HMRC requirements. Property should be valued </w:t>
      </w:r>
      <w:r w:rsidRPr="0067659D">
        <w:rPr>
          <w:rFonts w:asciiTheme="minorHAnsi" w:hAnsiTheme="minorHAnsi"/>
          <w:sz w:val="24"/>
          <w:szCs w:val="24"/>
          <w:lang w:eastAsia="en-US"/>
        </w:rPr>
        <w:lastRenderedPageBreak/>
        <w:t>professionally, ideally by a RICS</w:t>
      </w:r>
      <w:r w:rsidRPr="0067659D">
        <w:rPr>
          <w:rFonts w:asciiTheme="minorHAnsi" w:hAnsiTheme="minorHAnsi"/>
          <w:sz w:val="24"/>
          <w:szCs w:val="24"/>
          <w:lang w:eastAsia="en-US"/>
        </w:rPr>
        <w:noBreakHyphen/>
        <w:t>qualified surveyor, to ensure accuracy. Investments must be valued using the closing market price on the date of death, and bank accounts must be valued using the balance on that date.</w:t>
      </w:r>
    </w:p>
    <w:p w14:paraId="19A7AFE4" w14:textId="3A4B901E" w:rsidR="00740FF8" w:rsidRDefault="00740FF8" w:rsidP="0067659D">
      <w:pPr>
        <w:spacing w:after="160" w:line="278" w:lineRule="auto"/>
        <w:jc w:val="both"/>
        <w:rPr>
          <w:rFonts w:asciiTheme="minorHAnsi" w:hAnsiTheme="minorHAnsi"/>
          <w:sz w:val="24"/>
          <w:szCs w:val="24"/>
          <w:lang w:eastAsia="en-US"/>
        </w:rPr>
      </w:pPr>
      <w:r w:rsidRPr="00740FF8">
        <w:rPr>
          <w:rFonts w:asciiTheme="minorHAnsi" w:hAnsiTheme="minorHAnsi"/>
          <w:sz w:val="24"/>
          <w:szCs w:val="24"/>
          <w:lang w:eastAsia="en-US"/>
        </w:rPr>
        <w:t>Some estate assets may need specialist valuation, such as jewellery or investment portfolios, and post</w:t>
      </w:r>
      <w:r w:rsidRPr="00740FF8">
        <w:rPr>
          <w:rFonts w:asciiTheme="minorHAnsi" w:hAnsiTheme="minorHAnsi"/>
          <w:sz w:val="24"/>
          <w:szCs w:val="24"/>
          <w:lang w:eastAsia="en-US"/>
        </w:rPr>
        <w:noBreakHyphen/>
        <w:t>death tax issues can arise</w:t>
      </w:r>
      <w:r>
        <w:rPr>
          <w:rFonts w:asciiTheme="minorHAnsi" w:hAnsiTheme="minorHAnsi"/>
          <w:sz w:val="24"/>
          <w:szCs w:val="24"/>
          <w:lang w:eastAsia="en-US"/>
        </w:rPr>
        <w:t>. F</w:t>
      </w:r>
      <w:r w:rsidRPr="00740FF8">
        <w:rPr>
          <w:rFonts w:asciiTheme="minorHAnsi" w:hAnsiTheme="minorHAnsi"/>
          <w:sz w:val="24"/>
          <w:szCs w:val="24"/>
          <w:lang w:eastAsia="en-US"/>
        </w:rPr>
        <w:t>or example, capital gains tax may be payable if investments are sold during administration. The probate value recorded for the grant may also differ from the inheritance tax (IHT) value, as probate focuses on the gross value of assets, while IHT calculations take account of lifetime gifts, deductible liabilities, and available reliefs such as the residence nil</w:t>
      </w:r>
      <w:r w:rsidRPr="00740FF8">
        <w:rPr>
          <w:rFonts w:asciiTheme="minorHAnsi" w:hAnsiTheme="minorHAnsi"/>
          <w:sz w:val="24"/>
          <w:szCs w:val="24"/>
          <w:lang w:eastAsia="en-US"/>
        </w:rPr>
        <w:noBreakHyphen/>
        <w:t>rate band (HMRC, 2024).</w:t>
      </w:r>
    </w:p>
    <w:p w14:paraId="333606A5" w14:textId="511377E6" w:rsidR="0067659D" w:rsidRPr="0067659D" w:rsidRDefault="0067659D" w:rsidP="0067659D">
      <w:pPr>
        <w:spacing w:after="160" w:line="278" w:lineRule="auto"/>
        <w:jc w:val="both"/>
        <w:rPr>
          <w:rFonts w:asciiTheme="minorHAnsi" w:hAnsiTheme="minorHAnsi"/>
          <w:sz w:val="24"/>
          <w:szCs w:val="24"/>
          <w:lang w:eastAsia="en-US"/>
        </w:rPr>
      </w:pPr>
      <w:r w:rsidRPr="0067659D">
        <w:rPr>
          <w:rFonts w:asciiTheme="minorHAnsi" w:hAnsiTheme="minorHAnsi"/>
          <w:sz w:val="24"/>
          <w:szCs w:val="24"/>
          <w:lang w:eastAsia="en-US"/>
        </w:rPr>
        <w:t>The relevant IHT rules include the standard Nil</w:t>
      </w:r>
      <w:r w:rsidRPr="0067659D">
        <w:rPr>
          <w:rFonts w:asciiTheme="minorHAnsi" w:hAnsiTheme="minorHAnsi"/>
          <w:sz w:val="24"/>
          <w:szCs w:val="24"/>
          <w:lang w:eastAsia="en-US"/>
        </w:rPr>
        <w:noBreakHyphen/>
        <w:t>Rate Band (NRB) of £325,000 and the transferable NRB from Margaret’s late husband Derek, giving a combined NRB of £650,000 under the Inheritance Tax Act 1984 (IHTA 1984), s.8A. Margaret also qualifies for the Residence Nil</w:t>
      </w:r>
      <w:r w:rsidRPr="0067659D">
        <w:rPr>
          <w:rFonts w:asciiTheme="minorHAnsi" w:hAnsiTheme="minorHAnsi"/>
          <w:sz w:val="24"/>
          <w:szCs w:val="24"/>
          <w:lang w:eastAsia="en-US"/>
        </w:rPr>
        <w:noBreakHyphen/>
        <w:t>Rate Band (RNRB) of £175,000, which can also be transferred from Derek, resulting in a total RNRB of £350,000 (IHTA 1984, s.8D). The RNRB applies because Margaret’s home passes to her lineal descendants. The charitable gift of £10,000 to the Dogs Trust is exempt under IHTA 1984, s.23. The spouse exemption applied on Derek’s death, allowing the transfer of unused allowances.</w:t>
      </w:r>
    </w:p>
    <w:p w14:paraId="3AA9BCC3" w14:textId="492E40E3" w:rsidR="0067659D" w:rsidRPr="0067659D" w:rsidRDefault="0067659D" w:rsidP="0067659D">
      <w:pPr>
        <w:spacing w:after="160" w:line="278" w:lineRule="auto"/>
        <w:jc w:val="both"/>
        <w:rPr>
          <w:rFonts w:asciiTheme="minorHAnsi" w:hAnsiTheme="minorHAnsi"/>
          <w:sz w:val="24"/>
          <w:szCs w:val="24"/>
          <w:lang w:eastAsia="en-US"/>
        </w:rPr>
      </w:pPr>
      <w:r w:rsidRPr="0067659D">
        <w:rPr>
          <w:rFonts w:asciiTheme="minorHAnsi" w:hAnsiTheme="minorHAnsi"/>
          <w:sz w:val="24"/>
          <w:szCs w:val="24"/>
          <w:lang w:eastAsia="en-US"/>
        </w:rPr>
        <w:t>The gross estate totals £800,000. After deducting the charitable legacy, the net estate for IHT is £790,000. Before applying exemptions, the IHT liability at 40% would be £316,000. However, because the combined NRB and RNRB total £1,000,000, no IHT is payable. Anna, as executor, is responsible for completing the appropriate IHT forms</w:t>
      </w:r>
      <w:r w:rsidR="00891FF8">
        <w:rPr>
          <w:rFonts w:asciiTheme="minorHAnsi" w:hAnsiTheme="minorHAnsi"/>
          <w:sz w:val="24"/>
          <w:szCs w:val="24"/>
          <w:lang w:eastAsia="en-US"/>
        </w:rPr>
        <w:t>. E</w:t>
      </w:r>
      <w:r w:rsidRPr="0067659D">
        <w:rPr>
          <w:rFonts w:asciiTheme="minorHAnsi" w:hAnsiTheme="minorHAnsi"/>
          <w:sz w:val="24"/>
          <w:szCs w:val="24"/>
          <w:lang w:eastAsia="en-US"/>
        </w:rPr>
        <w:t>ither IHT205 for an excepted estate or IHT400 for a full account</w:t>
      </w:r>
      <w:r w:rsidR="00891FF8">
        <w:rPr>
          <w:rFonts w:asciiTheme="minorHAnsi" w:hAnsiTheme="minorHAnsi"/>
          <w:sz w:val="24"/>
          <w:szCs w:val="24"/>
          <w:lang w:eastAsia="en-US"/>
        </w:rPr>
        <w:t xml:space="preserve"> </w:t>
      </w:r>
      <w:r w:rsidRPr="0067659D">
        <w:rPr>
          <w:rFonts w:asciiTheme="minorHAnsi" w:hAnsiTheme="minorHAnsi"/>
          <w:sz w:val="24"/>
          <w:szCs w:val="24"/>
          <w:lang w:eastAsia="en-US"/>
        </w:rPr>
        <w:t>and ensuring compliance with HMRC deadlines. IHT must be paid by the end of the sixth month after the month of death, and the IHT return must be filed within 12 months. If tax were payable, Anna could use the Direct Payment Scheme to pay IHT directly from Margaret’s bank accounts.</w:t>
      </w:r>
    </w:p>
    <w:p w14:paraId="1CBB4FFF" w14:textId="004837FD" w:rsidR="0067659D" w:rsidRPr="0067659D" w:rsidRDefault="0067659D" w:rsidP="0067659D">
      <w:pPr>
        <w:spacing w:after="160" w:line="278" w:lineRule="auto"/>
        <w:jc w:val="both"/>
        <w:rPr>
          <w:rFonts w:asciiTheme="minorHAnsi" w:hAnsiTheme="minorHAnsi"/>
          <w:sz w:val="24"/>
          <w:szCs w:val="24"/>
          <w:lang w:eastAsia="en-US"/>
        </w:rPr>
      </w:pPr>
      <w:r w:rsidRPr="0067659D">
        <w:rPr>
          <w:rFonts w:asciiTheme="minorHAnsi" w:hAnsiTheme="minorHAnsi"/>
          <w:sz w:val="24"/>
          <w:szCs w:val="24"/>
          <w:lang w:eastAsia="en-US"/>
        </w:rPr>
        <w:t xml:space="preserve">Daniel’s trust is a relevant property trust under IHTA 1984, s.58. Although there is no entry charge for trusts created by </w:t>
      </w:r>
      <w:r w:rsidR="00AB7366">
        <w:rPr>
          <w:rFonts w:asciiTheme="minorHAnsi" w:hAnsiTheme="minorHAnsi"/>
          <w:sz w:val="24"/>
          <w:szCs w:val="24"/>
          <w:lang w:eastAsia="en-US"/>
        </w:rPr>
        <w:t>W</w:t>
      </w:r>
      <w:r w:rsidRPr="0067659D">
        <w:rPr>
          <w:rFonts w:asciiTheme="minorHAnsi" w:hAnsiTheme="minorHAnsi"/>
          <w:sz w:val="24"/>
          <w:szCs w:val="24"/>
          <w:lang w:eastAsia="en-US"/>
        </w:rPr>
        <w:t>ill, periodic ten</w:t>
      </w:r>
      <w:r w:rsidRPr="0067659D">
        <w:rPr>
          <w:rFonts w:asciiTheme="minorHAnsi" w:hAnsiTheme="minorHAnsi"/>
          <w:sz w:val="24"/>
          <w:szCs w:val="24"/>
          <w:lang w:eastAsia="en-US"/>
        </w:rPr>
        <w:noBreakHyphen/>
        <w:t>year charges and exit charges may apply. However, because the trust’s initial value is likely to fall within the available NRB, periodic and exit charges should be minimal or zero.</w:t>
      </w:r>
    </w:p>
    <w:p w14:paraId="55C146EC" w14:textId="1A7C776B" w:rsidR="0067659D" w:rsidRDefault="00EA1EBC" w:rsidP="0067659D">
      <w:pPr>
        <w:spacing w:after="160" w:line="278" w:lineRule="auto"/>
        <w:jc w:val="both"/>
        <w:rPr>
          <w:rFonts w:asciiTheme="minorHAnsi" w:hAnsiTheme="minorHAnsi"/>
          <w:sz w:val="24"/>
          <w:szCs w:val="24"/>
          <w:lang w:eastAsia="en-US"/>
        </w:rPr>
      </w:pPr>
      <w:proofErr w:type="gramStart"/>
      <w:r>
        <w:rPr>
          <w:rFonts w:asciiTheme="minorHAnsi" w:hAnsiTheme="minorHAnsi"/>
          <w:sz w:val="24"/>
          <w:szCs w:val="24"/>
          <w:lang w:eastAsia="en-US"/>
        </w:rPr>
        <w:t>Due to the fact that</w:t>
      </w:r>
      <w:proofErr w:type="gramEnd"/>
      <w:r w:rsidR="0067659D" w:rsidRPr="0067659D">
        <w:rPr>
          <w:rFonts w:asciiTheme="minorHAnsi" w:hAnsiTheme="minorHAnsi"/>
          <w:sz w:val="24"/>
          <w:szCs w:val="24"/>
          <w:lang w:eastAsia="en-US"/>
        </w:rPr>
        <w:t xml:space="preserve"> Margaret left a valid </w:t>
      </w:r>
      <w:r w:rsidR="00AB7366">
        <w:rPr>
          <w:rFonts w:asciiTheme="minorHAnsi" w:hAnsiTheme="minorHAnsi"/>
          <w:sz w:val="24"/>
          <w:szCs w:val="24"/>
          <w:lang w:eastAsia="en-US"/>
        </w:rPr>
        <w:t>W</w:t>
      </w:r>
      <w:r w:rsidR="0067659D" w:rsidRPr="0067659D">
        <w:rPr>
          <w:rFonts w:asciiTheme="minorHAnsi" w:hAnsiTheme="minorHAnsi"/>
          <w:sz w:val="24"/>
          <w:szCs w:val="24"/>
          <w:lang w:eastAsia="en-US"/>
        </w:rPr>
        <w:t>ill and named Anna as executor, the appropriate grant is a Grant of Probate. The application may be made online or by paper and requires submission of the original will, death certificate, completed IHT forms, and the probate fee. A statement of truth must be signed by Anna confirming the accuracy of the information. Probate typically takes several weeks, although delays are common due to HMCTS processing times.</w:t>
      </w:r>
    </w:p>
    <w:p w14:paraId="23500EFB" w14:textId="77777777" w:rsidR="00740FF8" w:rsidRPr="0067659D" w:rsidRDefault="00740FF8" w:rsidP="0067659D">
      <w:pPr>
        <w:spacing w:after="160" w:line="278" w:lineRule="auto"/>
        <w:jc w:val="both"/>
        <w:rPr>
          <w:rFonts w:asciiTheme="minorHAnsi" w:hAnsiTheme="minorHAnsi"/>
          <w:sz w:val="24"/>
          <w:szCs w:val="24"/>
          <w:lang w:eastAsia="en-US"/>
        </w:rPr>
      </w:pPr>
    </w:p>
    <w:p w14:paraId="5FDA7051" w14:textId="41A86754" w:rsidR="00C17CF4" w:rsidRDefault="00C17CF4" w:rsidP="0067659D">
      <w:pPr>
        <w:spacing w:after="160" w:line="278" w:lineRule="auto"/>
        <w:jc w:val="both"/>
        <w:rPr>
          <w:rFonts w:asciiTheme="minorHAnsi" w:hAnsiTheme="minorHAnsi"/>
          <w:sz w:val="24"/>
          <w:szCs w:val="24"/>
          <w:lang w:eastAsia="en-US"/>
        </w:rPr>
      </w:pPr>
      <w:r w:rsidRPr="00C17CF4">
        <w:rPr>
          <w:rFonts w:asciiTheme="minorHAnsi" w:hAnsiTheme="minorHAnsi"/>
          <w:sz w:val="24"/>
          <w:szCs w:val="24"/>
          <w:lang w:eastAsia="en-US"/>
        </w:rPr>
        <w:lastRenderedPageBreak/>
        <w:t xml:space="preserve">Potential complications may arise where no substitute executor is named, but this does not invalidate the Will, as a sole executor may act alone under the </w:t>
      </w:r>
      <w:proofErr w:type="gramStart"/>
      <w:r w:rsidRPr="00C17CF4">
        <w:rPr>
          <w:rFonts w:asciiTheme="minorHAnsi" w:hAnsiTheme="minorHAnsi"/>
          <w:sz w:val="24"/>
          <w:szCs w:val="24"/>
          <w:lang w:eastAsia="en-US"/>
        </w:rPr>
        <w:t>Non Contentious</w:t>
      </w:r>
      <w:proofErr w:type="gramEnd"/>
      <w:r w:rsidRPr="00C17CF4">
        <w:rPr>
          <w:rFonts w:asciiTheme="minorHAnsi" w:hAnsiTheme="minorHAnsi"/>
          <w:sz w:val="24"/>
          <w:szCs w:val="24"/>
          <w:lang w:eastAsia="en-US"/>
        </w:rPr>
        <w:t xml:space="preserve"> Probate Rules 1987. Although Emily’s minority does not prevent a grant of probate, her inheritance must be held by trustees in accordance with the Trustee Act 1925 and Trustee Act 2000, which impose duties of care, investment responsibilities, and proper management of trust property. Daniel’s trust also requires at least two trustees, reflecting the general rule that land or ongoing trusts must be administered by a minimum of two trustees, as set out in the Trustee Act 1925, s.34 and supported by standard trust practice (Hayton, Matthews and Mitchell, 2015). Anna must therefore appoint a </w:t>
      </w:r>
      <w:r w:rsidRPr="00C17CF4">
        <w:rPr>
          <w:rFonts w:asciiTheme="minorHAnsi" w:hAnsiTheme="minorHAnsi"/>
          <w:sz w:val="24"/>
          <w:szCs w:val="24"/>
          <w:lang w:eastAsia="en-US"/>
        </w:rPr>
        <w:t>co-trustee</w:t>
      </w:r>
      <w:r w:rsidRPr="00C17CF4">
        <w:rPr>
          <w:rFonts w:asciiTheme="minorHAnsi" w:hAnsiTheme="minorHAnsi"/>
          <w:sz w:val="24"/>
          <w:szCs w:val="24"/>
          <w:lang w:eastAsia="en-US"/>
        </w:rPr>
        <w:t xml:space="preserve"> before transferring assets into Daniel’s trust to ensure statutory compliance and effective administration.</w:t>
      </w:r>
    </w:p>
    <w:p w14:paraId="33828551" w14:textId="6622CB34" w:rsidR="00C17CF4" w:rsidRDefault="00C17CF4" w:rsidP="0067659D">
      <w:pPr>
        <w:spacing w:after="160" w:line="278" w:lineRule="auto"/>
        <w:jc w:val="both"/>
        <w:rPr>
          <w:rFonts w:asciiTheme="minorHAnsi" w:hAnsiTheme="minorHAnsi"/>
          <w:sz w:val="24"/>
          <w:szCs w:val="24"/>
          <w:lang w:eastAsia="en-US"/>
        </w:rPr>
      </w:pPr>
      <w:r w:rsidRPr="00C17CF4">
        <w:rPr>
          <w:rFonts w:asciiTheme="minorHAnsi" w:hAnsiTheme="minorHAnsi"/>
          <w:sz w:val="24"/>
          <w:szCs w:val="24"/>
          <w:lang w:eastAsia="en-US"/>
        </w:rPr>
        <w:t xml:space="preserve">The executor must collect assets, pay debts and taxes, and distribute gifts and residue in the correct order. They must keep accurate accounts and usually complete administration within the </w:t>
      </w:r>
      <w:r w:rsidRPr="00C17CF4">
        <w:rPr>
          <w:rFonts w:asciiTheme="minorHAnsi" w:hAnsiTheme="minorHAnsi"/>
          <w:i/>
          <w:iCs/>
          <w:sz w:val="24"/>
          <w:szCs w:val="24"/>
          <w:lang w:eastAsia="en-US"/>
        </w:rPr>
        <w:t>executor’s year</w:t>
      </w:r>
      <w:r w:rsidRPr="00C17CF4">
        <w:rPr>
          <w:rFonts w:asciiTheme="minorHAnsi" w:hAnsiTheme="minorHAnsi"/>
          <w:sz w:val="24"/>
          <w:szCs w:val="24"/>
          <w:lang w:eastAsia="en-US"/>
        </w:rPr>
        <w:t>, during which beneficiaries cannot demand payment if the executor acts reasonably (Halsbury’s Laws of England, 2024). Specific gifts are transferred once safe, while residue is distributed only after all liabilities are settled. Executors risk personal liability for premature distribution, unpaid creditors or HMRC, or other mismanagement, though they are protected when acting prudently and following statutory duties (Tristram &amp; Coote’s Probate Practice, 2023).</w:t>
      </w:r>
    </w:p>
    <w:p w14:paraId="05FCF25F" w14:textId="52DE4178" w:rsidR="00640E91" w:rsidRDefault="00640E91" w:rsidP="0067659D">
      <w:pPr>
        <w:spacing w:after="160" w:line="278" w:lineRule="auto"/>
        <w:jc w:val="both"/>
        <w:rPr>
          <w:rFonts w:asciiTheme="minorHAnsi" w:hAnsiTheme="minorHAnsi"/>
          <w:sz w:val="24"/>
          <w:szCs w:val="24"/>
          <w:lang w:eastAsia="en-US"/>
        </w:rPr>
      </w:pPr>
      <w:r w:rsidRPr="00640E91">
        <w:rPr>
          <w:rFonts w:asciiTheme="minorHAnsi" w:hAnsiTheme="minorHAnsi"/>
          <w:sz w:val="24"/>
          <w:szCs w:val="24"/>
          <w:lang w:eastAsia="en-US"/>
        </w:rPr>
        <w:t>An executor who fails to meet their legal duties can be personally liable for losses to the estate or beneficiaries. This includes distributing assets before debts and taxes are settled, paying creditors incorrectly, or missing liabilities that proper enquiries would have revealed (Halsbury’s Laws of England, 2024). They may also be liable for asset mismanagement or unreasonable delays. Because executors must act diligently and prudently, breaches can lead to court</w:t>
      </w:r>
      <w:r w:rsidRPr="00640E91">
        <w:rPr>
          <w:rFonts w:asciiTheme="minorHAnsi" w:hAnsiTheme="minorHAnsi"/>
          <w:sz w:val="24"/>
          <w:szCs w:val="24"/>
          <w:lang w:eastAsia="en-US"/>
        </w:rPr>
        <w:noBreakHyphen/>
        <w:t>ordered repayment (Tristram &amp; Coote’s Probate Practice, 2023). Although good</w:t>
      </w:r>
      <w:r w:rsidRPr="00640E91">
        <w:rPr>
          <w:rFonts w:asciiTheme="minorHAnsi" w:hAnsiTheme="minorHAnsi"/>
          <w:sz w:val="24"/>
          <w:szCs w:val="24"/>
          <w:lang w:eastAsia="en-US"/>
        </w:rPr>
        <w:noBreakHyphen/>
        <w:t>faith actions are protected, negligence or poor administration can still result in claims from creditors, HMRC, or beneficiaries.</w:t>
      </w:r>
    </w:p>
    <w:p w14:paraId="539268D5" w14:textId="53EADF28" w:rsidR="0067659D" w:rsidRDefault="0067659D" w:rsidP="0067659D">
      <w:pPr>
        <w:spacing w:after="160" w:line="278" w:lineRule="auto"/>
        <w:jc w:val="both"/>
        <w:rPr>
          <w:rFonts w:asciiTheme="minorHAnsi" w:hAnsiTheme="minorHAnsi"/>
          <w:sz w:val="24"/>
          <w:szCs w:val="24"/>
          <w:lang w:eastAsia="en-US"/>
        </w:rPr>
      </w:pPr>
      <w:r w:rsidRPr="0067659D">
        <w:rPr>
          <w:rFonts w:asciiTheme="minorHAnsi" w:hAnsiTheme="minorHAnsi"/>
          <w:sz w:val="24"/>
          <w:szCs w:val="24"/>
          <w:lang w:eastAsia="en-US"/>
        </w:rPr>
        <w:t>Daniel’s trust must be formally constituted and registered with the Trust Registration Service (TRS). Under the expanded TRS rules, all UK express trusts must register within 90 days of creation, even if not taxable. Trustees must maintain accurate records, update the TRS within 90 days of any changes, and comply with ongoing tax obligations, including filing trust tax returns where required.</w:t>
      </w:r>
    </w:p>
    <w:p w14:paraId="7FF4D375" w14:textId="09918AC7" w:rsidR="00640E91" w:rsidRDefault="00640E91">
      <w:pPr>
        <w:spacing w:after="160" w:line="278" w:lineRule="auto"/>
        <w:rPr>
          <w:rFonts w:asciiTheme="minorHAnsi" w:hAnsiTheme="minorHAnsi"/>
          <w:sz w:val="24"/>
          <w:szCs w:val="24"/>
          <w:lang w:eastAsia="en-US"/>
        </w:rPr>
      </w:pPr>
      <w:r>
        <w:rPr>
          <w:rFonts w:asciiTheme="minorHAnsi" w:hAnsiTheme="minorHAnsi"/>
          <w:sz w:val="24"/>
          <w:szCs w:val="24"/>
          <w:lang w:eastAsia="en-US"/>
        </w:rPr>
        <w:br w:type="page"/>
      </w:r>
    </w:p>
    <w:p w14:paraId="3AEEEB89" w14:textId="3EBB2557" w:rsidR="009B0E40" w:rsidRDefault="009B0E40" w:rsidP="009B0E40">
      <w:pPr>
        <w:pStyle w:val="Heading2"/>
      </w:pPr>
      <w:r>
        <w:lastRenderedPageBreak/>
        <w:t xml:space="preserve">REFERENCES </w:t>
      </w:r>
    </w:p>
    <w:p w14:paraId="342E84EA"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19th </w:t>
      </w:r>
      <w:proofErr w:type="spellStart"/>
      <w:r w:rsidRPr="007D1675">
        <w:rPr>
          <w:rFonts w:asciiTheme="minorHAnsi" w:hAnsiTheme="minorHAnsi"/>
          <w:sz w:val="24"/>
          <w:szCs w:val="24"/>
        </w:rPr>
        <w:t>edn</w:t>
      </w:r>
      <w:proofErr w:type="spellEnd"/>
      <w:r w:rsidRPr="007D1675">
        <w:rPr>
          <w:rFonts w:asciiTheme="minorHAnsi" w:hAnsiTheme="minorHAnsi"/>
          <w:sz w:val="24"/>
          <w:szCs w:val="24"/>
        </w:rPr>
        <w:t xml:space="preserve">. London: LexisNexis. </w:t>
      </w:r>
    </w:p>
    <w:p w14:paraId="77ADE716"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Baker, J. (2019) </w:t>
      </w:r>
      <w:r w:rsidRPr="007D1675">
        <w:rPr>
          <w:rFonts w:asciiTheme="minorHAnsi" w:hAnsiTheme="minorHAnsi"/>
          <w:i/>
          <w:iCs/>
          <w:sz w:val="24"/>
          <w:szCs w:val="24"/>
        </w:rPr>
        <w:t>The Law of Wills</w:t>
      </w:r>
      <w:r w:rsidRPr="007D1675">
        <w:rPr>
          <w:rFonts w:asciiTheme="minorHAnsi" w:hAnsiTheme="minorHAnsi"/>
          <w:sz w:val="24"/>
          <w:szCs w:val="24"/>
        </w:rPr>
        <w:t xml:space="preserve">. Oxford: Oxford University Press. </w:t>
      </w:r>
    </w:p>
    <w:p w14:paraId="65872E47"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Barton, C. (2020) </w:t>
      </w:r>
      <w:r w:rsidRPr="007D1675">
        <w:rPr>
          <w:rFonts w:asciiTheme="minorHAnsi" w:hAnsiTheme="minorHAnsi"/>
          <w:i/>
          <w:iCs/>
          <w:sz w:val="24"/>
          <w:szCs w:val="24"/>
        </w:rPr>
        <w:t>Inheritance Tax Planning Handbook</w:t>
      </w:r>
      <w:r w:rsidRPr="007D1675">
        <w:rPr>
          <w:rFonts w:asciiTheme="minorHAnsi" w:hAnsiTheme="minorHAnsi"/>
          <w:sz w:val="24"/>
          <w:szCs w:val="24"/>
        </w:rPr>
        <w:t xml:space="preserve">. London: Bloomsbury. </w:t>
      </w:r>
    </w:p>
    <w:p w14:paraId="2F3F2EC8" w14:textId="005735F6" w:rsidR="00EA1EBC" w:rsidRDefault="00EA1EBC">
      <w:pPr>
        <w:spacing w:after="160" w:line="278" w:lineRule="auto"/>
        <w:rPr>
          <w:rFonts w:asciiTheme="minorHAnsi" w:hAnsiTheme="minorHAnsi"/>
          <w:sz w:val="24"/>
          <w:szCs w:val="24"/>
        </w:rPr>
      </w:pPr>
      <w:r w:rsidRPr="00EA1EBC">
        <w:rPr>
          <w:rFonts w:asciiTheme="minorHAnsi" w:hAnsiTheme="minorHAnsi"/>
          <w:sz w:val="24"/>
          <w:szCs w:val="24"/>
        </w:rPr>
        <w:t>Cousal, H. and King, L., 2011. Private client wills, trusts and estate planning. </w:t>
      </w:r>
    </w:p>
    <w:p w14:paraId="0E073A3B"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Cretney, S. (2016) </w:t>
      </w:r>
      <w:r w:rsidRPr="007D1675">
        <w:rPr>
          <w:rFonts w:asciiTheme="minorHAnsi" w:hAnsiTheme="minorHAnsi"/>
          <w:i/>
          <w:iCs/>
          <w:sz w:val="24"/>
          <w:szCs w:val="24"/>
        </w:rPr>
        <w:t>Principles of Family Law</w:t>
      </w:r>
      <w:r w:rsidRPr="007D1675">
        <w:rPr>
          <w:rFonts w:asciiTheme="minorHAnsi" w:hAnsiTheme="minorHAnsi"/>
          <w:sz w:val="24"/>
          <w:szCs w:val="24"/>
        </w:rPr>
        <w:t xml:space="preserve">. London: Sweet &amp; Maxwell. </w:t>
      </w:r>
    </w:p>
    <w:p w14:paraId="46519425"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Dymond, J. (2023) </w:t>
      </w:r>
      <w:r w:rsidRPr="007D1675">
        <w:rPr>
          <w:rFonts w:asciiTheme="minorHAnsi" w:hAnsiTheme="minorHAnsi"/>
          <w:i/>
          <w:iCs/>
          <w:sz w:val="24"/>
          <w:szCs w:val="24"/>
        </w:rPr>
        <w:t>Dymond’s Capital Taxes</w:t>
      </w:r>
      <w:r w:rsidRPr="007D1675">
        <w:rPr>
          <w:rFonts w:asciiTheme="minorHAnsi" w:hAnsiTheme="minorHAnsi"/>
          <w:sz w:val="24"/>
          <w:szCs w:val="24"/>
        </w:rPr>
        <w:t>. London: LexisNexis.</w:t>
      </w:r>
    </w:p>
    <w:p w14:paraId="42AD1773"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Hayton, D., Matthews, P. and Mitchell, C. (2015) </w:t>
      </w:r>
      <w:r w:rsidRPr="007D1675">
        <w:rPr>
          <w:rFonts w:asciiTheme="minorHAnsi" w:hAnsiTheme="minorHAnsi"/>
          <w:i/>
          <w:iCs/>
          <w:sz w:val="24"/>
          <w:szCs w:val="24"/>
        </w:rPr>
        <w:t>Underhill and Hayton: Law of Trusts and Trustees</w:t>
      </w:r>
      <w:r w:rsidRPr="007D1675">
        <w:rPr>
          <w:rFonts w:asciiTheme="minorHAnsi" w:hAnsiTheme="minorHAnsi"/>
          <w:sz w:val="24"/>
          <w:szCs w:val="24"/>
        </w:rPr>
        <w:t xml:space="preserve">. </w:t>
      </w:r>
    </w:p>
    <w:p w14:paraId="4A86DF84" w14:textId="6754C3CA" w:rsidR="00EA1EBC" w:rsidRDefault="00EA1EBC">
      <w:pPr>
        <w:spacing w:after="160" w:line="278" w:lineRule="auto"/>
        <w:rPr>
          <w:rFonts w:asciiTheme="minorHAnsi" w:hAnsiTheme="minorHAnsi"/>
          <w:sz w:val="24"/>
          <w:szCs w:val="24"/>
        </w:rPr>
      </w:pPr>
      <w:r w:rsidRPr="00EA1EBC">
        <w:rPr>
          <w:rFonts w:asciiTheme="minorHAnsi" w:hAnsiTheme="minorHAnsi"/>
          <w:sz w:val="24"/>
          <w:szCs w:val="24"/>
        </w:rPr>
        <w:t>Hedlund, R., 2024. The law of succession: wills and the administration of estates. </w:t>
      </w:r>
    </w:p>
    <w:p w14:paraId="05695F9D"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Hicks, A. and Goo, S. (2022) </w:t>
      </w:r>
      <w:r w:rsidRPr="007D1675">
        <w:rPr>
          <w:rFonts w:asciiTheme="minorHAnsi" w:hAnsiTheme="minorHAnsi"/>
          <w:i/>
          <w:iCs/>
          <w:sz w:val="24"/>
          <w:szCs w:val="24"/>
        </w:rPr>
        <w:t>Cases and Materials on Trusts</w:t>
      </w:r>
      <w:r w:rsidRPr="007D1675">
        <w:rPr>
          <w:rFonts w:asciiTheme="minorHAnsi" w:hAnsiTheme="minorHAnsi"/>
          <w:sz w:val="24"/>
          <w:szCs w:val="24"/>
        </w:rPr>
        <w:t xml:space="preserve">. Oxford: Oxford University Press. </w:t>
      </w:r>
    </w:p>
    <w:p w14:paraId="3685AC6E" w14:textId="77777777" w:rsidR="00AE0D74" w:rsidRPr="00AE0D74" w:rsidRDefault="00AE0D74" w:rsidP="00AE0D74">
      <w:pPr>
        <w:spacing w:after="160" w:line="278" w:lineRule="auto"/>
        <w:rPr>
          <w:rFonts w:asciiTheme="minorHAnsi" w:hAnsiTheme="minorHAnsi"/>
          <w:sz w:val="24"/>
          <w:szCs w:val="24"/>
        </w:rPr>
      </w:pPr>
      <w:r w:rsidRPr="00AE0D74">
        <w:rPr>
          <w:rFonts w:asciiTheme="minorHAnsi" w:hAnsiTheme="minorHAnsi"/>
          <w:sz w:val="24"/>
          <w:szCs w:val="24"/>
        </w:rPr>
        <w:t xml:space="preserve">HM Courts &amp; Tribunals Service (2023) </w:t>
      </w:r>
      <w:r w:rsidRPr="00AE0D74">
        <w:rPr>
          <w:rFonts w:asciiTheme="minorHAnsi" w:hAnsiTheme="minorHAnsi"/>
          <w:i/>
          <w:iCs/>
          <w:sz w:val="24"/>
          <w:szCs w:val="24"/>
        </w:rPr>
        <w:t>Probate: Guidance for Executors</w:t>
      </w:r>
      <w:r w:rsidRPr="00AE0D74">
        <w:rPr>
          <w:rFonts w:asciiTheme="minorHAnsi" w:hAnsiTheme="minorHAnsi"/>
          <w:sz w:val="24"/>
          <w:szCs w:val="24"/>
        </w:rPr>
        <w:t>.</w:t>
      </w:r>
    </w:p>
    <w:p w14:paraId="4134B9C0"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HMRC (2024) </w:t>
      </w:r>
      <w:r w:rsidRPr="007D1675">
        <w:rPr>
          <w:rFonts w:asciiTheme="minorHAnsi" w:hAnsiTheme="minorHAnsi"/>
          <w:i/>
          <w:iCs/>
          <w:sz w:val="24"/>
          <w:szCs w:val="24"/>
        </w:rPr>
        <w:t>Capital Gains Manual (CGM)</w:t>
      </w:r>
      <w:r w:rsidRPr="007D1675">
        <w:rPr>
          <w:rFonts w:asciiTheme="minorHAnsi" w:hAnsiTheme="minorHAnsi"/>
          <w:sz w:val="24"/>
          <w:szCs w:val="24"/>
        </w:rPr>
        <w:t xml:space="preserve">. </w:t>
      </w:r>
    </w:p>
    <w:p w14:paraId="1EC6C0A9"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HMRC (2024) </w:t>
      </w:r>
      <w:r w:rsidRPr="007D1675">
        <w:rPr>
          <w:rFonts w:asciiTheme="minorHAnsi" w:hAnsiTheme="minorHAnsi"/>
          <w:i/>
          <w:iCs/>
          <w:sz w:val="24"/>
          <w:szCs w:val="24"/>
        </w:rPr>
        <w:t>Inheritance Tax Manual (IHTM)</w:t>
      </w:r>
      <w:r w:rsidRPr="007D1675">
        <w:rPr>
          <w:rFonts w:asciiTheme="minorHAnsi" w:hAnsiTheme="minorHAnsi"/>
          <w:sz w:val="24"/>
          <w:szCs w:val="24"/>
        </w:rPr>
        <w:t xml:space="preserve">. </w:t>
      </w:r>
    </w:p>
    <w:p w14:paraId="49D9D8ED"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HMRC (2024) </w:t>
      </w:r>
      <w:r w:rsidRPr="007D1675">
        <w:rPr>
          <w:rFonts w:asciiTheme="minorHAnsi" w:hAnsiTheme="minorHAnsi"/>
          <w:i/>
          <w:iCs/>
          <w:sz w:val="24"/>
          <w:szCs w:val="24"/>
        </w:rPr>
        <w:t>Property Valuation Manual (PVM)</w:t>
      </w:r>
      <w:r w:rsidRPr="007D1675">
        <w:rPr>
          <w:rFonts w:asciiTheme="minorHAnsi" w:hAnsiTheme="minorHAnsi"/>
          <w:sz w:val="24"/>
          <w:szCs w:val="24"/>
        </w:rPr>
        <w:t>.</w:t>
      </w:r>
    </w:p>
    <w:p w14:paraId="4563EB84"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 HMRC (2024) </w:t>
      </w:r>
      <w:r w:rsidRPr="007D1675">
        <w:rPr>
          <w:rFonts w:asciiTheme="minorHAnsi" w:hAnsiTheme="minorHAnsi"/>
          <w:i/>
          <w:iCs/>
          <w:sz w:val="24"/>
          <w:szCs w:val="24"/>
        </w:rPr>
        <w:t>Trust Registration Service Manual (TRSM)</w:t>
      </w:r>
      <w:r w:rsidRPr="007D1675">
        <w:rPr>
          <w:rFonts w:asciiTheme="minorHAnsi" w:hAnsiTheme="minorHAnsi"/>
          <w:sz w:val="24"/>
          <w:szCs w:val="24"/>
        </w:rPr>
        <w:t>.</w:t>
      </w:r>
    </w:p>
    <w:p w14:paraId="254F049E"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HMRC (2024) </w:t>
      </w:r>
      <w:r w:rsidRPr="007D1675">
        <w:rPr>
          <w:rFonts w:asciiTheme="minorHAnsi" w:hAnsiTheme="minorHAnsi"/>
          <w:i/>
          <w:iCs/>
          <w:sz w:val="24"/>
          <w:szCs w:val="24"/>
        </w:rPr>
        <w:t>Trusts and Estates Manual (TSEM)</w:t>
      </w:r>
      <w:r w:rsidRPr="007D1675">
        <w:rPr>
          <w:rFonts w:asciiTheme="minorHAnsi" w:hAnsiTheme="minorHAnsi"/>
          <w:sz w:val="24"/>
          <w:szCs w:val="24"/>
        </w:rPr>
        <w:t xml:space="preserve">. </w:t>
      </w:r>
    </w:p>
    <w:p w14:paraId="6370D6D2"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Hudson, A. (2021) </w:t>
      </w:r>
      <w:r w:rsidRPr="007D1675">
        <w:rPr>
          <w:rFonts w:asciiTheme="minorHAnsi" w:hAnsiTheme="minorHAnsi"/>
          <w:i/>
          <w:iCs/>
          <w:sz w:val="24"/>
          <w:szCs w:val="24"/>
        </w:rPr>
        <w:t>Equity and Trusts</w:t>
      </w:r>
      <w:r w:rsidRPr="007D1675">
        <w:rPr>
          <w:rFonts w:asciiTheme="minorHAnsi" w:hAnsiTheme="minorHAnsi"/>
          <w:sz w:val="24"/>
          <w:szCs w:val="24"/>
        </w:rPr>
        <w:t xml:space="preserve">. 10th </w:t>
      </w:r>
      <w:proofErr w:type="spellStart"/>
      <w:r w:rsidRPr="007D1675">
        <w:rPr>
          <w:rFonts w:asciiTheme="minorHAnsi" w:hAnsiTheme="minorHAnsi"/>
          <w:sz w:val="24"/>
          <w:szCs w:val="24"/>
        </w:rPr>
        <w:t>edn</w:t>
      </w:r>
      <w:proofErr w:type="spellEnd"/>
      <w:r w:rsidRPr="007D1675">
        <w:rPr>
          <w:rFonts w:asciiTheme="minorHAnsi" w:hAnsiTheme="minorHAnsi"/>
          <w:sz w:val="24"/>
          <w:szCs w:val="24"/>
        </w:rPr>
        <w:t xml:space="preserve">. London: Routledge. </w:t>
      </w:r>
    </w:p>
    <w:p w14:paraId="7AEE23AE"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Law Society (2022) </w:t>
      </w:r>
      <w:r w:rsidRPr="007D1675">
        <w:rPr>
          <w:rFonts w:asciiTheme="minorHAnsi" w:hAnsiTheme="minorHAnsi"/>
          <w:i/>
          <w:iCs/>
          <w:sz w:val="24"/>
          <w:szCs w:val="24"/>
        </w:rPr>
        <w:t>Wills and Inheritance Protocol</w:t>
      </w:r>
      <w:r w:rsidRPr="007D1675">
        <w:rPr>
          <w:rFonts w:asciiTheme="minorHAnsi" w:hAnsiTheme="minorHAnsi"/>
          <w:sz w:val="24"/>
          <w:szCs w:val="24"/>
        </w:rPr>
        <w:t xml:space="preserve">. </w:t>
      </w:r>
    </w:p>
    <w:p w14:paraId="1CDBD1E9"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 Law Society (2023) </w:t>
      </w:r>
      <w:r w:rsidRPr="007D1675">
        <w:rPr>
          <w:rFonts w:asciiTheme="minorHAnsi" w:hAnsiTheme="minorHAnsi"/>
          <w:i/>
          <w:iCs/>
          <w:sz w:val="24"/>
          <w:szCs w:val="24"/>
        </w:rPr>
        <w:t>Practice Note: Probate – Duties of Executors</w:t>
      </w:r>
      <w:r w:rsidRPr="007D1675">
        <w:rPr>
          <w:rFonts w:asciiTheme="minorHAnsi" w:hAnsiTheme="minorHAnsi"/>
          <w:sz w:val="24"/>
          <w:szCs w:val="24"/>
        </w:rPr>
        <w:t>.</w:t>
      </w:r>
    </w:p>
    <w:p w14:paraId="38108953"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Law Society (2023) </w:t>
      </w:r>
      <w:r w:rsidRPr="007D1675">
        <w:rPr>
          <w:rFonts w:asciiTheme="minorHAnsi" w:hAnsiTheme="minorHAnsi"/>
          <w:i/>
          <w:iCs/>
          <w:sz w:val="24"/>
          <w:szCs w:val="24"/>
        </w:rPr>
        <w:t>Probate Practitioners’ Handbook</w:t>
      </w:r>
      <w:r w:rsidRPr="007D1675">
        <w:rPr>
          <w:rFonts w:asciiTheme="minorHAnsi" w:hAnsiTheme="minorHAnsi"/>
          <w:sz w:val="24"/>
          <w:szCs w:val="24"/>
        </w:rPr>
        <w:t>.</w:t>
      </w:r>
    </w:p>
    <w:p w14:paraId="6D70F909" w14:textId="77777777" w:rsidR="00AE0D74" w:rsidRDefault="00AE0D74" w:rsidP="00AE0D74">
      <w:pPr>
        <w:spacing w:after="160" w:line="278" w:lineRule="auto"/>
        <w:rPr>
          <w:rFonts w:asciiTheme="minorHAnsi" w:hAnsiTheme="minorHAnsi"/>
          <w:sz w:val="24"/>
          <w:szCs w:val="24"/>
        </w:rPr>
      </w:pPr>
      <w:r w:rsidRPr="00AE0D74">
        <w:rPr>
          <w:rFonts w:asciiTheme="minorHAnsi" w:hAnsiTheme="minorHAnsi"/>
          <w:sz w:val="24"/>
          <w:szCs w:val="24"/>
        </w:rPr>
        <w:t xml:space="preserve">Ministry of Justice (2023) </w:t>
      </w:r>
      <w:r w:rsidRPr="00AE0D74">
        <w:rPr>
          <w:rFonts w:asciiTheme="minorHAnsi" w:hAnsiTheme="minorHAnsi"/>
          <w:i/>
          <w:iCs/>
          <w:sz w:val="24"/>
          <w:szCs w:val="24"/>
        </w:rPr>
        <w:t>Guide to Probate Applications</w:t>
      </w:r>
      <w:r w:rsidRPr="00AE0D74">
        <w:rPr>
          <w:rFonts w:asciiTheme="minorHAnsi" w:hAnsiTheme="minorHAnsi"/>
          <w:sz w:val="24"/>
          <w:szCs w:val="24"/>
        </w:rPr>
        <w:t xml:space="preserve">. </w:t>
      </w:r>
    </w:p>
    <w:p w14:paraId="220EBDD7" w14:textId="77777777" w:rsidR="00AE0D74" w:rsidRDefault="00AE0D74" w:rsidP="00AE0D74">
      <w:pPr>
        <w:spacing w:after="160" w:line="278" w:lineRule="auto"/>
        <w:rPr>
          <w:rFonts w:asciiTheme="minorHAnsi" w:hAnsiTheme="minorHAnsi"/>
          <w:sz w:val="24"/>
          <w:szCs w:val="24"/>
        </w:rPr>
      </w:pPr>
      <w:r w:rsidRPr="00AE0D74">
        <w:rPr>
          <w:rFonts w:asciiTheme="minorHAnsi" w:hAnsiTheme="minorHAnsi"/>
          <w:sz w:val="24"/>
          <w:szCs w:val="24"/>
        </w:rPr>
        <w:t xml:space="preserve">Office of the Public Guardian (2023) </w:t>
      </w:r>
      <w:r w:rsidRPr="00AE0D74">
        <w:rPr>
          <w:rFonts w:asciiTheme="minorHAnsi" w:hAnsiTheme="minorHAnsi"/>
          <w:i/>
          <w:iCs/>
          <w:sz w:val="24"/>
          <w:szCs w:val="24"/>
        </w:rPr>
        <w:t>Guidance for Trustees and Personal Representatives</w:t>
      </w:r>
      <w:r w:rsidRPr="00AE0D74">
        <w:rPr>
          <w:rFonts w:asciiTheme="minorHAnsi" w:hAnsiTheme="minorHAnsi"/>
          <w:sz w:val="24"/>
          <w:szCs w:val="24"/>
        </w:rPr>
        <w:t xml:space="preserve">. </w:t>
      </w:r>
    </w:p>
    <w:p w14:paraId="2A95A66A"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Probert, R. (2020) </w:t>
      </w:r>
      <w:r w:rsidRPr="007D1675">
        <w:rPr>
          <w:rFonts w:asciiTheme="minorHAnsi" w:hAnsiTheme="minorHAnsi"/>
          <w:i/>
          <w:iCs/>
          <w:sz w:val="24"/>
          <w:szCs w:val="24"/>
        </w:rPr>
        <w:t>Wills, Probate and Estates</w:t>
      </w:r>
      <w:r w:rsidRPr="007D1675">
        <w:rPr>
          <w:rFonts w:asciiTheme="minorHAnsi" w:hAnsiTheme="minorHAnsi"/>
          <w:sz w:val="24"/>
          <w:szCs w:val="24"/>
        </w:rPr>
        <w:t xml:space="preserve">. London: Palgrave Macmillan. </w:t>
      </w:r>
    </w:p>
    <w:p w14:paraId="4A1E0B05" w14:textId="77777777" w:rsidR="00AE0D74" w:rsidRDefault="00AE0D74" w:rsidP="00AE0D74">
      <w:pPr>
        <w:spacing w:after="160" w:line="278" w:lineRule="auto"/>
        <w:rPr>
          <w:rFonts w:asciiTheme="minorHAnsi" w:hAnsiTheme="minorHAnsi"/>
          <w:sz w:val="24"/>
          <w:szCs w:val="24"/>
        </w:rPr>
      </w:pPr>
      <w:r w:rsidRPr="00AE0D74">
        <w:rPr>
          <w:rFonts w:asciiTheme="minorHAnsi" w:hAnsiTheme="minorHAnsi"/>
          <w:sz w:val="24"/>
          <w:szCs w:val="24"/>
        </w:rPr>
        <w:t xml:space="preserve">STEP (2022) </w:t>
      </w:r>
      <w:r w:rsidRPr="00AE0D74">
        <w:rPr>
          <w:rFonts w:asciiTheme="minorHAnsi" w:hAnsiTheme="minorHAnsi"/>
          <w:i/>
          <w:iCs/>
          <w:sz w:val="24"/>
          <w:szCs w:val="24"/>
        </w:rPr>
        <w:t>Trust Administration Guidance Note</w:t>
      </w:r>
      <w:r w:rsidRPr="00AE0D74">
        <w:rPr>
          <w:rFonts w:asciiTheme="minorHAnsi" w:hAnsiTheme="minorHAnsi"/>
          <w:sz w:val="24"/>
          <w:szCs w:val="24"/>
        </w:rPr>
        <w:t xml:space="preserve">. </w:t>
      </w:r>
    </w:p>
    <w:p w14:paraId="7D99A8D6" w14:textId="77777777" w:rsidR="00AE0D74" w:rsidRDefault="00AE0D74">
      <w:pPr>
        <w:spacing w:after="160" w:line="278" w:lineRule="auto"/>
        <w:rPr>
          <w:rFonts w:asciiTheme="minorHAnsi" w:hAnsiTheme="minorHAnsi"/>
          <w:sz w:val="24"/>
          <w:szCs w:val="24"/>
        </w:rPr>
      </w:pPr>
      <w:r w:rsidRPr="007D1675">
        <w:rPr>
          <w:rFonts w:asciiTheme="minorHAnsi" w:hAnsiTheme="minorHAnsi"/>
          <w:sz w:val="24"/>
          <w:szCs w:val="24"/>
        </w:rPr>
        <w:t xml:space="preserve">Thomas, G. and Hudson, A. (2020) </w:t>
      </w:r>
      <w:r w:rsidRPr="007D1675">
        <w:rPr>
          <w:rFonts w:asciiTheme="minorHAnsi" w:hAnsiTheme="minorHAnsi"/>
          <w:i/>
          <w:iCs/>
          <w:sz w:val="24"/>
          <w:szCs w:val="24"/>
        </w:rPr>
        <w:t>The Law of Trusts</w:t>
      </w:r>
      <w:r w:rsidRPr="007D1675">
        <w:rPr>
          <w:rFonts w:asciiTheme="minorHAnsi" w:hAnsiTheme="minorHAnsi"/>
          <w:sz w:val="24"/>
          <w:szCs w:val="24"/>
        </w:rPr>
        <w:t>. Oxford: Oxford University Press.</w:t>
      </w:r>
    </w:p>
    <w:p w14:paraId="0653BDBC" w14:textId="1F98FE48" w:rsidR="00EA1EBC" w:rsidRDefault="00EA1EBC">
      <w:pPr>
        <w:spacing w:after="160" w:line="278" w:lineRule="auto"/>
        <w:rPr>
          <w:rFonts w:asciiTheme="minorHAnsi" w:hAnsiTheme="minorHAnsi"/>
          <w:sz w:val="24"/>
          <w:szCs w:val="24"/>
        </w:rPr>
      </w:pPr>
      <w:r w:rsidRPr="00EA1EBC">
        <w:rPr>
          <w:rFonts w:asciiTheme="minorHAnsi" w:hAnsiTheme="minorHAnsi"/>
          <w:sz w:val="24"/>
          <w:szCs w:val="24"/>
        </w:rPr>
        <w:t>Watt, G., 2012. </w:t>
      </w:r>
      <w:r w:rsidRPr="00EA1EBC">
        <w:rPr>
          <w:rFonts w:asciiTheme="minorHAnsi" w:hAnsiTheme="minorHAnsi"/>
          <w:i/>
          <w:iCs/>
          <w:sz w:val="24"/>
          <w:szCs w:val="24"/>
        </w:rPr>
        <w:t>Equity and Trusts Law Directions</w:t>
      </w:r>
      <w:r w:rsidRPr="00EA1EBC">
        <w:rPr>
          <w:rFonts w:asciiTheme="minorHAnsi" w:hAnsiTheme="minorHAnsi"/>
          <w:sz w:val="24"/>
          <w:szCs w:val="24"/>
        </w:rPr>
        <w:t>. OUP Oxford.</w:t>
      </w:r>
    </w:p>
    <w:p w14:paraId="4565BEC7" w14:textId="1114E5F9" w:rsidR="007D1675" w:rsidRDefault="007D1675">
      <w:pPr>
        <w:spacing w:after="160" w:line="278" w:lineRule="auto"/>
        <w:rPr>
          <w:rFonts w:asciiTheme="minorHAnsi" w:hAnsiTheme="minorHAnsi"/>
          <w:sz w:val="24"/>
          <w:szCs w:val="24"/>
        </w:rPr>
      </w:pPr>
    </w:p>
    <w:p w14:paraId="6C51DA60" w14:textId="77777777" w:rsidR="007D1675" w:rsidRPr="007D1675" w:rsidRDefault="007D1675" w:rsidP="007D1675">
      <w:pPr>
        <w:pStyle w:val="Heading2"/>
      </w:pPr>
      <w:r w:rsidRPr="007D1675">
        <w:rPr>
          <w:rFonts w:eastAsia="Times New Roman"/>
        </w:rPr>
        <w:t>Legislation</w:t>
      </w:r>
    </w:p>
    <w:p w14:paraId="3F08EBCD" w14:textId="77777777"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 xml:space="preserve">Administration of Estates Act 1925. </w:t>
      </w:r>
    </w:p>
    <w:p w14:paraId="5954E487" w14:textId="77777777"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 xml:space="preserve">Administration of Estates (Small Payments) Act 1965. </w:t>
      </w:r>
    </w:p>
    <w:p w14:paraId="4CD52460" w14:textId="77777777"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 xml:space="preserve">Finance Act 2006. </w:t>
      </w:r>
    </w:p>
    <w:p w14:paraId="092A566F" w14:textId="77777777"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 xml:space="preserve">Inheritance and Trustees’ Powers Act 2014. </w:t>
      </w:r>
    </w:p>
    <w:p w14:paraId="6C63BA32" w14:textId="77777777"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 xml:space="preserve">Inheritance Tax Act 1984. </w:t>
      </w:r>
    </w:p>
    <w:p w14:paraId="204E701B" w14:textId="77777777"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Non</w:t>
      </w:r>
      <w:r w:rsidRPr="007D1675">
        <w:rPr>
          <w:rFonts w:asciiTheme="minorHAnsi" w:hAnsiTheme="minorHAnsi"/>
          <w:sz w:val="24"/>
          <w:szCs w:val="24"/>
        </w:rPr>
        <w:noBreakHyphen/>
        <w:t>Contentious Probate Rules 1987.</w:t>
      </w:r>
    </w:p>
    <w:p w14:paraId="43908C66" w14:textId="77777777"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Non</w:t>
      </w:r>
      <w:r w:rsidRPr="007D1675">
        <w:rPr>
          <w:rFonts w:asciiTheme="minorHAnsi" w:hAnsiTheme="minorHAnsi"/>
          <w:sz w:val="24"/>
          <w:szCs w:val="24"/>
        </w:rPr>
        <w:noBreakHyphen/>
        <w:t xml:space="preserve">Contentious Probate Fees Order 2004. </w:t>
      </w:r>
    </w:p>
    <w:p w14:paraId="57817D8E" w14:textId="77777777"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 xml:space="preserve">Solicitors Regulation Authority (SRA) Code of Conduct for Solicitors 2023. </w:t>
      </w:r>
    </w:p>
    <w:p w14:paraId="195FFDA2" w14:textId="77777777"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 xml:space="preserve">Solicitors Regulation Authority (SRA) Code of Conduct for Firms 2023. </w:t>
      </w:r>
    </w:p>
    <w:p w14:paraId="03A249FB" w14:textId="77777777"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 xml:space="preserve">Trustee Act 1925. </w:t>
      </w:r>
    </w:p>
    <w:p w14:paraId="17BFAD7F" w14:textId="77777777"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 xml:space="preserve">Trustee Act 2000. </w:t>
      </w:r>
    </w:p>
    <w:p w14:paraId="69F7F66D" w14:textId="77777777"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 xml:space="preserve">Trustee Delegation Act 1999. </w:t>
      </w:r>
    </w:p>
    <w:p w14:paraId="1B338DD0" w14:textId="2F6FAACB"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Wills Act 1837.</w:t>
      </w:r>
    </w:p>
    <w:p w14:paraId="191986B0" w14:textId="4F52710A" w:rsidR="007D1675" w:rsidRDefault="007D1675">
      <w:pPr>
        <w:spacing w:after="160" w:line="278" w:lineRule="auto"/>
        <w:rPr>
          <w:rFonts w:asciiTheme="minorHAnsi" w:hAnsiTheme="minorHAnsi"/>
          <w:sz w:val="24"/>
          <w:szCs w:val="24"/>
        </w:rPr>
      </w:pPr>
      <w:r>
        <w:rPr>
          <w:rFonts w:asciiTheme="minorHAnsi" w:hAnsiTheme="minorHAnsi"/>
          <w:sz w:val="24"/>
          <w:szCs w:val="24"/>
        </w:rPr>
        <w:br w:type="page"/>
      </w:r>
    </w:p>
    <w:p w14:paraId="776B0BDD" w14:textId="77777777" w:rsidR="007D1675" w:rsidRPr="007D1675" w:rsidRDefault="007D1675" w:rsidP="007D1675">
      <w:pPr>
        <w:pStyle w:val="Heading2"/>
      </w:pPr>
      <w:r w:rsidRPr="007D1675">
        <w:rPr>
          <w:rFonts w:eastAsia="Times New Roman"/>
        </w:rPr>
        <w:lastRenderedPageBreak/>
        <w:t>Case Law</w:t>
      </w:r>
    </w:p>
    <w:p w14:paraId="7F612AC9" w14:textId="77777777"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 xml:space="preserve">Banks v Goodfellow (1870) LR 5 QB 549. </w:t>
      </w:r>
    </w:p>
    <w:p w14:paraId="34445FC5" w14:textId="77777777"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 xml:space="preserve">Marley v Rawlings [2014] UKSC 2. </w:t>
      </w:r>
    </w:p>
    <w:p w14:paraId="727DDDDE" w14:textId="42A7A3D1"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 xml:space="preserve">Re </w:t>
      </w:r>
      <w:proofErr w:type="spellStart"/>
      <w:r w:rsidRPr="007D1675">
        <w:rPr>
          <w:rFonts w:asciiTheme="minorHAnsi" w:hAnsiTheme="minorHAnsi"/>
          <w:sz w:val="24"/>
          <w:szCs w:val="24"/>
        </w:rPr>
        <w:t>Groffman</w:t>
      </w:r>
      <w:proofErr w:type="spellEnd"/>
      <w:r w:rsidRPr="007D1675">
        <w:rPr>
          <w:rFonts w:asciiTheme="minorHAnsi" w:hAnsiTheme="minorHAnsi"/>
          <w:sz w:val="24"/>
          <w:szCs w:val="24"/>
        </w:rPr>
        <w:t xml:space="preserve"> [1969] 1 WLR 733. </w:t>
      </w:r>
    </w:p>
    <w:p w14:paraId="0A6674AC" w14:textId="77777777"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 xml:space="preserve">Re Hayes’ Will Trusts [1971] 1 WLR 758. </w:t>
      </w:r>
    </w:p>
    <w:p w14:paraId="25AC4124" w14:textId="77777777"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 xml:space="preserve">Re Pauling’s Settlement Trusts [1964] Ch 303. </w:t>
      </w:r>
    </w:p>
    <w:p w14:paraId="071FE496" w14:textId="3E1AD00C"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 xml:space="preserve">Re Smith [1928] Ch 915. </w:t>
      </w:r>
    </w:p>
    <w:p w14:paraId="715E1DBC" w14:textId="77777777" w:rsid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 xml:space="preserve">Re Gulbenkian’s Settlements [1970] AC 508. </w:t>
      </w:r>
    </w:p>
    <w:p w14:paraId="60B32175" w14:textId="6D9111A0" w:rsidR="007D1675" w:rsidRPr="007D1675" w:rsidRDefault="007D1675" w:rsidP="007D1675">
      <w:pPr>
        <w:spacing w:line="480" w:lineRule="auto"/>
        <w:rPr>
          <w:rFonts w:asciiTheme="minorHAnsi" w:hAnsiTheme="minorHAnsi"/>
          <w:sz w:val="24"/>
          <w:szCs w:val="24"/>
        </w:rPr>
      </w:pPr>
      <w:r w:rsidRPr="007D1675">
        <w:rPr>
          <w:rFonts w:asciiTheme="minorHAnsi" w:hAnsiTheme="minorHAnsi"/>
          <w:sz w:val="24"/>
          <w:szCs w:val="24"/>
        </w:rPr>
        <w:t>White v Jones [1995] 2 AC 207.</w:t>
      </w:r>
    </w:p>
    <w:p w14:paraId="4EBF32A8" w14:textId="77777777" w:rsidR="007D1675" w:rsidRPr="007D1675" w:rsidRDefault="007D1675" w:rsidP="007D1675">
      <w:pPr>
        <w:spacing w:line="480" w:lineRule="auto"/>
        <w:rPr>
          <w:rFonts w:asciiTheme="minorHAnsi" w:hAnsiTheme="minorHAnsi"/>
          <w:sz w:val="24"/>
          <w:szCs w:val="24"/>
        </w:rPr>
      </w:pPr>
    </w:p>
    <w:p w14:paraId="33B9F700" w14:textId="77777777" w:rsidR="004A384A" w:rsidRPr="00085FD5" w:rsidRDefault="004A384A" w:rsidP="0067659D">
      <w:pPr>
        <w:spacing w:line="480" w:lineRule="auto"/>
        <w:rPr>
          <w:rFonts w:asciiTheme="minorHAnsi" w:hAnsiTheme="minorHAnsi"/>
          <w:sz w:val="24"/>
          <w:szCs w:val="24"/>
        </w:rPr>
      </w:pPr>
    </w:p>
    <w:sectPr w:rsidR="004A384A" w:rsidRPr="00085F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3307"/>
    <w:rsid w:val="00085FD5"/>
    <w:rsid w:val="001F3307"/>
    <w:rsid w:val="002F043F"/>
    <w:rsid w:val="004A384A"/>
    <w:rsid w:val="004E76C5"/>
    <w:rsid w:val="00640E91"/>
    <w:rsid w:val="0067659D"/>
    <w:rsid w:val="00740FF8"/>
    <w:rsid w:val="007556DA"/>
    <w:rsid w:val="00791645"/>
    <w:rsid w:val="007D1675"/>
    <w:rsid w:val="008414FD"/>
    <w:rsid w:val="00883932"/>
    <w:rsid w:val="00891FF8"/>
    <w:rsid w:val="0095498D"/>
    <w:rsid w:val="009B0E40"/>
    <w:rsid w:val="00A94EE6"/>
    <w:rsid w:val="00AB7366"/>
    <w:rsid w:val="00AE0D74"/>
    <w:rsid w:val="00C17CF4"/>
    <w:rsid w:val="00CB74B8"/>
    <w:rsid w:val="00D32EA2"/>
    <w:rsid w:val="00EA1E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F795EC"/>
  <w15:chartTrackingRefBased/>
  <w15:docId w15:val="{56D969CC-C431-451A-ACD8-47E6323AE0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3307"/>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1F33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1F33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33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1F33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33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3307"/>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3307"/>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3307"/>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3307"/>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33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33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33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33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33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33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33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33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3307"/>
    <w:rPr>
      <w:rFonts w:eastAsiaTheme="majorEastAsia" w:cstheme="majorBidi"/>
      <w:color w:val="272727" w:themeColor="text1" w:themeTint="D8"/>
    </w:rPr>
  </w:style>
  <w:style w:type="paragraph" w:styleId="Title">
    <w:name w:val="Title"/>
    <w:basedOn w:val="Normal"/>
    <w:next w:val="Normal"/>
    <w:link w:val="TitleChar"/>
    <w:uiPriority w:val="10"/>
    <w:qFormat/>
    <w:rsid w:val="001F3307"/>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33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33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33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3307"/>
    <w:pPr>
      <w:spacing w:before="160"/>
      <w:jc w:val="center"/>
    </w:pPr>
    <w:rPr>
      <w:i/>
      <w:iCs/>
      <w:color w:val="404040" w:themeColor="text1" w:themeTint="BF"/>
    </w:rPr>
  </w:style>
  <w:style w:type="character" w:customStyle="1" w:styleId="QuoteChar">
    <w:name w:val="Quote Char"/>
    <w:basedOn w:val="DefaultParagraphFont"/>
    <w:link w:val="Quote"/>
    <w:uiPriority w:val="29"/>
    <w:rsid w:val="001F3307"/>
    <w:rPr>
      <w:i/>
      <w:iCs/>
      <w:color w:val="404040" w:themeColor="text1" w:themeTint="BF"/>
    </w:rPr>
  </w:style>
  <w:style w:type="paragraph" w:styleId="ListParagraph">
    <w:name w:val="List Paragraph"/>
    <w:basedOn w:val="Normal"/>
    <w:uiPriority w:val="34"/>
    <w:qFormat/>
    <w:rsid w:val="001F3307"/>
    <w:pPr>
      <w:ind w:left="720"/>
      <w:contextualSpacing/>
    </w:pPr>
  </w:style>
  <w:style w:type="character" w:styleId="IntenseEmphasis">
    <w:name w:val="Intense Emphasis"/>
    <w:basedOn w:val="DefaultParagraphFont"/>
    <w:uiPriority w:val="21"/>
    <w:qFormat/>
    <w:rsid w:val="001F3307"/>
    <w:rPr>
      <w:i/>
      <w:iCs/>
      <w:color w:val="0F4761" w:themeColor="accent1" w:themeShade="BF"/>
    </w:rPr>
  </w:style>
  <w:style w:type="paragraph" w:styleId="IntenseQuote">
    <w:name w:val="Intense Quote"/>
    <w:basedOn w:val="Normal"/>
    <w:next w:val="Normal"/>
    <w:link w:val="IntenseQuoteChar"/>
    <w:uiPriority w:val="30"/>
    <w:qFormat/>
    <w:rsid w:val="001F33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3307"/>
    <w:rPr>
      <w:i/>
      <w:iCs/>
      <w:color w:val="0F4761" w:themeColor="accent1" w:themeShade="BF"/>
    </w:rPr>
  </w:style>
  <w:style w:type="character" w:styleId="IntenseReference">
    <w:name w:val="Intense Reference"/>
    <w:basedOn w:val="DefaultParagraphFont"/>
    <w:uiPriority w:val="32"/>
    <w:qFormat/>
    <w:rsid w:val="001F3307"/>
    <w:rPr>
      <w:b/>
      <w:bCs/>
      <w:smallCaps/>
      <w:color w:val="0F4761" w:themeColor="accent1" w:themeShade="BF"/>
      <w:spacing w:val="5"/>
    </w:rPr>
  </w:style>
  <w:style w:type="paragraph" w:styleId="Header">
    <w:name w:val="header"/>
    <w:basedOn w:val="Normal"/>
    <w:link w:val="HeaderChar"/>
    <w:rsid w:val="001F3307"/>
    <w:pPr>
      <w:tabs>
        <w:tab w:val="center" w:pos="4153"/>
        <w:tab w:val="right" w:pos="8306"/>
      </w:tabs>
    </w:pPr>
  </w:style>
  <w:style w:type="character" w:customStyle="1" w:styleId="HeaderChar">
    <w:name w:val="Header Char"/>
    <w:basedOn w:val="DefaultParagraphFont"/>
    <w:link w:val="Header"/>
    <w:rsid w:val="001F3307"/>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TotalTime>
  <Pages>9</Pages>
  <Words>2626</Words>
  <Characters>14969</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Hoffmann</dc:creator>
  <cp:keywords/>
  <dc:description/>
  <cp:lastModifiedBy>Sarah Hoffmann</cp:lastModifiedBy>
  <cp:revision>2</cp:revision>
  <dcterms:created xsi:type="dcterms:W3CDTF">2026-05-07T19:38:00Z</dcterms:created>
  <dcterms:modified xsi:type="dcterms:W3CDTF">2026-05-07T19:38:00Z</dcterms:modified>
</cp:coreProperties>
</file>